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BF2E82" w14:textId="77777777" w:rsidR="009419A1" w:rsidDel="00025EE7" w:rsidRDefault="009419A1" w:rsidP="009419A1">
      <w:pPr>
        <w:pStyle w:val="NormalWeb"/>
        <w:spacing w:before="0" w:beforeAutospacing="0" w:after="0" w:afterAutospacing="0"/>
        <w:ind w:left="-180" w:right="-334"/>
        <w:rPr>
          <w:del w:id="0" w:author="Marlene Tobias" w:date="2012-11-07T16:05:00Z"/>
          <w:rFonts w:ascii="Trebuchet MS" w:hAnsi="Trebuchet MS" w:cs="Tahoma"/>
          <w:sz w:val="24"/>
          <w:szCs w:val="24"/>
        </w:rPr>
      </w:pPr>
      <w:r>
        <w:rPr>
          <w:noProof/>
          <w:lang w:eastAsia="en-GB"/>
        </w:rPr>
        <w:drawing>
          <wp:inline distT="0" distB="0" distL="0" distR="0" wp14:anchorId="31F2C5BD" wp14:editId="4998C42B">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36811F6" w14:textId="77777777" w:rsidR="009419A1" w:rsidRDefault="009419A1" w:rsidP="009419A1">
      <w:pPr>
        <w:pStyle w:val="NormalWeb"/>
        <w:spacing w:before="0" w:beforeAutospacing="0" w:after="0" w:afterAutospacing="0"/>
        <w:ind w:left="-180" w:right="-334"/>
        <w:rPr>
          <w:ins w:id="1" w:author="Marlene Tobias" w:date="2012-10-29T12:25:00Z"/>
          <w:lang w:val="cy-GB"/>
        </w:rPr>
      </w:pPr>
    </w:p>
    <w:p w14:paraId="6A85D0F3" w14:textId="77777777" w:rsidR="009419A1" w:rsidRDefault="009419A1" w:rsidP="009419A1">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2AADD82A" w14:textId="77777777" w:rsidR="009419A1" w:rsidRPr="002E67CE" w:rsidRDefault="009419A1" w:rsidP="009419A1">
      <w:pPr>
        <w:rPr>
          <w:lang w:val="cy-GB"/>
        </w:rPr>
      </w:pPr>
    </w:p>
    <w:p w14:paraId="6A4A8D96" w14:textId="77777777" w:rsidR="009419A1" w:rsidRDefault="009419A1" w:rsidP="009419A1">
      <w:pPr>
        <w:pStyle w:val="Heading3"/>
        <w:jc w:val="center"/>
        <w:rPr>
          <w:ins w:id="2" w:author="Marlene Tobias" w:date="2012-10-29T12:25:00Z"/>
          <w:lang w:val="cy-GB"/>
        </w:rPr>
      </w:pPr>
      <w:r>
        <w:rPr>
          <w:lang w:val="cy-GB"/>
        </w:rPr>
        <w:t>THIS SHEET MUST BE THE FIRST PAGE OF THE ASSIGNMENT YOU ARE SUBMITTING  (DO NOT SEND AS A SEPARATE FILE)</w:t>
      </w:r>
    </w:p>
    <w:p w14:paraId="49269486" w14:textId="77777777" w:rsidR="009419A1" w:rsidRDefault="009419A1" w:rsidP="009419A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9419A1" w:rsidRPr="002F467C" w14:paraId="3143FB1E" w14:textId="77777777" w:rsidTr="00E06C34">
        <w:trPr>
          <w:gridAfter w:val="1"/>
          <w:wAfter w:w="101" w:type="dxa"/>
          <w:trHeight w:val="614"/>
        </w:trPr>
        <w:tc>
          <w:tcPr>
            <w:tcW w:w="8755" w:type="dxa"/>
            <w:gridSpan w:val="6"/>
          </w:tcPr>
          <w:p w14:paraId="681CBB22" w14:textId="77777777" w:rsidR="009419A1" w:rsidRPr="002F467C" w:rsidRDefault="009419A1" w:rsidP="00E06C34">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9419A1" w:rsidRPr="002F467C" w14:paraId="745CF45F" w14:textId="77777777" w:rsidTr="00E06C34">
        <w:trPr>
          <w:gridAfter w:val="1"/>
          <w:wAfter w:w="101" w:type="dxa"/>
          <w:trHeight w:val="718"/>
        </w:trPr>
        <w:tc>
          <w:tcPr>
            <w:tcW w:w="8755" w:type="dxa"/>
            <w:gridSpan w:val="6"/>
          </w:tcPr>
          <w:p w14:paraId="180579BB" w14:textId="4992CAEE" w:rsidR="009419A1" w:rsidRPr="002F467C" w:rsidDel="00EB12DC" w:rsidRDefault="009419A1" w:rsidP="00E06C34">
            <w:pPr>
              <w:pStyle w:val="NormalWeb"/>
              <w:spacing w:before="0" w:beforeAutospacing="0" w:after="0" w:afterAutospacing="0"/>
              <w:ind w:right="34"/>
              <w:rPr>
                <w:del w:id="3" w:author="Vicky Smith" w:date="2013-02-08T12:20:00Z"/>
                <w:rFonts w:ascii="Calibri" w:hAnsi="Calibri" w:cs="Tahoma"/>
                <w:i/>
                <w:sz w:val="24"/>
                <w:szCs w:val="24"/>
              </w:rPr>
            </w:pPr>
            <w:r w:rsidRPr="002F467C">
              <w:rPr>
                <w:rFonts w:ascii="Calibri" w:hAnsi="Calibri" w:cs="Tahoma"/>
                <w:i/>
                <w:sz w:val="24"/>
                <w:szCs w:val="24"/>
              </w:rPr>
              <w:t>Student Name</w:t>
            </w:r>
            <w:r>
              <w:rPr>
                <w:rFonts w:ascii="Calibri" w:hAnsi="Calibri" w:cs="Tahoma"/>
                <w:i/>
                <w:sz w:val="24"/>
                <w:szCs w:val="24"/>
              </w:rPr>
              <w:t>: Stuart Ward</w:t>
            </w:r>
          </w:p>
          <w:p w14:paraId="251BA785" w14:textId="77777777" w:rsidR="009419A1" w:rsidRPr="00F76C18" w:rsidRDefault="009419A1" w:rsidP="00E06C34">
            <w:pPr>
              <w:pStyle w:val="NormalWeb"/>
              <w:spacing w:before="0" w:beforeAutospacing="0" w:after="0" w:afterAutospacing="0"/>
              <w:ind w:right="34"/>
              <w:rPr>
                <w:rFonts w:ascii="Calibri" w:hAnsi="Calibri" w:cs="Tahoma"/>
                <w:i/>
                <w:sz w:val="36"/>
                <w:szCs w:val="24"/>
              </w:rPr>
            </w:pPr>
          </w:p>
          <w:p w14:paraId="30F64FB7" w14:textId="4BB9FC73" w:rsidR="009419A1" w:rsidRPr="002F467C" w:rsidRDefault="009419A1" w:rsidP="00E06C34">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BD3A12" w:rsidRPr="00BD3A12">
              <w:rPr>
                <w:rFonts w:asciiTheme="minorHAnsi" w:hAnsiTheme="minorHAnsi" w:cstheme="minorHAnsi"/>
                <w:color w:val="auto"/>
                <w:sz w:val="24"/>
                <w:szCs w:val="24"/>
                <w:shd w:val="clear" w:color="auto" w:fill="FFFFFF"/>
              </w:rPr>
              <w:t>1502559@student.uwtsd.ac.uk</w:t>
            </w:r>
          </w:p>
        </w:tc>
      </w:tr>
      <w:tr w:rsidR="009419A1" w:rsidRPr="002F467C" w14:paraId="37BA770F" w14:textId="77777777" w:rsidTr="00E06C34">
        <w:trPr>
          <w:gridAfter w:val="1"/>
          <w:wAfter w:w="101" w:type="dxa"/>
          <w:trHeight w:val="849"/>
        </w:trPr>
        <w:tc>
          <w:tcPr>
            <w:tcW w:w="4788" w:type="dxa"/>
          </w:tcPr>
          <w:p w14:paraId="2D17D8FF" w14:textId="77777777" w:rsidR="009419A1" w:rsidRDefault="009419A1" w:rsidP="00E06C34">
            <w:pPr>
              <w:pStyle w:val="NormalWeb"/>
              <w:spacing w:before="0" w:beforeAutospacing="0" w:after="0" w:afterAutospacing="0"/>
              <w:ind w:right="34"/>
              <w:rPr>
                <w:rFonts w:ascii="Calibri" w:hAnsi="Calibri" w:cs="Tahoma"/>
                <w:i/>
                <w:sz w:val="24"/>
                <w:szCs w:val="24"/>
              </w:rPr>
            </w:pPr>
          </w:p>
          <w:p w14:paraId="06EC8B7A" w14:textId="69FAF813" w:rsidR="009419A1" w:rsidRPr="002F467C" w:rsidRDefault="009419A1" w:rsidP="00E06C34">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Pr>
                <w:rFonts w:ascii="Calibri" w:hAnsi="Calibri" w:cs="Tahoma"/>
                <w:i/>
                <w:sz w:val="24"/>
                <w:szCs w:val="24"/>
              </w:rPr>
              <w:t xml:space="preserve"> CLCL7006</w:t>
            </w:r>
          </w:p>
        </w:tc>
        <w:tc>
          <w:tcPr>
            <w:tcW w:w="2266" w:type="dxa"/>
            <w:gridSpan w:val="4"/>
          </w:tcPr>
          <w:p w14:paraId="5D1C105F" w14:textId="77777777" w:rsidR="009419A1" w:rsidRDefault="009419A1" w:rsidP="00E06C34">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3BAF7CD2" w14:textId="0D10D2A3" w:rsidR="009419A1" w:rsidRPr="002F467C" w:rsidRDefault="009419A1" w:rsidP="00E06C34">
            <w:pPr>
              <w:pStyle w:val="NormalWeb"/>
              <w:spacing w:before="0" w:beforeAutospacing="0" w:after="0" w:afterAutospacing="0"/>
              <w:ind w:right="34"/>
              <w:rPr>
                <w:rFonts w:ascii="Calibri" w:hAnsi="Calibri" w:cs="Tahoma"/>
                <w:i/>
                <w:sz w:val="24"/>
                <w:szCs w:val="24"/>
              </w:rPr>
            </w:pPr>
            <w:r>
              <w:rPr>
                <w:rFonts w:ascii="Segoe UI" w:hAnsi="Segoe UI" w:cs="Segoe UI"/>
                <w:color w:val="323130"/>
                <w:shd w:val="clear" w:color="auto" w:fill="FFFFFF"/>
              </w:rPr>
              <w:t>1502559</w:t>
            </w:r>
          </w:p>
        </w:tc>
        <w:tc>
          <w:tcPr>
            <w:tcW w:w="1701" w:type="dxa"/>
          </w:tcPr>
          <w:p w14:paraId="5654524A" w14:textId="77777777" w:rsidR="009419A1" w:rsidRPr="002F467C" w:rsidRDefault="009419A1" w:rsidP="00E06C34">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7BE5BE17" w14:textId="5C0BE20B" w:rsidR="009419A1" w:rsidRPr="00337BA8" w:rsidRDefault="009419A1" w:rsidP="00E06C34">
            <w:pPr>
              <w:pStyle w:val="NormalWeb"/>
              <w:spacing w:before="0" w:beforeAutospacing="0" w:after="0" w:afterAutospacing="0"/>
              <w:ind w:right="34"/>
              <w:rPr>
                <w:rFonts w:ascii="Calibri" w:hAnsi="Calibri" w:cs="Tahoma"/>
                <w:i/>
                <w:sz w:val="24"/>
                <w:szCs w:val="24"/>
              </w:rPr>
            </w:pPr>
            <w:r w:rsidRPr="00337BA8">
              <w:rPr>
                <w:rFonts w:ascii="Calibri" w:hAnsi="Calibri" w:cs="Tahoma"/>
                <w:i/>
                <w:sz w:val="24"/>
                <w:szCs w:val="24"/>
              </w:rPr>
              <w:t>No</w:t>
            </w:r>
          </w:p>
        </w:tc>
      </w:tr>
      <w:tr w:rsidR="009419A1" w:rsidRPr="002F467C" w14:paraId="592E743A" w14:textId="77777777" w:rsidTr="00E06C34">
        <w:trPr>
          <w:gridAfter w:val="1"/>
          <w:wAfter w:w="101" w:type="dxa"/>
          <w:trHeight w:val="820"/>
        </w:trPr>
        <w:tc>
          <w:tcPr>
            <w:tcW w:w="8755" w:type="dxa"/>
            <w:gridSpan w:val="6"/>
          </w:tcPr>
          <w:p w14:paraId="0924DF58" w14:textId="77777777" w:rsidR="00BD3A12" w:rsidRPr="00FD0107" w:rsidRDefault="009419A1" w:rsidP="00BD3A12">
            <w:pPr>
              <w:rPr>
                <w:rFonts w:ascii="Arial" w:hAnsi="Arial" w:cs="Arial"/>
                <w:b/>
                <w:bCs/>
                <w:sz w:val="32"/>
                <w:szCs w:val="32"/>
              </w:rPr>
            </w:pPr>
            <w:r>
              <w:rPr>
                <w:rFonts w:ascii="Calibri" w:hAnsi="Calibri" w:cs="Tahoma"/>
                <w:i/>
                <w:sz w:val="24"/>
                <w:szCs w:val="24"/>
              </w:rPr>
              <w:t xml:space="preserve">Dissertation </w:t>
            </w:r>
            <w:r w:rsidRPr="00BD3A12">
              <w:rPr>
                <w:rFonts w:cstheme="minorHAnsi"/>
                <w:i/>
                <w:sz w:val="24"/>
                <w:szCs w:val="24"/>
              </w:rPr>
              <w:t xml:space="preserve">title: </w:t>
            </w:r>
            <w:r w:rsidR="00BD3A12" w:rsidRPr="00BD3A12">
              <w:rPr>
                <w:rFonts w:cstheme="minorHAnsi"/>
                <w:sz w:val="24"/>
                <w:szCs w:val="24"/>
              </w:rPr>
              <w:t>An Analysis into the Causes of the First Punic War</w:t>
            </w:r>
          </w:p>
          <w:p w14:paraId="62726235" w14:textId="77777777" w:rsidR="009419A1" w:rsidRPr="00F76C18" w:rsidRDefault="009419A1" w:rsidP="00E06C34">
            <w:pPr>
              <w:pStyle w:val="NormalWeb"/>
              <w:spacing w:before="0" w:beforeAutospacing="0" w:after="0" w:afterAutospacing="0"/>
              <w:ind w:right="34"/>
              <w:rPr>
                <w:rFonts w:ascii="Calibri" w:hAnsi="Calibri" w:cs="Tahoma"/>
                <w:i/>
                <w:sz w:val="36"/>
                <w:szCs w:val="24"/>
              </w:rPr>
            </w:pPr>
          </w:p>
        </w:tc>
      </w:tr>
      <w:tr w:rsidR="009419A1" w:rsidRPr="002F467C" w14:paraId="600F3E07" w14:textId="77777777" w:rsidTr="00E06C34">
        <w:trPr>
          <w:gridAfter w:val="1"/>
          <w:wAfter w:w="101" w:type="dxa"/>
          <w:trHeight w:val="539"/>
        </w:trPr>
        <w:tc>
          <w:tcPr>
            <w:tcW w:w="5495" w:type="dxa"/>
            <w:gridSpan w:val="3"/>
            <w:tcBorders>
              <w:bottom w:val="single" w:sz="4" w:space="0" w:color="000000"/>
            </w:tcBorders>
          </w:tcPr>
          <w:p w14:paraId="662DC144" w14:textId="1A00B3F5" w:rsidR="009419A1" w:rsidRPr="002F467C" w:rsidRDefault="009419A1" w:rsidP="00E06C34">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00BD3A12">
              <w:rPr>
                <w:rFonts w:ascii="Calibri" w:hAnsi="Calibri" w:cs="Tahoma"/>
                <w:i/>
                <w:sz w:val="24"/>
                <w:szCs w:val="24"/>
              </w:rPr>
              <w:t>Matthew Cobb</w:t>
            </w:r>
          </w:p>
        </w:tc>
        <w:tc>
          <w:tcPr>
            <w:tcW w:w="3260" w:type="dxa"/>
            <w:gridSpan w:val="3"/>
            <w:tcBorders>
              <w:bottom w:val="single" w:sz="4" w:space="0" w:color="000000"/>
            </w:tcBorders>
          </w:tcPr>
          <w:p w14:paraId="045C32A3" w14:textId="21909CFD" w:rsidR="009419A1" w:rsidRPr="002F467C" w:rsidRDefault="009419A1" w:rsidP="00E06C34">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r w:rsidR="005A09C0">
              <w:rPr>
                <w:rFonts w:ascii="Calibri" w:hAnsi="Calibri" w:cs="Tahoma"/>
                <w:i/>
                <w:sz w:val="24"/>
                <w:szCs w:val="24"/>
              </w:rPr>
              <w:t xml:space="preserve"> </w:t>
            </w:r>
            <w:r w:rsidR="007D7197">
              <w:rPr>
                <w:rFonts w:ascii="Calibri" w:hAnsi="Calibri" w:cs="Tahoma"/>
                <w:i/>
                <w:sz w:val="24"/>
                <w:szCs w:val="24"/>
              </w:rPr>
              <w:t>17,356</w:t>
            </w:r>
          </w:p>
        </w:tc>
      </w:tr>
      <w:tr w:rsidR="009419A1" w:rsidRPr="002F467C" w14:paraId="702CCB8C" w14:textId="77777777" w:rsidTr="00E06C34">
        <w:trPr>
          <w:gridAfter w:val="1"/>
          <w:wAfter w:w="101" w:type="dxa"/>
          <w:trHeight w:val="978"/>
        </w:trPr>
        <w:tc>
          <w:tcPr>
            <w:tcW w:w="8755" w:type="dxa"/>
            <w:gridSpan w:val="6"/>
            <w:shd w:val="clear" w:color="auto" w:fill="D9D9D9"/>
          </w:tcPr>
          <w:p w14:paraId="43CB6FD4" w14:textId="77777777" w:rsidR="009419A1" w:rsidRPr="00BB1492" w:rsidRDefault="009419A1" w:rsidP="00E06C34">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6E8DF752" w14:textId="21DDDA6A" w:rsidR="009419A1" w:rsidRPr="00BB1492" w:rsidRDefault="009419A1" w:rsidP="00E06C34">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w:t>
            </w:r>
            <w:r w:rsidR="00BD3A12">
              <w:rPr>
                <w:rFonts w:ascii="Calibri" w:hAnsi="Calibri" w:cs="Tahoma"/>
                <w:color w:val="auto"/>
                <w:sz w:val="24"/>
                <w:szCs w:val="24"/>
              </w:rPr>
              <w:t xml:space="preserve">: </w:t>
            </w:r>
            <w:r w:rsidRPr="00BB1492">
              <w:rPr>
                <w:rFonts w:ascii="Calibri" w:hAnsi="Calibri" w:cs="Tahoma"/>
                <w:color w:val="auto"/>
                <w:sz w:val="24"/>
                <w:szCs w:val="24"/>
              </w:rPr>
              <w:t xml:space="preserve"> </w:t>
            </w:r>
            <w:r w:rsidR="00BD3A12">
              <w:rPr>
                <w:rFonts w:ascii="Calibri" w:hAnsi="Calibri" w:cs="Tahoma"/>
                <w:color w:val="auto"/>
                <w:sz w:val="24"/>
                <w:szCs w:val="24"/>
              </w:rPr>
              <w:t>S</w:t>
            </w:r>
            <w:r w:rsidR="00337BA8">
              <w:rPr>
                <w:rFonts w:ascii="Calibri" w:hAnsi="Calibri" w:cs="Tahoma"/>
                <w:color w:val="auto"/>
                <w:sz w:val="24"/>
                <w:szCs w:val="24"/>
              </w:rPr>
              <w:t>tuart Ward</w:t>
            </w:r>
          </w:p>
          <w:p w14:paraId="575606CA" w14:textId="6EFDB752" w:rsidR="009419A1" w:rsidRPr="00BB1492" w:rsidRDefault="00BD3A12" w:rsidP="00E06C34">
            <w:pPr>
              <w:pStyle w:val="NormalWeb"/>
              <w:spacing w:before="0" w:beforeAutospacing="0" w:after="0" w:afterAutospacing="0"/>
              <w:ind w:right="34"/>
              <w:rPr>
                <w:rFonts w:ascii="Calibri" w:hAnsi="Calibri" w:cs="Calibri"/>
                <w:b/>
                <w:color w:val="auto"/>
                <w:sz w:val="44"/>
                <w:szCs w:val="44"/>
              </w:rPr>
            </w:pPr>
            <w:r>
              <w:rPr>
                <w:rFonts w:ascii="Calibri" w:hAnsi="Calibri" w:cs="Tahoma"/>
                <w:b/>
                <w:noProof/>
                <w:color w:val="auto"/>
                <w:sz w:val="24"/>
                <w:szCs w:val="24"/>
              </w:rPr>
              <mc:AlternateContent>
                <mc:Choice Requires="wps">
                  <w:drawing>
                    <wp:anchor distT="0" distB="0" distL="114300" distR="114300" simplePos="0" relativeHeight="251659264" behindDoc="0" locked="0" layoutInCell="1" allowOverlap="1" wp14:anchorId="166EAD8B" wp14:editId="31163A85">
                      <wp:simplePos x="0" y="0"/>
                      <wp:positionH relativeFrom="column">
                        <wp:posOffset>5043170</wp:posOffset>
                      </wp:positionH>
                      <wp:positionV relativeFrom="paragraph">
                        <wp:posOffset>36830</wp:posOffset>
                      </wp:positionV>
                      <wp:extent cx="142875" cy="14287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142875" cy="1428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800156" id="Rectangle 3" o:spid="_x0000_s1026" style="position:absolute;margin-left:397.1pt;margin-top:2.9pt;width:11.25pt;height:11.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" filled="f" strokecolor="black [3213]" strokeweight="1pt"/>
                  </w:pict>
                </mc:Fallback>
              </mc:AlternateContent>
            </w:r>
            <w:r w:rsidR="009419A1" w:rsidRPr="00BB1492">
              <w:rPr>
                <w:rFonts w:ascii="Calibri" w:hAnsi="Calibri" w:cs="Tahoma"/>
                <w:b/>
                <w:color w:val="auto"/>
                <w:sz w:val="24"/>
                <w:szCs w:val="24"/>
              </w:rPr>
              <w:t>Email submission:</w:t>
            </w:r>
            <w:r>
              <w:rPr>
                <w:rFonts w:ascii="Calibri" w:hAnsi="Calibri" w:cs="Tahoma"/>
                <w:b/>
                <w:color w:val="auto"/>
                <w:sz w:val="24"/>
                <w:szCs w:val="24"/>
              </w:rPr>
              <w:t xml:space="preserve"> </w:t>
            </w:r>
            <w:r w:rsidR="009419A1" w:rsidRPr="00BB1492">
              <w:rPr>
                <w:rFonts w:ascii="Calibri" w:hAnsi="Calibri" w:cs="Tahoma"/>
                <w:b/>
                <w:color w:val="auto"/>
                <w:sz w:val="24"/>
                <w:szCs w:val="24"/>
              </w:rPr>
              <w:t xml:space="preserve">if you are submitting this form via email, please tick this box </w:t>
            </w:r>
            <w:r>
              <w:rPr>
                <w:rFonts w:ascii="Calibri" w:hAnsi="Calibri" w:cs="Tahoma"/>
                <w:b/>
                <w:color w:val="auto"/>
                <w:sz w:val="24"/>
                <w:szCs w:val="24"/>
              </w:rPr>
              <w:t xml:space="preserve">  </w:t>
            </w:r>
            <w:r w:rsidRPr="00BD3A12">
              <w:rPr>
                <w:rFonts w:ascii="Calibri" w:hAnsi="Calibri" w:cs="Calibri"/>
                <w:bCs/>
                <w:color w:val="auto"/>
                <w:sz w:val="24"/>
                <w:szCs w:val="24"/>
              </w:rPr>
              <w:t>√</w:t>
            </w:r>
          </w:p>
          <w:p w14:paraId="1A4F52EB" w14:textId="77777777" w:rsidR="009419A1" w:rsidRPr="00BB1492" w:rsidRDefault="009419A1" w:rsidP="00E06C34">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9419A1" w:rsidRPr="002F467C" w14:paraId="163F7D9A" w14:textId="77777777" w:rsidTr="00E06C34">
        <w:trPr>
          <w:gridAfter w:val="1"/>
          <w:wAfter w:w="101" w:type="dxa"/>
          <w:trHeight w:val="3972"/>
        </w:trPr>
        <w:tc>
          <w:tcPr>
            <w:tcW w:w="8755" w:type="dxa"/>
            <w:gridSpan w:val="6"/>
          </w:tcPr>
          <w:p w14:paraId="0189B353" w14:textId="77777777" w:rsidR="009419A1" w:rsidRPr="002F467C" w:rsidRDefault="009419A1" w:rsidP="00E06C34">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lastRenderedPageBreak/>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1AB11534" w14:textId="77777777" w:rsidR="009419A1" w:rsidRDefault="009419A1" w:rsidP="00E06C34">
            <w:pPr>
              <w:pStyle w:val="NormalWeb"/>
              <w:rPr>
                <w:rFonts w:ascii="Calibri" w:hAnsi="Calibri" w:cs="Tahoma"/>
                <w:i/>
                <w:sz w:val="24"/>
                <w:szCs w:val="24"/>
              </w:rPr>
            </w:pPr>
            <w:r w:rsidRPr="002F467C">
              <w:rPr>
                <w:rFonts w:ascii="Calibri" w:hAnsi="Calibri" w:cs="Tahoma"/>
                <w:i/>
                <w:sz w:val="24"/>
                <w:szCs w:val="24"/>
              </w:rPr>
              <w:t>Comments:</w:t>
            </w:r>
          </w:p>
          <w:p w14:paraId="16871927" w14:textId="77777777" w:rsidR="009419A1" w:rsidRDefault="009419A1" w:rsidP="00E06C34">
            <w:pPr>
              <w:pStyle w:val="NormalWeb"/>
              <w:rPr>
                <w:rFonts w:ascii="Calibri" w:hAnsi="Calibri" w:cs="Tahoma"/>
                <w:i/>
                <w:sz w:val="24"/>
                <w:szCs w:val="24"/>
              </w:rPr>
            </w:pPr>
          </w:p>
          <w:p w14:paraId="57DCA10E" w14:textId="77777777" w:rsidR="009419A1" w:rsidRDefault="009419A1" w:rsidP="00E06C34">
            <w:pPr>
              <w:pStyle w:val="NormalWeb"/>
              <w:rPr>
                <w:rFonts w:ascii="Calibri" w:hAnsi="Calibri" w:cs="Tahoma"/>
                <w:i/>
                <w:sz w:val="24"/>
                <w:szCs w:val="24"/>
              </w:rPr>
            </w:pPr>
          </w:p>
          <w:p w14:paraId="461B7AE7" w14:textId="77777777" w:rsidR="009419A1" w:rsidRDefault="009419A1" w:rsidP="00E06C34">
            <w:pPr>
              <w:pStyle w:val="NormalWeb"/>
              <w:rPr>
                <w:rFonts w:ascii="Calibri" w:hAnsi="Calibri" w:cs="Tahoma"/>
                <w:i/>
                <w:sz w:val="24"/>
                <w:szCs w:val="24"/>
              </w:rPr>
            </w:pPr>
          </w:p>
          <w:p w14:paraId="2746C5CA" w14:textId="77777777" w:rsidR="009419A1" w:rsidRDefault="009419A1" w:rsidP="00E06C34">
            <w:pPr>
              <w:pStyle w:val="NormalWeb"/>
              <w:rPr>
                <w:rFonts w:ascii="Calibri" w:hAnsi="Calibri" w:cs="Tahoma"/>
                <w:i/>
                <w:sz w:val="24"/>
                <w:szCs w:val="24"/>
              </w:rPr>
            </w:pPr>
          </w:p>
          <w:p w14:paraId="611E9000" w14:textId="77777777" w:rsidR="009419A1" w:rsidRDefault="009419A1" w:rsidP="00E06C34">
            <w:pPr>
              <w:pStyle w:val="NormalWeb"/>
              <w:rPr>
                <w:rFonts w:ascii="Calibri" w:hAnsi="Calibri" w:cs="Tahoma"/>
                <w:i/>
                <w:sz w:val="24"/>
                <w:szCs w:val="24"/>
              </w:rPr>
            </w:pPr>
          </w:p>
          <w:p w14:paraId="6C8743FD" w14:textId="77777777" w:rsidR="009419A1" w:rsidRDefault="009419A1" w:rsidP="00E06C34">
            <w:pPr>
              <w:pStyle w:val="NormalWeb"/>
              <w:rPr>
                <w:rFonts w:ascii="Calibri" w:hAnsi="Calibri" w:cs="Tahoma"/>
                <w:i/>
                <w:sz w:val="24"/>
                <w:szCs w:val="24"/>
              </w:rPr>
            </w:pPr>
          </w:p>
          <w:p w14:paraId="1C4821A5" w14:textId="77777777" w:rsidR="009419A1" w:rsidRPr="002F467C" w:rsidRDefault="009419A1" w:rsidP="00E06C34">
            <w:pPr>
              <w:pStyle w:val="NormalWeb"/>
              <w:rPr>
                <w:rFonts w:ascii="Calibri" w:hAnsi="Calibri" w:cs="Tahoma"/>
                <w:i/>
                <w:sz w:val="24"/>
                <w:szCs w:val="24"/>
              </w:rPr>
            </w:pPr>
          </w:p>
        </w:tc>
      </w:tr>
      <w:tr w:rsidR="009419A1" w:rsidRPr="002F467C" w14:paraId="79A29B83" w14:textId="77777777" w:rsidTr="00E06C34">
        <w:trPr>
          <w:gridAfter w:val="1"/>
          <w:wAfter w:w="101" w:type="dxa"/>
          <w:trHeight w:val="492"/>
        </w:trPr>
        <w:tc>
          <w:tcPr>
            <w:tcW w:w="6768" w:type="dxa"/>
            <w:gridSpan w:val="4"/>
          </w:tcPr>
          <w:p w14:paraId="1CC23B70" w14:textId="77777777" w:rsidR="009419A1" w:rsidRPr="00B12C4F" w:rsidRDefault="009419A1" w:rsidP="00E06C34">
            <w:pPr>
              <w:pStyle w:val="NormalWeb"/>
              <w:ind w:left="142" w:right="34"/>
              <w:rPr>
                <w:rFonts w:ascii="Calibri" w:hAnsi="Calibri" w:cs="Tahoma"/>
                <w:sz w:val="24"/>
                <w:szCs w:val="24"/>
              </w:rPr>
            </w:pPr>
            <w:r w:rsidRPr="00B12C4F">
              <w:rPr>
                <w:rFonts w:ascii="Calibri" w:hAnsi="Calibri" w:cs="Tahoma"/>
                <w:sz w:val="24"/>
                <w:szCs w:val="24"/>
              </w:rPr>
              <w:t>First Marker’s Mark:</w:t>
            </w:r>
          </w:p>
          <w:p w14:paraId="626EFDE5" w14:textId="77777777" w:rsidR="009419A1" w:rsidRPr="002F467C" w:rsidRDefault="009419A1" w:rsidP="00E06C34">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570F1B99" w14:textId="77777777" w:rsidR="009419A1" w:rsidRPr="002F467C" w:rsidRDefault="009419A1" w:rsidP="00E06C34">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9419A1" w:rsidRPr="002F467C" w14:paraId="2940F1BA" w14:textId="77777777" w:rsidTr="00E06C34">
        <w:tc>
          <w:tcPr>
            <w:tcW w:w="8856" w:type="dxa"/>
            <w:gridSpan w:val="7"/>
          </w:tcPr>
          <w:p w14:paraId="6E34F61C"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00D28464"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272D9951"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1B5F799E"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38C9626D"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20D1BE63"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2981A266"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6D3FF300"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495A3FEF"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26539442"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6F6B790C"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090FAFBC"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39D561D7"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4A1744D4"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79B85D0B"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30D65BA5"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2A868B1B"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06934D33"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5C054E74"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529FA96E"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5233D360"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tc>
      </w:tr>
      <w:tr w:rsidR="009419A1" w:rsidRPr="002F467C" w14:paraId="3BCA2A1A" w14:textId="77777777" w:rsidTr="00E06C34">
        <w:trPr>
          <w:trHeight w:val="720"/>
        </w:trPr>
        <w:tc>
          <w:tcPr>
            <w:tcW w:w="5211" w:type="dxa"/>
            <w:gridSpan w:val="2"/>
          </w:tcPr>
          <w:p w14:paraId="3B863CF8" w14:textId="77777777" w:rsidR="009419A1" w:rsidRDefault="009419A1" w:rsidP="00E06C3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Second </w:t>
            </w:r>
            <w:proofErr w:type="gramStart"/>
            <w:r>
              <w:rPr>
                <w:rFonts w:ascii="Calibri" w:hAnsi="Calibri" w:cs="Tahoma"/>
                <w:bCs/>
                <w:sz w:val="24"/>
                <w:szCs w:val="24"/>
              </w:rPr>
              <w:t>Marker’s  Mark</w:t>
            </w:r>
            <w:proofErr w:type="gramEnd"/>
            <w:r w:rsidRPr="002F467C">
              <w:rPr>
                <w:rFonts w:ascii="Calibri" w:hAnsi="Calibri" w:cs="Tahoma"/>
                <w:bCs/>
                <w:sz w:val="24"/>
                <w:szCs w:val="24"/>
              </w:rPr>
              <w:t>:</w:t>
            </w:r>
          </w:p>
          <w:p w14:paraId="27DDCC1D"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02EC3C19"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9419A1" w:rsidRPr="002F467C" w14:paraId="465BA77D" w14:textId="77777777" w:rsidTr="00E06C34">
        <w:trPr>
          <w:trHeight w:val="720"/>
        </w:trPr>
        <w:tc>
          <w:tcPr>
            <w:tcW w:w="5211" w:type="dxa"/>
            <w:gridSpan w:val="2"/>
          </w:tcPr>
          <w:p w14:paraId="55BE08EE" w14:textId="77777777" w:rsidR="009419A1" w:rsidRDefault="009419A1" w:rsidP="00E06C3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14:paraId="76696900" w14:textId="77777777" w:rsidR="009419A1" w:rsidRDefault="009419A1" w:rsidP="00E06C34">
            <w:pPr>
              <w:pStyle w:val="NormalWeb"/>
              <w:spacing w:before="0" w:beforeAutospacing="0" w:after="0" w:afterAutospacing="0"/>
              <w:ind w:right="-334"/>
              <w:rPr>
                <w:rFonts w:ascii="Calibri" w:hAnsi="Calibri" w:cs="Tahoma"/>
                <w:bCs/>
                <w:sz w:val="24"/>
                <w:szCs w:val="24"/>
              </w:rPr>
            </w:pPr>
          </w:p>
          <w:p w14:paraId="44EE1D56" w14:textId="77777777" w:rsidR="009419A1" w:rsidRDefault="009419A1" w:rsidP="00E06C3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14:paraId="7DE83B4A" w14:textId="77777777" w:rsidR="009419A1" w:rsidRDefault="009419A1" w:rsidP="00E06C34">
            <w:pPr>
              <w:pStyle w:val="NormalWeb"/>
              <w:spacing w:before="0" w:beforeAutospacing="0" w:after="0" w:afterAutospacing="0"/>
              <w:ind w:right="-334"/>
              <w:rPr>
                <w:rFonts w:ascii="Calibri" w:hAnsi="Calibri" w:cs="Tahoma"/>
                <w:bCs/>
                <w:sz w:val="24"/>
                <w:szCs w:val="24"/>
              </w:rPr>
            </w:pPr>
          </w:p>
          <w:p w14:paraId="513777EC" w14:textId="77777777" w:rsidR="009419A1" w:rsidRDefault="009419A1" w:rsidP="00E06C3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14:paraId="58008441" w14:textId="77777777" w:rsidR="009419A1" w:rsidRDefault="009419A1" w:rsidP="00E06C34">
            <w:pPr>
              <w:pStyle w:val="NormalWeb"/>
              <w:spacing w:before="0" w:beforeAutospacing="0" w:after="0" w:afterAutospacing="0"/>
              <w:ind w:right="-334"/>
              <w:rPr>
                <w:rFonts w:ascii="Calibri" w:hAnsi="Calibri" w:cs="Tahoma"/>
                <w:bCs/>
                <w:sz w:val="24"/>
                <w:szCs w:val="24"/>
              </w:rPr>
            </w:pPr>
          </w:p>
        </w:tc>
        <w:tc>
          <w:tcPr>
            <w:tcW w:w="3645" w:type="dxa"/>
            <w:gridSpan w:val="5"/>
          </w:tcPr>
          <w:p w14:paraId="26DEA48E"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Date</w:t>
            </w:r>
          </w:p>
        </w:tc>
      </w:tr>
      <w:tr w:rsidR="009419A1" w:rsidRPr="002F467C" w14:paraId="4275CD0E" w14:textId="77777777" w:rsidTr="00E06C34">
        <w:trPr>
          <w:trHeight w:val="720"/>
        </w:trPr>
        <w:tc>
          <w:tcPr>
            <w:tcW w:w="8856" w:type="dxa"/>
            <w:gridSpan w:val="7"/>
          </w:tcPr>
          <w:p w14:paraId="45354053" w14:textId="77777777" w:rsidR="009419A1" w:rsidRPr="00BB1492" w:rsidRDefault="009419A1" w:rsidP="00E06C34">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26F188CB" w14:textId="77777777" w:rsidR="009419A1" w:rsidRPr="00C87244" w:rsidRDefault="009419A1" w:rsidP="00E06C34">
            <w:pPr>
              <w:pStyle w:val="NormalWeb"/>
              <w:spacing w:before="0" w:beforeAutospacing="0" w:after="0" w:afterAutospacing="0"/>
              <w:ind w:left="142" w:right="34"/>
              <w:rPr>
                <w:rFonts w:ascii="Calibri" w:hAnsi="Calibri" w:cs="Tahoma"/>
                <w:b/>
                <w:i/>
                <w:sz w:val="24"/>
                <w:szCs w:val="24"/>
              </w:rPr>
            </w:pPr>
          </w:p>
          <w:p w14:paraId="1B19A904"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tc>
      </w:tr>
      <w:tr w:rsidR="009419A1" w:rsidRPr="002F467C" w14:paraId="0E8F0EA7" w14:textId="77777777" w:rsidTr="00E06C34">
        <w:trPr>
          <w:trHeight w:val="720"/>
        </w:trPr>
        <w:tc>
          <w:tcPr>
            <w:tcW w:w="8856" w:type="dxa"/>
            <w:gridSpan w:val="7"/>
          </w:tcPr>
          <w:p w14:paraId="3C485A51" w14:textId="77777777" w:rsidR="009419A1" w:rsidRPr="00C87244" w:rsidRDefault="009419A1" w:rsidP="00E06C34">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3EBDB329" w14:textId="77777777" w:rsidR="009419A1" w:rsidRPr="002F467C" w:rsidRDefault="009419A1" w:rsidP="00E06C34">
            <w:pPr>
              <w:pStyle w:val="NormalWeb"/>
              <w:spacing w:before="0" w:beforeAutospacing="0" w:after="0" w:afterAutospacing="0"/>
              <w:ind w:left="142" w:right="34"/>
              <w:rPr>
                <w:rFonts w:ascii="Calibri" w:hAnsi="Calibri" w:cs="Tahoma"/>
                <w:b/>
                <w:i/>
                <w:sz w:val="24"/>
                <w:szCs w:val="24"/>
              </w:rPr>
            </w:pPr>
          </w:p>
        </w:tc>
      </w:tr>
    </w:tbl>
    <w:p w14:paraId="3857CC4E" w14:textId="77777777" w:rsidR="009419A1" w:rsidRDefault="009419A1" w:rsidP="009419A1">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9419A1" w:rsidRPr="002F467C" w14:paraId="3D6BFEA2" w14:textId="77777777" w:rsidTr="00E06C34">
        <w:tc>
          <w:tcPr>
            <w:tcW w:w="8856" w:type="dxa"/>
          </w:tcPr>
          <w:p w14:paraId="1B45A5BA"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59F39ECB"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721FC3DC"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47A9C143"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5668085F"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701606F7"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1816257F"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24A9450B"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0CCA6A8D"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4C665580"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0CEAE4C6"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2A57282B"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6CACC1D9"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3A95A5EE"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1A0B7E4B"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45F8CD20"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74E22235"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22474670"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236601D8"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p w14:paraId="1B617611" w14:textId="77777777" w:rsidR="009419A1" w:rsidRDefault="009419A1" w:rsidP="00E06C34">
            <w:pPr>
              <w:pStyle w:val="NormalWeb"/>
              <w:spacing w:before="0" w:beforeAutospacing="0" w:after="0" w:afterAutospacing="0"/>
              <w:ind w:right="-334"/>
              <w:rPr>
                <w:rFonts w:ascii="Calibri" w:hAnsi="Calibri" w:cs="Tahoma"/>
                <w:bCs/>
                <w:sz w:val="24"/>
                <w:szCs w:val="24"/>
              </w:rPr>
            </w:pPr>
          </w:p>
          <w:p w14:paraId="04FB1F4E" w14:textId="77777777" w:rsidR="009419A1" w:rsidRDefault="009419A1" w:rsidP="00E06C34">
            <w:pPr>
              <w:pStyle w:val="NormalWeb"/>
              <w:spacing w:before="0" w:beforeAutospacing="0" w:after="0" w:afterAutospacing="0"/>
              <w:ind w:right="-334"/>
              <w:rPr>
                <w:rFonts w:ascii="Calibri" w:hAnsi="Calibri" w:cs="Tahoma"/>
                <w:bCs/>
                <w:sz w:val="24"/>
                <w:szCs w:val="24"/>
              </w:rPr>
            </w:pPr>
          </w:p>
          <w:p w14:paraId="30EC9E7F" w14:textId="77777777" w:rsidR="009419A1" w:rsidRDefault="009419A1" w:rsidP="00E06C34">
            <w:pPr>
              <w:pStyle w:val="NormalWeb"/>
              <w:spacing w:before="0" w:beforeAutospacing="0" w:after="0" w:afterAutospacing="0"/>
              <w:ind w:right="-334"/>
              <w:rPr>
                <w:rFonts w:ascii="Calibri" w:hAnsi="Calibri" w:cs="Tahoma"/>
                <w:bCs/>
                <w:sz w:val="24"/>
                <w:szCs w:val="24"/>
              </w:rPr>
            </w:pPr>
          </w:p>
          <w:p w14:paraId="00893998" w14:textId="77777777" w:rsidR="009419A1" w:rsidRDefault="009419A1" w:rsidP="00E06C34">
            <w:pPr>
              <w:pStyle w:val="NormalWeb"/>
              <w:spacing w:before="0" w:beforeAutospacing="0" w:after="0" w:afterAutospacing="0"/>
              <w:ind w:right="-334"/>
              <w:rPr>
                <w:rFonts w:ascii="Calibri" w:hAnsi="Calibri" w:cs="Tahoma"/>
                <w:bCs/>
                <w:sz w:val="24"/>
                <w:szCs w:val="24"/>
              </w:rPr>
            </w:pPr>
          </w:p>
          <w:p w14:paraId="2B732C53" w14:textId="77777777" w:rsidR="009419A1" w:rsidRDefault="009419A1" w:rsidP="00E06C34">
            <w:pPr>
              <w:pStyle w:val="NormalWeb"/>
              <w:spacing w:before="0" w:beforeAutospacing="0" w:after="0" w:afterAutospacing="0"/>
              <w:ind w:right="-334"/>
              <w:rPr>
                <w:rFonts w:ascii="Calibri" w:hAnsi="Calibri" w:cs="Tahoma"/>
                <w:bCs/>
                <w:sz w:val="24"/>
                <w:szCs w:val="24"/>
              </w:rPr>
            </w:pPr>
          </w:p>
          <w:p w14:paraId="7C783727" w14:textId="77777777" w:rsidR="009419A1" w:rsidRDefault="009419A1" w:rsidP="00E06C34">
            <w:pPr>
              <w:pStyle w:val="NormalWeb"/>
              <w:spacing w:before="0" w:beforeAutospacing="0" w:after="0" w:afterAutospacing="0"/>
              <w:ind w:right="-334"/>
              <w:rPr>
                <w:rFonts w:ascii="Calibri" w:hAnsi="Calibri" w:cs="Tahoma"/>
                <w:bCs/>
                <w:sz w:val="24"/>
                <w:szCs w:val="24"/>
              </w:rPr>
            </w:pPr>
          </w:p>
          <w:p w14:paraId="2AE8D80E" w14:textId="77777777" w:rsidR="009419A1" w:rsidRDefault="009419A1" w:rsidP="00E06C34">
            <w:pPr>
              <w:pStyle w:val="NormalWeb"/>
              <w:spacing w:before="0" w:beforeAutospacing="0" w:after="0" w:afterAutospacing="0"/>
              <w:ind w:right="-334"/>
              <w:rPr>
                <w:rFonts w:ascii="Calibri" w:hAnsi="Calibri" w:cs="Tahoma"/>
                <w:bCs/>
                <w:sz w:val="24"/>
                <w:szCs w:val="24"/>
              </w:rPr>
            </w:pPr>
          </w:p>
          <w:p w14:paraId="41B55D23" w14:textId="77777777" w:rsidR="009419A1" w:rsidRDefault="009419A1" w:rsidP="00E06C34">
            <w:pPr>
              <w:pStyle w:val="NormalWeb"/>
              <w:spacing w:before="0" w:beforeAutospacing="0" w:after="0" w:afterAutospacing="0"/>
              <w:ind w:right="-334"/>
              <w:rPr>
                <w:rFonts w:ascii="Calibri" w:hAnsi="Calibri" w:cs="Tahoma"/>
                <w:bCs/>
                <w:sz w:val="24"/>
                <w:szCs w:val="24"/>
              </w:rPr>
            </w:pPr>
          </w:p>
          <w:p w14:paraId="65C2EF90" w14:textId="77777777" w:rsidR="009419A1" w:rsidRDefault="009419A1" w:rsidP="00E06C3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026D5E14" w14:textId="77777777" w:rsidR="009419A1" w:rsidRDefault="009419A1" w:rsidP="00E06C34">
            <w:pPr>
              <w:pStyle w:val="NormalWeb"/>
              <w:spacing w:before="0" w:beforeAutospacing="0" w:after="0" w:afterAutospacing="0"/>
              <w:ind w:right="-334"/>
              <w:rPr>
                <w:rFonts w:ascii="Calibri" w:hAnsi="Calibri" w:cs="Tahoma"/>
                <w:bCs/>
                <w:sz w:val="24"/>
                <w:szCs w:val="24"/>
              </w:rPr>
            </w:pPr>
          </w:p>
          <w:p w14:paraId="38BED4EC"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0BFB294C" w14:textId="77777777" w:rsidR="009419A1" w:rsidRPr="002F467C" w:rsidRDefault="009419A1" w:rsidP="00E06C34">
            <w:pPr>
              <w:pStyle w:val="NormalWeb"/>
              <w:spacing w:before="0" w:beforeAutospacing="0" w:after="0" w:afterAutospacing="0"/>
              <w:ind w:right="-334"/>
              <w:rPr>
                <w:rFonts w:ascii="Calibri" w:hAnsi="Calibri" w:cs="Tahoma"/>
                <w:bCs/>
                <w:sz w:val="24"/>
                <w:szCs w:val="24"/>
              </w:rPr>
            </w:pPr>
          </w:p>
        </w:tc>
      </w:tr>
      <w:tr w:rsidR="009419A1" w:rsidRPr="002F467C" w14:paraId="707DC86D" w14:textId="77777777" w:rsidTr="00E06C34">
        <w:trPr>
          <w:trHeight w:val="720"/>
        </w:trPr>
        <w:tc>
          <w:tcPr>
            <w:tcW w:w="8856" w:type="dxa"/>
          </w:tcPr>
          <w:p w14:paraId="73146544" w14:textId="77777777" w:rsidR="009419A1" w:rsidRPr="002F467C" w:rsidRDefault="009419A1" w:rsidP="00E06C34">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r w:rsidR="009419A1" w:rsidRPr="002F467C" w14:paraId="37097127" w14:textId="77777777" w:rsidTr="00E06C34">
        <w:trPr>
          <w:trHeight w:val="720"/>
        </w:trPr>
        <w:tc>
          <w:tcPr>
            <w:tcW w:w="8856" w:type="dxa"/>
          </w:tcPr>
          <w:p w14:paraId="247EFF00" w14:textId="77777777" w:rsidR="009419A1" w:rsidRDefault="009419A1" w:rsidP="00E06C34">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0046A9F5" w14:textId="77777777" w:rsidR="009419A1" w:rsidRPr="00D67BF8" w:rsidRDefault="009419A1" w:rsidP="009419A1">
      <w:pPr>
        <w:pStyle w:val="NormalWeb"/>
        <w:spacing w:before="0" w:beforeAutospacing="0" w:after="0" w:afterAutospacing="0"/>
        <w:ind w:right="-334"/>
        <w:rPr>
          <w:rFonts w:ascii="Trebuchet MS" w:hAnsi="Trebuchet MS" w:cs="Tahoma"/>
          <w:bCs/>
          <w:sz w:val="24"/>
          <w:szCs w:val="24"/>
        </w:rPr>
      </w:pPr>
    </w:p>
    <w:p w14:paraId="022679F0" w14:textId="5805AD30" w:rsidR="00FD0107" w:rsidRPr="00FD0107" w:rsidRDefault="00FD0107" w:rsidP="000C2ED5">
      <w:pPr>
        <w:jc w:val="center"/>
        <w:rPr>
          <w:rFonts w:ascii="Arial" w:hAnsi="Arial" w:cs="Arial"/>
          <w:b/>
          <w:bCs/>
          <w:sz w:val="32"/>
          <w:szCs w:val="32"/>
        </w:rPr>
      </w:pPr>
      <w:r w:rsidRPr="00FD0107">
        <w:rPr>
          <w:rFonts w:ascii="Arial" w:hAnsi="Arial" w:cs="Arial"/>
          <w:b/>
          <w:bCs/>
          <w:sz w:val="32"/>
          <w:szCs w:val="32"/>
        </w:rPr>
        <w:lastRenderedPageBreak/>
        <w:t>Title: An Analysis into the Causes of the First Punic War</w:t>
      </w:r>
    </w:p>
    <w:p w14:paraId="19209DA5" w14:textId="77777777" w:rsidR="00FD0107" w:rsidRPr="00FD0107" w:rsidRDefault="00FD0107" w:rsidP="000C2ED5">
      <w:pPr>
        <w:jc w:val="center"/>
        <w:rPr>
          <w:rFonts w:ascii="Arial" w:hAnsi="Arial" w:cs="Arial"/>
          <w:b/>
          <w:bCs/>
          <w:sz w:val="32"/>
          <w:szCs w:val="32"/>
        </w:rPr>
      </w:pPr>
    </w:p>
    <w:p w14:paraId="134C71ED" w14:textId="77777777" w:rsidR="00FD0107" w:rsidRPr="00FD0107" w:rsidRDefault="00FD0107" w:rsidP="000C2ED5">
      <w:pPr>
        <w:jc w:val="center"/>
        <w:rPr>
          <w:rFonts w:ascii="Arial" w:hAnsi="Arial" w:cs="Arial"/>
          <w:b/>
          <w:bCs/>
          <w:sz w:val="32"/>
          <w:szCs w:val="32"/>
        </w:rPr>
      </w:pPr>
      <w:r w:rsidRPr="00FD0107">
        <w:rPr>
          <w:rFonts w:ascii="Arial" w:hAnsi="Arial" w:cs="Arial"/>
          <w:b/>
          <w:bCs/>
          <w:sz w:val="32"/>
          <w:szCs w:val="32"/>
        </w:rPr>
        <w:t>Student: Stuart Ward</w:t>
      </w:r>
    </w:p>
    <w:p w14:paraId="76BB574D" w14:textId="77777777" w:rsidR="00FD0107" w:rsidRPr="00FD0107" w:rsidRDefault="00FD0107" w:rsidP="000C2ED5">
      <w:pPr>
        <w:jc w:val="center"/>
        <w:rPr>
          <w:rFonts w:ascii="Arial" w:hAnsi="Arial" w:cs="Arial"/>
          <w:b/>
          <w:bCs/>
          <w:sz w:val="32"/>
          <w:szCs w:val="32"/>
        </w:rPr>
      </w:pPr>
    </w:p>
    <w:p w14:paraId="0C112CBF" w14:textId="77777777" w:rsidR="00FD0107" w:rsidRPr="00FD0107" w:rsidRDefault="00FD0107" w:rsidP="000C2ED5">
      <w:pPr>
        <w:jc w:val="center"/>
        <w:rPr>
          <w:rFonts w:ascii="Arial" w:hAnsi="Arial" w:cs="Arial"/>
          <w:b/>
          <w:bCs/>
          <w:sz w:val="32"/>
          <w:szCs w:val="32"/>
        </w:rPr>
      </w:pPr>
      <w:r w:rsidRPr="00FD0107">
        <w:rPr>
          <w:rFonts w:ascii="Arial" w:hAnsi="Arial" w:cs="Arial"/>
          <w:b/>
          <w:bCs/>
          <w:sz w:val="32"/>
          <w:szCs w:val="32"/>
        </w:rPr>
        <w:t>Student Number: 1502559</w:t>
      </w:r>
    </w:p>
    <w:p w14:paraId="09EE53F6" w14:textId="77777777" w:rsidR="00FD0107" w:rsidRPr="00FD0107" w:rsidRDefault="00FD0107" w:rsidP="000C2ED5">
      <w:pPr>
        <w:jc w:val="center"/>
        <w:rPr>
          <w:rFonts w:ascii="Arial" w:hAnsi="Arial" w:cs="Arial"/>
          <w:b/>
          <w:bCs/>
          <w:sz w:val="32"/>
          <w:szCs w:val="32"/>
        </w:rPr>
      </w:pPr>
    </w:p>
    <w:p w14:paraId="1717BD2A" w14:textId="77777777" w:rsidR="00FD0107" w:rsidRPr="00FD0107" w:rsidRDefault="00FD0107" w:rsidP="000C2ED5">
      <w:pPr>
        <w:jc w:val="center"/>
        <w:rPr>
          <w:rFonts w:ascii="Arial" w:hAnsi="Arial" w:cs="Arial"/>
          <w:b/>
          <w:bCs/>
          <w:sz w:val="32"/>
          <w:szCs w:val="32"/>
        </w:rPr>
      </w:pPr>
      <w:r w:rsidRPr="00FD0107">
        <w:rPr>
          <w:rFonts w:ascii="Arial" w:hAnsi="Arial" w:cs="Arial"/>
          <w:b/>
          <w:bCs/>
          <w:sz w:val="32"/>
          <w:szCs w:val="32"/>
        </w:rPr>
        <w:t>Year of Submission: 2019</w:t>
      </w:r>
    </w:p>
    <w:p w14:paraId="04C0C1F6" w14:textId="77777777" w:rsidR="00FD0107" w:rsidRDefault="00FD0107" w:rsidP="000C2ED5">
      <w:pPr>
        <w:jc w:val="center"/>
        <w:rPr>
          <w:rFonts w:ascii="Arial" w:hAnsi="Arial" w:cs="Arial"/>
          <w:b/>
          <w:bCs/>
          <w:sz w:val="24"/>
          <w:szCs w:val="24"/>
          <w:u w:val="single"/>
        </w:rPr>
      </w:pPr>
    </w:p>
    <w:p w14:paraId="71DDBBB4" w14:textId="77777777" w:rsidR="00FD0107" w:rsidRDefault="00FD0107" w:rsidP="000C2ED5">
      <w:pPr>
        <w:jc w:val="center"/>
        <w:rPr>
          <w:rFonts w:ascii="Arial" w:hAnsi="Arial" w:cs="Arial"/>
          <w:b/>
          <w:bCs/>
          <w:sz w:val="24"/>
          <w:szCs w:val="24"/>
          <w:u w:val="single"/>
        </w:rPr>
      </w:pPr>
    </w:p>
    <w:p w14:paraId="6276D137" w14:textId="77777777" w:rsidR="00FD0107" w:rsidRDefault="00FD0107" w:rsidP="000C2ED5">
      <w:pPr>
        <w:jc w:val="center"/>
        <w:rPr>
          <w:rFonts w:ascii="Arial" w:hAnsi="Arial" w:cs="Arial"/>
          <w:b/>
          <w:bCs/>
          <w:sz w:val="24"/>
          <w:szCs w:val="24"/>
          <w:u w:val="single"/>
        </w:rPr>
      </w:pPr>
    </w:p>
    <w:p w14:paraId="03450952" w14:textId="77777777" w:rsidR="00FD0107" w:rsidRDefault="00FD0107" w:rsidP="000C2ED5">
      <w:pPr>
        <w:jc w:val="center"/>
        <w:rPr>
          <w:rFonts w:ascii="Arial" w:hAnsi="Arial" w:cs="Arial"/>
          <w:b/>
          <w:bCs/>
          <w:sz w:val="24"/>
          <w:szCs w:val="24"/>
          <w:u w:val="single"/>
        </w:rPr>
      </w:pPr>
    </w:p>
    <w:p w14:paraId="0A833634" w14:textId="77777777" w:rsidR="00FD0107" w:rsidRDefault="00FD0107" w:rsidP="000C2ED5">
      <w:pPr>
        <w:jc w:val="center"/>
        <w:rPr>
          <w:rFonts w:ascii="Arial" w:hAnsi="Arial" w:cs="Arial"/>
          <w:b/>
          <w:bCs/>
          <w:sz w:val="24"/>
          <w:szCs w:val="24"/>
          <w:u w:val="single"/>
        </w:rPr>
      </w:pPr>
    </w:p>
    <w:p w14:paraId="66C33132" w14:textId="77777777" w:rsidR="00FD0107" w:rsidRDefault="00FD0107" w:rsidP="000C2ED5">
      <w:pPr>
        <w:jc w:val="center"/>
        <w:rPr>
          <w:rFonts w:ascii="Arial" w:hAnsi="Arial" w:cs="Arial"/>
          <w:b/>
          <w:bCs/>
          <w:sz w:val="24"/>
          <w:szCs w:val="24"/>
          <w:u w:val="single"/>
        </w:rPr>
      </w:pPr>
    </w:p>
    <w:p w14:paraId="694346DC" w14:textId="77777777" w:rsidR="00FD0107" w:rsidRDefault="00FD0107" w:rsidP="000C2ED5">
      <w:pPr>
        <w:jc w:val="center"/>
        <w:rPr>
          <w:rFonts w:ascii="Arial" w:hAnsi="Arial" w:cs="Arial"/>
          <w:b/>
          <w:bCs/>
          <w:sz w:val="24"/>
          <w:szCs w:val="24"/>
          <w:u w:val="single"/>
        </w:rPr>
      </w:pPr>
    </w:p>
    <w:p w14:paraId="55025291" w14:textId="77777777" w:rsidR="00FD0107" w:rsidRDefault="00FD0107" w:rsidP="000C2ED5">
      <w:pPr>
        <w:jc w:val="center"/>
        <w:rPr>
          <w:rFonts w:ascii="Arial" w:hAnsi="Arial" w:cs="Arial"/>
          <w:b/>
          <w:bCs/>
          <w:sz w:val="24"/>
          <w:szCs w:val="24"/>
          <w:u w:val="single"/>
        </w:rPr>
      </w:pPr>
    </w:p>
    <w:p w14:paraId="55266D0D" w14:textId="77777777" w:rsidR="00FD0107" w:rsidRDefault="00FD0107" w:rsidP="000C2ED5">
      <w:pPr>
        <w:jc w:val="center"/>
        <w:rPr>
          <w:rFonts w:ascii="Arial" w:hAnsi="Arial" w:cs="Arial"/>
          <w:b/>
          <w:bCs/>
          <w:sz w:val="24"/>
          <w:szCs w:val="24"/>
          <w:u w:val="single"/>
        </w:rPr>
      </w:pPr>
    </w:p>
    <w:p w14:paraId="3E326689" w14:textId="77777777" w:rsidR="00FD0107" w:rsidRDefault="00FD0107" w:rsidP="000C2ED5">
      <w:pPr>
        <w:jc w:val="center"/>
        <w:rPr>
          <w:rFonts w:ascii="Arial" w:hAnsi="Arial" w:cs="Arial"/>
          <w:b/>
          <w:bCs/>
          <w:sz w:val="24"/>
          <w:szCs w:val="24"/>
          <w:u w:val="single"/>
        </w:rPr>
      </w:pPr>
    </w:p>
    <w:p w14:paraId="2E94754E" w14:textId="77777777" w:rsidR="00FD0107" w:rsidRDefault="00FD0107" w:rsidP="000C2ED5">
      <w:pPr>
        <w:jc w:val="center"/>
        <w:rPr>
          <w:rFonts w:ascii="Arial" w:hAnsi="Arial" w:cs="Arial"/>
          <w:b/>
          <w:bCs/>
          <w:sz w:val="24"/>
          <w:szCs w:val="24"/>
          <w:u w:val="single"/>
        </w:rPr>
      </w:pPr>
    </w:p>
    <w:p w14:paraId="1064FB85" w14:textId="77777777" w:rsidR="00FD0107" w:rsidRDefault="00FD0107" w:rsidP="000C2ED5">
      <w:pPr>
        <w:jc w:val="center"/>
        <w:rPr>
          <w:rFonts w:ascii="Arial" w:hAnsi="Arial" w:cs="Arial"/>
          <w:b/>
          <w:bCs/>
          <w:sz w:val="24"/>
          <w:szCs w:val="24"/>
          <w:u w:val="single"/>
        </w:rPr>
      </w:pPr>
    </w:p>
    <w:p w14:paraId="0D11CA0D" w14:textId="77777777" w:rsidR="00FD0107" w:rsidRDefault="00FD0107" w:rsidP="000C2ED5">
      <w:pPr>
        <w:jc w:val="center"/>
        <w:rPr>
          <w:rFonts w:ascii="Arial" w:hAnsi="Arial" w:cs="Arial"/>
          <w:b/>
          <w:bCs/>
          <w:sz w:val="24"/>
          <w:szCs w:val="24"/>
          <w:u w:val="single"/>
        </w:rPr>
      </w:pPr>
    </w:p>
    <w:p w14:paraId="7E81190E" w14:textId="77777777" w:rsidR="00FD0107" w:rsidRDefault="00FD0107" w:rsidP="000C2ED5">
      <w:pPr>
        <w:jc w:val="center"/>
        <w:rPr>
          <w:rFonts w:ascii="Arial" w:hAnsi="Arial" w:cs="Arial"/>
          <w:b/>
          <w:bCs/>
          <w:sz w:val="24"/>
          <w:szCs w:val="24"/>
          <w:u w:val="single"/>
        </w:rPr>
      </w:pPr>
    </w:p>
    <w:p w14:paraId="39AB211A" w14:textId="77777777" w:rsidR="00FD0107" w:rsidRDefault="00FD0107" w:rsidP="000C2ED5">
      <w:pPr>
        <w:jc w:val="center"/>
        <w:rPr>
          <w:rFonts w:ascii="Arial" w:hAnsi="Arial" w:cs="Arial"/>
          <w:b/>
          <w:bCs/>
          <w:sz w:val="24"/>
          <w:szCs w:val="24"/>
          <w:u w:val="single"/>
        </w:rPr>
      </w:pPr>
    </w:p>
    <w:p w14:paraId="7521B563" w14:textId="77777777" w:rsidR="00FD0107" w:rsidRDefault="00FD0107" w:rsidP="000C2ED5">
      <w:pPr>
        <w:jc w:val="center"/>
        <w:rPr>
          <w:rFonts w:ascii="Arial" w:hAnsi="Arial" w:cs="Arial"/>
          <w:b/>
          <w:bCs/>
          <w:sz w:val="24"/>
          <w:szCs w:val="24"/>
          <w:u w:val="single"/>
        </w:rPr>
      </w:pPr>
    </w:p>
    <w:p w14:paraId="29389A17" w14:textId="04AA8C0D" w:rsidR="00FD0107" w:rsidRDefault="00FD0107" w:rsidP="000C2ED5">
      <w:pPr>
        <w:jc w:val="center"/>
        <w:rPr>
          <w:rFonts w:ascii="Arial" w:hAnsi="Arial" w:cs="Arial"/>
          <w:b/>
          <w:bCs/>
          <w:sz w:val="24"/>
          <w:szCs w:val="24"/>
          <w:u w:val="single"/>
        </w:rPr>
      </w:pPr>
    </w:p>
    <w:p w14:paraId="1DCB8DD1" w14:textId="250C3C28" w:rsidR="009419A1" w:rsidRDefault="009419A1" w:rsidP="000C2ED5">
      <w:pPr>
        <w:jc w:val="center"/>
        <w:rPr>
          <w:rFonts w:ascii="Arial" w:hAnsi="Arial" w:cs="Arial"/>
          <w:b/>
          <w:bCs/>
          <w:sz w:val="24"/>
          <w:szCs w:val="24"/>
          <w:u w:val="single"/>
        </w:rPr>
      </w:pPr>
    </w:p>
    <w:p w14:paraId="616C8AF8" w14:textId="77777777" w:rsidR="009419A1" w:rsidRDefault="009419A1" w:rsidP="000C2ED5">
      <w:pPr>
        <w:jc w:val="center"/>
        <w:rPr>
          <w:rFonts w:ascii="Arial" w:hAnsi="Arial" w:cs="Arial"/>
          <w:b/>
          <w:bCs/>
          <w:sz w:val="24"/>
          <w:szCs w:val="24"/>
          <w:u w:val="single"/>
        </w:rPr>
      </w:pPr>
    </w:p>
    <w:p w14:paraId="7B7C3965" w14:textId="77777777" w:rsidR="00FD0107" w:rsidRDefault="00FD0107" w:rsidP="000C2ED5">
      <w:pPr>
        <w:jc w:val="center"/>
        <w:rPr>
          <w:rFonts w:ascii="Arial" w:hAnsi="Arial" w:cs="Arial"/>
          <w:b/>
          <w:bCs/>
          <w:sz w:val="24"/>
          <w:szCs w:val="24"/>
          <w:u w:val="single"/>
        </w:rPr>
      </w:pPr>
    </w:p>
    <w:p w14:paraId="67B2DE1C" w14:textId="77777777" w:rsidR="00FD0107" w:rsidRPr="00951BBF" w:rsidRDefault="00FD0107" w:rsidP="00FD0107">
      <w:pPr>
        <w:spacing w:after="120"/>
        <w:ind w:left="720"/>
        <w:rPr>
          <w:rFonts w:ascii="Arial" w:hAnsi="Arial" w:cs="Arial"/>
        </w:rPr>
      </w:pPr>
      <w:r>
        <w:rPr>
          <w:rFonts w:ascii="Arial" w:hAnsi="Arial" w:cs="Arial"/>
          <w:noProof/>
        </w:rPr>
        <w:lastRenderedPageBreak/>
        <w:drawing>
          <wp:inline distT="0" distB="0" distL="0" distR="0" wp14:anchorId="1DBF6ACD" wp14:editId="5370FBA9">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53FFD347" w14:textId="77777777" w:rsidR="00FD0107" w:rsidRPr="00951BBF" w:rsidRDefault="00FD0107" w:rsidP="00FD0107">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18593558" w14:textId="77777777" w:rsidR="00FD0107" w:rsidRPr="00951BBF" w:rsidRDefault="00FD0107" w:rsidP="00FD0107">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31602FAF" w14:textId="77777777" w:rsidR="00FD0107" w:rsidRPr="00951BBF" w:rsidRDefault="00FD0107" w:rsidP="00FD010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521227B0" w14:textId="05C15E90" w:rsidR="00FD0107" w:rsidRPr="00951BBF" w:rsidRDefault="00FD0107" w:rsidP="00FD010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BD3A12">
        <w:rPr>
          <w:rFonts w:ascii="Arial" w:hAnsi="Arial" w:cs="Arial"/>
        </w:rPr>
        <w:t xml:space="preserve">: Stuart Ward </w:t>
      </w:r>
    </w:p>
    <w:p w14:paraId="1D895FFC" w14:textId="020362D7" w:rsidR="00FD0107" w:rsidRPr="00951BBF" w:rsidRDefault="00FD0107" w:rsidP="00FD010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 xml:space="preserve">Date </w:t>
      </w:r>
      <w:r w:rsidR="00BD3A12">
        <w:rPr>
          <w:rFonts w:ascii="Arial" w:hAnsi="Arial" w:cs="Arial"/>
        </w:rPr>
        <w:t>:</w:t>
      </w:r>
      <w:proofErr w:type="gramEnd"/>
      <w:r w:rsidR="00BD3A12">
        <w:rPr>
          <w:rFonts w:ascii="Arial" w:hAnsi="Arial" w:cs="Arial"/>
        </w:rPr>
        <w:t xml:space="preserve"> </w:t>
      </w:r>
      <w:r w:rsidR="00C1797F">
        <w:rPr>
          <w:rFonts w:ascii="Arial" w:hAnsi="Arial" w:cs="Arial"/>
        </w:rPr>
        <w:t>28</w:t>
      </w:r>
      <w:r w:rsidR="00BD3A12">
        <w:rPr>
          <w:rFonts w:ascii="Arial" w:hAnsi="Arial" w:cs="Arial"/>
        </w:rPr>
        <w:t>/9/19</w:t>
      </w:r>
    </w:p>
    <w:p w14:paraId="3A34003E" w14:textId="77777777" w:rsidR="00FD0107" w:rsidRPr="00951BBF" w:rsidRDefault="00FD0107" w:rsidP="00FD010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77FA1F1D" w14:textId="77777777" w:rsidR="00FD0107" w:rsidRPr="00951BBF" w:rsidRDefault="00FD0107" w:rsidP="00FD010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p>
    <w:p w14:paraId="51889E82" w14:textId="6F849157" w:rsidR="00FD0107" w:rsidRPr="00951BBF" w:rsidRDefault="00FD0107" w:rsidP="00FD010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BD3A12">
        <w:rPr>
          <w:rFonts w:ascii="Arial" w:hAnsi="Arial" w:cs="Arial"/>
        </w:rPr>
        <w:t>: Stuart Ward</w:t>
      </w:r>
    </w:p>
    <w:p w14:paraId="0135CE8D" w14:textId="7681D1AF" w:rsidR="00FD0107" w:rsidRPr="00951BBF" w:rsidRDefault="00FD0107" w:rsidP="00FD010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 xml:space="preserve">Date </w:t>
      </w:r>
      <w:r w:rsidR="00BD3A12">
        <w:rPr>
          <w:rFonts w:ascii="Arial" w:hAnsi="Arial" w:cs="Arial"/>
        </w:rPr>
        <w:t>:</w:t>
      </w:r>
      <w:proofErr w:type="gramEnd"/>
      <w:r w:rsidR="00BD3A12">
        <w:rPr>
          <w:rFonts w:ascii="Arial" w:hAnsi="Arial" w:cs="Arial"/>
        </w:rPr>
        <w:t xml:space="preserve"> </w:t>
      </w:r>
      <w:r w:rsidR="00C1797F">
        <w:rPr>
          <w:rFonts w:ascii="Arial" w:hAnsi="Arial" w:cs="Arial"/>
        </w:rPr>
        <w:t>28</w:t>
      </w:r>
      <w:r w:rsidR="00BD3A12">
        <w:rPr>
          <w:rFonts w:ascii="Arial" w:hAnsi="Arial" w:cs="Arial"/>
        </w:rPr>
        <w:t>/9/19</w:t>
      </w:r>
    </w:p>
    <w:p w14:paraId="0841AB3A" w14:textId="77777777" w:rsidR="00FD0107" w:rsidRPr="00951BBF" w:rsidRDefault="00FD0107" w:rsidP="00FD010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A5285CB" w14:textId="77777777" w:rsidR="00FD0107" w:rsidRPr="00951BBF" w:rsidRDefault="00FD0107" w:rsidP="00FD010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2AE3AB28" w14:textId="77777777" w:rsidR="00FD0107" w:rsidRPr="00951BBF" w:rsidRDefault="00FD0107" w:rsidP="00FD010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7B29D6A0" w14:textId="77777777" w:rsidR="00FD0107" w:rsidRPr="00951BBF" w:rsidRDefault="00FD0107" w:rsidP="00FD010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0F1BA1B4" w14:textId="6ADECDB6" w:rsidR="00FD0107" w:rsidRPr="00951BBF" w:rsidRDefault="00FD0107" w:rsidP="00FD010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BD3A12">
        <w:rPr>
          <w:rFonts w:ascii="Arial" w:hAnsi="Arial" w:cs="Arial"/>
        </w:rPr>
        <w:t>: Stuart Ward</w:t>
      </w:r>
    </w:p>
    <w:p w14:paraId="32172752" w14:textId="6E57F653" w:rsidR="00FD0107" w:rsidRPr="00951BBF" w:rsidRDefault="00FD0107" w:rsidP="00FD010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C1797F">
        <w:rPr>
          <w:rFonts w:ascii="Arial" w:hAnsi="Arial" w:cs="Arial"/>
        </w:rPr>
        <w:t>28</w:t>
      </w:r>
      <w:r w:rsidR="00BD3A12">
        <w:rPr>
          <w:rFonts w:ascii="Arial" w:hAnsi="Arial" w:cs="Arial"/>
        </w:rPr>
        <w:t>/9/19</w:t>
      </w:r>
    </w:p>
    <w:p w14:paraId="3D4C3FB8" w14:textId="77777777" w:rsidR="00FD0107" w:rsidRPr="00951BBF" w:rsidRDefault="00FD0107" w:rsidP="00FD010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313541E6" w14:textId="77777777" w:rsidR="00FD0107" w:rsidRPr="00951BBF" w:rsidRDefault="00FD0107" w:rsidP="00FD010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632DD60A" w14:textId="0CDEE4AA" w:rsidR="00FD0107" w:rsidRPr="00951BBF" w:rsidRDefault="00FD0107" w:rsidP="00FD010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BD3A12">
        <w:rPr>
          <w:rFonts w:ascii="Arial" w:hAnsi="Arial" w:cs="Arial"/>
        </w:rPr>
        <w:t>: Stuart Ward</w:t>
      </w:r>
    </w:p>
    <w:p w14:paraId="70793464" w14:textId="75887910" w:rsidR="00FD0107" w:rsidRPr="00951BBF" w:rsidRDefault="00FD0107" w:rsidP="00FD010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BD3A12">
        <w:rPr>
          <w:rFonts w:ascii="Arial" w:hAnsi="Arial" w:cs="Arial"/>
        </w:rPr>
        <w:t xml:space="preserve">: </w:t>
      </w:r>
      <w:r w:rsidR="00C1797F">
        <w:rPr>
          <w:rFonts w:ascii="Arial" w:hAnsi="Arial" w:cs="Arial"/>
        </w:rPr>
        <w:t>28</w:t>
      </w:r>
      <w:r w:rsidR="00BD3A12">
        <w:rPr>
          <w:rFonts w:ascii="Arial" w:hAnsi="Arial" w:cs="Arial"/>
        </w:rPr>
        <w:t>/9/19</w:t>
      </w:r>
    </w:p>
    <w:p w14:paraId="74DBDCB5" w14:textId="77777777" w:rsidR="00FD0107" w:rsidRPr="00951BBF" w:rsidRDefault="00FD0107" w:rsidP="00FD010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31AEF9AD" w14:textId="77777777" w:rsidR="00FD0107" w:rsidRPr="00951BBF" w:rsidRDefault="00FD0107" w:rsidP="00FD010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20AD274F" w14:textId="77777777" w:rsidR="00FD0107" w:rsidRPr="00951BBF" w:rsidRDefault="00FD0107" w:rsidP="00FD010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2DC9C3CA" w14:textId="77777777" w:rsidR="00FD0107" w:rsidRDefault="00FD0107" w:rsidP="00FD0107">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roofErr w:type="gramStart"/>
      <w:r>
        <w:rPr>
          <w:rFonts w:ascii="Arial" w:hAnsi="Arial" w:cs="Arial"/>
        </w:rPr>
        <w:t>…..</w:t>
      </w:r>
      <w:proofErr w:type="gramEnd"/>
    </w:p>
    <w:p w14:paraId="3068D7CD" w14:textId="77777777" w:rsidR="00FD0107" w:rsidRDefault="00FD0107" w:rsidP="00FD0107"/>
    <w:p w14:paraId="412BAEE3" w14:textId="77777777" w:rsidR="00FD0107" w:rsidRDefault="00FD0107" w:rsidP="000C2ED5">
      <w:pPr>
        <w:jc w:val="center"/>
        <w:rPr>
          <w:rFonts w:ascii="Arial" w:hAnsi="Arial" w:cs="Arial"/>
          <w:b/>
          <w:bCs/>
          <w:sz w:val="24"/>
          <w:szCs w:val="24"/>
          <w:u w:val="single"/>
        </w:rPr>
      </w:pPr>
    </w:p>
    <w:p w14:paraId="2A8A6064" w14:textId="2C374F6B" w:rsidR="00FD0107" w:rsidRDefault="00FD0107" w:rsidP="006B033F">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 xml:space="preserve">Contents </w:t>
      </w:r>
    </w:p>
    <w:p w14:paraId="62D54B60" w14:textId="58723E6C" w:rsidR="00477FFD" w:rsidRDefault="00477FFD" w:rsidP="009419A1">
      <w:pPr>
        <w:pStyle w:val="ListParagraph"/>
        <w:numPr>
          <w:ilvl w:val="0"/>
          <w:numId w:val="2"/>
        </w:numPr>
        <w:spacing w:line="720" w:lineRule="auto"/>
        <w:rPr>
          <w:rFonts w:ascii="Arial" w:hAnsi="Arial" w:cs="Arial"/>
          <w:b/>
          <w:bCs/>
          <w:sz w:val="24"/>
          <w:szCs w:val="24"/>
        </w:rPr>
      </w:pPr>
      <w:r>
        <w:rPr>
          <w:rFonts w:ascii="Arial" w:hAnsi="Arial" w:cs="Arial"/>
          <w:b/>
          <w:bCs/>
          <w:sz w:val="24"/>
          <w:szCs w:val="24"/>
        </w:rPr>
        <w:t>Abstract</w:t>
      </w:r>
    </w:p>
    <w:p w14:paraId="19A0B26C" w14:textId="66F1BC65" w:rsidR="000F0D8F" w:rsidRPr="00BA30BC" w:rsidRDefault="000F0D8F" w:rsidP="009419A1">
      <w:pPr>
        <w:pStyle w:val="ListParagraph"/>
        <w:numPr>
          <w:ilvl w:val="0"/>
          <w:numId w:val="2"/>
        </w:numPr>
        <w:spacing w:line="720" w:lineRule="auto"/>
        <w:rPr>
          <w:rFonts w:ascii="Arial" w:hAnsi="Arial" w:cs="Arial"/>
          <w:b/>
          <w:bCs/>
          <w:sz w:val="24"/>
          <w:szCs w:val="24"/>
        </w:rPr>
      </w:pPr>
      <w:r w:rsidRPr="00BA30BC">
        <w:rPr>
          <w:rFonts w:ascii="Arial" w:hAnsi="Arial" w:cs="Arial"/>
          <w:b/>
          <w:bCs/>
          <w:sz w:val="24"/>
          <w:szCs w:val="24"/>
        </w:rPr>
        <w:t>Introduction</w:t>
      </w:r>
    </w:p>
    <w:p w14:paraId="692BB84D" w14:textId="741B3BC3" w:rsidR="000F0D8F" w:rsidRDefault="000F0D8F" w:rsidP="009419A1">
      <w:pPr>
        <w:pStyle w:val="ListParagraph"/>
        <w:numPr>
          <w:ilvl w:val="0"/>
          <w:numId w:val="2"/>
        </w:numPr>
        <w:spacing w:line="720" w:lineRule="auto"/>
        <w:rPr>
          <w:rFonts w:ascii="Arial" w:hAnsi="Arial" w:cs="Arial"/>
          <w:b/>
          <w:bCs/>
          <w:sz w:val="24"/>
          <w:szCs w:val="24"/>
        </w:rPr>
      </w:pPr>
      <w:r w:rsidRPr="00BA30BC">
        <w:rPr>
          <w:rFonts w:ascii="Arial" w:hAnsi="Arial" w:cs="Arial"/>
          <w:b/>
          <w:bCs/>
          <w:sz w:val="24"/>
          <w:szCs w:val="24"/>
        </w:rPr>
        <w:t>Historiography</w:t>
      </w:r>
    </w:p>
    <w:p w14:paraId="53D0A5A5" w14:textId="17D6399A" w:rsidR="00CE2011" w:rsidRDefault="00CE2011" w:rsidP="00CE2011">
      <w:pPr>
        <w:pStyle w:val="ListParagraph"/>
        <w:spacing w:line="720" w:lineRule="auto"/>
        <w:rPr>
          <w:rFonts w:ascii="Arial" w:hAnsi="Arial" w:cs="Arial"/>
          <w:b/>
          <w:bCs/>
          <w:sz w:val="24"/>
          <w:szCs w:val="24"/>
        </w:rPr>
      </w:pPr>
      <w:r>
        <w:rPr>
          <w:rFonts w:ascii="Arial" w:hAnsi="Arial" w:cs="Arial"/>
          <w:b/>
          <w:bCs/>
          <w:sz w:val="24"/>
          <w:szCs w:val="24"/>
        </w:rPr>
        <w:t xml:space="preserve">3.1) Roman Aggression </w:t>
      </w:r>
    </w:p>
    <w:p w14:paraId="106C85F1" w14:textId="390C70B7" w:rsidR="00CE2011" w:rsidRDefault="00CE2011" w:rsidP="00CE2011">
      <w:pPr>
        <w:pStyle w:val="ListParagraph"/>
        <w:spacing w:line="720" w:lineRule="auto"/>
        <w:rPr>
          <w:rFonts w:ascii="Arial" w:hAnsi="Arial" w:cs="Arial"/>
          <w:b/>
          <w:bCs/>
          <w:sz w:val="24"/>
          <w:szCs w:val="24"/>
        </w:rPr>
      </w:pPr>
      <w:r>
        <w:rPr>
          <w:rFonts w:ascii="Arial" w:hAnsi="Arial" w:cs="Arial"/>
          <w:b/>
          <w:bCs/>
          <w:sz w:val="24"/>
          <w:szCs w:val="24"/>
        </w:rPr>
        <w:t>3.2) Defensive imperialism: The Romans</w:t>
      </w:r>
    </w:p>
    <w:p w14:paraId="434B5322" w14:textId="78C6E52B" w:rsidR="00CE2011" w:rsidRPr="00BA30BC" w:rsidRDefault="00CE2011" w:rsidP="00CE2011">
      <w:pPr>
        <w:pStyle w:val="ListParagraph"/>
        <w:spacing w:line="720" w:lineRule="auto"/>
        <w:rPr>
          <w:rFonts w:ascii="Arial" w:hAnsi="Arial" w:cs="Arial"/>
          <w:b/>
          <w:bCs/>
          <w:sz w:val="24"/>
          <w:szCs w:val="24"/>
        </w:rPr>
      </w:pPr>
      <w:r>
        <w:rPr>
          <w:rFonts w:ascii="Arial" w:hAnsi="Arial" w:cs="Arial"/>
          <w:b/>
          <w:bCs/>
          <w:sz w:val="24"/>
          <w:szCs w:val="24"/>
        </w:rPr>
        <w:t xml:space="preserve">3.3) Defensive imperialism: The Carthaginians </w:t>
      </w:r>
    </w:p>
    <w:p w14:paraId="0A8FF308" w14:textId="5BF63B90" w:rsidR="00CE2011" w:rsidRDefault="0003607E" w:rsidP="00CE2011">
      <w:pPr>
        <w:pStyle w:val="ListParagraph"/>
        <w:numPr>
          <w:ilvl w:val="0"/>
          <w:numId w:val="2"/>
        </w:numPr>
        <w:spacing w:line="720" w:lineRule="auto"/>
        <w:rPr>
          <w:rFonts w:ascii="Arial" w:hAnsi="Arial" w:cs="Arial"/>
          <w:b/>
          <w:bCs/>
          <w:sz w:val="24"/>
          <w:szCs w:val="24"/>
        </w:rPr>
      </w:pPr>
      <w:r w:rsidRPr="00BA30BC">
        <w:rPr>
          <w:rFonts w:ascii="Arial" w:hAnsi="Arial" w:cs="Arial"/>
          <w:b/>
          <w:bCs/>
          <w:sz w:val="24"/>
          <w:szCs w:val="24"/>
        </w:rPr>
        <w:t>The Rise of Rome</w:t>
      </w:r>
    </w:p>
    <w:p w14:paraId="1057F296" w14:textId="47ECFE4F" w:rsidR="00CE2011" w:rsidRDefault="00CE2011" w:rsidP="00CE2011">
      <w:pPr>
        <w:pStyle w:val="ListParagraph"/>
        <w:spacing w:line="720" w:lineRule="auto"/>
        <w:rPr>
          <w:rFonts w:ascii="Arial" w:hAnsi="Arial" w:cs="Arial"/>
          <w:b/>
          <w:bCs/>
          <w:sz w:val="24"/>
          <w:szCs w:val="24"/>
        </w:rPr>
      </w:pPr>
      <w:r>
        <w:rPr>
          <w:rFonts w:ascii="Arial" w:hAnsi="Arial" w:cs="Arial"/>
          <w:b/>
          <w:bCs/>
          <w:sz w:val="24"/>
          <w:szCs w:val="24"/>
        </w:rPr>
        <w:t xml:space="preserve">4.1) Roman War-making </w:t>
      </w:r>
    </w:p>
    <w:p w14:paraId="69E4F317" w14:textId="2137C8B3" w:rsidR="00CE2011" w:rsidRDefault="00CE2011" w:rsidP="00CE2011">
      <w:pPr>
        <w:pStyle w:val="ListParagraph"/>
        <w:spacing w:line="720" w:lineRule="auto"/>
        <w:rPr>
          <w:rFonts w:ascii="Arial" w:hAnsi="Arial" w:cs="Arial"/>
          <w:b/>
          <w:bCs/>
          <w:sz w:val="24"/>
          <w:szCs w:val="24"/>
        </w:rPr>
      </w:pPr>
      <w:r>
        <w:rPr>
          <w:rFonts w:ascii="Arial" w:hAnsi="Arial" w:cs="Arial"/>
          <w:b/>
          <w:bCs/>
          <w:sz w:val="24"/>
          <w:szCs w:val="24"/>
        </w:rPr>
        <w:t>4.2) Responding to Appeals</w:t>
      </w:r>
    </w:p>
    <w:p w14:paraId="0567315D" w14:textId="0F7C5399" w:rsidR="00CE2011" w:rsidRPr="00CE2011" w:rsidRDefault="00CE2011" w:rsidP="00CE2011">
      <w:pPr>
        <w:pStyle w:val="ListParagraph"/>
        <w:spacing w:line="720" w:lineRule="auto"/>
        <w:rPr>
          <w:rFonts w:ascii="Arial" w:hAnsi="Arial" w:cs="Arial"/>
          <w:b/>
          <w:bCs/>
          <w:sz w:val="24"/>
          <w:szCs w:val="24"/>
        </w:rPr>
      </w:pPr>
      <w:r>
        <w:rPr>
          <w:rFonts w:ascii="Arial" w:hAnsi="Arial" w:cs="Arial"/>
          <w:b/>
          <w:bCs/>
          <w:sz w:val="24"/>
          <w:szCs w:val="24"/>
        </w:rPr>
        <w:t>4.3) Roman Peace-making</w:t>
      </w:r>
    </w:p>
    <w:p w14:paraId="747712D0" w14:textId="7974F42E" w:rsidR="0003607E" w:rsidRPr="00BA30BC" w:rsidRDefault="0003607E" w:rsidP="009419A1">
      <w:pPr>
        <w:pStyle w:val="ListParagraph"/>
        <w:numPr>
          <w:ilvl w:val="0"/>
          <w:numId w:val="2"/>
        </w:numPr>
        <w:spacing w:line="720" w:lineRule="auto"/>
        <w:rPr>
          <w:rFonts w:ascii="Arial" w:hAnsi="Arial" w:cs="Arial"/>
          <w:b/>
          <w:bCs/>
          <w:sz w:val="24"/>
          <w:szCs w:val="24"/>
        </w:rPr>
      </w:pPr>
      <w:r w:rsidRPr="00BA30BC">
        <w:rPr>
          <w:rFonts w:ascii="Arial" w:hAnsi="Arial" w:cs="Arial"/>
          <w:b/>
          <w:bCs/>
          <w:sz w:val="24"/>
          <w:szCs w:val="24"/>
        </w:rPr>
        <w:t>The Rise of Carthage</w:t>
      </w:r>
    </w:p>
    <w:p w14:paraId="16C893EE" w14:textId="092F6B6A" w:rsidR="0003607E" w:rsidRPr="00BA30BC" w:rsidRDefault="00137755" w:rsidP="009419A1">
      <w:pPr>
        <w:pStyle w:val="ListParagraph"/>
        <w:numPr>
          <w:ilvl w:val="0"/>
          <w:numId w:val="2"/>
        </w:numPr>
        <w:spacing w:line="720" w:lineRule="auto"/>
        <w:rPr>
          <w:rFonts w:ascii="Arial" w:hAnsi="Arial" w:cs="Arial"/>
          <w:b/>
          <w:bCs/>
          <w:sz w:val="24"/>
          <w:szCs w:val="24"/>
        </w:rPr>
      </w:pPr>
      <w:r>
        <w:rPr>
          <w:rFonts w:ascii="Arial" w:hAnsi="Arial" w:cs="Arial"/>
          <w:b/>
          <w:bCs/>
          <w:sz w:val="24"/>
          <w:szCs w:val="24"/>
        </w:rPr>
        <w:t>Relations between Rome and Carthage</w:t>
      </w:r>
      <w:r w:rsidR="0003607E" w:rsidRPr="00BA30BC">
        <w:rPr>
          <w:rFonts w:ascii="Arial" w:hAnsi="Arial" w:cs="Arial"/>
          <w:b/>
          <w:bCs/>
          <w:sz w:val="24"/>
          <w:szCs w:val="24"/>
        </w:rPr>
        <w:t xml:space="preserve"> prior to 264 B.C</w:t>
      </w:r>
    </w:p>
    <w:p w14:paraId="3CC0AB92" w14:textId="29DCDC32" w:rsidR="00CC057A" w:rsidRPr="00BA30BC" w:rsidRDefault="00CC057A" w:rsidP="009419A1">
      <w:pPr>
        <w:pStyle w:val="ListParagraph"/>
        <w:numPr>
          <w:ilvl w:val="0"/>
          <w:numId w:val="2"/>
        </w:numPr>
        <w:spacing w:line="720" w:lineRule="auto"/>
        <w:rPr>
          <w:rFonts w:ascii="Arial" w:hAnsi="Arial" w:cs="Arial"/>
          <w:b/>
          <w:bCs/>
          <w:sz w:val="24"/>
          <w:szCs w:val="24"/>
        </w:rPr>
      </w:pPr>
      <w:r w:rsidRPr="00BA30BC">
        <w:rPr>
          <w:rFonts w:ascii="Arial" w:hAnsi="Arial" w:cs="Arial"/>
          <w:b/>
          <w:bCs/>
          <w:sz w:val="24"/>
          <w:szCs w:val="24"/>
        </w:rPr>
        <w:t>Pyrrhus</w:t>
      </w:r>
    </w:p>
    <w:p w14:paraId="70E474AF" w14:textId="7B3878E0" w:rsidR="0003607E" w:rsidRPr="00BA30BC" w:rsidRDefault="0003607E" w:rsidP="009419A1">
      <w:pPr>
        <w:pStyle w:val="ListParagraph"/>
        <w:numPr>
          <w:ilvl w:val="0"/>
          <w:numId w:val="2"/>
        </w:numPr>
        <w:spacing w:line="720" w:lineRule="auto"/>
        <w:rPr>
          <w:rFonts w:ascii="Arial" w:hAnsi="Arial" w:cs="Arial"/>
          <w:b/>
          <w:bCs/>
          <w:sz w:val="24"/>
          <w:szCs w:val="24"/>
        </w:rPr>
      </w:pPr>
      <w:r w:rsidRPr="00BA30BC">
        <w:rPr>
          <w:rFonts w:ascii="Arial" w:hAnsi="Arial" w:cs="Arial"/>
          <w:b/>
          <w:bCs/>
          <w:sz w:val="24"/>
          <w:szCs w:val="24"/>
        </w:rPr>
        <w:t xml:space="preserve">The Flashpoint: The Mamertine Appeal </w:t>
      </w:r>
    </w:p>
    <w:p w14:paraId="307CFF27" w14:textId="06755843" w:rsidR="0003607E" w:rsidRPr="00BA30BC" w:rsidRDefault="0003607E" w:rsidP="009419A1">
      <w:pPr>
        <w:pStyle w:val="ListParagraph"/>
        <w:numPr>
          <w:ilvl w:val="0"/>
          <w:numId w:val="2"/>
        </w:numPr>
        <w:spacing w:line="720" w:lineRule="auto"/>
        <w:rPr>
          <w:rFonts w:ascii="Arial" w:hAnsi="Arial" w:cs="Arial"/>
          <w:b/>
          <w:bCs/>
          <w:sz w:val="24"/>
          <w:szCs w:val="24"/>
        </w:rPr>
      </w:pPr>
      <w:r w:rsidRPr="00BA30BC">
        <w:rPr>
          <w:rFonts w:ascii="Arial" w:hAnsi="Arial" w:cs="Arial"/>
          <w:b/>
          <w:bCs/>
          <w:sz w:val="24"/>
          <w:szCs w:val="24"/>
        </w:rPr>
        <w:t>Conclusion</w:t>
      </w:r>
    </w:p>
    <w:p w14:paraId="5EC7B5BD" w14:textId="2CA88DB8" w:rsidR="0003607E" w:rsidRPr="00BA30BC" w:rsidRDefault="00DD3050" w:rsidP="009419A1">
      <w:pPr>
        <w:pStyle w:val="ListParagraph"/>
        <w:numPr>
          <w:ilvl w:val="0"/>
          <w:numId w:val="2"/>
        </w:numPr>
        <w:spacing w:line="720" w:lineRule="auto"/>
        <w:rPr>
          <w:rFonts w:ascii="Arial" w:hAnsi="Arial" w:cs="Arial"/>
          <w:b/>
          <w:bCs/>
          <w:sz w:val="24"/>
          <w:szCs w:val="24"/>
        </w:rPr>
      </w:pPr>
      <w:r>
        <w:rPr>
          <w:rFonts w:ascii="Arial" w:hAnsi="Arial" w:cs="Arial"/>
          <w:b/>
          <w:bCs/>
          <w:sz w:val="24"/>
          <w:szCs w:val="24"/>
        </w:rPr>
        <w:t xml:space="preserve"> </w:t>
      </w:r>
      <w:r w:rsidR="0003607E" w:rsidRPr="00BA30BC">
        <w:rPr>
          <w:rFonts w:ascii="Arial" w:hAnsi="Arial" w:cs="Arial"/>
          <w:b/>
          <w:bCs/>
          <w:sz w:val="24"/>
          <w:szCs w:val="24"/>
        </w:rPr>
        <w:t>Bibliography</w:t>
      </w:r>
    </w:p>
    <w:p w14:paraId="0C06C679" w14:textId="0335D078" w:rsidR="00CC677A" w:rsidRPr="00CC677A" w:rsidRDefault="00FD0107" w:rsidP="00CC677A">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Abstract</w:t>
      </w:r>
    </w:p>
    <w:p w14:paraId="5C8BEB4B" w14:textId="03C68C8A" w:rsidR="0032745D" w:rsidRDefault="00FE249A" w:rsidP="00CC677A">
      <w:pPr>
        <w:shd w:val="clear" w:color="auto" w:fill="FFFFFF"/>
        <w:spacing w:after="0" w:line="48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T</w:t>
      </w:r>
      <w:r w:rsidR="00CC677A">
        <w:rPr>
          <w:rFonts w:ascii="Calibri" w:eastAsia="Times New Roman" w:hAnsi="Calibri" w:cs="Calibri"/>
          <w:color w:val="000000"/>
          <w:sz w:val="24"/>
          <w:szCs w:val="24"/>
          <w:lang w:eastAsia="en-GB"/>
        </w:rPr>
        <w:t>he origins of the</w:t>
      </w:r>
      <w:r>
        <w:rPr>
          <w:rFonts w:ascii="Calibri" w:eastAsia="Times New Roman" w:hAnsi="Calibri" w:cs="Calibri"/>
          <w:color w:val="000000"/>
          <w:sz w:val="24"/>
          <w:szCs w:val="24"/>
          <w:lang w:eastAsia="en-GB"/>
        </w:rPr>
        <w:t xml:space="preserve"> First Punic</w:t>
      </w:r>
      <w:r w:rsidR="00CC677A">
        <w:rPr>
          <w:rFonts w:ascii="Calibri" w:eastAsia="Times New Roman" w:hAnsi="Calibri" w:cs="Calibri"/>
          <w:color w:val="000000"/>
          <w:sz w:val="24"/>
          <w:szCs w:val="24"/>
          <w:lang w:eastAsia="en-GB"/>
        </w:rPr>
        <w:t xml:space="preserve"> war have remained controversial</w:t>
      </w:r>
      <w:r w:rsidR="0032745D">
        <w:rPr>
          <w:rFonts w:ascii="Calibri" w:eastAsia="Times New Roman" w:hAnsi="Calibri" w:cs="Calibri"/>
          <w:color w:val="000000"/>
          <w:sz w:val="24"/>
          <w:szCs w:val="24"/>
          <w:lang w:eastAsia="en-GB"/>
        </w:rPr>
        <w:t xml:space="preserve"> since antiquity</w:t>
      </w:r>
      <w:r w:rsidR="00CC677A">
        <w:rPr>
          <w:rFonts w:ascii="Calibri" w:eastAsia="Times New Roman" w:hAnsi="Calibri" w:cs="Calibri"/>
          <w:color w:val="000000"/>
          <w:sz w:val="24"/>
          <w:szCs w:val="24"/>
          <w:lang w:eastAsia="en-GB"/>
        </w:rPr>
        <w:t xml:space="preserve">. </w:t>
      </w:r>
      <w:r w:rsidR="0032745D">
        <w:rPr>
          <w:rFonts w:ascii="Calibri" w:eastAsia="Times New Roman" w:hAnsi="Calibri" w:cs="Calibri"/>
          <w:color w:val="000000"/>
          <w:sz w:val="24"/>
          <w:szCs w:val="24"/>
          <w:lang w:eastAsia="en-GB"/>
        </w:rPr>
        <w:t>F</w:t>
      </w:r>
      <w:r w:rsidR="00CC677A">
        <w:rPr>
          <w:rFonts w:ascii="Calibri" w:eastAsia="Times New Roman" w:hAnsi="Calibri" w:cs="Calibri"/>
          <w:color w:val="000000"/>
          <w:sz w:val="24"/>
          <w:szCs w:val="24"/>
          <w:lang w:eastAsia="en-GB"/>
        </w:rPr>
        <w:t xml:space="preserve">or a war of </w:t>
      </w:r>
      <w:r>
        <w:rPr>
          <w:rFonts w:ascii="Calibri" w:eastAsia="Times New Roman" w:hAnsi="Calibri" w:cs="Calibri"/>
          <w:color w:val="000000"/>
          <w:sz w:val="24"/>
          <w:szCs w:val="24"/>
          <w:lang w:eastAsia="en-GB"/>
        </w:rPr>
        <w:t>such</w:t>
      </w:r>
      <w:r w:rsidR="0032745D">
        <w:rPr>
          <w:rFonts w:ascii="Calibri" w:eastAsia="Times New Roman" w:hAnsi="Calibri" w:cs="Calibri"/>
          <w:color w:val="000000"/>
          <w:sz w:val="24"/>
          <w:szCs w:val="24"/>
          <w:lang w:eastAsia="en-GB"/>
        </w:rPr>
        <w:t xml:space="preserve"> magnitude, culpability for starting the conflict, as well as the motivations of each side, have remained debated.</w:t>
      </w:r>
      <w:r w:rsidR="00BA19E0">
        <w:rPr>
          <w:rFonts w:ascii="Calibri" w:eastAsia="Times New Roman" w:hAnsi="Calibri" w:cs="Calibri"/>
          <w:color w:val="000000"/>
          <w:sz w:val="24"/>
          <w:szCs w:val="24"/>
          <w:lang w:eastAsia="en-GB"/>
        </w:rPr>
        <w:t xml:space="preserve"> </w:t>
      </w:r>
      <w:r w:rsidR="00DD3050">
        <w:rPr>
          <w:rFonts w:ascii="Calibri" w:eastAsia="Times New Roman" w:hAnsi="Calibri" w:cs="Calibri"/>
          <w:color w:val="000000"/>
          <w:sz w:val="24"/>
          <w:szCs w:val="24"/>
          <w:lang w:eastAsia="en-GB"/>
        </w:rPr>
        <w:t>H</w:t>
      </w:r>
      <w:r w:rsidR="00BA19E0">
        <w:rPr>
          <w:rFonts w:ascii="Calibri" w:eastAsia="Times New Roman" w:hAnsi="Calibri" w:cs="Calibri"/>
          <w:color w:val="000000"/>
          <w:sz w:val="24"/>
          <w:szCs w:val="24"/>
          <w:lang w:eastAsia="en-GB"/>
        </w:rPr>
        <w:t>istorians disagree as to whether Rome or Carthage actively sought conflict, or whether</w:t>
      </w:r>
      <w:r>
        <w:rPr>
          <w:rFonts w:ascii="Calibri" w:eastAsia="Times New Roman" w:hAnsi="Calibri" w:cs="Calibri"/>
          <w:color w:val="000000"/>
          <w:sz w:val="24"/>
          <w:szCs w:val="24"/>
          <w:lang w:eastAsia="en-GB"/>
        </w:rPr>
        <w:t xml:space="preserve"> both sides</w:t>
      </w:r>
      <w:r w:rsidR="00215856">
        <w:rPr>
          <w:rFonts w:ascii="Calibri" w:eastAsia="Times New Roman" w:hAnsi="Calibri" w:cs="Calibri"/>
          <w:color w:val="000000"/>
          <w:sz w:val="24"/>
          <w:szCs w:val="24"/>
          <w:lang w:eastAsia="en-GB"/>
        </w:rPr>
        <w:t xml:space="preserve"> </w:t>
      </w:r>
      <w:proofErr w:type="gramStart"/>
      <w:r w:rsidR="00215856">
        <w:rPr>
          <w:rFonts w:ascii="Calibri" w:eastAsia="Times New Roman" w:hAnsi="Calibri" w:cs="Calibri"/>
          <w:color w:val="000000"/>
          <w:sz w:val="24"/>
          <w:szCs w:val="24"/>
          <w:lang w:eastAsia="en-GB"/>
        </w:rPr>
        <w:t>entered into</w:t>
      </w:r>
      <w:proofErr w:type="gramEnd"/>
      <w:r w:rsidR="00215856">
        <w:rPr>
          <w:rFonts w:ascii="Calibri" w:eastAsia="Times New Roman" w:hAnsi="Calibri" w:cs="Calibri"/>
          <w:color w:val="000000"/>
          <w:sz w:val="24"/>
          <w:szCs w:val="24"/>
          <w:lang w:eastAsia="en-GB"/>
        </w:rPr>
        <w:t xml:space="preserve"> it</w:t>
      </w:r>
      <w:r>
        <w:rPr>
          <w:rFonts w:ascii="Calibri" w:eastAsia="Times New Roman" w:hAnsi="Calibri" w:cs="Calibri"/>
          <w:color w:val="000000"/>
          <w:sz w:val="24"/>
          <w:szCs w:val="24"/>
          <w:lang w:eastAsia="en-GB"/>
        </w:rPr>
        <w:t xml:space="preserve"> reluctantly</w:t>
      </w:r>
      <w:r w:rsidR="00BA19E0">
        <w:rPr>
          <w:rFonts w:ascii="Calibri" w:eastAsia="Times New Roman" w:hAnsi="Calibri" w:cs="Calibri"/>
          <w:color w:val="000000"/>
          <w:sz w:val="24"/>
          <w:szCs w:val="24"/>
          <w:lang w:eastAsia="en-GB"/>
        </w:rPr>
        <w:t xml:space="preserve">. Conventional thinking that </w:t>
      </w:r>
      <w:r w:rsidR="006B033F">
        <w:rPr>
          <w:rFonts w:ascii="Calibri" w:eastAsia="Times New Roman" w:hAnsi="Calibri" w:cs="Calibri"/>
          <w:color w:val="000000"/>
          <w:sz w:val="24"/>
          <w:szCs w:val="24"/>
          <w:lang w:eastAsia="en-GB"/>
        </w:rPr>
        <w:t xml:space="preserve">it began from </w:t>
      </w:r>
      <w:r w:rsidR="00BA19E0">
        <w:rPr>
          <w:rFonts w:ascii="Calibri" w:eastAsia="Times New Roman" w:hAnsi="Calibri" w:cs="Calibri"/>
          <w:color w:val="000000"/>
          <w:sz w:val="24"/>
          <w:szCs w:val="24"/>
          <w:lang w:eastAsia="en-GB"/>
        </w:rPr>
        <w:t>Rome’s innate aggressiveness</w:t>
      </w:r>
      <w:r w:rsidR="00215856">
        <w:rPr>
          <w:rFonts w:ascii="Calibri" w:eastAsia="Times New Roman" w:hAnsi="Calibri" w:cs="Calibri"/>
          <w:color w:val="000000"/>
          <w:sz w:val="24"/>
          <w:szCs w:val="24"/>
          <w:lang w:eastAsia="en-GB"/>
        </w:rPr>
        <w:t xml:space="preserve">, </w:t>
      </w:r>
      <w:r w:rsidR="00BA19E0">
        <w:rPr>
          <w:rFonts w:ascii="Calibri" w:eastAsia="Times New Roman" w:hAnsi="Calibri" w:cs="Calibri"/>
          <w:color w:val="000000"/>
          <w:sz w:val="24"/>
          <w:szCs w:val="24"/>
          <w:lang w:eastAsia="en-GB"/>
        </w:rPr>
        <w:t xml:space="preserve">desire for plunder and land have been challenged </w:t>
      </w:r>
      <w:r>
        <w:rPr>
          <w:rFonts w:ascii="Calibri" w:eastAsia="Times New Roman" w:hAnsi="Calibri" w:cs="Calibri"/>
          <w:color w:val="000000"/>
          <w:sz w:val="24"/>
          <w:szCs w:val="24"/>
          <w:lang w:eastAsia="en-GB"/>
        </w:rPr>
        <w:t xml:space="preserve">recently </w:t>
      </w:r>
      <w:r w:rsidR="00BA19E0">
        <w:rPr>
          <w:rFonts w:ascii="Calibri" w:eastAsia="Times New Roman" w:hAnsi="Calibri" w:cs="Calibri"/>
          <w:color w:val="000000"/>
          <w:sz w:val="24"/>
          <w:szCs w:val="24"/>
          <w:lang w:eastAsia="en-GB"/>
        </w:rPr>
        <w:t>by more strategic motivations</w:t>
      </w:r>
      <w:r>
        <w:rPr>
          <w:rFonts w:ascii="Calibri" w:eastAsia="Times New Roman" w:hAnsi="Calibri" w:cs="Calibri"/>
          <w:color w:val="000000"/>
          <w:sz w:val="24"/>
          <w:szCs w:val="24"/>
          <w:lang w:eastAsia="en-GB"/>
        </w:rPr>
        <w:t>, such as</w:t>
      </w:r>
      <w:r w:rsidR="00BA19E0">
        <w:rPr>
          <w:rFonts w:ascii="Calibri" w:eastAsia="Times New Roman" w:hAnsi="Calibri" w:cs="Calibri"/>
          <w:color w:val="000000"/>
          <w:sz w:val="24"/>
          <w:szCs w:val="24"/>
          <w:lang w:eastAsia="en-GB"/>
        </w:rPr>
        <w:t xml:space="preserve"> whether Rome went to war with Carthage to neutralise a potential rival. </w:t>
      </w:r>
      <w:r w:rsidR="00CE2011">
        <w:rPr>
          <w:rFonts w:ascii="Calibri" w:eastAsia="Times New Roman" w:hAnsi="Calibri" w:cs="Calibri"/>
          <w:color w:val="000000"/>
          <w:sz w:val="24"/>
          <w:szCs w:val="24"/>
          <w:lang w:eastAsia="en-GB"/>
        </w:rPr>
        <w:t>S</w:t>
      </w:r>
      <w:r>
        <w:rPr>
          <w:rFonts w:ascii="Calibri" w:eastAsia="Times New Roman" w:hAnsi="Calibri" w:cs="Calibri"/>
          <w:color w:val="000000"/>
          <w:sz w:val="24"/>
          <w:szCs w:val="24"/>
          <w:lang w:eastAsia="en-GB"/>
        </w:rPr>
        <w:t xml:space="preserve">ome </w:t>
      </w:r>
      <w:r w:rsidR="00BA19E0">
        <w:rPr>
          <w:rFonts w:ascii="Calibri" w:eastAsia="Times New Roman" w:hAnsi="Calibri" w:cs="Calibri"/>
          <w:color w:val="000000"/>
          <w:sz w:val="24"/>
          <w:szCs w:val="24"/>
          <w:lang w:eastAsia="en-GB"/>
        </w:rPr>
        <w:t>historians view Carthage as the prime instigator, considering her reliance, both economically and strategically</w:t>
      </w:r>
      <w:r>
        <w:rPr>
          <w:rFonts w:ascii="Calibri" w:eastAsia="Times New Roman" w:hAnsi="Calibri" w:cs="Calibri"/>
          <w:color w:val="000000"/>
          <w:sz w:val="24"/>
          <w:szCs w:val="24"/>
          <w:lang w:eastAsia="en-GB"/>
        </w:rPr>
        <w:t>,</w:t>
      </w:r>
      <w:r w:rsidR="00BA19E0">
        <w:rPr>
          <w:rFonts w:ascii="Calibri" w:eastAsia="Times New Roman" w:hAnsi="Calibri" w:cs="Calibri"/>
          <w:color w:val="000000"/>
          <w:sz w:val="24"/>
          <w:szCs w:val="24"/>
          <w:lang w:eastAsia="en-GB"/>
        </w:rPr>
        <w:t xml:space="preserve"> on the island of Sicily. </w:t>
      </w:r>
    </w:p>
    <w:p w14:paraId="4C555398" w14:textId="1B133C15" w:rsidR="00BA19E0" w:rsidRDefault="00BA19E0" w:rsidP="00CC677A">
      <w:pPr>
        <w:shd w:val="clear" w:color="auto" w:fill="FFFFFF"/>
        <w:spacing w:after="0" w:line="480" w:lineRule="auto"/>
        <w:textAlignment w:val="baseline"/>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This paper will demonstrate that the origins of the war need to be traced back into the histories of Rome and Carthage. From their foundational histories, brutal warfare and a continuous struggle for survival created a climate of fear, in which threats needed to</w:t>
      </w:r>
      <w:r w:rsidR="00134B1D">
        <w:rPr>
          <w:rFonts w:ascii="Calibri" w:eastAsia="Times New Roman" w:hAnsi="Calibri" w:cs="Calibri"/>
          <w:color w:val="000000"/>
          <w:sz w:val="24"/>
          <w:szCs w:val="24"/>
          <w:lang w:eastAsia="en-GB"/>
        </w:rPr>
        <w:t xml:space="preserve"> be</w:t>
      </w:r>
      <w:r>
        <w:rPr>
          <w:rFonts w:ascii="Calibri" w:eastAsia="Times New Roman" w:hAnsi="Calibri" w:cs="Calibri"/>
          <w:color w:val="000000"/>
          <w:sz w:val="24"/>
          <w:szCs w:val="24"/>
          <w:lang w:eastAsia="en-GB"/>
        </w:rPr>
        <w:t xml:space="preserve"> dealt with before they grew in strength. What will be shown is that Carthage, having spent centuries fighting in </w:t>
      </w:r>
      <w:r w:rsidR="00134B1D">
        <w:rPr>
          <w:rFonts w:ascii="Calibri" w:eastAsia="Times New Roman" w:hAnsi="Calibri" w:cs="Calibri"/>
          <w:color w:val="000000"/>
          <w:sz w:val="24"/>
          <w:szCs w:val="24"/>
          <w:lang w:eastAsia="en-GB"/>
        </w:rPr>
        <w:t>Sicily</w:t>
      </w:r>
      <w:r>
        <w:rPr>
          <w:rFonts w:ascii="Calibri" w:eastAsia="Times New Roman" w:hAnsi="Calibri" w:cs="Calibri"/>
          <w:color w:val="000000"/>
          <w:sz w:val="24"/>
          <w:szCs w:val="24"/>
          <w:lang w:eastAsia="en-GB"/>
        </w:rPr>
        <w:t xml:space="preserve">, would never allow Rome to establish a foothold there, whilst Rome, particularly after Carthage’s </w:t>
      </w:r>
      <w:r w:rsidR="00134B1D">
        <w:rPr>
          <w:rFonts w:ascii="Calibri" w:eastAsia="Times New Roman" w:hAnsi="Calibri" w:cs="Calibri"/>
          <w:color w:val="000000"/>
          <w:sz w:val="24"/>
          <w:szCs w:val="24"/>
          <w:lang w:eastAsia="en-GB"/>
        </w:rPr>
        <w:t xml:space="preserve">behaviour during Pyrrhus’ invasion, would never allow a large Mediterranean power </w:t>
      </w:r>
      <w:r w:rsidR="00FE249A">
        <w:rPr>
          <w:rFonts w:ascii="Calibri" w:eastAsia="Times New Roman" w:hAnsi="Calibri" w:cs="Calibri"/>
          <w:color w:val="000000"/>
          <w:sz w:val="24"/>
          <w:szCs w:val="24"/>
          <w:lang w:eastAsia="en-GB"/>
        </w:rPr>
        <w:t xml:space="preserve">close </w:t>
      </w:r>
      <w:r w:rsidR="00134B1D">
        <w:rPr>
          <w:rFonts w:ascii="Calibri" w:eastAsia="Times New Roman" w:hAnsi="Calibri" w:cs="Calibri"/>
          <w:color w:val="000000"/>
          <w:sz w:val="24"/>
          <w:szCs w:val="24"/>
          <w:lang w:eastAsia="en-GB"/>
        </w:rPr>
        <w:t>to the Italian mainland - especially a power with a history of responding to appeal</w:t>
      </w:r>
      <w:r w:rsidR="00FE249A">
        <w:rPr>
          <w:rFonts w:ascii="Calibri" w:eastAsia="Times New Roman" w:hAnsi="Calibri" w:cs="Calibri"/>
          <w:color w:val="000000"/>
          <w:sz w:val="24"/>
          <w:szCs w:val="24"/>
          <w:lang w:eastAsia="en-GB"/>
        </w:rPr>
        <w:t>s</w:t>
      </w:r>
      <w:r w:rsidR="00134B1D">
        <w:rPr>
          <w:rFonts w:ascii="Calibri" w:eastAsia="Times New Roman" w:hAnsi="Calibri" w:cs="Calibri"/>
          <w:color w:val="000000"/>
          <w:sz w:val="24"/>
          <w:szCs w:val="24"/>
          <w:lang w:eastAsia="en-GB"/>
        </w:rPr>
        <w:t xml:space="preserve"> f</w:t>
      </w:r>
      <w:r w:rsidR="00FE249A">
        <w:rPr>
          <w:rFonts w:ascii="Calibri" w:eastAsia="Times New Roman" w:hAnsi="Calibri" w:cs="Calibri"/>
          <w:color w:val="000000"/>
          <w:sz w:val="24"/>
          <w:szCs w:val="24"/>
          <w:lang w:eastAsia="en-GB"/>
        </w:rPr>
        <w:t>rom</w:t>
      </w:r>
      <w:r w:rsidR="00134B1D">
        <w:rPr>
          <w:rFonts w:ascii="Calibri" w:eastAsia="Times New Roman" w:hAnsi="Calibri" w:cs="Calibri"/>
          <w:color w:val="000000"/>
          <w:sz w:val="24"/>
          <w:szCs w:val="24"/>
          <w:lang w:eastAsia="en-GB"/>
        </w:rPr>
        <w:t xml:space="preserve"> states on the Italian peninsula. Whilst plunder was expected, </w:t>
      </w:r>
      <w:r w:rsidR="00FE249A">
        <w:rPr>
          <w:rFonts w:ascii="Calibri" w:eastAsia="Times New Roman" w:hAnsi="Calibri" w:cs="Calibri"/>
          <w:color w:val="000000"/>
          <w:sz w:val="24"/>
          <w:szCs w:val="24"/>
          <w:lang w:eastAsia="en-GB"/>
        </w:rPr>
        <w:t xml:space="preserve">for both sides, </w:t>
      </w:r>
      <w:r w:rsidR="00134B1D">
        <w:rPr>
          <w:rFonts w:ascii="Calibri" w:eastAsia="Times New Roman" w:hAnsi="Calibri" w:cs="Calibri"/>
          <w:color w:val="000000"/>
          <w:sz w:val="24"/>
          <w:szCs w:val="24"/>
          <w:lang w:eastAsia="en-GB"/>
        </w:rPr>
        <w:t xml:space="preserve">strategic considerations were </w:t>
      </w:r>
      <w:r w:rsidR="00FE249A">
        <w:rPr>
          <w:rFonts w:ascii="Calibri" w:eastAsia="Times New Roman" w:hAnsi="Calibri" w:cs="Calibri"/>
          <w:color w:val="000000"/>
          <w:sz w:val="24"/>
          <w:szCs w:val="24"/>
          <w:lang w:eastAsia="en-GB"/>
        </w:rPr>
        <w:t>the prime consideration</w:t>
      </w:r>
      <w:r w:rsidR="00134B1D">
        <w:rPr>
          <w:rFonts w:ascii="Calibri" w:eastAsia="Times New Roman" w:hAnsi="Calibri" w:cs="Calibri"/>
          <w:color w:val="000000"/>
          <w:sz w:val="24"/>
          <w:szCs w:val="24"/>
          <w:lang w:eastAsia="en-GB"/>
        </w:rPr>
        <w:t xml:space="preserve">. </w:t>
      </w:r>
    </w:p>
    <w:p w14:paraId="398233F5" w14:textId="77777777" w:rsidR="0032745D" w:rsidRDefault="0032745D" w:rsidP="00CC677A">
      <w:pPr>
        <w:shd w:val="clear" w:color="auto" w:fill="FFFFFF"/>
        <w:spacing w:after="0" w:line="480" w:lineRule="auto"/>
        <w:textAlignment w:val="baseline"/>
        <w:rPr>
          <w:rFonts w:ascii="Calibri" w:eastAsia="Times New Roman" w:hAnsi="Calibri" w:cs="Calibri"/>
          <w:color w:val="000000"/>
          <w:sz w:val="24"/>
          <w:szCs w:val="24"/>
          <w:lang w:eastAsia="en-GB"/>
        </w:rPr>
      </w:pPr>
    </w:p>
    <w:p w14:paraId="463DC26B" w14:textId="77777777" w:rsidR="0032745D" w:rsidRPr="00CC677A" w:rsidRDefault="0032745D" w:rsidP="00CC677A">
      <w:pPr>
        <w:shd w:val="clear" w:color="auto" w:fill="FFFFFF"/>
        <w:spacing w:after="0" w:line="480" w:lineRule="auto"/>
        <w:textAlignment w:val="baseline"/>
        <w:rPr>
          <w:rFonts w:ascii="Calibri" w:eastAsia="Times New Roman" w:hAnsi="Calibri" w:cs="Calibri"/>
          <w:color w:val="000000"/>
          <w:sz w:val="24"/>
          <w:szCs w:val="24"/>
          <w:lang w:eastAsia="en-GB"/>
        </w:rPr>
      </w:pPr>
    </w:p>
    <w:p w14:paraId="33A09CA0" w14:textId="77777777" w:rsidR="00FD0107" w:rsidRDefault="00FD0107" w:rsidP="00BA30BC">
      <w:pPr>
        <w:spacing w:line="480" w:lineRule="auto"/>
        <w:jc w:val="center"/>
        <w:rPr>
          <w:rFonts w:ascii="Arial" w:hAnsi="Arial" w:cs="Arial"/>
          <w:b/>
          <w:bCs/>
          <w:sz w:val="24"/>
          <w:szCs w:val="24"/>
          <w:u w:val="single"/>
        </w:rPr>
      </w:pPr>
    </w:p>
    <w:p w14:paraId="33A56EE2" w14:textId="77777777" w:rsidR="00FD0107" w:rsidRDefault="00FD0107" w:rsidP="00BA30BC">
      <w:pPr>
        <w:spacing w:line="480" w:lineRule="auto"/>
        <w:jc w:val="center"/>
        <w:rPr>
          <w:rFonts w:ascii="Arial" w:hAnsi="Arial" w:cs="Arial"/>
          <w:b/>
          <w:bCs/>
          <w:sz w:val="24"/>
          <w:szCs w:val="24"/>
          <w:u w:val="single"/>
        </w:rPr>
      </w:pPr>
    </w:p>
    <w:p w14:paraId="2DC749EE" w14:textId="71202769" w:rsidR="00F21624" w:rsidRDefault="00F21624" w:rsidP="008B745A">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Introduction</w:t>
      </w:r>
    </w:p>
    <w:p w14:paraId="37A8AFDA" w14:textId="491E6F7E" w:rsidR="00440982" w:rsidRDefault="00F21624" w:rsidP="008B745A">
      <w:pPr>
        <w:spacing w:line="480" w:lineRule="auto"/>
        <w:rPr>
          <w:rFonts w:ascii="Arial" w:hAnsi="Arial" w:cs="Arial"/>
          <w:sz w:val="24"/>
          <w:szCs w:val="24"/>
        </w:rPr>
      </w:pPr>
      <w:r>
        <w:rPr>
          <w:rFonts w:ascii="Arial" w:hAnsi="Arial" w:cs="Arial"/>
          <w:sz w:val="24"/>
          <w:szCs w:val="24"/>
        </w:rPr>
        <w:t xml:space="preserve">The First Punic War was </w:t>
      </w:r>
      <w:r w:rsidR="00267081">
        <w:rPr>
          <w:rFonts w:ascii="Arial" w:hAnsi="Arial" w:cs="Arial"/>
          <w:sz w:val="24"/>
          <w:szCs w:val="24"/>
        </w:rPr>
        <w:t>one of the most important conflicts of the ancient world</w:t>
      </w:r>
      <w:r>
        <w:rPr>
          <w:rFonts w:ascii="Arial" w:hAnsi="Arial" w:cs="Arial"/>
          <w:sz w:val="24"/>
          <w:szCs w:val="24"/>
        </w:rPr>
        <w:t xml:space="preserve">, resulting in Rome’s first navy, </w:t>
      </w:r>
      <w:r w:rsidR="003152A2">
        <w:rPr>
          <w:rFonts w:ascii="Arial" w:hAnsi="Arial" w:cs="Arial"/>
          <w:sz w:val="24"/>
          <w:szCs w:val="24"/>
        </w:rPr>
        <w:t>its</w:t>
      </w:r>
      <w:r>
        <w:rPr>
          <w:rFonts w:ascii="Arial" w:hAnsi="Arial" w:cs="Arial"/>
          <w:sz w:val="24"/>
          <w:szCs w:val="24"/>
        </w:rPr>
        <w:t xml:space="preserve"> first overseas colony</w:t>
      </w:r>
      <w:r w:rsidR="00267081">
        <w:rPr>
          <w:rFonts w:ascii="Arial" w:hAnsi="Arial" w:cs="Arial"/>
          <w:sz w:val="24"/>
          <w:szCs w:val="24"/>
        </w:rPr>
        <w:t xml:space="preserve"> </w:t>
      </w:r>
      <w:r w:rsidR="00F50CC3">
        <w:rPr>
          <w:rFonts w:ascii="Arial" w:hAnsi="Arial" w:cs="Arial"/>
          <w:sz w:val="24"/>
          <w:szCs w:val="24"/>
        </w:rPr>
        <w:t xml:space="preserve">and its transition </w:t>
      </w:r>
      <w:r w:rsidR="00592003">
        <w:rPr>
          <w:rFonts w:ascii="Arial" w:hAnsi="Arial" w:cs="Arial"/>
          <w:sz w:val="24"/>
          <w:szCs w:val="24"/>
        </w:rPr>
        <w:t>from</w:t>
      </w:r>
      <w:r w:rsidR="00F50CC3">
        <w:rPr>
          <w:rFonts w:ascii="Arial" w:hAnsi="Arial" w:cs="Arial"/>
          <w:sz w:val="24"/>
          <w:szCs w:val="24"/>
        </w:rPr>
        <w:t xml:space="preserve"> </w:t>
      </w:r>
      <w:r w:rsidR="00DD3050">
        <w:rPr>
          <w:rFonts w:ascii="Arial" w:hAnsi="Arial" w:cs="Arial"/>
          <w:sz w:val="24"/>
          <w:szCs w:val="24"/>
        </w:rPr>
        <w:t>the dominant</w:t>
      </w:r>
      <w:r w:rsidR="00F50CC3">
        <w:rPr>
          <w:rFonts w:ascii="Arial" w:hAnsi="Arial" w:cs="Arial"/>
          <w:sz w:val="24"/>
          <w:szCs w:val="24"/>
        </w:rPr>
        <w:t xml:space="preserve"> </w:t>
      </w:r>
      <w:r w:rsidR="00592003">
        <w:rPr>
          <w:rFonts w:ascii="Arial" w:hAnsi="Arial" w:cs="Arial"/>
          <w:sz w:val="24"/>
          <w:szCs w:val="24"/>
        </w:rPr>
        <w:t>state</w:t>
      </w:r>
      <w:r w:rsidR="00F50CC3">
        <w:rPr>
          <w:rFonts w:ascii="Arial" w:hAnsi="Arial" w:cs="Arial"/>
          <w:sz w:val="24"/>
          <w:szCs w:val="24"/>
        </w:rPr>
        <w:t xml:space="preserve"> on the Italian peninsula to a Mediterranean power</w:t>
      </w:r>
      <w:r>
        <w:rPr>
          <w:rFonts w:ascii="Arial" w:hAnsi="Arial" w:cs="Arial"/>
          <w:sz w:val="24"/>
          <w:szCs w:val="24"/>
        </w:rPr>
        <w:t>. For Carthage, it would begin the break-up of her commercial empire</w:t>
      </w:r>
      <w:r w:rsidR="00215856">
        <w:rPr>
          <w:rFonts w:ascii="Arial" w:hAnsi="Arial" w:cs="Arial"/>
          <w:sz w:val="24"/>
          <w:szCs w:val="24"/>
        </w:rPr>
        <w:t xml:space="preserve"> and</w:t>
      </w:r>
      <w:r>
        <w:rPr>
          <w:rFonts w:ascii="Arial" w:hAnsi="Arial" w:cs="Arial"/>
          <w:sz w:val="24"/>
          <w:szCs w:val="24"/>
        </w:rPr>
        <w:t xml:space="preserve"> the removal of her centuries-old presence in Sicily</w:t>
      </w:r>
      <w:r w:rsidR="00215856">
        <w:rPr>
          <w:rFonts w:ascii="Arial" w:hAnsi="Arial" w:cs="Arial"/>
          <w:sz w:val="24"/>
          <w:szCs w:val="24"/>
        </w:rPr>
        <w:t xml:space="preserve">. </w:t>
      </w:r>
      <w:r>
        <w:rPr>
          <w:rFonts w:ascii="Arial" w:hAnsi="Arial" w:cs="Arial"/>
          <w:sz w:val="24"/>
          <w:szCs w:val="24"/>
        </w:rPr>
        <w:t xml:space="preserve">However, the origins of the war remain controversial, </w:t>
      </w:r>
      <w:r w:rsidR="00AA6C27">
        <w:rPr>
          <w:rFonts w:ascii="Arial" w:hAnsi="Arial" w:cs="Arial"/>
          <w:sz w:val="24"/>
          <w:szCs w:val="24"/>
        </w:rPr>
        <w:t xml:space="preserve">especially </w:t>
      </w:r>
      <w:r w:rsidR="00440982">
        <w:rPr>
          <w:rFonts w:ascii="Arial" w:hAnsi="Arial" w:cs="Arial"/>
          <w:sz w:val="24"/>
          <w:szCs w:val="24"/>
        </w:rPr>
        <w:t>regarding</w:t>
      </w:r>
      <w:r>
        <w:rPr>
          <w:rFonts w:ascii="Arial" w:hAnsi="Arial" w:cs="Arial"/>
          <w:sz w:val="24"/>
          <w:szCs w:val="24"/>
        </w:rPr>
        <w:t xml:space="preserve"> culpability for </w:t>
      </w:r>
      <w:r w:rsidR="00440982">
        <w:rPr>
          <w:rFonts w:ascii="Arial" w:hAnsi="Arial" w:cs="Arial"/>
          <w:sz w:val="24"/>
          <w:szCs w:val="24"/>
        </w:rPr>
        <w:t>beginning</w:t>
      </w:r>
      <w:r>
        <w:rPr>
          <w:rFonts w:ascii="Arial" w:hAnsi="Arial" w:cs="Arial"/>
          <w:sz w:val="24"/>
          <w:szCs w:val="24"/>
        </w:rPr>
        <w:t xml:space="preserve"> the conflict</w:t>
      </w:r>
      <w:r w:rsidR="00AA6C27">
        <w:rPr>
          <w:rFonts w:ascii="Arial" w:hAnsi="Arial" w:cs="Arial"/>
          <w:sz w:val="24"/>
          <w:szCs w:val="24"/>
        </w:rPr>
        <w:t>,</w:t>
      </w:r>
      <w:r>
        <w:rPr>
          <w:rFonts w:ascii="Arial" w:hAnsi="Arial" w:cs="Arial"/>
          <w:sz w:val="24"/>
          <w:szCs w:val="24"/>
        </w:rPr>
        <w:t xml:space="preserve"> </w:t>
      </w:r>
      <w:r w:rsidR="00AA6C27">
        <w:rPr>
          <w:rFonts w:ascii="Arial" w:hAnsi="Arial" w:cs="Arial"/>
          <w:sz w:val="24"/>
          <w:szCs w:val="24"/>
        </w:rPr>
        <w:t xml:space="preserve">as well as </w:t>
      </w:r>
      <w:r>
        <w:rPr>
          <w:rFonts w:ascii="Arial" w:hAnsi="Arial" w:cs="Arial"/>
          <w:sz w:val="24"/>
          <w:szCs w:val="24"/>
        </w:rPr>
        <w:t>the motivations and expectations</w:t>
      </w:r>
      <w:r w:rsidR="006B033F">
        <w:rPr>
          <w:rFonts w:ascii="Arial" w:hAnsi="Arial" w:cs="Arial"/>
          <w:sz w:val="24"/>
          <w:szCs w:val="24"/>
        </w:rPr>
        <w:t>,</w:t>
      </w:r>
      <w:r>
        <w:rPr>
          <w:rFonts w:ascii="Arial" w:hAnsi="Arial" w:cs="Arial"/>
          <w:sz w:val="24"/>
          <w:szCs w:val="24"/>
        </w:rPr>
        <w:t xml:space="preserve"> of each power. </w:t>
      </w:r>
    </w:p>
    <w:p w14:paraId="3727B036" w14:textId="2D156B3E" w:rsidR="00F21624" w:rsidRDefault="00F21624" w:rsidP="008B745A">
      <w:pPr>
        <w:spacing w:line="480" w:lineRule="auto"/>
        <w:rPr>
          <w:rFonts w:ascii="Arial" w:hAnsi="Arial" w:cs="Arial"/>
          <w:sz w:val="24"/>
          <w:szCs w:val="24"/>
        </w:rPr>
      </w:pPr>
      <w:r>
        <w:rPr>
          <w:rFonts w:ascii="Arial" w:hAnsi="Arial" w:cs="Arial"/>
          <w:sz w:val="24"/>
          <w:szCs w:val="24"/>
        </w:rPr>
        <w:t xml:space="preserve">This paper will demonstrate that the wars </w:t>
      </w:r>
      <w:r w:rsidR="00AA6C27">
        <w:rPr>
          <w:rFonts w:ascii="Arial" w:hAnsi="Arial" w:cs="Arial"/>
          <w:sz w:val="24"/>
          <w:szCs w:val="24"/>
        </w:rPr>
        <w:t xml:space="preserve">underlying </w:t>
      </w:r>
      <w:r>
        <w:rPr>
          <w:rFonts w:ascii="Arial" w:hAnsi="Arial" w:cs="Arial"/>
          <w:sz w:val="24"/>
          <w:szCs w:val="24"/>
        </w:rPr>
        <w:t>origins stretched back further than the immediate Mamertine appeal to Rome and Carthage and the subsequent arrival of their armies outside Messana. It will show that the origins of the war c</w:t>
      </w:r>
      <w:r w:rsidR="00E80CB4">
        <w:rPr>
          <w:rFonts w:ascii="Arial" w:hAnsi="Arial" w:cs="Arial"/>
          <w:sz w:val="24"/>
          <w:szCs w:val="24"/>
        </w:rPr>
        <w:t>a</w:t>
      </w:r>
      <w:r>
        <w:rPr>
          <w:rFonts w:ascii="Arial" w:hAnsi="Arial" w:cs="Arial"/>
          <w:sz w:val="24"/>
          <w:szCs w:val="24"/>
        </w:rPr>
        <w:t xml:space="preserve">me from the experiences of both sides in the centuries leading up to 264 B.C.   </w:t>
      </w:r>
    </w:p>
    <w:p w14:paraId="089FE954" w14:textId="7AC1276C" w:rsidR="00F21624" w:rsidRDefault="00F21624" w:rsidP="008B745A">
      <w:pPr>
        <w:spacing w:line="480" w:lineRule="auto"/>
        <w:rPr>
          <w:rFonts w:ascii="Arial" w:hAnsi="Arial" w:cs="Arial"/>
          <w:sz w:val="24"/>
          <w:szCs w:val="24"/>
        </w:rPr>
      </w:pPr>
      <w:r>
        <w:rPr>
          <w:rFonts w:ascii="Arial" w:hAnsi="Arial" w:cs="Arial"/>
          <w:sz w:val="24"/>
          <w:szCs w:val="24"/>
        </w:rPr>
        <w:t xml:space="preserve">For the Carthaginians, fighting over the maintenance of her commercial empire would not permit her to allow </w:t>
      </w:r>
      <w:r w:rsidR="00AA6C27">
        <w:rPr>
          <w:rFonts w:ascii="Arial" w:hAnsi="Arial" w:cs="Arial"/>
          <w:sz w:val="24"/>
          <w:szCs w:val="24"/>
        </w:rPr>
        <w:t>Rome</w:t>
      </w:r>
      <w:r>
        <w:rPr>
          <w:rFonts w:ascii="Arial" w:hAnsi="Arial" w:cs="Arial"/>
          <w:sz w:val="24"/>
          <w:szCs w:val="24"/>
        </w:rPr>
        <w:t xml:space="preserve"> to gain a foothold in Sicily, especially having fought Syracuse for </w:t>
      </w:r>
      <w:r w:rsidR="00E80CB4">
        <w:rPr>
          <w:rFonts w:ascii="Arial" w:hAnsi="Arial" w:cs="Arial"/>
          <w:sz w:val="24"/>
          <w:szCs w:val="24"/>
        </w:rPr>
        <w:t>centuries</w:t>
      </w:r>
      <w:r w:rsidR="00D65719">
        <w:rPr>
          <w:rFonts w:ascii="Arial" w:hAnsi="Arial" w:cs="Arial"/>
          <w:sz w:val="24"/>
          <w:szCs w:val="24"/>
        </w:rPr>
        <w:t xml:space="preserve">. </w:t>
      </w:r>
      <w:r>
        <w:rPr>
          <w:rFonts w:ascii="Arial" w:hAnsi="Arial" w:cs="Arial"/>
          <w:sz w:val="24"/>
          <w:szCs w:val="24"/>
        </w:rPr>
        <w:t>Ultimately, it would be Syracuse’s sudden collapse</w:t>
      </w:r>
      <w:r w:rsidR="00AA6C27">
        <w:rPr>
          <w:rFonts w:ascii="Arial" w:hAnsi="Arial" w:cs="Arial"/>
          <w:sz w:val="24"/>
          <w:szCs w:val="24"/>
        </w:rPr>
        <w:t>,</w:t>
      </w:r>
      <w:r>
        <w:rPr>
          <w:rFonts w:ascii="Arial" w:hAnsi="Arial" w:cs="Arial"/>
          <w:sz w:val="24"/>
          <w:szCs w:val="24"/>
        </w:rPr>
        <w:t xml:space="preserve"> after a defeat to the Romans</w:t>
      </w:r>
      <w:r w:rsidR="00AA6C27">
        <w:rPr>
          <w:rFonts w:ascii="Arial" w:hAnsi="Arial" w:cs="Arial"/>
          <w:sz w:val="24"/>
          <w:szCs w:val="24"/>
        </w:rPr>
        <w:t>,</w:t>
      </w:r>
      <w:r>
        <w:rPr>
          <w:rFonts w:ascii="Arial" w:hAnsi="Arial" w:cs="Arial"/>
          <w:sz w:val="24"/>
          <w:szCs w:val="24"/>
        </w:rPr>
        <w:t xml:space="preserve"> that forced Carthage to fight: she would not allow Rome –</w:t>
      </w:r>
      <w:r w:rsidR="00D65719">
        <w:rPr>
          <w:rFonts w:ascii="Arial" w:hAnsi="Arial" w:cs="Arial"/>
          <w:sz w:val="24"/>
          <w:szCs w:val="24"/>
        </w:rPr>
        <w:t xml:space="preserve"> </w:t>
      </w:r>
      <w:r>
        <w:rPr>
          <w:rFonts w:ascii="Arial" w:hAnsi="Arial" w:cs="Arial"/>
          <w:sz w:val="24"/>
          <w:szCs w:val="24"/>
        </w:rPr>
        <w:t xml:space="preserve">a power Carthage </w:t>
      </w:r>
      <w:r w:rsidR="00440982">
        <w:rPr>
          <w:rFonts w:ascii="Arial" w:hAnsi="Arial" w:cs="Arial"/>
          <w:sz w:val="24"/>
          <w:szCs w:val="24"/>
        </w:rPr>
        <w:t>had become</w:t>
      </w:r>
      <w:r>
        <w:rPr>
          <w:rFonts w:ascii="Arial" w:hAnsi="Arial" w:cs="Arial"/>
          <w:sz w:val="24"/>
          <w:szCs w:val="24"/>
        </w:rPr>
        <w:t xml:space="preserve"> wary of – to replace Syracusan influence on the island. </w:t>
      </w:r>
    </w:p>
    <w:p w14:paraId="79C6E998" w14:textId="20005536" w:rsidR="00F21624" w:rsidRDefault="00F21624" w:rsidP="008B745A">
      <w:pPr>
        <w:spacing w:line="480" w:lineRule="auto"/>
        <w:rPr>
          <w:rFonts w:ascii="Arial" w:hAnsi="Arial" w:cs="Arial"/>
          <w:sz w:val="24"/>
          <w:szCs w:val="24"/>
        </w:rPr>
      </w:pPr>
      <w:r>
        <w:rPr>
          <w:rFonts w:ascii="Arial" w:hAnsi="Arial" w:cs="Arial"/>
          <w:sz w:val="24"/>
          <w:szCs w:val="24"/>
        </w:rPr>
        <w:t xml:space="preserve">For the Romans, they would not </w:t>
      </w:r>
      <w:r w:rsidR="00D65719">
        <w:rPr>
          <w:rFonts w:ascii="Arial" w:hAnsi="Arial" w:cs="Arial"/>
          <w:sz w:val="24"/>
          <w:szCs w:val="24"/>
        </w:rPr>
        <w:t>countenance</w:t>
      </w:r>
      <w:r>
        <w:rPr>
          <w:rFonts w:ascii="Arial" w:hAnsi="Arial" w:cs="Arial"/>
          <w:sz w:val="24"/>
          <w:szCs w:val="24"/>
        </w:rPr>
        <w:t xml:space="preserve"> a power with easy access to the Straits of Messana</w:t>
      </w:r>
      <w:r w:rsidR="0017742E">
        <w:rPr>
          <w:rFonts w:ascii="Arial" w:hAnsi="Arial" w:cs="Arial"/>
          <w:sz w:val="24"/>
          <w:szCs w:val="24"/>
        </w:rPr>
        <w:t>. T</w:t>
      </w:r>
      <w:r>
        <w:rPr>
          <w:rFonts w:ascii="Arial" w:hAnsi="Arial" w:cs="Arial"/>
          <w:sz w:val="24"/>
          <w:szCs w:val="24"/>
        </w:rPr>
        <w:t>heir history of intense conflict on the Italian peninsula foster</w:t>
      </w:r>
      <w:r w:rsidR="0017742E">
        <w:rPr>
          <w:rFonts w:ascii="Arial" w:hAnsi="Arial" w:cs="Arial"/>
          <w:sz w:val="24"/>
          <w:szCs w:val="24"/>
        </w:rPr>
        <w:t>ed</w:t>
      </w:r>
      <w:r>
        <w:rPr>
          <w:rFonts w:ascii="Arial" w:hAnsi="Arial" w:cs="Arial"/>
          <w:sz w:val="24"/>
          <w:szCs w:val="24"/>
        </w:rPr>
        <w:t xml:space="preserve"> a desire for security and </w:t>
      </w:r>
      <w:r w:rsidR="0017742E">
        <w:rPr>
          <w:rFonts w:ascii="Arial" w:hAnsi="Arial" w:cs="Arial"/>
          <w:sz w:val="24"/>
          <w:szCs w:val="24"/>
        </w:rPr>
        <w:t xml:space="preserve">an </w:t>
      </w:r>
      <w:r>
        <w:rPr>
          <w:rFonts w:ascii="Arial" w:hAnsi="Arial" w:cs="Arial"/>
          <w:sz w:val="24"/>
          <w:szCs w:val="24"/>
        </w:rPr>
        <w:t xml:space="preserve">acceptance of proactive measures to ensure it. Carthaginian attitudes after Pyrrhus’ invasion would have caused anxiety in Rome and </w:t>
      </w:r>
      <w:r w:rsidR="0017742E">
        <w:rPr>
          <w:rFonts w:ascii="Arial" w:hAnsi="Arial" w:cs="Arial"/>
          <w:sz w:val="24"/>
          <w:szCs w:val="24"/>
        </w:rPr>
        <w:t xml:space="preserve">increased the </w:t>
      </w:r>
      <w:r>
        <w:rPr>
          <w:rFonts w:ascii="Arial" w:hAnsi="Arial" w:cs="Arial"/>
          <w:sz w:val="24"/>
          <w:szCs w:val="24"/>
        </w:rPr>
        <w:t xml:space="preserve">belief that Carthaginian power needed to be checked. </w:t>
      </w:r>
    </w:p>
    <w:p w14:paraId="5EFC6141" w14:textId="5A577E41" w:rsidR="00F21624" w:rsidRDefault="00F21624" w:rsidP="008B745A">
      <w:pPr>
        <w:spacing w:line="480" w:lineRule="auto"/>
        <w:rPr>
          <w:rFonts w:ascii="Arial" w:hAnsi="Arial" w:cs="Arial"/>
          <w:sz w:val="24"/>
          <w:szCs w:val="24"/>
        </w:rPr>
      </w:pPr>
      <w:r>
        <w:rPr>
          <w:rFonts w:ascii="Arial" w:hAnsi="Arial" w:cs="Arial"/>
          <w:sz w:val="24"/>
          <w:szCs w:val="24"/>
        </w:rPr>
        <w:lastRenderedPageBreak/>
        <w:t>Whilst plunder, land acquisition, and the desire for aristocratic glory were important to both sides and a natural accompaniment to any successful war, this paper will</w:t>
      </w:r>
      <w:r w:rsidR="0017742E">
        <w:rPr>
          <w:rFonts w:ascii="Arial" w:hAnsi="Arial" w:cs="Arial"/>
          <w:sz w:val="24"/>
          <w:szCs w:val="24"/>
        </w:rPr>
        <w:t xml:space="preserve"> </w:t>
      </w:r>
      <w:r>
        <w:rPr>
          <w:rFonts w:ascii="Arial" w:hAnsi="Arial" w:cs="Arial"/>
          <w:sz w:val="24"/>
          <w:szCs w:val="24"/>
        </w:rPr>
        <w:t xml:space="preserve">dispel theories that the </w:t>
      </w:r>
      <w:r w:rsidR="0017742E">
        <w:rPr>
          <w:rFonts w:ascii="Arial" w:hAnsi="Arial" w:cs="Arial"/>
          <w:sz w:val="24"/>
          <w:szCs w:val="24"/>
        </w:rPr>
        <w:t>conflict</w:t>
      </w:r>
      <w:r>
        <w:rPr>
          <w:rFonts w:ascii="Arial" w:hAnsi="Arial" w:cs="Arial"/>
          <w:sz w:val="24"/>
          <w:szCs w:val="24"/>
        </w:rPr>
        <w:t xml:space="preserve"> resulted primarily from Rome’s insatiable desire for booty, its need for land to satisfy debts, or the role Roman aristocrats</w:t>
      </w:r>
      <w:r>
        <w:rPr>
          <w:rStyle w:val="FootnoteReference"/>
          <w:rFonts w:ascii="Arial" w:hAnsi="Arial" w:cs="Arial"/>
          <w:sz w:val="24"/>
          <w:szCs w:val="24"/>
        </w:rPr>
        <w:footnoteReference w:id="1"/>
      </w:r>
      <w:r>
        <w:rPr>
          <w:rFonts w:ascii="Arial" w:hAnsi="Arial" w:cs="Arial"/>
          <w:sz w:val="24"/>
          <w:szCs w:val="24"/>
        </w:rPr>
        <w:t xml:space="preserve">.  </w:t>
      </w:r>
    </w:p>
    <w:p w14:paraId="4A838D4B" w14:textId="5F125EEE" w:rsidR="00F21624" w:rsidRDefault="00F21624" w:rsidP="008B745A">
      <w:pPr>
        <w:spacing w:line="480" w:lineRule="auto"/>
        <w:rPr>
          <w:rFonts w:ascii="Arial" w:hAnsi="Arial" w:cs="Arial"/>
          <w:sz w:val="24"/>
          <w:szCs w:val="24"/>
        </w:rPr>
      </w:pPr>
      <w:r>
        <w:rPr>
          <w:rFonts w:ascii="Arial" w:hAnsi="Arial" w:cs="Arial"/>
          <w:sz w:val="24"/>
          <w:szCs w:val="24"/>
        </w:rPr>
        <w:t>What will be demonstrated is that, whilst neither side had prepared for the conflict, neither was prepared to give way to a situation that was perceived as threatening.</w:t>
      </w:r>
      <w:r w:rsidR="00DD3050">
        <w:rPr>
          <w:rFonts w:ascii="Arial" w:hAnsi="Arial" w:cs="Arial"/>
          <w:sz w:val="24"/>
          <w:szCs w:val="24"/>
        </w:rPr>
        <w:t xml:space="preserve"> N</w:t>
      </w:r>
      <w:r>
        <w:rPr>
          <w:rFonts w:ascii="Arial" w:hAnsi="Arial" w:cs="Arial"/>
          <w:sz w:val="24"/>
          <w:szCs w:val="24"/>
        </w:rPr>
        <w:t xml:space="preserve">either side could be seen to refuse the offers of protection from smaller states, as </w:t>
      </w:r>
      <w:r w:rsidR="0017742E">
        <w:rPr>
          <w:rFonts w:ascii="Arial" w:hAnsi="Arial" w:cs="Arial"/>
          <w:sz w:val="24"/>
          <w:szCs w:val="24"/>
        </w:rPr>
        <w:t>refusal</w:t>
      </w:r>
      <w:r>
        <w:rPr>
          <w:rFonts w:ascii="Arial" w:hAnsi="Arial" w:cs="Arial"/>
          <w:sz w:val="24"/>
          <w:szCs w:val="24"/>
        </w:rPr>
        <w:t xml:space="preserve"> would </w:t>
      </w:r>
      <w:r w:rsidR="0017742E">
        <w:rPr>
          <w:rFonts w:ascii="Arial" w:hAnsi="Arial" w:cs="Arial"/>
          <w:sz w:val="24"/>
          <w:szCs w:val="24"/>
        </w:rPr>
        <w:t xml:space="preserve">force them to </w:t>
      </w:r>
      <w:r>
        <w:rPr>
          <w:rFonts w:ascii="Arial" w:hAnsi="Arial" w:cs="Arial"/>
          <w:sz w:val="24"/>
          <w:szCs w:val="24"/>
        </w:rPr>
        <w:t>gravitate towards another</w:t>
      </w:r>
      <w:r w:rsidR="0017742E">
        <w:rPr>
          <w:rFonts w:ascii="Arial" w:hAnsi="Arial" w:cs="Arial"/>
          <w:sz w:val="24"/>
          <w:szCs w:val="24"/>
        </w:rPr>
        <w:t xml:space="preserve"> </w:t>
      </w:r>
      <w:r w:rsidR="00440982">
        <w:rPr>
          <w:rFonts w:ascii="Arial" w:hAnsi="Arial" w:cs="Arial"/>
          <w:sz w:val="24"/>
          <w:szCs w:val="24"/>
        </w:rPr>
        <w:t xml:space="preserve">large </w:t>
      </w:r>
      <w:r w:rsidR="0017742E">
        <w:rPr>
          <w:rFonts w:ascii="Arial" w:hAnsi="Arial" w:cs="Arial"/>
          <w:sz w:val="24"/>
          <w:szCs w:val="24"/>
        </w:rPr>
        <w:t>power</w:t>
      </w:r>
      <w:r>
        <w:rPr>
          <w:rFonts w:ascii="Arial" w:hAnsi="Arial" w:cs="Arial"/>
          <w:sz w:val="24"/>
          <w:szCs w:val="24"/>
        </w:rPr>
        <w:t xml:space="preserve">, changing </w:t>
      </w:r>
      <w:r w:rsidR="00F8487C">
        <w:rPr>
          <w:rFonts w:ascii="Arial" w:hAnsi="Arial" w:cs="Arial"/>
          <w:sz w:val="24"/>
          <w:szCs w:val="24"/>
        </w:rPr>
        <w:t xml:space="preserve">the </w:t>
      </w:r>
      <w:r>
        <w:rPr>
          <w:rFonts w:ascii="Arial" w:hAnsi="Arial" w:cs="Arial"/>
          <w:sz w:val="24"/>
          <w:szCs w:val="24"/>
        </w:rPr>
        <w:t xml:space="preserve">strategic </w:t>
      </w:r>
      <w:r w:rsidR="00F8487C">
        <w:rPr>
          <w:rFonts w:ascii="Arial" w:hAnsi="Arial" w:cs="Arial"/>
          <w:sz w:val="24"/>
          <w:szCs w:val="24"/>
        </w:rPr>
        <w:t>balance</w:t>
      </w:r>
      <w:r>
        <w:rPr>
          <w:rFonts w:ascii="Arial" w:hAnsi="Arial" w:cs="Arial"/>
          <w:sz w:val="24"/>
          <w:szCs w:val="24"/>
        </w:rPr>
        <w:t xml:space="preserve"> </w:t>
      </w:r>
      <w:r w:rsidR="00F8487C">
        <w:rPr>
          <w:rFonts w:ascii="Arial" w:hAnsi="Arial" w:cs="Arial"/>
          <w:sz w:val="24"/>
          <w:szCs w:val="24"/>
        </w:rPr>
        <w:t>for both</w:t>
      </w:r>
      <w:r>
        <w:rPr>
          <w:rFonts w:ascii="Arial" w:hAnsi="Arial" w:cs="Arial"/>
          <w:sz w:val="24"/>
          <w:szCs w:val="24"/>
        </w:rPr>
        <w:t>.</w:t>
      </w:r>
      <w:r w:rsidR="00F8487C">
        <w:rPr>
          <w:rFonts w:ascii="Arial" w:hAnsi="Arial" w:cs="Arial"/>
          <w:sz w:val="24"/>
          <w:szCs w:val="24"/>
        </w:rPr>
        <w:t xml:space="preserve"> </w:t>
      </w:r>
      <w:r>
        <w:rPr>
          <w:rFonts w:ascii="Arial" w:hAnsi="Arial" w:cs="Arial"/>
          <w:sz w:val="24"/>
          <w:szCs w:val="24"/>
        </w:rPr>
        <w:t xml:space="preserve">The First Punic War began because Carthage had too much to lose and Rome could not allow Carthaginian ascendency on Sicily.  </w:t>
      </w:r>
    </w:p>
    <w:p w14:paraId="33D062AB" w14:textId="77777777" w:rsidR="00F21624" w:rsidRDefault="00F21624" w:rsidP="008B745A">
      <w:pPr>
        <w:spacing w:line="480" w:lineRule="auto"/>
        <w:rPr>
          <w:rFonts w:ascii="Arial" w:hAnsi="Arial" w:cs="Arial"/>
          <w:sz w:val="24"/>
          <w:szCs w:val="24"/>
        </w:rPr>
      </w:pPr>
    </w:p>
    <w:p w14:paraId="3BAA0696" w14:textId="77777777" w:rsidR="00301634" w:rsidRDefault="00301634" w:rsidP="008B745A">
      <w:pPr>
        <w:spacing w:line="480" w:lineRule="auto"/>
        <w:rPr>
          <w:rFonts w:ascii="Arial" w:hAnsi="Arial" w:cs="Arial"/>
          <w:sz w:val="24"/>
          <w:szCs w:val="24"/>
        </w:rPr>
      </w:pPr>
    </w:p>
    <w:p w14:paraId="0D5C93AD" w14:textId="77777777" w:rsidR="00F97328" w:rsidRDefault="00F97328" w:rsidP="008B745A">
      <w:pPr>
        <w:spacing w:line="480" w:lineRule="auto"/>
        <w:rPr>
          <w:rFonts w:ascii="Arial" w:hAnsi="Arial" w:cs="Arial"/>
          <w:sz w:val="24"/>
          <w:szCs w:val="24"/>
        </w:rPr>
      </w:pPr>
    </w:p>
    <w:p w14:paraId="339A1004" w14:textId="77777777" w:rsidR="00F97328" w:rsidRDefault="00F97328" w:rsidP="008B745A">
      <w:pPr>
        <w:spacing w:line="480" w:lineRule="auto"/>
        <w:rPr>
          <w:rFonts w:ascii="Arial" w:hAnsi="Arial" w:cs="Arial"/>
          <w:sz w:val="24"/>
          <w:szCs w:val="24"/>
        </w:rPr>
      </w:pPr>
    </w:p>
    <w:p w14:paraId="38653DD3" w14:textId="3D5F6761" w:rsidR="00F97328" w:rsidRDefault="00F97328" w:rsidP="008B745A">
      <w:pPr>
        <w:spacing w:line="480" w:lineRule="auto"/>
        <w:rPr>
          <w:rFonts w:ascii="Arial" w:hAnsi="Arial" w:cs="Arial"/>
          <w:sz w:val="24"/>
          <w:szCs w:val="24"/>
        </w:rPr>
      </w:pPr>
    </w:p>
    <w:p w14:paraId="100DDA25" w14:textId="77777777" w:rsidR="000C57B7" w:rsidRDefault="000C57B7" w:rsidP="008B745A">
      <w:pPr>
        <w:spacing w:line="480" w:lineRule="auto"/>
        <w:rPr>
          <w:rFonts w:ascii="Arial" w:hAnsi="Arial" w:cs="Arial"/>
          <w:sz w:val="24"/>
          <w:szCs w:val="24"/>
        </w:rPr>
      </w:pPr>
    </w:p>
    <w:p w14:paraId="1F018F5C" w14:textId="5ED0C4AC" w:rsidR="00F97328" w:rsidRDefault="00F97328" w:rsidP="008B745A">
      <w:pPr>
        <w:spacing w:line="480" w:lineRule="auto"/>
        <w:rPr>
          <w:rFonts w:ascii="Arial" w:hAnsi="Arial" w:cs="Arial"/>
          <w:sz w:val="24"/>
          <w:szCs w:val="24"/>
        </w:rPr>
      </w:pPr>
    </w:p>
    <w:p w14:paraId="0A15F020" w14:textId="77777777" w:rsidR="00E80CB4" w:rsidRDefault="00E80CB4" w:rsidP="008B745A">
      <w:pPr>
        <w:spacing w:line="480" w:lineRule="auto"/>
        <w:rPr>
          <w:rFonts w:ascii="Arial" w:hAnsi="Arial" w:cs="Arial"/>
          <w:sz w:val="24"/>
          <w:szCs w:val="24"/>
        </w:rPr>
      </w:pPr>
    </w:p>
    <w:p w14:paraId="714CEED2" w14:textId="7E76721D" w:rsidR="00F8487C" w:rsidRDefault="00F8487C" w:rsidP="00F8487C">
      <w:pPr>
        <w:spacing w:line="480" w:lineRule="auto"/>
        <w:rPr>
          <w:rFonts w:ascii="Arial" w:hAnsi="Arial" w:cs="Arial"/>
          <w:sz w:val="24"/>
          <w:szCs w:val="24"/>
        </w:rPr>
      </w:pPr>
    </w:p>
    <w:p w14:paraId="2104B6FA" w14:textId="77777777" w:rsidR="000C57B7" w:rsidRDefault="000C57B7" w:rsidP="00F8487C">
      <w:pPr>
        <w:spacing w:line="480" w:lineRule="auto"/>
        <w:rPr>
          <w:rFonts w:ascii="Arial" w:hAnsi="Arial" w:cs="Arial"/>
          <w:sz w:val="24"/>
          <w:szCs w:val="24"/>
        </w:rPr>
      </w:pPr>
    </w:p>
    <w:p w14:paraId="069E7501" w14:textId="5E39FA87" w:rsidR="00F21624" w:rsidRDefault="00F21624" w:rsidP="00F8487C">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Historiography</w:t>
      </w:r>
    </w:p>
    <w:p w14:paraId="5193935F" w14:textId="1542280A" w:rsidR="00F21624" w:rsidRDefault="00F21624" w:rsidP="008B745A">
      <w:pPr>
        <w:spacing w:line="480" w:lineRule="auto"/>
        <w:rPr>
          <w:rFonts w:ascii="Arial" w:hAnsi="Arial" w:cs="Arial"/>
          <w:sz w:val="24"/>
          <w:szCs w:val="24"/>
        </w:rPr>
      </w:pPr>
      <w:r>
        <w:rPr>
          <w:rFonts w:ascii="Arial" w:hAnsi="Arial" w:cs="Arial"/>
          <w:sz w:val="24"/>
          <w:szCs w:val="24"/>
        </w:rPr>
        <w:t xml:space="preserve">The ancient sources disagree about the </w:t>
      </w:r>
      <w:r w:rsidR="00DD3050">
        <w:rPr>
          <w:rFonts w:ascii="Arial" w:hAnsi="Arial" w:cs="Arial"/>
          <w:sz w:val="24"/>
          <w:szCs w:val="24"/>
        </w:rPr>
        <w:t>origins</w:t>
      </w:r>
      <w:r>
        <w:rPr>
          <w:rFonts w:ascii="Arial" w:hAnsi="Arial" w:cs="Arial"/>
          <w:sz w:val="24"/>
          <w:szCs w:val="24"/>
        </w:rPr>
        <w:t xml:space="preserve"> of the </w:t>
      </w:r>
      <w:r w:rsidR="00DD3050">
        <w:rPr>
          <w:rFonts w:ascii="Arial" w:hAnsi="Arial" w:cs="Arial"/>
          <w:sz w:val="24"/>
          <w:szCs w:val="24"/>
        </w:rPr>
        <w:t>war</w:t>
      </w:r>
      <w:r>
        <w:rPr>
          <w:rFonts w:ascii="Arial" w:hAnsi="Arial" w:cs="Arial"/>
          <w:sz w:val="24"/>
          <w:szCs w:val="24"/>
        </w:rPr>
        <w:t xml:space="preserve">. Polybius argues the Romans had to </w:t>
      </w:r>
      <w:r w:rsidR="006D1E39">
        <w:rPr>
          <w:rFonts w:ascii="Arial" w:hAnsi="Arial" w:cs="Arial"/>
          <w:sz w:val="24"/>
          <w:szCs w:val="24"/>
        </w:rPr>
        <w:t>fight</w:t>
      </w:r>
      <w:r>
        <w:rPr>
          <w:rFonts w:ascii="Arial" w:hAnsi="Arial" w:cs="Arial"/>
          <w:sz w:val="24"/>
          <w:szCs w:val="24"/>
        </w:rPr>
        <w:t xml:space="preserve">, </w:t>
      </w:r>
      <w:r w:rsidR="00DD3050">
        <w:rPr>
          <w:rFonts w:ascii="Arial" w:hAnsi="Arial" w:cs="Arial"/>
          <w:sz w:val="24"/>
          <w:szCs w:val="24"/>
        </w:rPr>
        <w:t>to ensure Carthage did not</w:t>
      </w:r>
      <w:r>
        <w:rPr>
          <w:rFonts w:ascii="Arial" w:hAnsi="Arial" w:cs="Arial"/>
          <w:sz w:val="24"/>
          <w:szCs w:val="24"/>
        </w:rPr>
        <w:t xml:space="preserve"> ‘threaten all parts of Italy’</w:t>
      </w:r>
      <w:r>
        <w:rPr>
          <w:rStyle w:val="FootnoteReference"/>
          <w:rFonts w:ascii="Arial" w:hAnsi="Arial" w:cs="Arial"/>
          <w:sz w:val="24"/>
          <w:szCs w:val="24"/>
        </w:rPr>
        <w:footnoteReference w:id="2"/>
      </w:r>
      <w:r>
        <w:rPr>
          <w:rStyle w:val="FootnoteTextChar"/>
          <w:rFonts w:ascii="Arial" w:hAnsi="Arial" w:cs="Arial"/>
          <w:sz w:val="24"/>
          <w:szCs w:val="24"/>
        </w:rPr>
        <w:t>.</w:t>
      </w:r>
      <w:r>
        <w:rPr>
          <w:rFonts w:ascii="Arial" w:hAnsi="Arial" w:cs="Arial"/>
          <w:sz w:val="24"/>
          <w:szCs w:val="24"/>
        </w:rPr>
        <w:t xml:space="preserve"> </w:t>
      </w:r>
      <w:r w:rsidR="00440982">
        <w:rPr>
          <w:rFonts w:ascii="Arial" w:hAnsi="Arial" w:cs="Arial"/>
          <w:sz w:val="24"/>
          <w:szCs w:val="24"/>
        </w:rPr>
        <w:t>I</w:t>
      </w:r>
      <w:r>
        <w:rPr>
          <w:rFonts w:ascii="Arial" w:hAnsi="Arial" w:cs="Arial"/>
          <w:sz w:val="24"/>
          <w:szCs w:val="24"/>
        </w:rPr>
        <w:t>n order to ensure the acquiesce</w:t>
      </w:r>
      <w:r w:rsidR="0017742E">
        <w:rPr>
          <w:rFonts w:ascii="Arial" w:hAnsi="Arial" w:cs="Arial"/>
          <w:sz w:val="24"/>
          <w:szCs w:val="24"/>
        </w:rPr>
        <w:t>nce</w:t>
      </w:r>
      <w:r>
        <w:rPr>
          <w:rFonts w:ascii="Arial" w:hAnsi="Arial" w:cs="Arial"/>
          <w:sz w:val="24"/>
          <w:szCs w:val="24"/>
        </w:rPr>
        <w:t xml:space="preserve"> of the people, he ha</w:t>
      </w:r>
      <w:r w:rsidR="006D1E39">
        <w:rPr>
          <w:rFonts w:ascii="Arial" w:hAnsi="Arial" w:cs="Arial"/>
          <w:sz w:val="24"/>
          <w:szCs w:val="24"/>
        </w:rPr>
        <w:t>d</w:t>
      </w:r>
      <w:r>
        <w:rPr>
          <w:rFonts w:ascii="Arial" w:hAnsi="Arial" w:cs="Arial"/>
          <w:sz w:val="24"/>
          <w:szCs w:val="24"/>
        </w:rPr>
        <w:t xml:space="preserve"> the aristocracy couch the prospective war in terms</w:t>
      </w:r>
      <w:r w:rsidR="0017742E">
        <w:rPr>
          <w:rFonts w:ascii="Arial" w:hAnsi="Arial" w:cs="Arial"/>
          <w:sz w:val="24"/>
          <w:szCs w:val="24"/>
        </w:rPr>
        <w:t xml:space="preserve"> of</w:t>
      </w:r>
      <w:r>
        <w:rPr>
          <w:rFonts w:ascii="Arial" w:hAnsi="Arial" w:cs="Arial"/>
          <w:sz w:val="24"/>
          <w:szCs w:val="24"/>
        </w:rPr>
        <w:t xml:space="preserve"> plunder</w:t>
      </w:r>
      <w:r>
        <w:rPr>
          <w:rStyle w:val="FootnoteReference"/>
          <w:rFonts w:ascii="Arial" w:hAnsi="Arial" w:cs="Arial"/>
          <w:sz w:val="24"/>
          <w:szCs w:val="24"/>
        </w:rPr>
        <w:footnoteReference w:id="3"/>
      </w:r>
      <w:r>
        <w:rPr>
          <w:rFonts w:ascii="Arial" w:hAnsi="Arial" w:cs="Arial"/>
          <w:sz w:val="24"/>
          <w:szCs w:val="24"/>
        </w:rPr>
        <w:t>. Conversely, Diodorus and Appian state that Rome’s acceptance of the Mamertine appeal was a pretext and that the conquest of Sicily was their actual intent – Diodorus even mocks</w:t>
      </w:r>
      <w:r w:rsidR="00820087">
        <w:rPr>
          <w:rFonts w:ascii="Arial" w:hAnsi="Arial" w:cs="Arial"/>
          <w:sz w:val="24"/>
          <w:szCs w:val="24"/>
        </w:rPr>
        <w:t xml:space="preserve"> the Roman</w:t>
      </w:r>
      <w:r w:rsidR="0017742E">
        <w:rPr>
          <w:rFonts w:ascii="Arial" w:hAnsi="Arial" w:cs="Arial"/>
          <w:sz w:val="24"/>
          <w:szCs w:val="24"/>
        </w:rPr>
        <w:t>’</w:t>
      </w:r>
      <w:r w:rsidR="00820087">
        <w:rPr>
          <w:rFonts w:ascii="Arial" w:hAnsi="Arial" w:cs="Arial"/>
          <w:sz w:val="24"/>
          <w:szCs w:val="24"/>
        </w:rPr>
        <w:t xml:space="preserve">s claim of </w:t>
      </w:r>
      <w:r>
        <w:rPr>
          <w:rFonts w:ascii="Arial" w:hAnsi="Arial" w:cs="Arial"/>
          <w:i/>
          <w:iCs/>
          <w:sz w:val="24"/>
          <w:szCs w:val="24"/>
        </w:rPr>
        <w:t>fides</w:t>
      </w:r>
      <w:r>
        <w:rPr>
          <w:rFonts w:ascii="Arial" w:hAnsi="Arial" w:cs="Arial"/>
          <w:sz w:val="24"/>
          <w:szCs w:val="24"/>
        </w:rPr>
        <w:t xml:space="preserve"> as a reason to help the Mamertines</w:t>
      </w:r>
      <w:r>
        <w:rPr>
          <w:rStyle w:val="FootnoteReference"/>
          <w:rFonts w:ascii="Arial" w:hAnsi="Arial" w:cs="Arial"/>
          <w:sz w:val="24"/>
          <w:szCs w:val="24"/>
        </w:rPr>
        <w:footnoteReference w:id="4"/>
      </w:r>
      <w:r>
        <w:rPr>
          <w:rFonts w:ascii="Arial" w:hAnsi="Arial" w:cs="Arial"/>
          <w:sz w:val="24"/>
          <w:szCs w:val="24"/>
        </w:rPr>
        <w:t>. Later sources</w:t>
      </w:r>
      <w:r w:rsidR="00DD3050">
        <w:rPr>
          <w:rFonts w:ascii="Arial" w:hAnsi="Arial" w:cs="Arial"/>
          <w:sz w:val="24"/>
          <w:szCs w:val="24"/>
        </w:rPr>
        <w:t xml:space="preserve"> </w:t>
      </w:r>
      <w:r>
        <w:rPr>
          <w:rFonts w:ascii="Arial" w:hAnsi="Arial" w:cs="Arial"/>
          <w:sz w:val="24"/>
          <w:szCs w:val="24"/>
        </w:rPr>
        <w:t>more cynically explain that the appeal was a pretext for</w:t>
      </w:r>
      <w:r>
        <w:rPr>
          <w:rFonts w:ascii="Arial" w:hAnsi="Arial" w:cs="Arial"/>
          <w:i/>
          <w:iCs/>
          <w:sz w:val="24"/>
          <w:szCs w:val="24"/>
        </w:rPr>
        <w:t xml:space="preserve"> both </w:t>
      </w:r>
      <w:r>
        <w:rPr>
          <w:rFonts w:ascii="Arial" w:hAnsi="Arial" w:cs="Arial"/>
          <w:sz w:val="24"/>
          <w:szCs w:val="24"/>
        </w:rPr>
        <w:t>sides</w:t>
      </w:r>
      <w:r w:rsidR="00DD3050">
        <w:rPr>
          <w:rFonts w:ascii="Arial" w:hAnsi="Arial" w:cs="Arial"/>
          <w:sz w:val="24"/>
          <w:szCs w:val="24"/>
        </w:rPr>
        <w:t>:</w:t>
      </w:r>
      <w:r>
        <w:rPr>
          <w:rFonts w:ascii="Arial" w:hAnsi="Arial" w:cs="Arial"/>
          <w:sz w:val="24"/>
          <w:szCs w:val="24"/>
        </w:rPr>
        <w:t xml:space="preserve"> each side was already eyeing </w:t>
      </w:r>
      <w:r w:rsidR="00C1797F">
        <w:rPr>
          <w:rFonts w:ascii="Arial" w:hAnsi="Arial" w:cs="Arial"/>
          <w:sz w:val="24"/>
          <w:szCs w:val="24"/>
        </w:rPr>
        <w:t>up the wealth</w:t>
      </w:r>
      <w:r>
        <w:rPr>
          <w:rFonts w:ascii="Arial" w:hAnsi="Arial" w:cs="Arial"/>
          <w:sz w:val="24"/>
          <w:szCs w:val="24"/>
        </w:rPr>
        <w:t xml:space="preserve"> of the other</w:t>
      </w:r>
      <w:r>
        <w:rPr>
          <w:rStyle w:val="FootnoteReference"/>
          <w:rFonts w:ascii="Arial" w:hAnsi="Arial" w:cs="Arial"/>
          <w:sz w:val="24"/>
          <w:szCs w:val="24"/>
        </w:rPr>
        <w:footnoteReference w:id="5"/>
      </w:r>
      <w:r>
        <w:rPr>
          <w:rFonts w:ascii="Arial" w:hAnsi="Arial" w:cs="Arial"/>
          <w:sz w:val="24"/>
          <w:szCs w:val="24"/>
        </w:rPr>
        <w:t xml:space="preserve">. For contemporary historians, </w:t>
      </w:r>
      <w:r w:rsidR="00C1797F">
        <w:rPr>
          <w:rFonts w:ascii="Arial" w:hAnsi="Arial" w:cs="Arial"/>
          <w:sz w:val="24"/>
          <w:szCs w:val="24"/>
        </w:rPr>
        <w:t xml:space="preserve">disagreement has </w:t>
      </w:r>
      <w:r w:rsidR="002C5439">
        <w:rPr>
          <w:rFonts w:ascii="Arial" w:hAnsi="Arial" w:cs="Arial"/>
          <w:sz w:val="24"/>
          <w:szCs w:val="24"/>
        </w:rPr>
        <w:t>led</w:t>
      </w:r>
      <w:r w:rsidR="00C1797F">
        <w:rPr>
          <w:rFonts w:ascii="Arial" w:hAnsi="Arial" w:cs="Arial"/>
          <w:sz w:val="24"/>
          <w:szCs w:val="24"/>
        </w:rPr>
        <w:t xml:space="preserve"> to</w:t>
      </w:r>
      <w:r>
        <w:rPr>
          <w:rFonts w:ascii="Arial" w:hAnsi="Arial" w:cs="Arial"/>
          <w:sz w:val="24"/>
          <w:szCs w:val="24"/>
        </w:rPr>
        <w:t xml:space="preserve"> three schools of thought </w:t>
      </w:r>
      <w:r w:rsidR="002129C3">
        <w:rPr>
          <w:rFonts w:ascii="Arial" w:hAnsi="Arial" w:cs="Arial"/>
          <w:sz w:val="24"/>
          <w:szCs w:val="24"/>
        </w:rPr>
        <w:t>being</w:t>
      </w:r>
      <w:r>
        <w:rPr>
          <w:rFonts w:ascii="Arial" w:hAnsi="Arial" w:cs="Arial"/>
          <w:sz w:val="24"/>
          <w:szCs w:val="24"/>
        </w:rPr>
        <w:t xml:space="preserve"> </w:t>
      </w:r>
      <w:r w:rsidR="0017742E">
        <w:rPr>
          <w:rFonts w:ascii="Arial" w:hAnsi="Arial" w:cs="Arial"/>
          <w:sz w:val="24"/>
          <w:szCs w:val="24"/>
        </w:rPr>
        <w:t>identified</w:t>
      </w:r>
      <w:r>
        <w:rPr>
          <w:rFonts w:ascii="Arial" w:hAnsi="Arial" w:cs="Arial"/>
          <w:sz w:val="24"/>
          <w:szCs w:val="24"/>
        </w:rPr>
        <w:t>:</w:t>
      </w:r>
    </w:p>
    <w:p w14:paraId="25897D94" w14:textId="16259A72" w:rsidR="00F21624" w:rsidRDefault="00F21624" w:rsidP="008B745A">
      <w:pPr>
        <w:pStyle w:val="ListParagraph"/>
        <w:numPr>
          <w:ilvl w:val="0"/>
          <w:numId w:val="4"/>
        </w:numPr>
        <w:spacing w:line="480" w:lineRule="auto"/>
        <w:rPr>
          <w:rFonts w:ascii="Arial" w:hAnsi="Arial" w:cs="Arial"/>
          <w:b/>
          <w:bCs/>
          <w:sz w:val="24"/>
          <w:szCs w:val="24"/>
        </w:rPr>
      </w:pPr>
      <w:r>
        <w:rPr>
          <w:rFonts w:ascii="Arial" w:hAnsi="Arial" w:cs="Arial"/>
          <w:b/>
          <w:bCs/>
          <w:sz w:val="24"/>
          <w:szCs w:val="24"/>
        </w:rPr>
        <w:t xml:space="preserve">Roman </w:t>
      </w:r>
      <w:r w:rsidR="0017742E">
        <w:rPr>
          <w:rFonts w:ascii="Arial" w:hAnsi="Arial" w:cs="Arial"/>
          <w:b/>
          <w:bCs/>
          <w:sz w:val="24"/>
          <w:szCs w:val="24"/>
        </w:rPr>
        <w:t>A</w:t>
      </w:r>
      <w:r>
        <w:rPr>
          <w:rFonts w:ascii="Arial" w:hAnsi="Arial" w:cs="Arial"/>
          <w:b/>
          <w:bCs/>
          <w:sz w:val="24"/>
          <w:szCs w:val="24"/>
        </w:rPr>
        <w:t xml:space="preserve">ggressiveness </w:t>
      </w:r>
    </w:p>
    <w:p w14:paraId="50CD1A04" w14:textId="5EC0DEA8" w:rsidR="003448CC" w:rsidRDefault="00F21624" w:rsidP="008B745A">
      <w:pPr>
        <w:spacing w:line="480" w:lineRule="auto"/>
        <w:rPr>
          <w:rFonts w:ascii="Arial" w:hAnsi="Arial" w:cs="Arial"/>
          <w:sz w:val="24"/>
          <w:szCs w:val="24"/>
        </w:rPr>
      </w:pPr>
      <w:r>
        <w:rPr>
          <w:rFonts w:ascii="Arial" w:hAnsi="Arial" w:cs="Arial"/>
          <w:sz w:val="24"/>
          <w:szCs w:val="24"/>
        </w:rPr>
        <w:t xml:space="preserve">Harris </w:t>
      </w:r>
      <w:r w:rsidR="00AF1847">
        <w:rPr>
          <w:rFonts w:ascii="Arial" w:hAnsi="Arial" w:cs="Arial"/>
          <w:sz w:val="24"/>
          <w:szCs w:val="24"/>
        </w:rPr>
        <w:t>argues</w:t>
      </w:r>
      <w:r>
        <w:rPr>
          <w:rFonts w:ascii="Arial" w:hAnsi="Arial" w:cs="Arial"/>
          <w:sz w:val="24"/>
          <w:szCs w:val="24"/>
        </w:rPr>
        <w:t xml:space="preserve"> that the First Punic War came about because Rome saw an opportunity for expansion, especially to increase land and wealth, </w:t>
      </w:r>
      <w:r w:rsidR="00F668A1">
        <w:rPr>
          <w:rFonts w:ascii="Arial" w:hAnsi="Arial" w:cs="Arial"/>
          <w:sz w:val="24"/>
          <w:szCs w:val="24"/>
        </w:rPr>
        <w:t>as well as the Roman elite’s innate military ethos</w:t>
      </w:r>
      <w:r>
        <w:rPr>
          <w:rStyle w:val="FootnoteReference"/>
          <w:rFonts w:ascii="Arial" w:hAnsi="Arial" w:cs="Arial"/>
          <w:sz w:val="24"/>
          <w:szCs w:val="24"/>
        </w:rPr>
        <w:footnoteReference w:id="6"/>
      </w:r>
      <w:r>
        <w:rPr>
          <w:rFonts w:ascii="Arial" w:hAnsi="Arial" w:cs="Arial"/>
          <w:sz w:val="24"/>
          <w:szCs w:val="24"/>
        </w:rPr>
        <w:t xml:space="preserve">. </w:t>
      </w:r>
      <w:r w:rsidR="002C5439">
        <w:rPr>
          <w:rFonts w:ascii="Arial" w:hAnsi="Arial" w:cs="Arial"/>
          <w:sz w:val="24"/>
          <w:szCs w:val="24"/>
        </w:rPr>
        <w:t>He</w:t>
      </w:r>
      <w:r>
        <w:rPr>
          <w:rFonts w:ascii="Arial" w:hAnsi="Arial" w:cs="Arial"/>
          <w:sz w:val="24"/>
          <w:szCs w:val="24"/>
        </w:rPr>
        <w:t xml:space="preserve"> even claim</w:t>
      </w:r>
      <w:r w:rsidR="002C5439">
        <w:rPr>
          <w:rFonts w:ascii="Arial" w:hAnsi="Arial" w:cs="Arial"/>
          <w:sz w:val="24"/>
          <w:szCs w:val="24"/>
        </w:rPr>
        <w:t>s</w:t>
      </w:r>
      <w:r>
        <w:rPr>
          <w:rFonts w:ascii="Arial" w:hAnsi="Arial" w:cs="Arial"/>
          <w:sz w:val="24"/>
          <w:szCs w:val="24"/>
        </w:rPr>
        <w:t xml:space="preserve"> that to say Rome was not primarily concern</w:t>
      </w:r>
      <w:r w:rsidR="000532AB">
        <w:rPr>
          <w:rFonts w:ascii="Arial" w:hAnsi="Arial" w:cs="Arial"/>
          <w:sz w:val="24"/>
          <w:szCs w:val="24"/>
        </w:rPr>
        <w:t>ed</w:t>
      </w:r>
      <w:r>
        <w:rPr>
          <w:rFonts w:ascii="Arial" w:hAnsi="Arial" w:cs="Arial"/>
          <w:sz w:val="24"/>
          <w:szCs w:val="24"/>
        </w:rPr>
        <w:t xml:space="preserve"> with greed is a ‘disastrous’ </w:t>
      </w:r>
      <w:r w:rsidR="003448CC">
        <w:rPr>
          <w:rFonts w:ascii="Arial" w:hAnsi="Arial" w:cs="Arial"/>
          <w:sz w:val="24"/>
          <w:szCs w:val="24"/>
        </w:rPr>
        <w:t>mis</w:t>
      </w:r>
      <w:r>
        <w:rPr>
          <w:rFonts w:ascii="Arial" w:hAnsi="Arial" w:cs="Arial"/>
          <w:sz w:val="24"/>
          <w:szCs w:val="24"/>
        </w:rPr>
        <w:t>understanding of Roman imperialism</w:t>
      </w:r>
      <w:r>
        <w:rPr>
          <w:rStyle w:val="FootnoteReference"/>
          <w:rFonts w:ascii="Arial" w:hAnsi="Arial" w:cs="Arial"/>
          <w:sz w:val="24"/>
          <w:szCs w:val="24"/>
        </w:rPr>
        <w:footnoteReference w:id="7"/>
      </w:r>
      <w:r>
        <w:rPr>
          <w:rFonts w:ascii="Arial" w:hAnsi="Arial" w:cs="Arial"/>
          <w:sz w:val="24"/>
          <w:szCs w:val="24"/>
        </w:rPr>
        <w:t>. Importantly</w:t>
      </w:r>
      <w:r w:rsidR="003448CC">
        <w:rPr>
          <w:rFonts w:ascii="Arial" w:hAnsi="Arial" w:cs="Arial"/>
          <w:sz w:val="24"/>
          <w:szCs w:val="24"/>
        </w:rPr>
        <w:t xml:space="preserve">, </w:t>
      </w:r>
      <w:r>
        <w:rPr>
          <w:rFonts w:ascii="Arial" w:hAnsi="Arial" w:cs="Arial"/>
          <w:sz w:val="24"/>
          <w:szCs w:val="24"/>
        </w:rPr>
        <w:t xml:space="preserve">the Romans </w:t>
      </w:r>
      <w:r w:rsidR="00745B7B">
        <w:rPr>
          <w:rFonts w:ascii="Arial" w:hAnsi="Arial" w:cs="Arial"/>
          <w:sz w:val="24"/>
          <w:szCs w:val="24"/>
        </w:rPr>
        <w:t>deliberately</w:t>
      </w:r>
      <w:r>
        <w:rPr>
          <w:rFonts w:ascii="Arial" w:hAnsi="Arial" w:cs="Arial"/>
          <w:sz w:val="24"/>
          <w:szCs w:val="24"/>
        </w:rPr>
        <w:t xml:space="preserve"> thought about where to expand </w:t>
      </w:r>
      <w:r w:rsidR="00745B7B">
        <w:rPr>
          <w:rFonts w:ascii="Arial" w:hAnsi="Arial" w:cs="Arial"/>
          <w:sz w:val="24"/>
          <w:szCs w:val="24"/>
        </w:rPr>
        <w:t>having</w:t>
      </w:r>
      <w:r>
        <w:rPr>
          <w:rFonts w:ascii="Arial" w:hAnsi="Arial" w:cs="Arial"/>
          <w:sz w:val="24"/>
          <w:szCs w:val="24"/>
        </w:rPr>
        <w:t xml:space="preserve"> gained control of Italy, as the Roman elite needed a continuous state of warfare</w:t>
      </w:r>
      <w:r w:rsidR="006F2A9F">
        <w:rPr>
          <w:rFonts w:ascii="Arial" w:hAnsi="Arial" w:cs="Arial"/>
          <w:sz w:val="24"/>
          <w:szCs w:val="24"/>
        </w:rPr>
        <w:t xml:space="preserve"> – an argument supported by Cornell</w:t>
      </w:r>
      <w:r>
        <w:rPr>
          <w:rStyle w:val="FootnoteReference"/>
          <w:rFonts w:ascii="Arial" w:hAnsi="Arial" w:cs="Arial"/>
          <w:sz w:val="24"/>
          <w:szCs w:val="24"/>
        </w:rPr>
        <w:footnoteReference w:id="8"/>
      </w:r>
      <w:r w:rsidR="000532AB">
        <w:rPr>
          <w:rFonts w:ascii="Arial" w:hAnsi="Arial" w:cs="Arial"/>
          <w:sz w:val="24"/>
          <w:szCs w:val="24"/>
        </w:rPr>
        <w:t>.</w:t>
      </w:r>
      <w:r>
        <w:rPr>
          <w:rFonts w:ascii="Arial" w:hAnsi="Arial" w:cs="Arial"/>
          <w:sz w:val="24"/>
          <w:szCs w:val="24"/>
        </w:rPr>
        <w:t xml:space="preserve"> </w:t>
      </w:r>
    </w:p>
    <w:p w14:paraId="26A356FB" w14:textId="3E6242ED" w:rsidR="00F21624" w:rsidRDefault="00F21624" w:rsidP="008B745A">
      <w:pPr>
        <w:spacing w:line="480" w:lineRule="auto"/>
        <w:rPr>
          <w:rFonts w:ascii="Arial" w:hAnsi="Arial" w:cs="Arial"/>
          <w:sz w:val="24"/>
          <w:szCs w:val="24"/>
        </w:rPr>
      </w:pPr>
      <w:r>
        <w:rPr>
          <w:rFonts w:ascii="Arial" w:hAnsi="Arial" w:cs="Arial"/>
          <w:sz w:val="24"/>
          <w:szCs w:val="24"/>
        </w:rPr>
        <w:lastRenderedPageBreak/>
        <w:t>Th</w:t>
      </w:r>
      <w:r w:rsidR="008C1B70">
        <w:rPr>
          <w:rFonts w:ascii="Arial" w:hAnsi="Arial" w:cs="Arial"/>
          <w:sz w:val="24"/>
          <w:szCs w:val="24"/>
        </w:rPr>
        <w:t>e</w:t>
      </w:r>
      <w:r>
        <w:rPr>
          <w:rFonts w:ascii="Arial" w:hAnsi="Arial" w:cs="Arial"/>
          <w:sz w:val="24"/>
          <w:szCs w:val="24"/>
        </w:rPr>
        <w:t xml:space="preserve"> idea of</w:t>
      </w:r>
      <w:r w:rsidR="008C1B70">
        <w:rPr>
          <w:rFonts w:ascii="Arial" w:hAnsi="Arial" w:cs="Arial"/>
          <w:sz w:val="24"/>
          <w:szCs w:val="24"/>
        </w:rPr>
        <w:t xml:space="preserve"> Roman</w:t>
      </w:r>
      <w:r>
        <w:rPr>
          <w:rFonts w:ascii="Arial" w:hAnsi="Arial" w:cs="Arial"/>
          <w:sz w:val="24"/>
          <w:szCs w:val="24"/>
        </w:rPr>
        <w:t xml:space="preserve"> ‘grand strategy’ is </w:t>
      </w:r>
      <w:r w:rsidR="008C1B70">
        <w:rPr>
          <w:rFonts w:ascii="Arial" w:hAnsi="Arial" w:cs="Arial"/>
          <w:sz w:val="24"/>
          <w:szCs w:val="24"/>
        </w:rPr>
        <w:t>emphasised</w:t>
      </w:r>
      <w:r>
        <w:rPr>
          <w:rFonts w:ascii="Arial" w:hAnsi="Arial" w:cs="Arial"/>
          <w:sz w:val="24"/>
          <w:szCs w:val="24"/>
        </w:rPr>
        <w:t xml:space="preserve"> by Loreto</w:t>
      </w:r>
      <w:r w:rsidR="008C1B70">
        <w:rPr>
          <w:rFonts w:ascii="Arial" w:hAnsi="Arial" w:cs="Arial"/>
          <w:sz w:val="24"/>
          <w:szCs w:val="24"/>
        </w:rPr>
        <w:t>,</w:t>
      </w:r>
      <w:r>
        <w:rPr>
          <w:rFonts w:ascii="Arial" w:hAnsi="Arial" w:cs="Arial"/>
          <w:sz w:val="24"/>
          <w:szCs w:val="24"/>
        </w:rPr>
        <w:t xml:space="preserve"> who states that 264</w:t>
      </w:r>
      <w:r w:rsidR="008C1B70">
        <w:rPr>
          <w:rFonts w:ascii="Arial" w:hAnsi="Arial" w:cs="Arial"/>
          <w:sz w:val="24"/>
          <w:szCs w:val="24"/>
        </w:rPr>
        <w:t xml:space="preserve"> </w:t>
      </w:r>
      <w:r>
        <w:rPr>
          <w:rFonts w:ascii="Arial" w:hAnsi="Arial" w:cs="Arial"/>
          <w:sz w:val="24"/>
          <w:szCs w:val="24"/>
        </w:rPr>
        <w:t>marked a ‘revolution in grand strategy’</w:t>
      </w:r>
      <w:r>
        <w:rPr>
          <w:rStyle w:val="FootnoteReference"/>
          <w:rFonts w:ascii="Arial" w:hAnsi="Arial" w:cs="Arial"/>
          <w:sz w:val="24"/>
          <w:szCs w:val="24"/>
        </w:rPr>
        <w:footnoteReference w:id="9"/>
      </w:r>
      <w:r>
        <w:rPr>
          <w:rFonts w:ascii="Arial" w:hAnsi="Arial" w:cs="Arial"/>
          <w:sz w:val="24"/>
          <w:szCs w:val="24"/>
        </w:rPr>
        <w:t>. The phrase ‘grand strategy’ marks an important point in discussions about the First Punic War</w:t>
      </w:r>
      <w:r w:rsidR="003448CC">
        <w:rPr>
          <w:rFonts w:ascii="Arial" w:hAnsi="Arial" w:cs="Arial"/>
          <w:sz w:val="24"/>
          <w:szCs w:val="24"/>
        </w:rPr>
        <w:t>,</w:t>
      </w:r>
      <w:r>
        <w:rPr>
          <w:rFonts w:ascii="Arial" w:hAnsi="Arial" w:cs="Arial"/>
          <w:sz w:val="24"/>
          <w:szCs w:val="24"/>
        </w:rPr>
        <w:t xml:space="preserve"> as it suggests that Rom</w:t>
      </w:r>
      <w:r w:rsidR="000C57B7">
        <w:rPr>
          <w:rFonts w:ascii="Arial" w:hAnsi="Arial" w:cs="Arial"/>
          <w:sz w:val="24"/>
          <w:szCs w:val="24"/>
        </w:rPr>
        <w:t>e thought it terms of long-term strategy, rather than opportunism</w:t>
      </w:r>
      <w:r w:rsidR="002C796A">
        <w:rPr>
          <w:rFonts w:ascii="Arial" w:hAnsi="Arial" w:cs="Arial"/>
          <w:sz w:val="24"/>
          <w:szCs w:val="24"/>
        </w:rPr>
        <w:t>. Certainly,</w:t>
      </w:r>
      <w:r>
        <w:rPr>
          <w:rFonts w:ascii="Arial" w:hAnsi="Arial" w:cs="Arial"/>
          <w:sz w:val="24"/>
          <w:szCs w:val="24"/>
        </w:rPr>
        <w:t xml:space="preserve"> for Harris, the Romans ‘overriding’ concern was territorial expansion</w:t>
      </w:r>
      <w:r>
        <w:rPr>
          <w:rStyle w:val="FootnoteReference"/>
          <w:rFonts w:ascii="Arial" w:hAnsi="Arial" w:cs="Arial"/>
          <w:sz w:val="24"/>
          <w:szCs w:val="24"/>
        </w:rPr>
        <w:footnoteReference w:id="10"/>
      </w:r>
      <w:r>
        <w:rPr>
          <w:rFonts w:ascii="Arial" w:hAnsi="Arial" w:cs="Arial"/>
          <w:sz w:val="24"/>
          <w:szCs w:val="24"/>
        </w:rPr>
        <w:t>. Harris’ importance in the context of this dissertation is that he actively refutes the idea of ‘defensive imperialism’</w:t>
      </w:r>
      <w:r>
        <w:rPr>
          <w:rStyle w:val="FootnoteReference"/>
          <w:rFonts w:ascii="Arial" w:hAnsi="Arial" w:cs="Arial"/>
          <w:sz w:val="24"/>
          <w:szCs w:val="24"/>
        </w:rPr>
        <w:footnoteReference w:id="11"/>
      </w:r>
      <w:r>
        <w:rPr>
          <w:rFonts w:ascii="Arial" w:hAnsi="Arial" w:cs="Arial"/>
          <w:sz w:val="24"/>
          <w:szCs w:val="24"/>
        </w:rPr>
        <w:t>, as do Goldstone and Haldon who simply state Rome was a ‘conquest state’</w:t>
      </w:r>
      <w:r>
        <w:rPr>
          <w:rStyle w:val="FootnoteReference"/>
          <w:rFonts w:ascii="Arial" w:hAnsi="Arial" w:cs="Arial"/>
          <w:sz w:val="24"/>
          <w:szCs w:val="24"/>
        </w:rPr>
        <w:footnoteReference w:id="12"/>
      </w:r>
      <w:r>
        <w:rPr>
          <w:rFonts w:ascii="Arial" w:hAnsi="Arial" w:cs="Arial"/>
          <w:sz w:val="24"/>
          <w:szCs w:val="24"/>
        </w:rPr>
        <w:t xml:space="preserve"> and that opportunism was the key policy in where and when to expand</w:t>
      </w:r>
      <w:r>
        <w:rPr>
          <w:rStyle w:val="FootnoteReference"/>
          <w:rFonts w:ascii="Arial" w:hAnsi="Arial" w:cs="Arial"/>
          <w:sz w:val="24"/>
          <w:szCs w:val="24"/>
        </w:rPr>
        <w:footnoteReference w:id="13"/>
      </w:r>
      <w:r>
        <w:rPr>
          <w:rFonts w:ascii="Arial" w:hAnsi="Arial" w:cs="Arial"/>
          <w:sz w:val="24"/>
          <w:szCs w:val="24"/>
        </w:rPr>
        <w:t>.</w:t>
      </w:r>
    </w:p>
    <w:p w14:paraId="634CA835" w14:textId="19218BB1" w:rsidR="00F21624" w:rsidRDefault="00F21624" w:rsidP="008B745A">
      <w:pPr>
        <w:spacing w:line="480" w:lineRule="auto"/>
        <w:rPr>
          <w:rFonts w:ascii="Arial" w:hAnsi="Arial" w:cs="Arial"/>
          <w:sz w:val="24"/>
          <w:szCs w:val="24"/>
        </w:rPr>
      </w:pPr>
      <w:r>
        <w:rPr>
          <w:rFonts w:ascii="Arial" w:hAnsi="Arial" w:cs="Arial"/>
          <w:sz w:val="24"/>
          <w:szCs w:val="24"/>
        </w:rPr>
        <w:t xml:space="preserve">Oakley </w:t>
      </w:r>
      <w:r w:rsidR="00E56335">
        <w:rPr>
          <w:rFonts w:ascii="Arial" w:hAnsi="Arial" w:cs="Arial"/>
          <w:sz w:val="24"/>
          <w:szCs w:val="24"/>
        </w:rPr>
        <w:t xml:space="preserve">and </w:t>
      </w:r>
      <w:proofErr w:type="spellStart"/>
      <w:r w:rsidR="00E56335">
        <w:rPr>
          <w:rFonts w:ascii="Arial" w:hAnsi="Arial" w:cs="Arial"/>
          <w:sz w:val="24"/>
          <w:szCs w:val="24"/>
        </w:rPr>
        <w:t>Rankow</w:t>
      </w:r>
      <w:proofErr w:type="spellEnd"/>
      <w:r w:rsidR="00E56335">
        <w:rPr>
          <w:rFonts w:ascii="Arial" w:hAnsi="Arial" w:cs="Arial"/>
          <w:sz w:val="24"/>
          <w:szCs w:val="24"/>
        </w:rPr>
        <w:t xml:space="preserve"> concur, </w:t>
      </w:r>
      <w:r w:rsidR="003448CC">
        <w:rPr>
          <w:rFonts w:ascii="Arial" w:hAnsi="Arial" w:cs="Arial"/>
          <w:sz w:val="24"/>
          <w:szCs w:val="24"/>
        </w:rPr>
        <w:t>emphasising</w:t>
      </w:r>
      <w:r>
        <w:rPr>
          <w:rFonts w:ascii="Arial" w:hAnsi="Arial" w:cs="Arial"/>
          <w:sz w:val="24"/>
          <w:szCs w:val="24"/>
        </w:rPr>
        <w:t xml:space="preserve"> </w:t>
      </w:r>
      <w:r w:rsidR="003448CC">
        <w:rPr>
          <w:rFonts w:ascii="Arial" w:hAnsi="Arial" w:cs="Arial"/>
          <w:sz w:val="24"/>
          <w:szCs w:val="24"/>
        </w:rPr>
        <w:t>Rome’s obsession with plunder</w:t>
      </w:r>
      <w:r>
        <w:rPr>
          <w:rStyle w:val="FootnoteReference"/>
          <w:rFonts w:ascii="Arial" w:hAnsi="Arial" w:cs="Arial"/>
          <w:sz w:val="24"/>
          <w:szCs w:val="24"/>
        </w:rPr>
        <w:footnoteReference w:id="14"/>
      </w:r>
      <w:r>
        <w:rPr>
          <w:rFonts w:ascii="Arial" w:hAnsi="Arial" w:cs="Arial"/>
          <w:sz w:val="24"/>
          <w:szCs w:val="24"/>
        </w:rPr>
        <w:t xml:space="preserve">. </w:t>
      </w:r>
      <w:r w:rsidR="00976E34">
        <w:rPr>
          <w:rFonts w:ascii="Arial" w:hAnsi="Arial" w:cs="Arial"/>
          <w:sz w:val="24"/>
          <w:szCs w:val="24"/>
        </w:rPr>
        <w:t>Furthermore</w:t>
      </w:r>
      <w:r>
        <w:rPr>
          <w:rFonts w:ascii="Arial" w:hAnsi="Arial" w:cs="Arial"/>
          <w:sz w:val="24"/>
          <w:szCs w:val="24"/>
        </w:rPr>
        <w:t xml:space="preserve">, </w:t>
      </w:r>
      <w:r w:rsidR="00E56335">
        <w:rPr>
          <w:rFonts w:ascii="Arial" w:hAnsi="Arial" w:cs="Arial"/>
          <w:sz w:val="24"/>
          <w:szCs w:val="24"/>
        </w:rPr>
        <w:t>Oakley</w:t>
      </w:r>
      <w:r>
        <w:rPr>
          <w:rFonts w:ascii="Arial" w:hAnsi="Arial" w:cs="Arial"/>
          <w:sz w:val="24"/>
          <w:szCs w:val="24"/>
        </w:rPr>
        <w:t xml:space="preserve"> argues that Rome would often look for war, even if none were to be had – a key factor in their decision to involve themselves in Sicily</w:t>
      </w:r>
      <w:r>
        <w:rPr>
          <w:rStyle w:val="FootnoteReference"/>
          <w:rFonts w:ascii="Arial" w:hAnsi="Arial" w:cs="Arial"/>
          <w:sz w:val="24"/>
          <w:szCs w:val="24"/>
        </w:rPr>
        <w:footnoteReference w:id="15"/>
      </w:r>
      <w:r>
        <w:rPr>
          <w:rFonts w:ascii="Arial" w:hAnsi="Arial" w:cs="Arial"/>
          <w:sz w:val="24"/>
          <w:szCs w:val="24"/>
        </w:rPr>
        <w:t>. He</w:t>
      </w:r>
      <w:r w:rsidR="00E56335">
        <w:rPr>
          <w:rFonts w:ascii="Arial" w:hAnsi="Arial" w:cs="Arial"/>
          <w:sz w:val="24"/>
          <w:szCs w:val="24"/>
        </w:rPr>
        <w:t xml:space="preserve"> and Cornell</w:t>
      </w:r>
      <w:r>
        <w:rPr>
          <w:rFonts w:ascii="Arial" w:hAnsi="Arial" w:cs="Arial"/>
          <w:sz w:val="24"/>
          <w:szCs w:val="24"/>
        </w:rPr>
        <w:t xml:space="preserve"> explicitly </w:t>
      </w:r>
      <w:r w:rsidR="008C1B70">
        <w:rPr>
          <w:rFonts w:ascii="Arial" w:hAnsi="Arial" w:cs="Arial"/>
          <w:sz w:val="24"/>
          <w:szCs w:val="24"/>
        </w:rPr>
        <w:t>state that</w:t>
      </w:r>
      <w:r>
        <w:rPr>
          <w:rFonts w:ascii="Arial" w:hAnsi="Arial" w:cs="Arial"/>
          <w:sz w:val="24"/>
          <w:szCs w:val="24"/>
        </w:rPr>
        <w:t xml:space="preserve"> strategic interests were subordinate to economic ones, with the desire for land and </w:t>
      </w:r>
      <w:r w:rsidR="008C1B70">
        <w:rPr>
          <w:rFonts w:ascii="Arial" w:hAnsi="Arial" w:cs="Arial"/>
          <w:sz w:val="24"/>
          <w:szCs w:val="24"/>
        </w:rPr>
        <w:t>plunder</w:t>
      </w:r>
      <w:r>
        <w:rPr>
          <w:rFonts w:ascii="Arial" w:hAnsi="Arial" w:cs="Arial"/>
          <w:sz w:val="24"/>
          <w:szCs w:val="24"/>
        </w:rPr>
        <w:t xml:space="preserve"> </w:t>
      </w:r>
      <w:r w:rsidR="008C1B70">
        <w:rPr>
          <w:rFonts w:ascii="Arial" w:hAnsi="Arial" w:cs="Arial"/>
          <w:sz w:val="24"/>
          <w:szCs w:val="24"/>
        </w:rPr>
        <w:t>vital</w:t>
      </w:r>
      <w:r>
        <w:rPr>
          <w:rFonts w:ascii="Arial" w:hAnsi="Arial" w:cs="Arial"/>
          <w:sz w:val="24"/>
          <w:szCs w:val="24"/>
        </w:rPr>
        <w:t xml:space="preserve"> </w:t>
      </w:r>
      <w:r w:rsidR="008C1B70">
        <w:rPr>
          <w:rFonts w:ascii="Arial" w:hAnsi="Arial" w:cs="Arial"/>
          <w:sz w:val="24"/>
          <w:szCs w:val="24"/>
        </w:rPr>
        <w:t>for</w:t>
      </w:r>
      <w:r>
        <w:rPr>
          <w:rFonts w:ascii="Arial" w:hAnsi="Arial" w:cs="Arial"/>
          <w:sz w:val="24"/>
          <w:szCs w:val="24"/>
        </w:rPr>
        <w:t xml:space="preserve"> relieving the huge debts the plebeians had accrued</w:t>
      </w:r>
      <w:r>
        <w:rPr>
          <w:rStyle w:val="FootnoteReference"/>
          <w:rFonts w:ascii="Arial" w:hAnsi="Arial" w:cs="Arial"/>
          <w:sz w:val="24"/>
          <w:szCs w:val="24"/>
        </w:rPr>
        <w:footnoteReference w:id="16"/>
      </w:r>
      <w:r>
        <w:rPr>
          <w:rFonts w:ascii="Arial" w:hAnsi="Arial" w:cs="Arial"/>
          <w:sz w:val="24"/>
          <w:szCs w:val="24"/>
        </w:rPr>
        <w:t xml:space="preserve">. </w:t>
      </w:r>
    </w:p>
    <w:p w14:paraId="0EDDEEF8" w14:textId="2273634A" w:rsidR="00F21624" w:rsidRDefault="00F21624" w:rsidP="008B745A">
      <w:pPr>
        <w:spacing w:line="480" w:lineRule="auto"/>
        <w:rPr>
          <w:rFonts w:ascii="Arial" w:hAnsi="Arial" w:cs="Arial"/>
          <w:sz w:val="24"/>
          <w:szCs w:val="24"/>
        </w:rPr>
      </w:pPr>
      <w:r>
        <w:rPr>
          <w:rFonts w:ascii="Arial" w:hAnsi="Arial" w:cs="Arial"/>
          <w:sz w:val="24"/>
          <w:szCs w:val="24"/>
        </w:rPr>
        <w:t xml:space="preserve">This idea of expansion helping to relieve social tensions is put forward by Raaflaub, </w:t>
      </w:r>
      <w:r w:rsidR="000E5D45">
        <w:rPr>
          <w:rFonts w:ascii="Arial" w:hAnsi="Arial" w:cs="Arial"/>
          <w:sz w:val="24"/>
          <w:szCs w:val="24"/>
        </w:rPr>
        <w:t>highlighting</w:t>
      </w:r>
      <w:r>
        <w:rPr>
          <w:rFonts w:ascii="Arial" w:hAnsi="Arial" w:cs="Arial"/>
          <w:sz w:val="24"/>
          <w:szCs w:val="24"/>
        </w:rPr>
        <w:t xml:space="preserve"> that </w:t>
      </w:r>
      <w:r w:rsidR="008C1B70">
        <w:rPr>
          <w:rFonts w:ascii="Arial" w:hAnsi="Arial" w:cs="Arial"/>
          <w:sz w:val="24"/>
          <w:szCs w:val="24"/>
        </w:rPr>
        <w:t>it</w:t>
      </w:r>
      <w:r>
        <w:rPr>
          <w:rFonts w:ascii="Arial" w:hAnsi="Arial" w:cs="Arial"/>
          <w:sz w:val="24"/>
          <w:szCs w:val="24"/>
        </w:rPr>
        <w:t xml:space="preserve"> was structurally necessary for the Roman state</w:t>
      </w:r>
      <w:r>
        <w:rPr>
          <w:rStyle w:val="FootnoteReference"/>
          <w:rFonts w:ascii="Arial" w:hAnsi="Arial" w:cs="Arial"/>
          <w:sz w:val="24"/>
          <w:szCs w:val="24"/>
        </w:rPr>
        <w:footnoteReference w:id="17"/>
      </w:r>
      <w:r>
        <w:rPr>
          <w:rFonts w:ascii="Arial" w:hAnsi="Arial" w:cs="Arial"/>
          <w:sz w:val="24"/>
          <w:szCs w:val="24"/>
        </w:rPr>
        <w:t xml:space="preserve">. </w:t>
      </w:r>
      <w:r w:rsidR="008C1B70">
        <w:rPr>
          <w:rFonts w:ascii="Arial" w:hAnsi="Arial" w:cs="Arial"/>
          <w:sz w:val="24"/>
          <w:szCs w:val="24"/>
        </w:rPr>
        <w:t>Expansion</w:t>
      </w:r>
      <w:r>
        <w:rPr>
          <w:rFonts w:ascii="Arial" w:hAnsi="Arial" w:cs="Arial"/>
          <w:sz w:val="24"/>
          <w:szCs w:val="24"/>
        </w:rPr>
        <w:t xml:space="preserve"> provided</w:t>
      </w:r>
      <w:r w:rsidR="003448CC">
        <w:rPr>
          <w:rFonts w:ascii="Arial" w:hAnsi="Arial" w:cs="Arial"/>
          <w:sz w:val="24"/>
          <w:szCs w:val="24"/>
        </w:rPr>
        <w:t xml:space="preserve"> a</w:t>
      </w:r>
      <w:r>
        <w:rPr>
          <w:rFonts w:ascii="Arial" w:hAnsi="Arial" w:cs="Arial"/>
          <w:sz w:val="24"/>
          <w:szCs w:val="24"/>
        </w:rPr>
        <w:t xml:space="preserve"> means of relieving land shortages, providing plunder for farmers who were spending more time away from their fields and provided an outlet for the aristocracy’s desire for </w:t>
      </w:r>
      <w:proofErr w:type="spellStart"/>
      <w:r>
        <w:rPr>
          <w:rFonts w:ascii="Arial" w:hAnsi="Arial" w:cs="Arial"/>
          <w:i/>
          <w:iCs/>
          <w:sz w:val="24"/>
          <w:szCs w:val="24"/>
        </w:rPr>
        <w:t>gloria</w:t>
      </w:r>
      <w:proofErr w:type="spellEnd"/>
      <w:r>
        <w:rPr>
          <w:rFonts w:ascii="Arial" w:hAnsi="Arial" w:cs="Arial"/>
          <w:sz w:val="24"/>
          <w:szCs w:val="24"/>
        </w:rPr>
        <w:t xml:space="preserve"> – the key driver for expansion in </w:t>
      </w:r>
      <w:proofErr w:type="spellStart"/>
      <w:r>
        <w:rPr>
          <w:rFonts w:ascii="Arial" w:hAnsi="Arial" w:cs="Arial"/>
          <w:sz w:val="24"/>
          <w:szCs w:val="24"/>
        </w:rPr>
        <w:t>Raaflaub’s</w:t>
      </w:r>
      <w:proofErr w:type="spellEnd"/>
      <w:r>
        <w:rPr>
          <w:rFonts w:ascii="Arial" w:hAnsi="Arial" w:cs="Arial"/>
          <w:sz w:val="24"/>
          <w:szCs w:val="24"/>
        </w:rPr>
        <w:t xml:space="preserve"> (and </w:t>
      </w:r>
      <w:r>
        <w:rPr>
          <w:rFonts w:ascii="Arial" w:hAnsi="Arial" w:cs="Arial"/>
          <w:sz w:val="24"/>
          <w:szCs w:val="24"/>
        </w:rPr>
        <w:lastRenderedPageBreak/>
        <w:t>Rich’s) view</w:t>
      </w:r>
      <w:r>
        <w:rPr>
          <w:rStyle w:val="FootnoteReference"/>
          <w:rFonts w:ascii="Arial" w:hAnsi="Arial" w:cs="Arial"/>
          <w:sz w:val="24"/>
          <w:szCs w:val="24"/>
        </w:rPr>
        <w:footnoteReference w:id="18"/>
      </w:r>
      <w:r>
        <w:rPr>
          <w:rFonts w:ascii="Arial" w:hAnsi="Arial" w:cs="Arial"/>
          <w:sz w:val="24"/>
          <w:szCs w:val="24"/>
        </w:rPr>
        <w:t xml:space="preserve">. Rich emphasises that fear of other states </w:t>
      </w:r>
      <w:r>
        <w:rPr>
          <w:rFonts w:ascii="Arial" w:hAnsi="Arial" w:cs="Arial"/>
          <w:i/>
          <w:iCs/>
          <w:sz w:val="24"/>
          <w:szCs w:val="24"/>
        </w:rPr>
        <w:t>was not</w:t>
      </w:r>
      <w:r>
        <w:rPr>
          <w:rFonts w:ascii="Arial" w:hAnsi="Arial" w:cs="Arial"/>
          <w:sz w:val="24"/>
          <w:szCs w:val="24"/>
        </w:rPr>
        <w:t xml:space="preserve"> a key driver for expansion, but rather the need for the Roman elite to reward patrons and friends</w:t>
      </w:r>
      <w:r>
        <w:rPr>
          <w:rStyle w:val="FootnoteReference"/>
          <w:rFonts w:ascii="Arial" w:hAnsi="Arial" w:cs="Arial"/>
          <w:sz w:val="24"/>
          <w:szCs w:val="24"/>
        </w:rPr>
        <w:footnoteReference w:id="19"/>
      </w:r>
      <w:r>
        <w:rPr>
          <w:rFonts w:ascii="Arial" w:hAnsi="Arial" w:cs="Arial"/>
          <w:sz w:val="24"/>
          <w:szCs w:val="24"/>
        </w:rPr>
        <w:t>. Where Raaflaub differs from Harris is his emphasis on past trauma, which spawned the militaristic ethos of the Roman aristocracy – the trauma of previous wars for survival and the generational pressures on the frontier by the Veii, Aequi and Volscians</w:t>
      </w:r>
      <w:r w:rsidR="003448CC">
        <w:rPr>
          <w:rFonts w:ascii="Arial" w:hAnsi="Arial" w:cs="Arial"/>
          <w:sz w:val="24"/>
          <w:szCs w:val="24"/>
        </w:rPr>
        <w:t>,</w:t>
      </w:r>
      <w:r>
        <w:rPr>
          <w:rFonts w:ascii="Arial" w:hAnsi="Arial" w:cs="Arial"/>
          <w:sz w:val="24"/>
          <w:szCs w:val="24"/>
        </w:rPr>
        <w:t xml:space="preserve"> created an aristocracy bred for war and militaristic glory as the highest form of personal and family success</w:t>
      </w:r>
      <w:r>
        <w:rPr>
          <w:rStyle w:val="FootnoteReference"/>
          <w:rFonts w:ascii="Arial" w:hAnsi="Arial" w:cs="Arial"/>
          <w:sz w:val="24"/>
          <w:szCs w:val="24"/>
        </w:rPr>
        <w:footnoteReference w:id="20"/>
      </w:r>
      <w:r>
        <w:rPr>
          <w:rFonts w:ascii="Arial" w:hAnsi="Arial" w:cs="Arial"/>
          <w:sz w:val="24"/>
          <w:szCs w:val="24"/>
        </w:rPr>
        <w:t>.</w:t>
      </w:r>
    </w:p>
    <w:p w14:paraId="5519A692" w14:textId="64CA4D82" w:rsidR="00F21624" w:rsidRDefault="00F21624" w:rsidP="008B745A">
      <w:pPr>
        <w:spacing w:line="480" w:lineRule="auto"/>
        <w:rPr>
          <w:rFonts w:ascii="Arial" w:hAnsi="Arial" w:cs="Arial"/>
          <w:sz w:val="24"/>
          <w:szCs w:val="24"/>
        </w:rPr>
      </w:pPr>
      <w:r>
        <w:rPr>
          <w:rFonts w:ascii="Arial" w:hAnsi="Arial" w:cs="Arial"/>
          <w:sz w:val="24"/>
          <w:szCs w:val="24"/>
        </w:rPr>
        <w:t xml:space="preserve">Finally, </w:t>
      </w:r>
      <w:proofErr w:type="spellStart"/>
      <w:r>
        <w:rPr>
          <w:rFonts w:ascii="Arial" w:hAnsi="Arial" w:cs="Arial"/>
          <w:sz w:val="24"/>
          <w:szCs w:val="24"/>
        </w:rPr>
        <w:t>Bleckmann</w:t>
      </w:r>
      <w:proofErr w:type="spellEnd"/>
      <w:r w:rsidR="008C1B70">
        <w:rPr>
          <w:rFonts w:ascii="Arial" w:hAnsi="Arial" w:cs="Arial"/>
          <w:sz w:val="24"/>
          <w:szCs w:val="24"/>
        </w:rPr>
        <w:t xml:space="preserve"> claims</w:t>
      </w:r>
      <w:r>
        <w:rPr>
          <w:rFonts w:ascii="Arial" w:hAnsi="Arial" w:cs="Arial"/>
          <w:sz w:val="24"/>
          <w:szCs w:val="24"/>
        </w:rPr>
        <w:t xml:space="preserve"> that the war was a result of aristocratic drive, but specifically</w:t>
      </w:r>
      <w:r w:rsidR="002C796A">
        <w:rPr>
          <w:rFonts w:ascii="Arial" w:hAnsi="Arial" w:cs="Arial"/>
          <w:sz w:val="24"/>
          <w:szCs w:val="24"/>
        </w:rPr>
        <w:t xml:space="preserve"> the actions of</w:t>
      </w:r>
      <w:r>
        <w:rPr>
          <w:rFonts w:ascii="Arial" w:hAnsi="Arial" w:cs="Arial"/>
          <w:sz w:val="24"/>
          <w:szCs w:val="24"/>
        </w:rPr>
        <w:t xml:space="preserve"> consul Appius Claudius</w:t>
      </w:r>
      <w:r>
        <w:rPr>
          <w:rStyle w:val="FootnoteReference"/>
          <w:rFonts w:ascii="Arial" w:hAnsi="Arial" w:cs="Arial"/>
          <w:sz w:val="24"/>
          <w:szCs w:val="24"/>
        </w:rPr>
        <w:footnoteReference w:id="21"/>
      </w:r>
      <w:r>
        <w:rPr>
          <w:rFonts w:ascii="Arial" w:hAnsi="Arial" w:cs="Arial"/>
          <w:sz w:val="24"/>
          <w:szCs w:val="24"/>
        </w:rPr>
        <w:t xml:space="preserve">. </w:t>
      </w:r>
      <w:r w:rsidR="008C1B70">
        <w:rPr>
          <w:rFonts w:ascii="Arial" w:hAnsi="Arial" w:cs="Arial"/>
          <w:sz w:val="24"/>
          <w:szCs w:val="24"/>
        </w:rPr>
        <w:t>H</w:t>
      </w:r>
      <w:r>
        <w:rPr>
          <w:rFonts w:ascii="Arial" w:hAnsi="Arial" w:cs="Arial"/>
          <w:sz w:val="24"/>
          <w:szCs w:val="24"/>
        </w:rPr>
        <w:t>e</w:t>
      </w:r>
      <w:r w:rsidR="008C1B70">
        <w:rPr>
          <w:rFonts w:ascii="Arial" w:hAnsi="Arial" w:cs="Arial"/>
          <w:sz w:val="24"/>
          <w:szCs w:val="24"/>
        </w:rPr>
        <w:t xml:space="preserve"> </w:t>
      </w:r>
      <w:r>
        <w:rPr>
          <w:rFonts w:ascii="Arial" w:hAnsi="Arial" w:cs="Arial"/>
          <w:sz w:val="24"/>
          <w:szCs w:val="24"/>
        </w:rPr>
        <w:t>goes as far to argue that Carthage was not even a threat to the Romans in 264</w:t>
      </w:r>
      <w:r>
        <w:rPr>
          <w:rStyle w:val="FootnoteReference"/>
          <w:rFonts w:ascii="Arial" w:hAnsi="Arial" w:cs="Arial"/>
          <w:sz w:val="24"/>
          <w:szCs w:val="24"/>
        </w:rPr>
        <w:footnoteReference w:id="22"/>
      </w:r>
      <w:r>
        <w:rPr>
          <w:rFonts w:ascii="Arial" w:hAnsi="Arial" w:cs="Arial"/>
          <w:sz w:val="24"/>
          <w:szCs w:val="24"/>
        </w:rPr>
        <w:t>. Lancel, whilst advocating that Carthage could not let Rome gain a foothold in Sicily</w:t>
      </w:r>
      <w:r w:rsidR="0072634F">
        <w:rPr>
          <w:rFonts w:ascii="Arial" w:hAnsi="Arial" w:cs="Arial"/>
          <w:sz w:val="24"/>
          <w:szCs w:val="24"/>
        </w:rPr>
        <w:t>,</w:t>
      </w:r>
      <w:r>
        <w:rPr>
          <w:rFonts w:ascii="Arial" w:hAnsi="Arial" w:cs="Arial"/>
          <w:sz w:val="24"/>
          <w:szCs w:val="24"/>
        </w:rPr>
        <w:t xml:space="preserve"> nevertheless empathises the role of key individuals in the outbreak of the First Punic War</w:t>
      </w:r>
      <w:r>
        <w:rPr>
          <w:rStyle w:val="FootnoteReference"/>
          <w:rFonts w:ascii="Arial" w:hAnsi="Arial" w:cs="Arial"/>
          <w:sz w:val="24"/>
          <w:szCs w:val="24"/>
        </w:rPr>
        <w:footnoteReference w:id="23"/>
      </w:r>
      <w:r>
        <w:rPr>
          <w:rFonts w:ascii="Arial" w:hAnsi="Arial" w:cs="Arial"/>
          <w:sz w:val="24"/>
          <w:szCs w:val="24"/>
        </w:rPr>
        <w:t xml:space="preserve">. Principally, </w:t>
      </w:r>
      <w:r w:rsidR="00195856">
        <w:rPr>
          <w:rFonts w:ascii="Arial" w:hAnsi="Arial" w:cs="Arial"/>
          <w:sz w:val="24"/>
          <w:szCs w:val="24"/>
        </w:rPr>
        <w:t xml:space="preserve">the case that </w:t>
      </w:r>
      <w:r>
        <w:rPr>
          <w:rFonts w:ascii="Arial" w:hAnsi="Arial" w:cs="Arial"/>
          <w:sz w:val="24"/>
          <w:szCs w:val="24"/>
        </w:rPr>
        <w:t>a ‘Campanian faction’ of aristocrats sought to protect their commercial interests and war with Carthage would ensure that</w:t>
      </w:r>
      <w:r w:rsidR="0072634F">
        <w:rPr>
          <w:rFonts w:ascii="Arial" w:hAnsi="Arial" w:cs="Arial"/>
          <w:sz w:val="24"/>
          <w:szCs w:val="24"/>
        </w:rPr>
        <w:t xml:space="preserve"> objective</w:t>
      </w:r>
      <w:r>
        <w:rPr>
          <w:rStyle w:val="FootnoteReference"/>
          <w:rFonts w:ascii="Arial" w:hAnsi="Arial" w:cs="Arial"/>
          <w:sz w:val="24"/>
          <w:szCs w:val="24"/>
        </w:rPr>
        <w:footnoteReference w:id="24"/>
      </w:r>
      <w:r>
        <w:rPr>
          <w:rFonts w:ascii="Arial" w:hAnsi="Arial" w:cs="Arial"/>
          <w:sz w:val="24"/>
          <w:szCs w:val="24"/>
        </w:rPr>
        <w:t xml:space="preserve">. </w:t>
      </w:r>
    </w:p>
    <w:p w14:paraId="54182281" w14:textId="77777777" w:rsidR="00F21624" w:rsidRDefault="00F21624" w:rsidP="008B745A">
      <w:pPr>
        <w:pStyle w:val="ListParagraph"/>
        <w:numPr>
          <w:ilvl w:val="0"/>
          <w:numId w:val="4"/>
        </w:numPr>
        <w:spacing w:line="480" w:lineRule="auto"/>
        <w:rPr>
          <w:rFonts w:ascii="Arial" w:hAnsi="Arial" w:cs="Arial"/>
          <w:b/>
          <w:bCs/>
          <w:sz w:val="24"/>
          <w:szCs w:val="24"/>
        </w:rPr>
      </w:pPr>
      <w:r>
        <w:rPr>
          <w:rFonts w:ascii="Arial" w:hAnsi="Arial" w:cs="Arial"/>
          <w:b/>
          <w:bCs/>
          <w:sz w:val="24"/>
          <w:szCs w:val="24"/>
        </w:rPr>
        <w:t xml:space="preserve">‘Defensive Imperialism’: The Romans </w:t>
      </w:r>
    </w:p>
    <w:p w14:paraId="3CF0852E" w14:textId="019EB0D2" w:rsidR="00F21624" w:rsidRDefault="00F21624" w:rsidP="008B745A">
      <w:pPr>
        <w:spacing w:line="480" w:lineRule="auto"/>
        <w:rPr>
          <w:rFonts w:ascii="Arial" w:hAnsi="Arial" w:cs="Arial"/>
          <w:sz w:val="24"/>
          <w:szCs w:val="24"/>
        </w:rPr>
      </w:pPr>
      <w:r>
        <w:rPr>
          <w:rFonts w:ascii="Arial" w:hAnsi="Arial" w:cs="Arial"/>
          <w:sz w:val="24"/>
          <w:szCs w:val="24"/>
        </w:rPr>
        <w:t xml:space="preserve">The work of Arthur Eckstein </w:t>
      </w:r>
      <w:r w:rsidR="008C1B70">
        <w:rPr>
          <w:rFonts w:ascii="Arial" w:hAnsi="Arial" w:cs="Arial"/>
          <w:sz w:val="24"/>
          <w:szCs w:val="24"/>
        </w:rPr>
        <w:t>has</w:t>
      </w:r>
      <w:r>
        <w:rPr>
          <w:rFonts w:ascii="Arial" w:hAnsi="Arial" w:cs="Arial"/>
          <w:sz w:val="24"/>
          <w:szCs w:val="24"/>
        </w:rPr>
        <w:t xml:space="preserve"> helped broaden the lens when analysing the origins of the First Punic War and lessened the Romano-centrism of previous </w:t>
      </w:r>
      <w:r w:rsidR="0000753C">
        <w:rPr>
          <w:rFonts w:ascii="Arial" w:hAnsi="Arial" w:cs="Arial"/>
          <w:sz w:val="24"/>
          <w:szCs w:val="24"/>
        </w:rPr>
        <w:t>studies</w:t>
      </w:r>
      <w:r>
        <w:rPr>
          <w:rFonts w:ascii="Arial" w:hAnsi="Arial" w:cs="Arial"/>
          <w:sz w:val="24"/>
          <w:szCs w:val="24"/>
        </w:rPr>
        <w:t xml:space="preserve"> – Harris</w:t>
      </w:r>
      <w:r w:rsidR="0000753C">
        <w:rPr>
          <w:rFonts w:ascii="Arial" w:hAnsi="Arial" w:cs="Arial"/>
          <w:sz w:val="24"/>
          <w:szCs w:val="24"/>
        </w:rPr>
        <w:t xml:space="preserve"> suffers</w:t>
      </w:r>
      <w:r>
        <w:rPr>
          <w:rFonts w:ascii="Arial" w:hAnsi="Arial" w:cs="Arial"/>
          <w:sz w:val="24"/>
          <w:szCs w:val="24"/>
        </w:rPr>
        <w:t xml:space="preserve"> from this. For Eckstein, states in the Mediterranean were all highly militarised, all expecting </w:t>
      </w:r>
      <w:r w:rsidR="008C1B70">
        <w:rPr>
          <w:rFonts w:ascii="Arial" w:hAnsi="Arial" w:cs="Arial"/>
          <w:sz w:val="24"/>
          <w:szCs w:val="24"/>
        </w:rPr>
        <w:t xml:space="preserve">plunder, but </w:t>
      </w:r>
      <w:r>
        <w:rPr>
          <w:rFonts w:ascii="Arial" w:hAnsi="Arial" w:cs="Arial"/>
          <w:sz w:val="24"/>
          <w:szCs w:val="24"/>
        </w:rPr>
        <w:t>importantly all seeking to ensure that they were secure</w:t>
      </w:r>
      <w:r w:rsidR="008C1B70">
        <w:rPr>
          <w:rFonts w:ascii="Arial" w:hAnsi="Arial" w:cs="Arial"/>
          <w:sz w:val="24"/>
          <w:szCs w:val="24"/>
        </w:rPr>
        <w:t>.</w:t>
      </w:r>
      <w:r>
        <w:rPr>
          <w:rFonts w:ascii="Arial" w:hAnsi="Arial" w:cs="Arial"/>
          <w:sz w:val="24"/>
          <w:szCs w:val="24"/>
        </w:rPr>
        <w:t xml:space="preserve"> Rome was acting like all other states in order to survive and project an </w:t>
      </w:r>
      <w:r>
        <w:rPr>
          <w:rFonts w:ascii="Arial" w:hAnsi="Arial" w:cs="Arial"/>
          <w:sz w:val="24"/>
          <w:szCs w:val="24"/>
        </w:rPr>
        <w:lastRenderedPageBreak/>
        <w:t xml:space="preserve">image of strength. </w:t>
      </w:r>
      <w:r w:rsidR="00206508">
        <w:rPr>
          <w:rFonts w:ascii="Arial" w:hAnsi="Arial" w:cs="Arial"/>
          <w:sz w:val="24"/>
          <w:szCs w:val="24"/>
        </w:rPr>
        <w:t>All</w:t>
      </w:r>
      <w:r>
        <w:rPr>
          <w:rFonts w:ascii="Arial" w:hAnsi="Arial" w:cs="Arial"/>
          <w:sz w:val="24"/>
          <w:szCs w:val="24"/>
        </w:rPr>
        <w:t xml:space="preserve"> state</w:t>
      </w:r>
      <w:r w:rsidR="00206508">
        <w:rPr>
          <w:rFonts w:ascii="Arial" w:hAnsi="Arial" w:cs="Arial"/>
          <w:sz w:val="24"/>
          <w:szCs w:val="24"/>
        </w:rPr>
        <w:t>s</w:t>
      </w:r>
      <w:r>
        <w:rPr>
          <w:rFonts w:ascii="Arial" w:hAnsi="Arial" w:cs="Arial"/>
          <w:sz w:val="24"/>
          <w:szCs w:val="24"/>
        </w:rPr>
        <w:t xml:space="preserve"> wanted to ensure </w:t>
      </w:r>
      <w:r w:rsidR="00206508">
        <w:rPr>
          <w:rFonts w:ascii="Arial" w:hAnsi="Arial" w:cs="Arial"/>
          <w:sz w:val="24"/>
          <w:szCs w:val="24"/>
        </w:rPr>
        <w:t>they</w:t>
      </w:r>
      <w:r>
        <w:rPr>
          <w:rFonts w:ascii="Arial" w:hAnsi="Arial" w:cs="Arial"/>
          <w:sz w:val="24"/>
          <w:szCs w:val="24"/>
        </w:rPr>
        <w:t xml:space="preserve"> </w:t>
      </w:r>
      <w:r w:rsidR="00206508">
        <w:rPr>
          <w:rFonts w:ascii="Arial" w:hAnsi="Arial" w:cs="Arial"/>
          <w:sz w:val="24"/>
          <w:szCs w:val="24"/>
        </w:rPr>
        <w:t>were</w:t>
      </w:r>
      <w:r>
        <w:rPr>
          <w:rFonts w:ascii="Arial" w:hAnsi="Arial" w:cs="Arial"/>
          <w:sz w:val="24"/>
          <w:szCs w:val="24"/>
        </w:rPr>
        <w:t xml:space="preserve"> stronger than </w:t>
      </w:r>
      <w:r w:rsidR="00206508">
        <w:rPr>
          <w:rFonts w:ascii="Arial" w:hAnsi="Arial" w:cs="Arial"/>
          <w:sz w:val="24"/>
          <w:szCs w:val="24"/>
        </w:rPr>
        <w:t>their</w:t>
      </w:r>
      <w:r>
        <w:rPr>
          <w:rFonts w:ascii="Arial" w:hAnsi="Arial" w:cs="Arial"/>
          <w:sz w:val="24"/>
          <w:szCs w:val="24"/>
        </w:rPr>
        <w:t xml:space="preserve"> neighbours </w:t>
      </w:r>
      <w:r w:rsidR="002C796A">
        <w:rPr>
          <w:rFonts w:ascii="Arial" w:hAnsi="Arial" w:cs="Arial"/>
          <w:sz w:val="24"/>
          <w:szCs w:val="24"/>
        </w:rPr>
        <w:t>and</w:t>
      </w:r>
      <w:r>
        <w:rPr>
          <w:rFonts w:ascii="Arial" w:hAnsi="Arial" w:cs="Arial"/>
          <w:sz w:val="24"/>
          <w:szCs w:val="24"/>
        </w:rPr>
        <w:t xml:space="preserve"> the risks of ‘brinksmanship’ were immense</w:t>
      </w:r>
      <w:r>
        <w:rPr>
          <w:rStyle w:val="FootnoteReference"/>
          <w:rFonts w:ascii="Arial" w:hAnsi="Arial" w:cs="Arial"/>
          <w:sz w:val="24"/>
          <w:szCs w:val="24"/>
        </w:rPr>
        <w:footnoteReference w:id="25"/>
      </w:r>
      <w:r>
        <w:rPr>
          <w:rFonts w:ascii="Arial" w:hAnsi="Arial" w:cs="Arial"/>
          <w:sz w:val="24"/>
          <w:szCs w:val="24"/>
        </w:rPr>
        <w:t>.</w:t>
      </w:r>
      <w:r w:rsidR="002C796A">
        <w:rPr>
          <w:rFonts w:ascii="Arial" w:hAnsi="Arial" w:cs="Arial"/>
          <w:sz w:val="24"/>
          <w:szCs w:val="24"/>
        </w:rPr>
        <w:t xml:space="preserve"> B</w:t>
      </w:r>
      <w:r>
        <w:rPr>
          <w:rFonts w:ascii="Arial" w:hAnsi="Arial" w:cs="Arial"/>
          <w:sz w:val="24"/>
          <w:szCs w:val="24"/>
        </w:rPr>
        <w:t>y entering Sicily to help the Mamertines, they were contemplating an aggressive act to seek ‘strategic advantage’</w:t>
      </w:r>
      <w:r>
        <w:rPr>
          <w:rStyle w:val="FootnoteReference"/>
          <w:rFonts w:ascii="Arial" w:hAnsi="Arial" w:cs="Arial"/>
          <w:sz w:val="24"/>
          <w:szCs w:val="24"/>
        </w:rPr>
        <w:footnoteReference w:id="26"/>
      </w:r>
      <w:r>
        <w:rPr>
          <w:rFonts w:ascii="Arial" w:hAnsi="Arial" w:cs="Arial"/>
          <w:sz w:val="24"/>
          <w:szCs w:val="24"/>
        </w:rPr>
        <w:t xml:space="preserve">. As Scullard states, if the Carthaginians finally took all </w:t>
      </w:r>
      <w:r w:rsidR="008537E2">
        <w:rPr>
          <w:rFonts w:ascii="Arial" w:hAnsi="Arial" w:cs="Arial"/>
          <w:sz w:val="24"/>
          <w:szCs w:val="24"/>
        </w:rPr>
        <w:t xml:space="preserve">of </w:t>
      </w:r>
      <w:r>
        <w:rPr>
          <w:rFonts w:ascii="Arial" w:hAnsi="Arial" w:cs="Arial"/>
          <w:sz w:val="24"/>
          <w:szCs w:val="24"/>
        </w:rPr>
        <w:t>Sicily</w:t>
      </w:r>
      <w:r w:rsidR="008537E2">
        <w:rPr>
          <w:rFonts w:ascii="Arial" w:hAnsi="Arial" w:cs="Arial"/>
          <w:sz w:val="24"/>
          <w:szCs w:val="24"/>
        </w:rPr>
        <w:t>, then</w:t>
      </w:r>
      <w:r>
        <w:rPr>
          <w:rFonts w:ascii="Arial" w:hAnsi="Arial" w:cs="Arial"/>
          <w:sz w:val="24"/>
          <w:szCs w:val="24"/>
        </w:rPr>
        <w:t xml:space="preserve"> Italy would be encircled, with the possibility that they would enter Southern Italy to help the Greek states</w:t>
      </w:r>
      <w:r w:rsidR="002C796A">
        <w:rPr>
          <w:rFonts w:ascii="Arial" w:hAnsi="Arial" w:cs="Arial"/>
          <w:sz w:val="24"/>
          <w:szCs w:val="24"/>
        </w:rPr>
        <w:t>,</w:t>
      </w:r>
      <w:r>
        <w:rPr>
          <w:rFonts w:ascii="Arial" w:hAnsi="Arial" w:cs="Arial"/>
          <w:sz w:val="24"/>
          <w:szCs w:val="24"/>
        </w:rPr>
        <w:t xml:space="preserve"> like Pyrrhus</w:t>
      </w:r>
      <w:r w:rsidR="002C796A">
        <w:rPr>
          <w:rFonts w:ascii="Arial" w:hAnsi="Arial" w:cs="Arial"/>
          <w:sz w:val="24"/>
          <w:szCs w:val="24"/>
        </w:rPr>
        <w:t xml:space="preserve"> did</w:t>
      </w:r>
      <w:r>
        <w:rPr>
          <w:rStyle w:val="FootnoteReference"/>
          <w:rFonts w:ascii="Arial" w:hAnsi="Arial" w:cs="Arial"/>
          <w:sz w:val="24"/>
          <w:szCs w:val="24"/>
        </w:rPr>
        <w:footnoteReference w:id="27"/>
      </w:r>
      <w:r>
        <w:rPr>
          <w:rFonts w:ascii="Arial" w:hAnsi="Arial" w:cs="Arial"/>
          <w:sz w:val="24"/>
          <w:szCs w:val="24"/>
        </w:rPr>
        <w:t xml:space="preserve">. </w:t>
      </w:r>
      <w:r w:rsidR="000C57B7">
        <w:rPr>
          <w:rFonts w:ascii="Arial" w:hAnsi="Arial" w:cs="Arial"/>
          <w:sz w:val="24"/>
          <w:szCs w:val="24"/>
        </w:rPr>
        <w:t>Tan, Franke and Serrati</w:t>
      </w:r>
      <w:r>
        <w:rPr>
          <w:rFonts w:ascii="Arial" w:hAnsi="Arial" w:cs="Arial"/>
          <w:sz w:val="24"/>
          <w:szCs w:val="24"/>
        </w:rPr>
        <w:t xml:space="preserve"> also </w:t>
      </w:r>
      <w:r w:rsidR="000C57B7">
        <w:rPr>
          <w:rFonts w:ascii="Arial" w:hAnsi="Arial" w:cs="Arial"/>
          <w:sz w:val="24"/>
          <w:szCs w:val="24"/>
        </w:rPr>
        <w:t>emphasise</w:t>
      </w:r>
      <w:r>
        <w:rPr>
          <w:rFonts w:ascii="Arial" w:hAnsi="Arial" w:cs="Arial"/>
          <w:sz w:val="24"/>
          <w:szCs w:val="24"/>
        </w:rPr>
        <w:t xml:space="preserve"> the importance Pyrrhus’ invasion had on changing </w:t>
      </w:r>
      <w:r w:rsidR="000C57B7">
        <w:rPr>
          <w:rFonts w:ascii="Arial" w:hAnsi="Arial" w:cs="Arial"/>
          <w:sz w:val="24"/>
          <w:szCs w:val="24"/>
        </w:rPr>
        <w:t xml:space="preserve">the </w:t>
      </w:r>
      <w:r>
        <w:rPr>
          <w:rFonts w:ascii="Arial" w:hAnsi="Arial" w:cs="Arial"/>
          <w:sz w:val="24"/>
          <w:szCs w:val="24"/>
        </w:rPr>
        <w:t>Roman</w:t>
      </w:r>
      <w:r w:rsidR="000C57B7">
        <w:rPr>
          <w:rFonts w:ascii="Arial" w:hAnsi="Arial" w:cs="Arial"/>
          <w:sz w:val="24"/>
          <w:szCs w:val="24"/>
        </w:rPr>
        <w:t>’s</w:t>
      </w:r>
      <w:r>
        <w:rPr>
          <w:rFonts w:ascii="Arial" w:hAnsi="Arial" w:cs="Arial"/>
          <w:sz w:val="24"/>
          <w:szCs w:val="24"/>
        </w:rPr>
        <w:t xml:space="preserve"> attitude towards Carthage</w:t>
      </w:r>
      <w:r w:rsidR="00D55939">
        <w:rPr>
          <w:rStyle w:val="FootnoteReference"/>
          <w:rFonts w:ascii="Arial" w:hAnsi="Arial" w:cs="Arial"/>
          <w:sz w:val="24"/>
          <w:szCs w:val="24"/>
        </w:rPr>
        <w:footnoteReference w:id="28"/>
      </w:r>
      <w:r w:rsidR="00D55939">
        <w:rPr>
          <w:rFonts w:ascii="Arial" w:hAnsi="Arial" w:cs="Arial"/>
          <w:sz w:val="24"/>
          <w:szCs w:val="24"/>
        </w:rPr>
        <w:t>.</w:t>
      </w:r>
      <w:r w:rsidR="002C796A">
        <w:rPr>
          <w:rFonts w:ascii="Arial" w:hAnsi="Arial" w:cs="Arial"/>
          <w:sz w:val="24"/>
          <w:szCs w:val="24"/>
        </w:rPr>
        <w:t xml:space="preserve"> </w:t>
      </w:r>
      <w:r w:rsidR="00F95799">
        <w:rPr>
          <w:rFonts w:ascii="Arial" w:hAnsi="Arial" w:cs="Arial"/>
          <w:sz w:val="24"/>
          <w:szCs w:val="24"/>
        </w:rPr>
        <w:t>The</w:t>
      </w:r>
      <w:r w:rsidR="000C57B7">
        <w:rPr>
          <w:rFonts w:ascii="Arial" w:hAnsi="Arial" w:cs="Arial"/>
          <w:sz w:val="24"/>
          <w:szCs w:val="24"/>
        </w:rPr>
        <w:t>y</w:t>
      </w:r>
      <w:r>
        <w:rPr>
          <w:rFonts w:ascii="Arial" w:hAnsi="Arial" w:cs="Arial"/>
          <w:sz w:val="24"/>
          <w:szCs w:val="24"/>
        </w:rPr>
        <w:t xml:space="preserve"> would have </w:t>
      </w:r>
      <w:r w:rsidR="00D55939">
        <w:rPr>
          <w:rFonts w:ascii="Arial" w:hAnsi="Arial" w:cs="Arial"/>
          <w:sz w:val="24"/>
          <w:szCs w:val="24"/>
        </w:rPr>
        <w:t>known</w:t>
      </w:r>
      <w:r>
        <w:rPr>
          <w:rFonts w:ascii="Arial" w:hAnsi="Arial" w:cs="Arial"/>
          <w:sz w:val="24"/>
          <w:szCs w:val="24"/>
        </w:rPr>
        <w:t xml:space="preserve"> how expensive and risky war with Car</w:t>
      </w:r>
      <w:r w:rsidR="00F95799">
        <w:rPr>
          <w:rFonts w:ascii="Arial" w:hAnsi="Arial" w:cs="Arial"/>
          <w:sz w:val="24"/>
          <w:szCs w:val="24"/>
        </w:rPr>
        <w:t>t</w:t>
      </w:r>
      <w:r>
        <w:rPr>
          <w:rFonts w:ascii="Arial" w:hAnsi="Arial" w:cs="Arial"/>
          <w:sz w:val="24"/>
          <w:szCs w:val="24"/>
        </w:rPr>
        <w:t>hage would have been</w:t>
      </w:r>
      <w:r w:rsidR="0094369E">
        <w:rPr>
          <w:rFonts w:ascii="Arial" w:hAnsi="Arial" w:cs="Arial"/>
          <w:sz w:val="24"/>
          <w:szCs w:val="24"/>
        </w:rPr>
        <w:t>, which</w:t>
      </w:r>
      <w:r>
        <w:rPr>
          <w:rFonts w:ascii="Arial" w:hAnsi="Arial" w:cs="Arial"/>
          <w:sz w:val="24"/>
          <w:szCs w:val="24"/>
        </w:rPr>
        <w:t xml:space="preserve"> highlights how seriously they took the threat</w:t>
      </w:r>
      <w:r>
        <w:rPr>
          <w:rStyle w:val="FootnoteReference"/>
          <w:rFonts w:ascii="Arial" w:hAnsi="Arial" w:cs="Arial"/>
          <w:sz w:val="24"/>
          <w:szCs w:val="24"/>
        </w:rPr>
        <w:footnoteReference w:id="29"/>
      </w:r>
      <w:r>
        <w:rPr>
          <w:rFonts w:ascii="Arial" w:hAnsi="Arial" w:cs="Arial"/>
          <w:sz w:val="24"/>
          <w:szCs w:val="24"/>
        </w:rPr>
        <w:t>.</w:t>
      </w:r>
    </w:p>
    <w:p w14:paraId="06FB5558" w14:textId="5005CD19" w:rsidR="00F21624" w:rsidRDefault="00F21624" w:rsidP="008B745A">
      <w:pPr>
        <w:spacing w:line="480" w:lineRule="auto"/>
        <w:rPr>
          <w:rFonts w:ascii="Arial" w:hAnsi="Arial" w:cs="Arial"/>
          <w:sz w:val="24"/>
          <w:szCs w:val="24"/>
        </w:rPr>
      </w:pPr>
      <w:r>
        <w:rPr>
          <w:rFonts w:ascii="Arial" w:hAnsi="Arial" w:cs="Arial"/>
          <w:sz w:val="24"/>
          <w:szCs w:val="24"/>
        </w:rPr>
        <w:t>Rosenstein concurs, stating that fear was the ‘fundamental force’ that shaped Rome’s dealing with her neighbours</w:t>
      </w:r>
      <w:r>
        <w:rPr>
          <w:rStyle w:val="FootnoteReference"/>
          <w:rFonts w:ascii="Arial" w:hAnsi="Arial" w:cs="Arial"/>
          <w:sz w:val="24"/>
          <w:szCs w:val="24"/>
        </w:rPr>
        <w:footnoteReference w:id="30"/>
      </w:r>
      <w:r>
        <w:rPr>
          <w:rFonts w:ascii="Arial" w:hAnsi="Arial" w:cs="Arial"/>
          <w:sz w:val="24"/>
          <w:szCs w:val="24"/>
        </w:rPr>
        <w:t>. He argues that Rome had to present an image of strength and respond to threats proactively, not just to deter potential rival powers, but to ensure its projection of strength kept the Italian empire together</w:t>
      </w:r>
      <w:r>
        <w:rPr>
          <w:rStyle w:val="FootnoteReference"/>
          <w:rFonts w:ascii="Arial" w:hAnsi="Arial" w:cs="Arial"/>
          <w:sz w:val="24"/>
          <w:szCs w:val="24"/>
        </w:rPr>
        <w:footnoteReference w:id="31"/>
      </w:r>
      <w:r>
        <w:rPr>
          <w:rFonts w:ascii="Arial" w:hAnsi="Arial" w:cs="Arial"/>
          <w:sz w:val="24"/>
          <w:szCs w:val="24"/>
        </w:rPr>
        <w:t>.</w:t>
      </w:r>
      <w:r w:rsidR="00EA427F">
        <w:rPr>
          <w:rFonts w:ascii="Arial" w:hAnsi="Arial" w:cs="Arial"/>
          <w:sz w:val="24"/>
          <w:szCs w:val="24"/>
        </w:rPr>
        <w:t xml:space="preserve"> Failure to fight to allow subjugated states the</w:t>
      </w:r>
      <w:r>
        <w:rPr>
          <w:rFonts w:ascii="Arial" w:hAnsi="Arial" w:cs="Arial"/>
          <w:sz w:val="24"/>
          <w:szCs w:val="24"/>
        </w:rPr>
        <w:t xml:space="preserve"> opportunity to slip off the Roman yoke</w:t>
      </w:r>
      <w:r>
        <w:rPr>
          <w:rStyle w:val="FootnoteReference"/>
          <w:rFonts w:ascii="Arial" w:hAnsi="Arial" w:cs="Arial"/>
          <w:sz w:val="24"/>
          <w:szCs w:val="24"/>
        </w:rPr>
        <w:footnoteReference w:id="32"/>
      </w:r>
      <w:r>
        <w:rPr>
          <w:rFonts w:ascii="Arial" w:hAnsi="Arial" w:cs="Arial"/>
          <w:sz w:val="24"/>
          <w:szCs w:val="24"/>
        </w:rPr>
        <w:t xml:space="preserve">. </w:t>
      </w:r>
    </w:p>
    <w:p w14:paraId="7305CDBC" w14:textId="0532016B" w:rsidR="00F21624" w:rsidRDefault="00F21624" w:rsidP="008B745A">
      <w:pPr>
        <w:spacing w:line="480" w:lineRule="auto"/>
        <w:rPr>
          <w:rFonts w:ascii="Arial" w:hAnsi="Arial" w:cs="Arial"/>
          <w:sz w:val="24"/>
          <w:szCs w:val="24"/>
        </w:rPr>
      </w:pPr>
      <w:r>
        <w:rPr>
          <w:rFonts w:ascii="Arial" w:hAnsi="Arial" w:cs="Arial"/>
          <w:sz w:val="24"/>
          <w:szCs w:val="24"/>
        </w:rPr>
        <w:t>Leigh</w:t>
      </w:r>
      <w:r w:rsidR="004A7355">
        <w:rPr>
          <w:rFonts w:ascii="Arial" w:hAnsi="Arial" w:cs="Arial"/>
          <w:sz w:val="24"/>
          <w:szCs w:val="24"/>
        </w:rPr>
        <w:t xml:space="preserve"> agrees</w:t>
      </w:r>
      <w:r>
        <w:rPr>
          <w:rFonts w:ascii="Arial" w:hAnsi="Arial" w:cs="Arial"/>
          <w:sz w:val="24"/>
          <w:szCs w:val="24"/>
        </w:rPr>
        <w:t>, stressing the ‘anxiety’ Rome felt about Carthage taking Messana was genuine – particularly due to the strength of the Carthaginian navy and the lack of Rome’s own</w:t>
      </w:r>
      <w:r>
        <w:rPr>
          <w:rStyle w:val="FootnoteReference"/>
          <w:rFonts w:ascii="Arial" w:hAnsi="Arial" w:cs="Arial"/>
          <w:sz w:val="24"/>
          <w:szCs w:val="24"/>
        </w:rPr>
        <w:footnoteReference w:id="33"/>
      </w:r>
      <w:r>
        <w:rPr>
          <w:rFonts w:ascii="Arial" w:hAnsi="Arial" w:cs="Arial"/>
          <w:sz w:val="24"/>
          <w:szCs w:val="24"/>
        </w:rPr>
        <w:t xml:space="preserve">. </w:t>
      </w:r>
      <w:r w:rsidR="00615D71">
        <w:rPr>
          <w:rFonts w:ascii="Arial" w:hAnsi="Arial" w:cs="Arial"/>
          <w:sz w:val="24"/>
          <w:szCs w:val="24"/>
        </w:rPr>
        <w:t>T</w:t>
      </w:r>
      <w:r>
        <w:rPr>
          <w:rFonts w:ascii="Arial" w:hAnsi="Arial" w:cs="Arial"/>
          <w:sz w:val="24"/>
          <w:szCs w:val="24"/>
        </w:rPr>
        <w:t>he Romans may have had limited objectives they must have known and understoo</w:t>
      </w:r>
      <w:r w:rsidR="00615D71">
        <w:rPr>
          <w:rFonts w:ascii="Arial" w:hAnsi="Arial" w:cs="Arial"/>
          <w:sz w:val="24"/>
          <w:szCs w:val="24"/>
        </w:rPr>
        <w:t>d</w:t>
      </w:r>
      <w:r>
        <w:rPr>
          <w:rFonts w:ascii="Arial" w:hAnsi="Arial" w:cs="Arial"/>
          <w:sz w:val="24"/>
          <w:szCs w:val="24"/>
        </w:rPr>
        <w:t xml:space="preserve"> that they would be challenging the Carthaginia</w:t>
      </w:r>
      <w:r w:rsidR="004A7355">
        <w:rPr>
          <w:rFonts w:ascii="Arial" w:hAnsi="Arial" w:cs="Arial"/>
          <w:sz w:val="24"/>
          <w:szCs w:val="24"/>
        </w:rPr>
        <w:t>ns</w:t>
      </w:r>
      <w:r>
        <w:rPr>
          <w:rStyle w:val="FootnoteReference"/>
          <w:rFonts w:ascii="Arial" w:hAnsi="Arial" w:cs="Arial"/>
          <w:sz w:val="24"/>
          <w:szCs w:val="24"/>
        </w:rPr>
        <w:footnoteReference w:id="34"/>
      </w:r>
      <w:r>
        <w:rPr>
          <w:rFonts w:ascii="Arial" w:hAnsi="Arial" w:cs="Arial"/>
          <w:sz w:val="24"/>
          <w:szCs w:val="24"/>
        </w:rPr>
        <w:t xml:space="preserve">. </w:t>
      </w:r>
    </w:p>
    <w:p w14:paraId="40B28B0D" w14:textId="21D84BB7" w:rsidR="00F21624" w:rsidRDefault="00F21624" w:rsidP="008B745A">
      <w:pPr>
        <w:spacing w:line="480" w:lineRule="auto"/>
        <w:rPr>
          <w:rFonts w:ascii="Arial" w:hAnsi="Arial" w:cs="Arial"/>
          <w:sz w:val="24"/>
          <w:szCs w:val="24"/>
        </w:rPr>
      </w:pPr>
      <w:r>
        <w:rPr>
          <w:rFonts w:ascii="Arial" w:hAnsi="Arial" w:cs="Arial"/>
          <w:sz w:val="24"/>
          <w:szCs w:val="24"/>
        </w:rPr>
        <w:lastRenderedPageBreak/>
        <w:t>Finally, Lazenby suggests that</w:t>
      </w:r>
      <w:r w:rsidR="008537E2">
        <w:rPr>
          <w:rFonts w:ascii="Arial" w:hAnsi="Arial" w:cs="Arial"/>
          <w:sz w:val="24"/>
          <w:szCs w:val="24"/>
        </w:rPr>
        <w:t xml:space="preserve"> the reason</w:t>
      </w:r>
      <w:r>
        <w:rPr>
          <w:rFonts w:ascii="Arial" w:hAnsi="Arial" w:cs="Arial"/>
          <w:sz w:val="24"/>
          <w:szCs w:val="24"/>
        </w:rPr>
        <w:t xml:space="preserve"> both sides </w:t>
      </w:r>
      <w:r w:rsidR="002E5928">
        <w:rPr>
          <w:rFonts w:ascii="Arial" w:hAnsi="Arial" w:cs="Arial"/>
          <w:sz w:val="24"/>
          <w:szCs w:val="24"/>
        </w:rPr>
        <w:t>had not</w:t>
      </w:r>
      <w:r>
        <w:rPr>
          <w:rFonts w:ascii="Arial" w:hAnsi="Arial" w:cs="Arial"/>
          <w:sz w:val="24"/>
          <w:szCs w:val="24"/>
        </w:rPr>
        <w:t xml:space="preserve"> come up against each other</w:t>
      </w:r>
      <w:r w:rsidR="002E5928">
        <w:rPr>
          <w:rFonts w:ascii="Arial" w:hAnsi="Arial" w:cs="Arial"/>
          <w:sz w:val="24"/>
          <w:szCs w:val="24"/>
        </w:rPr>
        <w:t xml:space="preserve"> before 264 was because</w:t>
      </w:r>
      <w:r>
        <w:rPr>
          <w:rFonts w:ascii="Arial" w:hAnsi="Arial" w:cs="Arial"/>
          <w:sz w:val="24"/>
          <w:szCs w:val="24"/>
        </w:rPr>
        <w:t xml:space="preserve"> as they had other opponents. Both were aggressive powers and Lazenby claims that conflict between the two was ‘inevitable’ and ‘only a matter of time’</w:t>
      </w:r>
      <w:r>
        <w:rPr>
          <w:rStyle w:val="FootnoteReference"/>
          <w:rFonts w:ascii="Arial" w:hAnsi="Arial" w:cs="Arial"/>
          <w:sz w:val="24"/>
          <w:szCs w:val="24"/>
        </w:rPr>
        <w:footnoteReference w:id="35"/>
      </w:r>
      <w:r>
        <w:rPr>
          <w:rFonts w:ascii="Arial" w:hAnsi="Arial" w:cs="Arial"/>
          <w:sz w:val="24"/>
          <w:szCs w:val="24"/>
        </w:rPr>
        <w:t xml:space="preserve">. He argues that during the Mamertine dispute it was Carthage, and not Syracuse, whom Rome feared the most and that Rome was bound to be suspicious </w:t>
      </w:r>
      <w:r w:rsidR="00FA5E00">
        <w:rPr>
          <w:rFonts w:ascii="Arial" w:hAnsi="Arial" w:cs="Arial"/>
          <w:sz w:val="24"/>
          <w:szCs w:val="24"/>
        </w:rPr>
        <w:t>of</w:t>
      </w:r>
      <w:r>
        <w:rPr>
          <w:rFonts w:ascii="Arial" w:hAnsi="Arial" w:cs="Arial"/>
          <w:sz w:val="24"/>
          <w:szCs w:val="24"/>
        </w:rPr>
        <w:t xml:space="preserve"> a rival empire on their border</w:t>
      </w:r>
      <w:r>
        <w:rPr>
          <w:rStyle w:val="FootnoteReference"/>
          <w:rFonts w:ascii="Arial" w:hAnsi="Arial" w:cs="Arial"/>
          <w:sz w:val="24"/>
          <w:szCs w:val="24"/>
        </w:rPr>
        <w:footnoteReference w:id="36"/>
      </w:r>
      <w:r>
        <w:rPr>
          <w:rFonts w:ascii="Arial" w:hAnsi="Arial" w:cs="Arial"/>
          <w:sz w:val="24"/>
          <w:szCs w:val="24"/>
        </w:rPr>
        <w:t xml:space="preserve">. Whilst Rome did indeed seek plunder and whilst it’s aristocrats certainly were martially </w:t>
      </w:r>
      <w:r w:rsidR="00615D71">
        <w:rPr>
          <w:rFonts w:ascii="Arial" w:hAnsi="Arial" w:cs="Arial"/>
          <w:sz w:val="24"/>
          <w:szCs w:val="24"/>
        </w:rPr>
        <w:t>inclined;</w:t>
      </w:r>
      <w:r>
        <w:rPr>
          <w:rFonts w:ascii="Arial" w:hAnsi="Arial" w:cs="Arial"/>
          <w:sz w:val="24"/>
          <w:szCs w:val="24"/>
        </w:rPr>
        <w:t xml:space="preserve"> it was </w:t>
      </w:r>
      <w:r w:rsidR="00FA5E00">
        <w:rPr>
          <w:rFonts w:ascii="Arial" w:hAnsi="Arial" w:cs="Arial"/>
          <w:sz w:val="24"/>
          <w:szCs w:val="24"/>
        </w:rPr>
        <w:t>the</w:t>
      </w:r>
      <w:r>
        <w:rPr>
          <w:rFonts w:ascii="Arial" w:hAnsi="Arial" w:cs="Arial"/>
          <w:sz w:val="24"/>
          <w:szCs w:val="24"/>
        </w:rPr>
        <w:t xml:space="preserve"> Roman motive of ‘protecting their interests’ that lead to war</w:t>
      </w:r>
      <w:r>
        <w:rPr>
          <w:rStyle w:val="FootnoteReference"/>
          <w:rFonts w:ascii="Arial" w:hAnsi="Arial" w:cs="Arial"/>
          <w:sz w:val="24"/>
          <w:szCs w:val="24"/>
        </w:rPr>
        <w:footnoteReference w:id="37"/>
      </w:r>
      <w:r>
        <w:rPr>
          <w:rFonts w:ascii="Arial" w:hAnsi="Arial" w:cs="Arial"/>
          <w:sz w:val="24"/>
          <w:szCs w:val="24"/>
        </w:rPr>
        <w:t>.</w:t>
      </w:r>
    </w:p>
    <w:p w14:paraId="1C8D3EFA" w14:textId="77777777" w:rsidR="00F21624" w:rsidRDefault="00F21624" w:rsidP="008B745A">
      <w:pPr>
        <w:pStyle w:val="ListParagraph"/>
        <w:numPr>
          <w:ilvl w:val="0"/>
          <w:numId w:val="4"/>
        </w:numPr>
        <w:spacing w:line="480" w:lineRule="auto"/>
        <w:rPr>
          <w:rFonts w:ascii="Arial" w:hAnsi="Arial" w:cs="Arial"/>
          <w:b/>
          <w:bCs/>
          <w:sz w:val="24"/>
          <w:szCs w:val="24"/>
        </w:rPr>
      </w:pPr>
      <w:r>
        <w:rPr>
          <w:rFonts w:ascii="Arial" w:hAnsi="Arial" w:cs="Arial"/>
          <w:b/>
          <w:bCs/>
          <w:sz w:val="24"/>
          <w:szCs w:val="24"/>
        </w:rPr>
        <w:t xml:space="preserve">Defensive Imperialism: The Carthaginians </w:t>
      </w:r>
    </w:p>
    <w:p w14:paraId="71B5BAB5" w14:textId="63D85EB1" w:rsidR="00F21624" w:rsidRDefault="00F95799" w:rsidP="008B745A">
      <w:pPr>
        <w:spacing w:line="480" w:lineRule="auto"/>
        <w:rPr>
          <w:rFonts w:ascii="Arial" w:hAnsi="Arial" w:cs="Arial"/>
          <w:sz w:val="24"/>
          <w:szCs w:val="24"/>
        </w:rPr>
      </w:pPr>
      <w:r>
        <w:rPr>
          <w:rFonts w:ascii="Arial" w:hAnsi="Arial" w:cs="Arial"/>
          <w:sz w:val="24"/>
          <w:szCs w:val="24"/>
        </w:rPr>
        <w:t xml:space="preserve">The </w:t>
      </w:r>
      <w:r w:rsidR="00F21624">
        <w:rPr>
          <w:rFonts w:ascii="Arial" w:hAnsi="Arial" w:cs="Arial"/>
          <w:sz w:val="24"/>
          <w:szCs w:val="24"/>
        </w:rPr>
        <w:t>argument that it was the Carthaginians who were not prepared to accept Roman influence and activity on Sicily has been most actively argued by Dexter Hoyos</w:t>
      </w:r>
      <w:r>
        <w:rPr>
          <w:rFonts w:ascii="Arial" w:hAnsi="Arial" w:cs="Arial"/>
          <w:sz w:val="24"/>
          <w:szCs w:val="24"/>
        </w:rPr>
        <w:t>, putting</w:t>
      </w:r>
      <w:r w:rsidR="00F21624">
        <w:rPr>
          <w:rFonts w:ascii="Arial" w:hAnsi="Arial" w:cs="Arial"/>
          <w:sz w:val="24"/>
          <w:szCs w:val="24"/>
        </w:rPr>
        <w:t xml:space="preserve"> forward the idea that Carthage’s long and violent history on the island of Sicily must be considered when analysing the causes of the war</w:t>
      </w:r>
      <w:r w:rsidR="00F21624">
        <w:rPr>
          <w:rStyle w:val="FootnoteReference"/>
          <w:rFonts w:ascii="Arial" w:hAnsi="Arial" w:cs="Arial"/>
          <w:sz w:val="24"/>
          <w:szCs w:val="24"/>
        </w:rPr>
        <w:footnoteReference w:id="38"/>
      </w:r>
      <w:r w:rsidR="008936EA">
        <w:rPr>
          <w:rFonts w:ascii="Arial" w:hAnsi="Arial" w:cs="Arial"/>
          <w:sz w:val="24"/>
          <w:szCs w:val="24"/>
        </w:rPr>
        <w:t xml:space="preserve">. </w:t>
      </w:r>
      <w:r w:rsidR="00F21624">
        <w:rPr>
          <w:rFonts w:ascii="Arial" w:hAnsi="Arial" w:cs="Arial"/>
          <w:sz w:val="24"/>
          <w:szCs w:val="24"/>
        </w:rPr>
        <w:t xml:space="preserve">Carthage </w:t>
      </w:r>
      <w:r w:rsidR="000946C0">
        <w:rPr>
          <w:rFonts w:ascii="Arial" w:hAnsi="Arial" w:cs="Arial"/>
          <w:sz w:val="24"/>
          <w:szCs w:val="24"/>
        </w:rPr>
        <w:t>needed</w:t>
      </w:r>
      <w:r w:rsidR="008936EA">
        <w:rPr>
          <w:rFonts w:ascii="Arial" w:hAnsi="Arial" w:cs="Arial"/>
          <w:sz w:val="24"/>
          <w:szCs w:val="24"/>
        </w:rPr>
        <w:t xml:space="preserve"> Sicily </w:t>
      </w:r>
      <w:r w:rsidR="00F21624">
        <w:rPr>
          <w:rFonts w:ascii="Arial" w:hAnsi="Arial" w:cs="Arial"/>
          <w:sz w:val="24"/>
          <w:szCs w:val="24"/>
        </w:rPr>
        <w:t>peaceful, to stimulate trade and had been fighting Syracuse, Pyrrhus and others to maintain this</w:t>
      </w:r>
      <w:r w:rsidR="00F21624">
        <w:rPr>
          <w:rStyle w:val="FootnoteReference"/>
          <w:rFonts w:ascii="Arial" w:hAnsi="Arial" w:cs="Arial"/>
          <w:sz w:val="24"/>
          <w:szCs w:val="24"/>
        </w:rPr>
        <w:footnoteReference w:id="39"/>
      </w:r>
      <w:r w:rsidR="00F21624">
        <w:rPr>
          <w:rFonts w:ascii="Arial" w:hAnsi="Arial" w:cs="Arial"/>
          <w:sz w:val="24"/>
          <w:szCs w:val="24"/>
        </w:rPr>
        <w:t>. Rome was another interloper Carthage had to ensure would not disturb the fragile island</w:t>
      </w:r>
      <w:r w:rsidR="00F21624">
        <w:rPr>
          <w:rStyle w:val="FootnoteReference"/>
          <w:rFonts w:ascii="Arial" w:hAnsi="Arial" w:cs="Arial"/>
          <w:sz w:val="24"/>
          <w:szCs w:val="24"/>
        </w:rPr>
        <w:footnoteReference w:id="40"/>
      </w:r>
      <w:r w:rsidR="00F21624">
        <w:rPr>
          <w:rFonts w:ascii="Arial" w:hAnsi="Arial" w:cs="Arial"/>
          <w:sz w:val="24"/>
          <w:szCs w:val="24"/>
        </w:rPr>
        <w:t xml:space="preserve">. </w:t>
      </w:r>
    </w:p>
    <w:p w14:paraId="10242516" w14:textId="35F11F93" w:rsidR="0094369E" w:rsidRDefault="00597547" w:rsidP="008B745A">
      <w:pPr>
        <w:spacing w:line="480" w:lineRule="auto"/>
        <w:rPr>
          <w:rFonts w:ascii="Arial" w:hAnsi="Arial" w:cs="Arial"/>
          <w:sz w:val="24"/>
          <w:szCs w:val="24"/>
        </w:rPr>
      </w:pPr>
      <w:r>
        <w:rPr>
          <w:rFonts w:ascii="Arial" w:hAnsi="Arial" w:cs="Arial"/>
          <w:sz w:val="24"/>
          <w:szCs w:val="24"/>
        </w:rPr>
        <w:t>F</w:t>
      </w:r>
      <w:r w:rsidR="00F21624">
        <w:rPr>
          <w:rFonts w:ascii="Arial" w:hAnsi="Arial" w:cs="Arial"/>
          <w:sz w:val="24"/>
          <w:szCs w:val="24"/>
        </w:rPr>
        <w:t>or Hoyos, it was the Syracusans who have an equally large role to play in the outbreak of the First Punic War</w:t>
      </w:r>
      <w:r w:rsidR="00F21624">
        <w:rPr>
          <w:rStyle w:val="FootnoteReference"/>
          <w:rFonts w:ascii="Arial" w:hAnsi="Arial" w:cs="Arial"/>
          <w:sz w:val="24"/>
          <w:szCs w:val="24"/>
        </w:rPr>
        <w:footnoteReference w:id="41"/>
      </w:r>
      <w:r w:rsidR="00F21624">
        <w:rPr>
          <w:rFonts w:ascii="Arial" w:hAnsi="Arial" w:cs="Arial"/>
          <w:sz w:val="24"/>
          <w:szCs w:val="24"/>
        </w:rPr>
        <w:t>, as their spectacular defeat by Rome, as opposed to the centuries of grinding warfare against Carthage, meant the Carthaginians would have to fight to preserve peace on the island</w:t>
      </w:r>
      <w:r w:rsidR="00F21624">
        <w:rPr>
          <w:rStyle w:val="FootnoteReference"/>
          <w:rFonts w:ascii="Arial" w:hAnsi="Arial" w:cs="Arial"/>
          <w:sz w:val="24"/>
          <w:szCs w:val="24"/>
        </w:rPr>
        <w:footnoteReference w:id="42"/>
      </w:r>
      <w:r w:rsidR="00F21624">
        <w:rPr>
          <w:rFonts w:ascii="Arial" w:hAnsi="Arial" w:cs="Arial"/>
          <w:sz w:val="24"/>
          <w:szCs w:val="24"/>
        </w:rPr>
        <w:t xml:space="preserve">. </w:t>
      </w:r>
      <w:r w:rsidR="007D1C28">
        <w:rPr>
          <w:rFonts w:ascii="Arial" w:hAnsi="Arial" w:cs="Arial"/>
          <w:sz w:val="24"/>
          <w:szCs w:val="24"/>
        </w:rPr>
        <w:t>O</w:t>
      </w:r>
      <w:r w:rsidR="00F21624">
        <w:rPr>
          <w:rFonts w:ascii="Arial" w:hAnsi="Arial" w:cs="Arial"/>
          <w:sz w:val="24"/>
          <w:szCs w:val="24"/>
        </w:rPr>
        <w:t xml:space="preserve">thers see the relationship </w:t>
      </w:r>
      <w:r w:rsidR="00F21624">
        <w:rPr>
          <w:rFonts w:ascii="Arial" w:hAnsi="Arial" w:cs="Arial"/>
          <w:sz w:val="24"/>
          <w:szCs w:val="24"/>
        </w:rPr>
        <w:lastRenderedPageBreak/>
        <w:t xml:space="preserve">between Syracuse and Carthage as the key relationship in the outbreak of the first Punic war. </w:t>
      </w:r>
      <w:proofErr w:type="spellStart"/>
      <w:r w:rsidR="00F21624">
        <w:rPr>
          <w:rFonts w:ascii="Arial" w:hAnsi="Arial" w:cs="Arial"/>
          <w:sz w:val="24"/>
          <w:szCs w:val="24"/>
        </w:rPr>
        <w:t>Ameling</w:t>
      </w:r>
      <w:proofErr w:type="spellEnd"/>
      <w:r w:rsidR="000946C0">
        <w:rPr>
          <w:rFonts w:ascii="Arial" w:hAnsi="Arial" w:cs="Arial"/>
          <w:sz w:val="24"/>
          <w:szCs w:val="24"/>
        </w:rPr>
        <w:t xml:space="preserve"> </w:t>
      </w:r>
      <w:r w:rsidR="00F21624">
        <w:rPr>
          <w:rFonts w:ascii="Arial" w:hAnsi="Arial" w:cs="Arial"/>
          <w:sz w:val="24"/>
          <w:szCs w:val="24"/>
        </w:rPr>
        <w:t>views the history of Sicily as one of Carthage and Syracuse attempting to find an ‘equilibrium’ over control of the island and with Syracuse’s spectacular collapse Carthage had to react quickly to stop an ambitious new third party gaining a foothold</w:t>
      </w:r>
      <w:r w:rsidR="00F21624">
        <w:rPr>
          <w:rStyle w:val="FootnoteReference"/>
          <w:rFonts w:ascii="Arial" w:hAnsi="Arial" w:cs="Arial"/>
          <w:sz w:val="24"/>
          <w:szCs w:val="24"/>
        </w:rPr>
        <w:footnoteReference w:id="43"/>
      </w:r>
      <w:r w:rsidR="00F21624">
        <w:rPr>
          <w:rFonts w:ascii="Arial" w:hAnsi="Arial" w:cs="Arial"/>
          <w:sz w:val="24"/>
          <w:szCs w:val="24"/>
        </w:rPr>
        <w:t xml:space="preserve">. </w:t>
      </w:r>
    </w:p>
    <w:p w14:paraId="1A9CC744" w14:textId="7C870FD3" w:rsidR="003C3F6D" w:rsidRDefault="0094369E" w:rsidP="008B745A">
      <w:pPr>
        <w:spacing w:line="480" w:lineRule="auto"/>
        <w:rPr>
          <w:rFonts w:ascii="Arial" w:hAnsi="Arial" w:cs="Arial"/>
          <w:sz w:val="24"/>
          <w:szCs w:val="24"/>
        </w:rPr>
      </w:pPr>
      <w:r>
        <w:rPr>
          <w:rFonts w:ascii="Arial" w:hAnsi="Arial" w:cs="Arial"/>
          <w:sz w:val="24"/>
          <w:szCs w:val="24"/>
        </w:rPr>
        <w:t xml:space="preserve">For Rainey, </w:t>
      </w:r>
      <w:r w:rsidR="00F21624">
        <w:rPr>
          <w:rFonts w:ascii="Arial" w:hAnsi="Arial" w:cs="Arial"/>
          <w:sz w:val="24"/>
          <w:szCs w:val="24"/>
        </w:rPr>
        <w:t>Carthage was not the aggressor but would not let her centuries old claims to Sicily and her trading empire be threatened</w:t>
      </w:r>
      <w:r w:rsidR="00F21624">
        <w:rPr>
          <w:rStyle w:val="FootnoteReference"/>
          <w:rFonts w:ascii="Arial" w:hAnsi="Arial" w:cs="Arial"/>
          <w:sz w:val="24"/>
          <w:szCs w:val="24"/>
        </w:rPr>
        <w:footnoteReference w:id="44"/>
      </w:r>
      <w:r w:rsidR="00F21624">
        <w:rPr>
          <w:rFonts w:ascii="Arial" w:hAnsi="Arial" w:cs="Arial"/>
          <w:sz w:val="24"/>
          <w:szCs w:val="24"/>
        </w:rPr>
        <w:t>. What is important to note with Rainey’s argument’s is that for Carthage countering Syracuse was just as important as countering Rome</w:t>
      </w:r>
      <w:r w:rsidR="00F21624">
        <w:rPr>
          <w:rStyle w:val="FootnoteReference"/>
          <w:rFonts w:ascii="Arial" w:hAnsi="Arial" w:cs="Arial"/>
          <w:sz w:val="24"/>
          <w:szCs w:val="24"/>
        </w:rPr>
        <w:footnoteReference w:id="45"/>
      </w:r>
      <w:r w:rsidR="00F21624">
        <w:rPr>
          <w:rFonts w:ascii="Arial" w:hAnsi="Arial" w:cs="Arial"/>
          <w:sz w:val="24"/>
          <w:szCs w:val="24"/>
        </w:rPr>
        <w:t>. Sicily was the economic linchpin to the Carthaginian trading empire (‘invaluable</w:t>
      </w:r>
      <w:r>
        <w:rPr>
          <w:rFonts w:ascii="Arial" w:hAnsi="Arial" w:cs="Arial"/>
          <w:sz w:val="24"/>
          <w:szCs w:val="24"/>
        </w:rPr>
        <w:t>’</w:t>
      </w:r>
      <w:r w:rsidR="003C3F6D">
        <w:rPr>
          <w:rFonts w:ascii="Arial" w:hAnsi="Arial" w:cs="Arial"/>
          <w:sz w:val="24"/>
          <w:szCs w:val="24"/>
        </w:rPr>
        <w:t>,</w:t>
      </w:r>
      <w:r w:rsidR="00F21624">
        <w:rPr>
          <w:rFonts w:ascii="Arial" w:hAnsi="Arial" w:cs="Arial"/>
          <w:sz w:val="24"/>
          <w:szCs w:val="24"/>
        </w:rPr>
        <w:t xml:space="preserve"> as one historian describes it</w:t>
      </w:r>
      <w:r w:rsidR="00F21624">
        <w:rPr>
          <w:rStyle w:val="FootnoteReference"/>
          <w:rFonts w:ascii="Arial" w:hAnsi="Arial" w:cs="Arial"/>
          <w:sz w:val="24"/>
          <w:szCs w:val="24"/>
        </w:rPr>
        <w:footnoteReference w:id="46"/>
      </w:r>
      <w:r w:rsidR="00F21624">
        <w:rPr>
          <w:rFonts w:ascii="Arial" w:hAnsi="Arial" w:cs="Arial"/>
          <w:sz w:val="24"/>
          <w:szCs w:val="24"/>
        </w:rPr>
        <w:t>)</w:t>
      </w:r>
      <w:r w:rsidR="003C3F6D">
        <w:rPr>
          <w:rFonts w:ascii="Arial" w:hAnsi="Arial" w:cs="Arial"/>
          <w:sz w:val="24"/>
          <w:szCs w:val="24"/>
        </w:rPr>
        <w:t>,</w:t>
      </w:r>
      <w:r w:rsidR="00F21624">
        <w:rPr>
          <w:rFonts w:ascii="Arial" w:hAnsi="Arial" w:cs="Arial"/>
          <w:sz w:val="24"/>
          <w:szCs w:val="24"/>
        </w:rPr>
        <w:t xml:space="preserve"> with Messana providing control of the sea lanes</w:t>
      </w:r>
      <w:r w:rsidR="00F21624">
        <w:rPr>
          <w:rStyle w:val="FootnoteReference"/>
          <w:rFonts w:ascii="Arial" w:hAnsi="Arial" w:cs="Arial"/>
          <w:sz w:val="24"/>
          <w:szCs w:val="24"/>
        </w:rPr>
        <w:footnoteReference w:id="47"/>
      </w:r>
      <w:r w:rsidR="00F21624">
        <w:rPr>
          <w:rFonts w:ascii="Arial" w:hAnsi="Arial" w:cs="Arial"/>
          <w:sz w:val="24"/>
          <w:szCs w:val="24"/>
        </w:rPr>
        <w:t xml:space="preserve">. It is not about an intrinsic fear of Rome as an individual power but rather of an attempt by another power – Pyrrhus and Syracuse being two other </w:t>
      </w:r>
      <w:r w:rsidR="000C0A4A">
        <w:rPr>
          <w:rFonts w:ascii="Arial" w:hAnsi="Arial" w:cs="Arial"/>
          <w:sz w:val="24"/>
          <w:szCs w:val="24"/>
        </w:rPr>
        <w:t>examples</w:t>
      </w:r>
      <w:r w:rsidR="00F21624">
        <w:rPr>
          <w:rFonts w:ascii="Arial" w:hAnsi="Arial" w:cs="Arial"/>
          <w:sz w:val="24"/>
          <w:szCs w:val="24"/>
        </w:rPr>
        <w:t xml:space="preserve"> – to threaten the trading empire. </w:t>
      </w:r>
    </w:p>
    <w:p w14:paraId="298B7924" w14:textId="44FAE711" w:rsidR="00F21624" w:rsidRDefault="00F21624" w:rsidP="008B745A">
      <w:pPr>
        <w:spacing w:line="480" w:lineRule="auto"/>
        <w:rPr>
          <w:rFonts w:ascii="Arial" w:hAnsi="Arial" w:cs="Arial"/>
          <w:sz w:val="24"/>
          <w:szCs w:val="24"/>
        </w:rPr>
      </w:pPr>
      <w:r>
        <w:rPr>
          <w:rFonts w:ascii="Arial" w:hAnsi="Arial" w:cs="Arial"/>
          <w:sz w:val="24"/>
          <w:szCs w:val="24"/>
        </w:rPr>
        <w:t>This view i</w:t>
      </w:r>
      <w:r w:rsidR="0094369E">
        <w:rPr>
          <w:rFonts w:ascii="Arial" w:hAnsi="Arial" w:cs="Arial"/>
          <w:sz w:val="24"/>
          <w:szCs w:val="24"/>
        </w:rPr>
        <w:t>s</w:t>
      </w:r>
      <w:r>
        <w:rPr>
          <w:rFonts w:ascii="Arial" w:hAnsi="Arial" w:cs="Arial"/>
          <w:sz w:val="24"/>
          <w:szCs w:val="24"/>
        </w:rPr>
        <w:t xml:space="preserve"> reinforced by Pilkington and Scullard, who state that for Carthage it was the maintenance of her trading networks and trade routes that was paramount</w:t>
      </w:r>
      <w:r>
        <w:rPr>
          <w:rStyle w:val="FootnoteReference"/>
          <w:rFonts w:ascii="Arial" w:hAnsi="Arial" w:cs="Arial"/>
          <w:sz w:val="24"/>
          <w:szCs w:val="24"/>
        </w:rPr>
        <w:footnoteReference w:id="48"/>
      </w:r>
      <w:r>
        <w:rPr>
          <w:rFonts w:ascii="Arial" w:hAnsi="Arial" w:cs="Arial"/>
          <w:sz w:val="24"/>
          <w:szCs w:val="24"/>
        </w:rPr>
        <w:t>. However, for Pilkington, unlike Rainey, Carthage did not actively want a colonial empire on the island, instead preferring a light-handed approach, to make commercial activity easier</w:t>
      </w:r>
      <w:r>
        <w:rPr>
          <w:rStyle w:val="FootnoteReference"/>
          <w:rFonts w:ascii="Arial" w:hAnsi="Arial" w:cs="Arial"/>
          <w:sz w:val="24"/>
          <w:szCs w:val="24"/>
        </w:rPr>
        <w:footnoteReference w:id="49"/>
      </w:r>
      <w:r>
        <w:rPr>
          <w:rFonts w:ascii="Arial" w:hAnsi="Arial" w:cs="Arial"/>
          <w:sz w:val="24"/>
          <w:szCs w:val="24"/>
        </w:rPr>
        <w:t>. Where Carthage did take land in Sicily, it was usually to create a ‘buffer-zone’ between Greek and Carthaginian interests</w:t>
      </w:r>
      <w:r>
        <w:rPr>
          <w:rStyle w:val="FootnoteReference"/>
          <w:rFonts w:ascii="Arial" w:hAnsi="Arial" w:cs="Arial"/>
          <w:sz w:val="24"/>
          <w:szCs w:val="24"/>
        </w:rPr>
        <w:footnoteReference w:id="50"/>
      </w:r>
      <w:r>
        <w:rPr>
          <w:rFonts w:ascii="Arial" w:hAnsi="Arial" w:cs="Arial"/>
          <w:sz w:val="24"/>
          <w:szCs w:val="24"/>
        </w:rPr>
        <w:t xml:space="preserve">. </w:t>
      </w:r>
    </w:p>
    <w:p w14:paraId="66B32AEC" w14:textId="38D0DA5C" w:rsidR="00F21624" w:rsidRDefault="000946C0" w:rsidP="008B745A">
      <w:pPr>
        <w:spacing w:line="480" w:lineRule="auto"/>
        <w:rPr>
          <w:rFonts w:ascii="Arial" w:hAnsi="Arial" w:cs="Arial"/>
          <w:sz w:val="24"/>
          <w:szCs w:val="24"/>
        </w:rPr>
      </w:pPr>
      <w:r>
        <w:rPr>
          <w:rFonts w:ascii="Arial" w:hAnsi="Arial" w:cs="Arial"/>
          <w:sz w:val="24"/>
          <w:szCs w:val="24"/>
        </w:rPr>
        <w:lastRenderedPageBreak/>
        <w:t>T</w:t>
      </w:r>
      <w:r w:rsidR="00F21624">
        <w:rPr>
          <w:rFonts w:ascii="Arial" w:hAnsi="Arial" w:cs="Arial"/>
          <w:sz w:val="24"/>
          <w:szCs w:val="24"/>
        </w:rPr>
        <w:t xml:space="preserve">rade and ensuring free access to trade routes is one of the key drivers for Lancel, who even states that war in Sicily against Rome was probably decided by ‘commercial interests’ in Carthage – an inversion from </w:t>
      </w:r>
      <w:proofErr w:type="spellStart"/>
      <w:r w:rsidR="00F21624">
        <w:rPr>
          <w:rFonts w:ascii="Arial" w:hAnsi="Arial" w:cs="Arial"/>
          <w:sz w:val="24"/>
          <w:szCs w:val="24"/>
        </w:rPr>
        <w:t>Bleckmann’s</w:t>
      </w:r>
      <w:proofErr w:type="spellEnd"/>
      <w:r w:rsidR="00F21624">
        <w:rPr>
          <w:rFonts w:ascii="Arial" w:hAnsi="Arial" w:cs="Arial"/>
          <w:sz w:val="24"/>
          <w:szCs w:val="24"/>
        </w:rPr>
        <w:t xml:space="preserve"> ideas that key Romans individuals were responsible</w:t>
      </w:r>
      <w:r w:rsidR="00F21624">
        <w:rPr>
          <w:rStyle w:val="FootnoteReference"/>
          <w:rFonts w:ascii="Arial" w:hAnsi="Arial" w:cs="Arial"/>
          <w:sz w:val="24"/>
          <w:szCs w:val="24"/>
        </w:rPr>
        <w:footnoteReference w:id="51"/>
      </w:r>
      <w:r w:rsidR="00F21624">
        <w:rPr>
          <w:rFonts w:ascii="Arial" w:hAnsi="Arial" w:cs="Arial"/>
          <w:sz w:val="24"/>
          <w:szCs w:val="24"/>
        </w:rPr>
        <w:t>. Carthage was not prepared to accept any changes to its commercial sphere of influence but losing Sicily would mean it would be harder to keep other pieces of territory like Corsica and Sardinia</w:t>
      </w:r>
      <w:r w:rsidR="00F21624">
        <w:rPr>
          <w:rStyle w:val="FootnoteReference"/>
          <w:rFonts w:ascii="Arial" w:hAnsi="Arial" w:cs="Arial"/>
          <w:sz w:val="24"/>
          <w:szCs w:val="24"/>
        </w:rPr>
        <w:footnoteReference w:id="52"/>
      </w:r>
      <w:r w:rsidR="00F21624">
        <w:rPr>
          <w:rFonts w:ascii="Arial" w:hAnsi="Arial" w:cs="Arial"/>
          <w:sz w:val="24"/>
          <w:szCs w:val="24"/>
        </w:rPr>
        <w:t xml:space="preserve">. </w:t>
      </w:r>
    </w:p>
    <w:p w14:paraId="02829F91" w14:textId="504A92DC" w:rsidR="00F21624" w:rsidRDefault="00F21624" w:rsidP="008B745A">
      <w:pPr>
        <w:spacing w:line="480" w:lineRule="auto"/>
      </w:pPr>
    </w:p>
    <w:p w14:paraId="57F0E9C5" w14:textId="50452154" w:rsidR="008F21AE" w:rsidRDefault="008F21AE" w:rsidP="008B745A">
      <w:pPr>
        <w:spacing w:line="480" w:lineRule="auto"/>
      </w:pPr>
    </w:p>
    <w:p w14:paraId="071C6989" w14:textId="68097453" w:rsidR="008F21AE" w:rsidRDefault="008F21AE" w:rsidP="008B745A">
      <w:pPr>
        <w:spacing w:line="480" w:lineRule="auto"/>
      </w:pPr>
    </w:p>
    <w:p w14:paraId="4DC07FE6" w14:textId="6CF77C09" w:rsidR="008F21AE" w:rsidRDefault="008F21AE" w:rsidP="008B745A">
      <w:pPr>
        <w:spacing w:line="480" w:lineRule="auto"/>
      </w:pPr>
    </w:p>
    <w:p w14:paraId="6D5E4B2B" w14:textId="5576B205" w:rsidR="008F21AE" w:rsidRDefault="008F21AE" w:rsidP="008B745A">
      <w:pPr>
        <w:spacing w:line="480" w:lineRule="auto"/>
      </w:pPr>
    </w:p>
    <w:p w14:paraId="45985E54" w14:textId="0167A7AB" w:rsidR="008F21AE" w:rsidRDefault="008F21AE" w:rsidP="008B745A">
      <w:pPr>
        <w:spacing w:line="480" w:lineRule="auto"/>
      </w:pPr>
    </w:p>
    <w:p w14:paraId="7587ADB6" w14:textId="1434DF3B" w:rsidR="008F21AE" w:rsidRDefault="008F21AE" w:rsidP="008B745A">
      <w:pPr>
        <w:spacing w:line="480" w:lineRule="auto"/>
      </w:pPr>
    </w:p>
    <w:p w14:paraId="7C02F4F9" w14:textId="6E5782F3" w:rsidR="003C3F6D" w:rsidRDefault="003C3F6D" w:rsidP="003C3F6D">
      <w:pPr>
        <w:spacing w:line="480" w:lineRule="auto"/>
      </w:pPr>
    </w:p>
    <w:p w14:paraId="2E479E30" w14:textId="4EE12896" w:rsidR="000C0A4A" w:rsidRDefault="000C0A4A" w:rsidP="003C3F6D">
      <w:pPr>
        <w:spacing w:line="480" w:lineRule="auto"/>
      </w:pPr>
    </w:p>
    <w:p w14:paraId="2EDEDE5B" w14:textId="3F55D7CF" w:rsidR="0094369E" w:rsidRDefault="0094369E" w:rsidP="003C3F6D">
      <w:pPr>
        <w:spacing w:line="480" w:lineRule="auto"/>
      </w:pPr>
    </w:p>
    <w:p w14:paraId="5B44F89D" w14:textId="000285C4" w:rsidR="000946C0" w:rsidRDefault="000946C0" w:rsidP="003C3F6D">
      <w:pPr>
        <w:spacing w:line="480" w:lineRule="auto"/>
      </w:pPr>
    </w:p>
    <w:p w14:paraId="7BD264CD" w14:textId="5171F9F2" w:rsidR="000946C0" w:rsidRDefault="000946C0" w:rsidP="003C3F6D">
      <w:pPr>
        <w:spacing w:line="480" w:lineRule="auto"/>
      </w:pPr>
    </w:p>
    <w:p w14:paraId="1C8E88B7" w14:textId="77777777" w:rsidR="000946C0" w:rsidRDefault="000946C0" w:rsidP="003C3F6D">
      <w:pPr>
        <w:spacing w:line="480" w:lineRule="auto"/>
      </w:pPr>
    </w:p>
    <w:p w14:paraId="089E6917" w14:textId="41307B9C" w:rsidR="00F21624" w:rsidRPr="007074C2" w:rsidRDefault="00F21624" w:rsidP="003C3F6D">
      <w:pPr>
        <w:spacing w:line="480" w:lineRule="auto"/>
        <w:jc w:val="center"/>
        <w:rPr>
          <w:rFonts w:ascii="Arial" w:hAnsi="Arial" w:cs="Arial"/>
          <w:b/>
          <w:bCs/>
          <w:sz w:val="24"/>
          <w:szCs w:val="24"/>
          <w:u w:val="single"/>
        </w:rPr>
      </w:pPr>
      <w:r w:rsidRPr="007074C2">
        <w:rPr>
          <w:rFonts w:ascii="Arial" w:hAnsi="Arial" w:cs="Arial"/>
          <w:b/>
          <w:bCs/>
          <w:sz w:val="24"/>
          <w:szCs w:val="24"/>
          <w:u w:val="single"/>
        </w:rPr>
        <w:lastRenderedPageBreak/>
        <w:t>The Rise of Rome</w:t>
      </w:r>
    </w:p>
    <w:p w14:paraId="40324BA8" w14:textId="03FA962E" w:rsidR="00F21624" w:rsidRDefault="00F21624" w:rsidP="008B745A">
      <w:pPr>
        <w:spacing w:line="480" w:lineRule="auto"/>
        <w:rPr>
          <w:rFonts w:ascii="Arial" w:hAnsi="Arial" w:cs="Arial"/>
          <w:sz w:val="24"/>
          <w:szCs w:val="24"/>
        </w:rPr>
      </w:pPr>
      <w:r>
        <w:rPr>
          <w:rFonts w:ascii="Arial" w:hAnsi="Arial" w:cs="Arial"/>
          <w:sz w:val="24"/>
          <w:szCs w:val="24"/>
        </w:rPr>
        <w:t>Rome’s wars between 509 B.C. to 282 B.C</w:t>
      </w:r>
      <w:r w:rsidR="0021139D">
        <w:rPr>
          <w:rFonts w:ascii="Arial" w:hAnsi="Arial" w:cs="Arial"/>
          <w:sz w:val="24"/>
          <w:szCs w:val="24"/>
        </w:rPr>
        <w:t>.</w:t>
      </w:r>
      <w:r>
        <w:rPr>
          <w:rFonts w:ascii="Arial" w:hAnsi="Arial" w:cs="Arial"/>
          <w:sz w:val="24"/>
          <w:szCs w:val="24"/>
        </w:rPr>
        <w:t xml:space="preserve"> were hard-fought and costly, leading Rome to take land, build settlements and annex territory </w:t>
      </w:r>
      <w:r w:rsidR="0021139D">
        <w:rPr>
          <w:rFonts w:ascii="Arial" w:hAnsi="Arial" w:cs="Arial"/>
          <w:sz w:val="24"/>
          <w:szCs w:val="24"/>
        </w:rPr>
        <w:t>to secure</w:t>
      </w:r>
      <w:r>
        <w:rPr>
          <w:rFonts w:ascii="Arial" w:hAnsi="Arial" w:cs="Arial"/>
          <w:sz w:val="24"/>
          <w:szCs w:val="24"/>
        </w:rPr>
        <w:t xml:space="preserve"> her frontier and maintain her security. Rome </w:t>
      </w:r>
      <w:r w:rsidR="0021139D">
        <w:rPr>
          <w:rFonts w:ascii="Arial" w:hAnsi="Arial" w:cs="Arial"/>
          <w:sz w:val="24"/>
          <w:szCs w:val="24"/>
        </w:rPr>
        <w:t>needed</w:t>
      </w:r>
      <w:r>
        <w:rPr>
          <w:rFonts w:ascii="Arial" w:hAnsi="Arial" w:cs="Arial"/>
          <w:sz w:val="24"/>
          <w:szCs w:val="24"/>
        </w:rPr>
        <w:t xml:space="preserve"> to respond to</w:t>
      </w:r>
      <w:r w:rsidR="003C3F6D">
        <w:rPr>
          <w:rFonts w:ascii="Arial" w:hAnsi="Arial" w:cs="Arial"/>
          <w:sz w:val="24"/>
          <w:szCs w:val="24"/>
        </w:rPr>
        <w:t xml:space="preserve"> </w:t>
      </w:r>
      <w:r>
        <w:rPr>
          <w:rFonts w:ascii="Arial" w:hAnsi="Arial" w:cs="Arial"/>
          <w:sz w:val="24"/>
          <w:szCs w:val="24"/>
        </w:rPr>
        <w:t xml:space="preserve">pleas from other states, ensuring they were not absorbed </w:t>
      </w:r>
      <w:r w:rsidR="00896B86">
        <w:rPr>
          <w:rFonts w:ascii="Arial" w:hAnsi="Arial" w:cs="Arial"/>
          <w:sz w:val="24"/>
          <w:szCs w:val="24"/>
        </w:rPr>
        <w:t>by</w:t>
      </w:r>
      <w:r>
        <w:rPr>
          <w:rFonts w:ascii="Arial" w:hAnsi="Arial" w:cs="Arial"/>
          <w:sz w:val="24"/>
          <w:szCs w:val="24"/>
        </w:rPr>
        <w:t xml:space="preserve"> rival powers</w:t>
      </w:r>
      <w:r w:rsidR="0021139D">
        <w:rPr>
          <w:rFonts w:ascii="Arial" w:hAnsi="Arial" w:cs="Arial"/>
          <w:sz w:val="24"/>
          <w:szCs w:val="24"/>
        </w:rPr>
        <w:t xml:space="preserve"> and </w:t>
      </w:r>
      <w:r>
        <w:rPr>
          <w:rFonts w:ascii="Arial" w:hAnsi="Arial" w:cs="Arial"/>
          <w:sz w:val="24"/>
          <w:szCs w:val="24"/>
        </w:rPr>
        <w:t xml:space="preserve">creating an unfavourable geo-political landscape. </w:t>
      </w:r>
    </w:p>
    <w:p w14:paraId="648D3DA0" w14:textId="235471BB" w:rsidR="00F21624" w:rsidRDefault="00F21624" w:rsidP="008B745A">
      <w:pPr>
        <w:spacing w:line="480" w:lineRule="auto"/>
        <w:rPr>
          <w:rFonts w:ascii="Arial" w:hAnsi="Arial" w:cs="Arial"/>
          <w:sz w:val="24"/>
          <w:szCs w:val="24"/>
        </w:rPr>
      </w:pPr>
      <w:r>
        <w:rPr>
          <w:rFonts w:ascii="Arial" w:hAnsi="Arial" w:cs="Arial"/>
          <w:sz w:val="24"/>
          <w:szCs w:val="24"/>
        </w:rPr>
        <w:t xml:space="preserve">Events such as the Gallic Sack of 390, and the fact that Rome consistently fought coalitions of other states, often simultaneously, led </w:t>
      </w:r>
      <w:r w:rsidR="00FE4D4B">
        <w:rPr>
          <w:rFonts w:ascii="Arial" w:hAnsi="Arial" w:cs="Arial"/>
          <w:sz w:val="24"/>
          <w:szCs w:val="24"/>
        </w:rPr>
        <w:t>Rome</w:t>
      </w:r>
      <w:r>
        <w:rPr>
          <w:rFonts w:ascii="Arial" w:hAnsi="Arial" w:cs="Arial"/>
          <w:sz w:val="24"/>
          <w:szCs w:val="24"/>
        </w:rPr>
        <w:t xml:space="preserve"> to </w:t>
      </w:r>
      <w:r w:rsidR="00FE4D4B">
        <w:rPr>
          <w:rFonts w:ascii="Arial" w:hAnsi="Arial" w:cs="Arial"/>
          <w:sz w:val="24"/>
          <w:szCs w:val="24"/>
        </w:rPr>
        <w:t>consider</w:t>
      </w:r>
      <w:r>
        <w:rPr>
          <w:rFonts w:ascii="Arial" w:hAnsi="Arial" w:cs="Arial"/>
          <w:sz w:val="24"/>
          <w:szCs w:val="24"/>
        </w:rPr>
        <w:t xml:space="preserve"> engaging in warfare for her own protection. </w:t>
      </w:r>
      <w:r w:rsidR="0021139D">
        <w:rPr>
          <w:rFonts w:ascii="Arial" w:hAnsi="Arial" w:cs="Arial"/>
          <w:sz w:val="24"/>
          <w:szCs w:val="24"/>
        </w:rPr>
        <w:t>T</w:t>
      </w:r>
      <w:r>
        <w:rPr>
          <w:rFonts w:ascii="Arial" w:hAnsi="Arial" w:cs="Arial"/>
          <w:sz w:val="24"/>
          <w:szCs w:val="24"/>
        </w:rPr>
        <w:t xml:space="preserve">hese formative conflicts would ensure Rome would not countenance a rival Carthaginian power ten miles away from mainland Italy, establishing the idea that Rome might have to actively </w:t>
      </w:r>
      <w:r w:rsidR="00181398">
        <w:rPr>
          <w:rFonts w:ascii="Arial" w:hAnsi="Arial" w:cs="Arial"/>
          <w:sz w:val="24"/>
          <w:szCs w:val="24"/>
        </w:rPr>
        <w:t>pursue</w:t>
      </w:r>
      <w:r>
        <w:rPr>
          <w:rFonts w:ascii="Arial" w:hAnsi="Arial" w:cs="Arial"/>
          <w:sz w:val="24"/>
          <w:szCs w:val="24"/>
        </w:rPr>
        <w:t xml:space="preserve"> war to avoid Carthage gaining a strategic advantage </w:t>
      </w:r>
      <w:r w:rsidR="00181398">
        <w:rPr>
          <w:rFonts w:ascii="Arial" w:hAnsi="Arial" w:cs="Arial"/>
          <w:sz w:val="24"/>
          <w:szCs w:val="24"/>
        </w:rPr>
        <w:t>in</w:t>
      </w:r>
      <w:r>
        <w:rPr>
          <w:rFonts w:ascii="Arial" w:hAnsi="Arial" w:cs="Arial"/>
          <w:sz w:val="24"/>
          <w:szCs w:val="24"/>
        </w:rPr>
        <w:t xml:space="preserve"> the Straits of Messana. </w:t>
      </w:r>
    </w:p>
    <w:p w14:paraId="19821BE9" w14:textId="6FCD5E6B" w:rsidR="00F21624" w:rsidRDefault="00F21624" w:rsidP="008B745A">
      <w:pPr>
        <w:spacing w:line="480" w:lineRule="auto"/>
        <w:rPr>
          <w:rFonts w:ascii="Arial" w:hAnsi="Arial" w:cs="Arial"/>
          <w:b/>
          <w:bCs/>
          <w:sz w:val="24"/>
          <w:szCs w:val="24"/>
        </w:rPr>
      </w:pPr>
      <w:r>
        <w:rPr>
          <w:rFonts w:ascii="Arial" w:hAnsi="Arial" w:cs="Arial"/>
          <w:b/>
          <w:bCs/>
          <w:sz w:val="24"/>
          <w:szCs w:val="24"/>
        </w:rPr>
        <w:t xml:space="preserve">Roman </w:t>
      </w:r>
      <w:r w:rsidR="003C3F6D">
        <w:rPr>
          <w:rFonts w:ascii="Arial" w:hAnsi="Arial" w:cs="Arial"/>
          <w:b/>
          <w:bCs/>
          <w:sz w:val="24"/>
          <w:szCs w:val="24"/>
        </w:rPr>
        <w:t>W</w:t>
      </w:r>
      <w:r>
        <w:rPr>
          <w:rFonts w:ascii="Arial" w:hAnsi="Arial" w:cs="Arial"/>
          <w:b/>
          <w:bCs/>
          <w:sz w:val="24"/>
          <w:szCs w:val="24"/>
        </w:rPr>
        <w:t xml:space="preserve">ar-making </w:t>
      </w:r>
    </w:p>
    <w:p w14:paraId="2F758BFE" w14:textId="5F15F83E" w:rsidR="00F21624" w:rsidRDefault="00F21624" w:rsidP="008B745A">
      <w:pPr>
        <w:spacing w:line="480" w:lineRule="auto"/>
        <w:rPr>
          <w:rFonts w:ascii="Arial" w:hAnsi="Arial" w:cs="Arial"/>
          <w:sz w:val="24"/>
          <w:szCs w:val="24"/>
        </w:rPr>
      </w:pPr>
      <w:r>
        <w:rPr>
          <w:rFonts w:ascii="Arial" w:hAnsi="Arial" w:cs="Arial"/>
          <w:sz w:val="24"/>
          <w:szCs w:val="24"/>
        </w:rPr>
        <w:t>From 500 B.C.</w:t>
      </w:r>
      <w:r w:rsidR="00181398">
        <w:rPr>
          <w:rFonts w:ascii="Arial" w:hAnsi="Arial" w:cs="Arial"/>
          <w:sz w:val="24"/>
          <w:szCs w:val="24"/>
        </w:rPr>
        <w:t>,</w:t>
      </w:r>
      <w:r>
        <w:rPr>
          <w:rFonts w:ascii="Arial" w:hAnsi="Arial" w:cs="Arial"/>
          <w:sz w:val="24"/>
          <w:szCs w:val="24"/>
        </w:rPr>
        <w:t xml:space="preserve"> warfare was a constant feature of Roman life</w:t>
      </w:r>
      <w:r w:rsidR="007D15C4">
        <w:rPr>
          <w:rFonts w:ascii="Arial" w:hAnsi="Arial" w:cs="Arial"/>
          <w:sz w:val="24"/>
          <w:szCs w:val="24"/>
        </w:rPr>
        <w:t xml:space="preserve"> - a</w:t>
      </w:r>
      <w:r>
        <w:rPr>
          <w:rFonts w:ascii="Arial" w:hAnsi="Arial" w:cs="Arial"/>
          <w:sz w:val="24"/>
          <w:szCs w:val="24"/>
        </w:rPr>
        <w:t xml:space="preserve">s early as 500 B.C. there were co-ordinated attacks on Rome </w:t>
      </w:r>
      <w:r w:rsidR="003C3F6D">
        <w:rPr>
          <w:rFonts w:ascii="Arial" w:hAnsi="Arial" w:cs="Arial"/>
          <w:sz w:val="24"/>
          <w:szCs w:val="24"/>
        </w:rPr>
        <w:t>in</w:t>
      </w:r>
      <w:r>
        <w:rPr>
          <w:rFonts w:ascii="Arial" w:hAnsi="Arial" w:cs="Arial"/>
          <w:sz w:val="24"/>
          <w:szCs w:val="24"/>
        </w:rPr>
        <w:t xml:space="preserve"> 431 B.C</w:t>
      </w:r>
      <w:r>
        <w:rPr>
          <w:rStyle w:val="FootnoteReference"/>
          <w:rFonts w:ascii="Arial" w:hAnsi="Arial" w:cs="Arial"/>
          <w:sz w:val="24"/>
          <w:szCs w:val="24"/>
        </w:rPr>
        <w:footnoteReference w:id="53"/>
      </w:r>
      <w:r>
        <w:rPr>
          <w:rFonts w:ascii="Arial" w:hAnsi="Arial" w:cs="Arial"/>
          <w:sz w:val="24"/>
          <w:szCs w:val="24"/>
        </w:rPr>
        <w:t xml:space="preserve">. </w:t>
      </w:r>
      <w:r w:rsidR="00C11D0F">
        <w:rPr>
          <w:rFonts w:ascii="Arial" w:hAnsi="Arial" w:cs="Arial"/>
          <w:sz w:val="24"/>
          <w:szCs w:val="24"/>
        </w:rPr>
        <w:t>Later,</w:t>
      </w:r>
      <w:r>
        <w:rPr>
          <w:rFonts w:ascii="Arial" w:hAnsi="Arial" w:cs="Arial"/>
          <w:sz w:val="24"/>
          <w:szCs w:val="24"/>
        </w:rPr>
        <w:t xml:space="preserve"> in 390, the </w:t>
      </w:r>
      <w:r w:rsidR="001022A3">
        <w:rPr>
          <w:rFonts w:ascii="Arial" w:hAnsi="Arial" w:cs="Arial"/>
          <w:sz w:val="24"/>
          <w:szCs w:val="24"/>
        </w:rPr>
        <w:t>Gaul’s</w:t>
      </w:r>
      <w:r>
        <w:rPr>
          <w:rFonts w:ascii="Arial" w:hAnsi="Arial" w:cs="Arial"/>
          <w:sz w:val="24"/>
          <w:szCs w:val="24"/>
        </w:rPr>
        <w:t xml:space="preserve"> swept down and sacked the city, which took years to recover</w:t>
      </w:r>
      <w:r>
        <w:rPr>
          <w:rStyle w:val="FootnoteReference"/>
          <w:rFonts w:ascii="Arial" w:hAnsi="Arial" w:cs="Arial"/>
          <w:sz w:val="24"/>
          <w:szCs w:val="24"/>
        </w:rPr>
        <w:footnoteReference w:id="54"/>
      </w:r>
      <w:r>
        <w:rPr>
          <w:rFonts w:ascii="Arial" w:hAnsi="Arial" w:cs="Arial"/>
          <w:sz w:val="24"/>
          <w:szCs w:val="24"/>
        </w:rPr>
        <w:t>. Raaflaub even accepts that the “fears of the Gauls” caused panic centuries later</w:t>
      </w:r>
      <w:r>
        <w:rPr>
          <w:rStyle w:val="FootnoteReference"/>
          <w:rFonts w:ascii="Arial" w:hAnsi="Arial" w:cs="Arial"/>
          <w:sz w:val="24"/>
          <w:szCs w:val="24"/>
        </w:rPr>
        <w:footnoteReference w:id="55"/>
      </w:r>
      <w:r>
        <w:rPr>
          <w:rFonts w:ascii="Arial" w:hAnsi="Arial" w:cs="Arial"/>
          <w:sz w:val="24"/>
          <w:szCs w:val="24"/>
        </w:rPr>
        <w:t xml:space="preserve">. </w:t>
      </w:r>
      <w:r w:rsidR="006706A9">
        <w:rPr>
          <w:rFonts w:ascii="Arial" w:hAnsi="Arial" w:cs="Arial"/>
          <w:sz w:val="24"/>
          <w:szCs w:val="24"/>
        </w:rPr>
        <w:t>A</w:t>
      </w:r>
      <w:r>
        <w:rPr>
          <w:rFonts w:ascii="Arial" w:hAnsi="Arial" w:cs="Arial"/>
          <w:sz w:val="24"/>
          <w:szCs w:val="24"/>
        </w:rPr>
        <w:t xml:space="preserve">nother </w:t>
      </w:r>
      <w:r w:rsidR="006706A9">
        <w:rPr>
          <w:rFonts w:ascii="Arial" w:hAnsi="Arial" w:cs="Arial"/>
          <w:sz w:val="24"/>
          <w:szCs w:val="24"/>
        </w:rPr>
        <w:t xml:space="preserve">combined </w:t>
      </w:r>
      <w:r>
        <w:rPr>
          <w:rFonts w:ascii="Arial" w:hAnsi="Arial" w:cs="Arial"/>
          <w:sz w:val="24"/>
          <w:szCs w:val="24"/>
        </w:rPr>
        <w:t>Aequi and Volsci army reached the gates of Rome</w:t>
      </w:r>
      <w:r>
        <w:rPr>
          <w:rStyle w:val="FootnoteReference"/>
          <w:rFonts w:ascii="Arial" w:hAnsi="Arial" w:cs="Arial"/>
          <w:sz w:val="24"/>
          <w:szCs w:val="24"/>
        </w:rPr>
        <w:footnoteReference w:id="56"/>
      </w:r>
      <w:r>
        <w:rPr>
          <w:rFonts w:ascii="Arial" w:hAnsi="Arial" w:cs="Arial"/>
          <w:sz w:val="24"/>
          <w:szCs w:val="24"/>
        </w:rPr>
        <w:t>. Eckstein’s assessment that the Gallic sack constituted a ‘trauma’ for the Romans helps explain their subsequent behaviour</w:t>
      </w:r>
      <w:r w:rsidR="001022A3">
        <w:rPr>
          <w:rFonts w:ascii="Arial" w:hAnsi="Arial" w:cs="Arial"/>
          <w:sz w:val="24"/>
          <w:szCs w:val="24"/>
        </w:rPr>
        <w:t xml:space="preserve"> and stories, like that </w:t>
      </w:r>
      <w:r>
        <w:rPr>
          <w:rFonts w:ascii="Arial" w:hAnsi="Arial" w:cs="Arial"/>
          <w:sz w:val="24"/>
          <w:szCs w:val="24"/>
        </w:rPr>
        <w:t>of Coriolanus</w:t>
      </w:r>
      <w:r w:rsidR="001022A3">
        <w:rPr>
          <w:rFonts w:ascii="Arial" w:hAnsi="Arial" w:cs="Arial"/>
          <w:sz w:val="24"/>
          <w:szCs w:val="24"/>
        </w:rPr>
        <w:t>,</w:t>
      </w:r>
      <w:r>
        <w:rPr>
          <w:rFonts w:ascii="Arial" w:hAnsi="Arial" w:cs="Arial"/>
          <w:sz w:val="24"/>
          <w:szCs w:val="24"/>
        </w:rPr>
        <w:t xml:space="preserve"> highlight people’s attitudes to th</w:t>
      </w:r>
      <w:r w:rsidR="00513900">
        <w:rPr>
          <w:rFonts w:ascii="Arial" w:hAnsi="Arial" w:cs="Arial"/>
          <w:sz w:val="24"/>
          <w:szCs w:val="24"/>
        </w:rPr>
        <w:t>e</w:t>
      </w:r>
      <w:r>
        <w:rPr>
          <w:rFonts w:ascii="Arial" w:hAnsi="Arial" w:cs="Arial"/>
          <w:sz w:val="24"/>
          <w:szCs w:val="24"/>
        </w:rPr>
        <w:t xml:space="preserve"> memories of Volscian raids</w:t>
      </w:r>
      <w:r w:rsidR="00513900">
        <w:rPr>
          <w:rStyle w:val="FootnoteReference"/>
          <w:rFonts w:ascii="Arial" w:hAnsi="Arial" w:cs="Arial"/>
          <w:sz w:val="24"/>
          <w:szCs w:val="24"/>
        </w:rPr>
        <w:footnoteReference w:id="57"/>
      </w:r>
      <w:r>
        <w:rPr>
          <w:rFonts w:ascii="Arial" w:hAnsi="Arial" w:cs="Arial"/>
          <w:sz w:val="24"/>
          <w:szCs w:val="24"/>
        </w:rPr>
        <w:t xml:space="preserve">. </w:t>
      </w:r>
      <w:r w:rsidR="00D16B0B">
        <w:rPr>
          <w:rFonts w:ascii="Arial" w:hAnsi="Arial" w:cs="Arial"/>
          <w:sz w:val="24"/>
          <w:szCs w:val="24"/>
        </w:rPr>
        <w:t>Importantly,</w:t>
      </w:r>
      <w:r>
        <w:rPr>
          <w:rFonts w:ascii="Arial" w:hAnsi="Arial" w:cs="Arial"/>
          <w:sz w:val="24"/>
          <w:szCs w:val="24"/>
        </w:rPr>
        <w:t xml:space="preserve"> the campaigns were </w:t>
      </w:r>
      <w:r>
        <w:rPr>
          <w:rFonts w:ascii="Arial" w:hAnsi="Arial" w:cs="Arial"/>
          <w:i/>
          <w:iCs/>
          <w:sz w:val="24"/>
          <w:szCs w:val="24"/>
        </w:rPr>
        <w:t>in</w:t>
      </w:r>
      <w:r>
        <w:rPr>
          <w:rFonts w:ascii="Arial" w:hAnsi="Arial" w:cs="Arial"/>
          <w:sz w:val="24"/>
          <w:szCs w:val="24"/>
        </w:rPr>
        <w:t xml:space="preserve"> </w:t>
      </w:r>
      <w:r>
        <w:rPr>
          <w:rFonts w:ascii="Arial" w:hAnsi="Arial" w:cs="Arial"/>
          <w:sz w:val="24"/>
          <w:szCs w:val="24"/>
        </w:rPr>
        <w:lastRenderedPageBreak/>
        <w:t>Latium. Rome was fighting wars from a very early stage for survival, against opponents who would exploit any sign of weakness</w:t>
      </w:r>
      <w:r w:rsidR="00C11D0F">
        <w:rPr>
          <w:rFonts w:ascii="Arial" w:hAnsi="Arial" w:cs="Arial"/>
          <w:sz w:val="24"/>
          <w:szCs w:val="24"/>
        </w:rPr>
        <w:t>.</w:t>
      </w:r>
      <w:r>
        <w:rPr>
          <w:rFonts w:ascii="Arial" w:hAnsi="Arial" w:cs="Arial"/>
          <w:sz w:val="24"/>
          <w:szCs w:val="24"/>
        </w:rPr>
        <w:t xml:space="preserve"> </w:t>
      </w:r>
      <w:r w:rsidR="00C11D0F">
        <w:rPr>
          <w:rFonts w:ascii="Arial" w:hAnsi="Arial" w:cs="Arial"/>
          <w:sz w:val="24"/>
          <w:szCs w:val="24"/>
        </w:rPr>
        <w:t>F</w:t>
      </w:r>
      <w:r>
        <w:rPr>
          <w:rFonts w:ascii="Arial" w:hAnsi="Arial" w:cs="Arial"/>
          <w:sz w:val="24"/>
          <w:szCs w:val="24"/>
        </w:rPr>
        <w:t>or much of Rome’s history</w:t>
      </w:r>
      <w:r w:rsidR="00C11D0F">
        <w:rPr>
          <w:rFonts w:ascii="Arial" w:hAnsi="Arial" w:cs="Arial"/>
          <w:sz w:val="24"/>
          <w:szCs w:val="24"/>
        </w:rPr>
        <w:t>,</w:t>
      </w:r>
      <w:r>
        <w:rPr>
          <w:rFonts w:ascii="Arial" w:hAnsi="Arial" w:cs="Arial"/>
          <w:sz w:val="24"/>
          <w:szCs w:val="24"/>
        </w:rPr>
        <w:t xml:space="preserve"> the wars were not of her making, often very difficult and little plunder was </w:t>
      </w:r>
      <w:r w:rsidR="00C11D0F">
        <w:rPr>
          <w:rFonts w:ascii="Arial" w:hAnsi="Arial" w:cs="Arial"/>
          <w:sz w:val="24"/>
          <w:szCs w:val="24"/>
        </w:rPr>
        <w:t>obtained</w:t>
      </w:r>
      <w:r>
        <w:rPr>
          <w:rStyle w:val="FootnoteReference"/>
          <w:rFonts w:ascii="Arial" w:hAnsi="Arial" w:cs="Arial"/>
          <w:sz w:val="24"/>
          <w:szCs w:val="24"/>
        </w:rPr>
        <w:footnoteReference w:id="58"/>
      </w:r>
      <w:r w:rsidR="00C11D0F">
        <w:rPr>
          <w:rFonts w:ascii="Arial" w:hAnsi="Arial" w:cs="Arial"/>
          <w:sz w:val="24"/>
          <w:szCs w:val="24"/>
        </w:rPr>
        <w:t>.</w:t>
      </w:r>
      <w:r>
        <w:rPr>
          <w:rFonts w:ascii="Arial" w:hAnsi="Arial" w:cs="Arial"/>
          <w:sz w:val="24"/>
          <w:szCs w:val="24"/>
        </w:rPr>
        <w:t xml:space="preserve"> </w:t>
      </w:r>
    </w:p>
    <w:p w14:paraId="490A882B" w14:textId="23FD591B" w:rsidR="00F21624" w:rsidRDefault="001D0FB5" w:rsidP="00FE4D4B">
      <w:pPr>
        <w:spacing w:line="480" w:lineRule="auto"/>
        <w:rPr>
          <w:rFonts w:ascii="Arial" w:hAnsi="Arial" w:cs="Arial"/>
          <w:sz w:val="24"/>
          <w:szCs w:val="24"/>
        </w:rPr>
      </w:pPr>
      <w:r>
        <w:rPr>
          <w:rFonts w:ascii="Arial" w:hAnsi="Arial" w:cs="Arial"/>
          <w:sz w:val="24"/>
          <w:szCs w:val="24"/>
        </w:rPr>
        <w:t>W</w:t>
      </w:r>
      <w:r w:rsidR="00F21624">
        <w:rPr>
          <w:rFonts w:ascii="Arial" w:hAnsi="Arial" w:cs="Arial"/>
          <w:sz w:val="24"/>
          <w:szCs w:val="24"/>
        </w:rPr>
        <w:t>ars were often fought inconclusively and over long periods of time. Warfare between Rome and the Etruscans lasted more than 200 years</w:t>
      </w:r>
      <w:r w:rsidR="00F21624">
        <w:rPr>
          <w:rStyle w:val="FootnoteReference"/>
          <w:rFonts w:ascii="Arial" w:hAnsi="Arial" w:cs="Arial"/>
          <w:sz w:val="24"/>
          <w:szCs w:val="24"/>
        </w:rPr>
        <w:footnoteReference w:id="59"/>
      </w:r>
      <w:r w:rsidR="00F21624">
        <w:rPr>
          <w:rFonts w:ascii="Arial" w:hAnsi="Arial" w:cs="Arial"/>
          <w:sz w:val="24"/>
          <w:szCs w:val="24"/>
        </w:rPr>
        <w:t>. Fighting only ended with the Tarquinii and Falerii in 351 B.C. with a forty-year truce</w:t>
      </w:r>
      <w:r>
        <w:rPr>
          <w:rFonts w:ascii="Arial" w:hAnsi="Arial" w:cs="Arial"/>
          <w:sz w:val="24"/>
          <w:szCs w:val="24"/>
        </w:rPr>
        <w:t xml:space="preserve"> and in another conflict,</w:t>
      </w:r>
      <w:r w:rsidR="00F21624">
        <w:rPr>
          <w:rFonts w:ascii="Arial" w:hAnsi="Arial" w:cs="Arial"/>
          <w:sz w:val="24"/>
          <w:szCs w:val="24"/>
        </w:rPr>
        <w:t xml:space="preserve"> a 100-year truce with the town Caere was signed</w:t>
      </w:r>
      <w:r w:rsidR="00F21624">
        <w:rPr>
          <w:rStyle w:val="FootnoteReference"/>
          <w:rFonts w:ascii="Arial" w:hAnsi="Arial" w:cs="Arial"/>
          <w:sz w:val="24"/>
          <w:szCs w:val="24"/>
        </w:rPr>
        <w:footnoteReference w:id="60"/>
      </w:r>
      <w:r w:rsidR="003C3F6D">
        <w:rPr>
          <w:rFonts w:ascii="Arial" w:hAnsi="Arial" w:cs="Arial"/>
          <w:sz w:val="24"/>
          <w:szCs w:val="24"/>
        </w:rPr>
        <w:t xml:space="preserve">. These opponents </w:t>
      </w:r>
      <w:r w:rsidR="00F21624">
        <w:rPr>
          <w:rFonts w:ascii="Arial" w:hAnsi="Arial" w:cs="Arial"/>
          <w:sz w:val="24"/>
          <w:szCs w:val="24"/>
        </w:rPr>
        <w:t xml:space="preserve">had combined to fight the Romans. Another example </w:t>
      </w:r>
      <w:r w:rsidR="003C3F6D">
        <w:rPr>
          <w:rFonts w:ascii="Arial" w:hAnsi="Arial" w:cs="Arial"/>
          <w:sz w:val="24"/>
          <w:szCs w:val="24"/>
        </w:rPr>
        <w:t>was</w:t>
      </w:r>
      <w:r w:rsidR="00F21624">
        <w:rPr>
          <w:rFonts w:ascii="Arial" w:hAnsi="Arial" w:cs="Arial"/>
          <w:sz w:val="24"/>
          <w:szCs w:val="24"/>
        </w:rPr>
        <w:t xml:space="preserve"> the thirty-year truce agreed with the Etruscans after the Gallic sack of 390</w:t>
      </w:r>
      <w:r w:rsidR="00F21624">
        <w:rPr>
          <w:rStyle w:val="FootnoteReference"/>
          <w:rFonts w:ascii="Arial" w:hAnsi="Arial" w:cs="Arial"/>
          <w:sz w:val="24"/>
          <w:szCs w:val="24"/>
        </w:rPr>
        <w:footnoteReference w:id="61"/>
      </w:r>
      <w:r w:rsidR="00F21624">
        <w:rPr>
          <w:rFonts w:ascii="Arial" w:hAnsi="Arial" w:cs="Arial"/>
          <w:sz w:val="24"/>
          <w:szCs w:val="24"/>
        </w:rPr>
        <w:t xml:space="preserve">. The idea that Rome defeated each state </w:t>
      </w:r>
      <w:r w:rsidR="00FE4D4B">
        <w:rPr>
          <w:rFonts w:ascii="Arial" w:hAnsi="Arial" w:cs="Arial"/>
          <w:sz w:val="24"/>
          <w:szCs w:val="24"/>
        </w:rPr>
        <w:t>sequentially</w:t>
      </w:r>
      <w:r w:rsidR="00F21624">
        <w:rPr>
          <w:rFonts w:ascii="Arial" w:hAnsi="Arial" w:cs="Arial"/>
          <w:sz w:val="24"/>
          <w:szCs w:val="24"/>
        </w:rPr>
        <w:t xml:space="preserve"> until it achieved Italian dominance does not do justice to the fact that Rome had extreme difficulty during these wars. Not only that, </w:t>
      </w:r>
      <w:r w:rsidR="00FE4D4B">
        <w:rPr>
          <w:rFonts w:ascii="Arial" w:hAnsi="Arial" w:cs="Arial"/>
          <w:sz w:val="24"/>
          <w:szCs w:val="24"/>
        </w:rPr>
        <w:t>the Romans</w:t>
      </w:r>
      <w:r w:rsidR="00F21624">
        <w:rPr>
          <w:rFonts w:ascii="Arial" w:hAnsi="Arial" w:cs="Arial"/>
          <w:sz w:val="24"/>
          <w:szCs w:val="24"/>
        </w:rPr>
        <w:t xml:space="preserve"> were decisively defeated</w:t>
      </w:r>
      <w:r w:rsidR="000946C0">
        <w:rPr>
          <w:rFonts w:ascii="Arial" w:hAnsi="Arial" w:cs="Arial"/>
          <w:sz w:val="24"/>
          <w:szCs w:val="24"/>
        </w:rPr>
        <w:t>. For example, at</w:t>
      </w:r>
      <w:r w:rsidR="00F21624">
        <w:rPr>
          <w:rFonts w:ascii="Arial" w:hAnsi="Arial" w:cs="Arial"/>
          <w:sz w:val="24"/>
          <w:szCs w:val="24"/>
        </w:rPr>
        <w:t xml:space="preserve"> </w:t>
      </w:r>
      <w:proofErr w:type="spellStart"/>
      <w:r w:rsidR="00F21624">
        <w:rPr>
          <w:rFonts w:ascii="Arial" w:hAnsi="Arial" w:cs="Arial"/>
          <w:sz w:val="24"/>
          <w:szCs w:val="24"/>
        </w:rPr>
        <w:t>Arrentium</w:t>
      </w:r>
      <w:proofErr w:type="spellEnd"/>
      <w:r w:rsidR="000946C0">
        <w:rPr>
          <w:rFonts w:ascii="Arial" w:hAnsi="Arial" w:cs="Arial"/>
          <w:sz w:val="24"/>
          <w:szCs w:val="24"/>
        </w:rPr>
        <w:t>,</w:t>
      </w:r>
      <w:r w:rsidR="00F21624">
        <w:rPr>
          <w:rFonts w:ascii="Arial" w:hAnsi="Arial" w:cs="Arial"/>
          <w:sz w:val="24"/>
          <w:szCs w:val="24"/>
        </w:rPr>
        <w:t xml:space="preserve"> when L. </w:t>
      </w:r>
      <w:proofErr w:type="spellStart"/>
      <w:r w:rsidR="00F21624">
        <w:rPr>
          <w:rFonts w:ascii="Arial" w:hAnsi="Arial" w:cs="Arial"/>
          <w:sz w:val="24"/>
          <w:szCs w:val="24"/>
        </w:rPr>
        <w:t>Caecilius</w:t>
      </w:r>
      <w:proofErr w:type="spellEnd"/>
      <w:r w:rsidR="00F21624">
        <w:rPr>
          <w:rFonts w:ascii="Arial" w:hAnsi="Arial" w:cs="Arial"/>
          <w:sz w:val="24"/>
          <w:szCs w:val="24"/>
        </w:rPr>
        <w:t xml:space="preserve"> </w:t>
      </w:r>
      <w:proofErr w:type="spellStart"/>
      <w:r w:rsidR="00F21624">
        <w:rPr>
          <w:rFonts w:ascii="Arial" w:hAnsi="Arial" w:cs="Arial"/>
          <w:sz w:val="24"/>
          <w:szCs w:val="24"/>
        </w:rPr>
        <w:t>Metelus</w:t>
      </w:r>
      <w:proofErr w:type="spellEnd"/>
      <w:r w:rsidR="00F21624">
        <w:rPr>
          <w:rFonts w:ascii="Arial" w:hAnsi="Arial" w:cs="Arial"/>
          <w:sz w:val="24"/>
          <w:szCs w:val="24"/>
        </w:rPr>
        <w:t xml:space="preserve"> </w:t>
      </w:r>
      <w:proofErr w:type="spellStart"/>
      <w:r w:rsidR="00F21624">
        <w:rPr>
          <w:rFonts w:ascii="Arial" w:hAnsi="Arial" w:cs="Arial"/>
          <w:sz w:val="24"/>
          <w:szCs w:val="24"/>
        </w:rPr>
        <w:t>Denter’s</w:t>
      </w:r>
      <w:proofErr w:type="spellEnd"/>
      <w:r w:rsidR="00F21624">
        <w:rPr>
          <w:rFonts w:ascii="Arial" w:hAnsi="Arial" w:cs="Arial"/>
          <w:sz w:val="24"/>
          <w:szCs w:val="24"/>
        </w:rPr>
        <w:t xml:space="preserve"> army was destroyed in 284/283 by the Gauls</w:t>
      </w:r>
      <w:r w:rsidR="00F21624">
        <w:rPr>
          <w:rStyle w:val="FootnoteReference"/>
          <w:rFonts w:ascii="Arial" w:hAnsi="Arial" w:cs="Arial"/>
          <w:sz w:val="24"/>
          <w:szCs w:val="24"/>
        </w:rPr>
        <w:footnoteReference w:id="62"/>
      </w:r>
      <w:r w:rsidR="00F21624">
        <w:rPr>
          <w:rFonts w:ascii="Arial" w:hAnsi="Arial" w:cs="Arial"/>
          <w:sz w:val="24"/>
          <w:szCs w:val="24"/>
        </w:rPr>
        <w:t xml:space="preserve">. Even in later years, the Romans still had difficulty in overcoming their opponents - the Battle of the </w:t>
      </w:r>
      <w:proofErr w:type="spellStart"/>
      <w:r w:rsidR="00F21624">
        <w:rPr>
          <w:rFonts w:ascii="Arial" w:hAnsi="Arial" w:cs="Arial"/>
          <w:sz w:val="24"/>
          <w:szCs w:val="24"/>
        </w:rPr>
        <w:t>Caudine</w:t>
      </w:r>
      <w:proofErr w:type="spellEnd"/>
      <w:r w:rsidR="00F21624">
        <w:rPr>
          <w:rFonts w:ascii="Arial" w:hAnsi="Arial" w:cs="Arial"/>
          <w:sz w:val="24"/>
          <w:szCs w:val="24"/>
        </w:rPr>
        <w:t xml:space="preserve"> Forks in 321 being a prime example</w:t>
      </w:r>
      <w:r w:rsidR="00F21624">
        <w:rPr>
          <w:rStyle w:val="FootnoteReference"/>
          <w:rFonts w:ascii="Arial" w:hAnsi="Arial" w:cs="Arial"/>
          <w:sz w:val="24"/>
          <w:szCs w:val="24"/>
        </w:rPr>
        <w:footnoteReference w:id="63"/>
      </w:r>
      <w:r w:rsidR="00B4215C">
        <w:rPr>
          <w:rFonts w:ascii="Arial" w:hAnsi="Arial" w:cs="Arial"/>
          <w:sz w:val="24"/>
          <w:szCs w:val="24"/>
        </w:rPr>
        <w:t xml:space="preserve">. </w:t>
      </w:r>
      <w:r w:rsidR="00F21624">
        <w:rPr>
          <w:rFonts w:ascii="Arial" w:hAnsi="Arial" w:cs="Arial"/>
          <w:sz w:val="24"/>
          <w:szCs w:val="24"/>
        </w:rPr>
        <w:t>Finally, even 20 years before the outbreak of the First Punic War the Gauls were still able to administer a crushing defeat on the Romans</w:t>
      </w:r>
      <w:r w:rsidR="00F21624">
        <w:rPr>
          <w:rStyle w:val="FootnoteReference"/>
          <w:rFonts w:ascii="Arial" w:hAnsi="Arial" w:cs="Arial"/>
          <w:sz w:val="24"/>
          <w:szCs w:val="24"/>
        </w:rPr>
        <w:footnoteReference w:id="64"/>
      </w:r>
      <w:r w:rsidR="00F21624">
        <w:rPr>
          <w:rFonts w:ascii="Arial" w:hAnsi="Arial" w:cs="Arial"/>
          <w:sz w:val="24"/>
          <w:szCs w:val="24"/>
        </w:rPr>
        <w:t>.</w:t>
      </w:r>
    </w:p>
    <w:p w14:paraId="620888E8" w14:textId="586BA66C" w:rsidR="009405B1" w:rsidRDefault="00FE4D4B" w:rsidP="008B745A">
      <w:pPr>
        <w:spacing w:line="480" w:lineRule="auto"/>
        <w:rPr>
          <w:rFonts w:ascii="Arial" w:hAnsi="Arial" w:cs="Arial"/>
          <w:sz w:val="24"/>
          <w:szCs w:val="24"/>
        </w:rPr>
      </w:pPr>
      <w:r>
        <w:rPr>
          <w:rFonts w:ascii="Arial" w:hAnsi="Arial" w:cs="Arial"/>
          <w:sz w:val="24"/>
          <w:szCs w:val="24"/>
        </w:rPr>
        <w:t xml:space="preserve">Compounding Roman difficulties </w:t>
      </w:r>
      <w:r w:rsidR="00F21624">
        <w:rPr>
          <w:rFonts w:ascii="Arial" w:hAnsi="Arial" w:cs="Arial"/>
          <w:sz w:val="24"/>
          <w:szCs w:val="24"/>
        </w:rPr>
        <w:t xml:space="preserve">was that other powers would attack them at opportune moments. Whilst completing a truce with the Volsci and Tarquinii, the Etruscans continued to probe for Roman weaknesses, defeating them in 302 B.C. – </w:t>
      </w:r>
      <w:r w:rsidR="00F21624">
        <w:rPr>
          <w:rFonts w:ascii="Arial" w:hAnsi="Arial" w:cs="Arial"/>
          <w:sz w:val="24"/>
          <w:szCs w:val="24"/>
        </w:rPr>
        <w:lastRenderedPageBreak/>
        <w:t>a defeat Livy calls, “a shameful rout and slaughter”</w:t>
      </w:r>
      <w:r w:rsidR="00F21624">
        <w:rPr>
          <w:rStyle w:val="FootnoteReference"/>
          <w:rFonts w:ascii="Arial" w:hAnsi="Arial" w:cs="Arial"/>
          <w:sz w:val="24"/>
          <w:szCs w:val="24"/>
        </w:rPr>
        <w:footnoteReference w:id="65"/>
      </w:r>
      <w:r w:rsidR="00F21624">
        <w:rPr>
          <w:rFonts w:ascii="Arial" w:hAnsi="Arial" w:cs="Arial"/>
          <w:sz w:val="24"/>
          <w:szCs w:val="24"/>
        </w:rPr>
        <w:t>. Again, whilst Rome was at war</w:t>
      </w:r>
      <w:r w:rsidR="009405B1">
        <w:rPr>
          <w:rFonts w:ascii="Arial" w:hAnsi="Arial" w:cs="Arial"/>
          <w:sz w:val="24"/>
          <w:szCs w:val="24"/>
        </w:rPr>
        <w:t xml:space="preserve"> with</w:t>
      </w:r>
      <w:r w:rsidR="00F21624">
        <w:rPr>
          <w:rFonts w:ascii="Arial" w:hAnsi="Arial" w:cs="Arial"/>
          <w:sz w:val="24"/>
          <w:szCs w:val="24"/>
        </w:rPr>
        <w:t xml:space="preserve"> the Veii</w:t>
      </w:r>
      <w:r w:rsidR="009405B1">
        <w:rPr>
          <w:rFonts w:ascii="Arial" w:hAnsi="Arial" w:cs="Arial"/>
          <w:sz w:val="24"/>
          <w:szCs w:val="24"/>
        </w:rPr>
        <w:t>, the Veiians</w:t>
      </w:r>
      <w:r w:rsidR="00F21624">
        <w:rPr>
          <w:rFonts w:ascii="Arial" w:hAnsi="Arial" w:cs="Arial"/>
          <w:sz w:val="24"/>
          <w:szCs w:val="24"/>
        </w:rPr>
        <w:t xml:space="preserve"> had Etruscan</w:t>
      </w:r>
      <w:r w:rsidR="009405B1">
        <w:rPr>
          <w:rFonts w:ascii="Arial" w:hAnsi="Arial" w:cs="Arial"/>
          <w:sz w:val="24"/>
          <w:szCs w:val="24"/>
        </w:rPr>
        <w:t xml:space="preserve"> support</w:t>
      </w:r>
      <w:r w:rsidR="00F21624">
        <w:rPr>
          <w:rStyle w:val="FootnoteReference"/>
          <w:rFonts w:ascii="Arial" w:hAnsi="Arial" w:cs="Arial"/>
          <w:sz w:val="24"/>
          <w:szCs w:val="24"/>
        </w:rPr>
        <w:footnoteReference w:id="66"/>
      </w:r>
      <w:r w:rsidR="00F21624">
        <w:rPr>
          <w:rFonts w:ascii="Arial" w:hAnsi="Arial" w:cs="Arial"/>
          <w:sz w:val="24"/>
          <w:szCs w:val="24"/>
        </w:rPr>
        <w:t>.</w:t>
      </w:r>
    </w:p>
    <w:p w14:paraId="64547A08" w14:textId="129B91C9" w:rsidR="00F21624" w:rsidRDefault="00F21624" w:rsidP="008B745A">
      <w:pPr>
        <w:spacing w:line="480" w:lineRule="auto"/>
        <w:rPr>
          <w:rFonts w:ascii="Arial" w:hAnsi="Arial" w:cs="Arial"/>
          <w:sz w:val="24"/>
          <w:szCs w:val="24"/>
        </w:rPr>
      </w:pPr>
      <w:r>
        <w:rPr>
          <w:rFonts w:ascii="Arial" w:hAnsi="Arial" w:cs="Arial"/>
          <w:sz w:val="24"/>
          <w:szCs w:val="24"/>
        </w:rPr>
        <w:t>These Etruscan attacks usually appeared whenever Rome had been weakened</w:t>
      </w:r>
      <w:r>
        <w:rPr>
          <w:rStyle w:val="FootnoteReference"/>
          <w:rFonts w:ascii="Arial" w:hAnsi="Arial" w:cs="Arial"/>
          <w:sz w:val="24"/>
          <w:szCs w:val="24"/>
        </w:rPr>
        <w:footnoteReference w:id="67"/>
      </w:r>
      <w:r>
        <w:rPr>
          <w:rFonts w:ascii="Arial" w:hAnsi="Arial" w:cs="Arial"/>
          <w:sz w:val="24"/>
          <w:szCs w:val="24"/>
        </w:rPr>
        <w:t>. Between 211 and down to 204</w:t>
      </w:r>
      <w:r w:rsidR="00B4215C">
        <w:rPr>
          <w:rFonts w:ascii="Arial" w:hAnsi="Arial" w:cs="Arial"/>
          <w:sz w:val="24"/>
          <w:szCs w:val="24"/>
        </w:rPr>
        <w:t>,</w:t>
      </w:r>
      <w:r>
        <w:rPr>
          <w:rFonts w:ascii="Arial" w:hAnsi="Arial" w:cs="Arial"/>
          <w:sz w:val="24"/>
          <w:szCs w:val="24"/>
        </w:rPr>
        <w:t xml:space="preserve"> Rome fought the Etruscan</w:t>
      </w:r>
      <w:r w:rsidR="009405B1">
        <w:rPr>
          <w:rFonts w:ascii="Arial" w:hAnsi="Arial" w:cs="Arial"/>
          <w:sz w:val="24"/>
          <w:szCs w:val="24"/>
        </w:rPr>
        <w:t>s</w:t>
      </w:r>
      <w:r>
        <w:rPr>
          <w:rFonts w:ascii="Arial" w:hAnsi="Arial" w:cs="Arial"/>
          <w:sz w:val="24"/>
          <w:szCs w:val="24"/>
        </w:rPr>
        <w:t xml:space="preserve"> in the </w:t>
      </w:r>
      <w:r w:rsidR="007643A5">
        <w:rPr>
          <w:rFonts w:ascii="Arial" w:hAnsi="Arial" w:cs="Arial"/>
          <w:sz w:val="24"/>
          <w:szCs w:val="24"/>
        </w:rPr>
        <w:t>n</w:t>
      </w:r>
      <w:r>
        <w:rPr>
          <w:rFonts w:ascii="Arial" w:hAnsi="Arial" w:cs="Arial"/>
          <w:sz w:val="24"/>
          <w:szCs w:val="24"/>
        </w:rPr>
        <w:t>orth</w:t>
      </w:r>
      <w:r w:rsidR="003C3F6D">
        <w:rPr>
          <w:rFonts w:ascii="Arial" w:hAnsi="Arial" w:cs="Arial"/>
          <w:sz w:val="24"/>
          <w:szCs w:val="24"/>
        </w:rPr>
        <w:t>,</w:t>
      </w:r>
      <w:r>
        <w:rPr>
          <w:rFonts w:ascii="Arial" w:hAnsi="Arial" w:cs="Arial"/>
          <w:sz w:val="24"/>
          <w:szCs w:val="24"/>
        </w:rPr>
        <w:t xml:space="preserve"> whilst fighting the Sam</w:t>
      </w:r>
      <w:r w:rsidR="003C3F6D">
        <w:rPr>
          <w:rFonts w:ascii="Arial" w:hAnsi="Arial" w:cs="Arial"/>
          <w:sz w:val="24"/>
          <w:szCs w:val="24"/>
        </w:rPr>
        <w:t>ni</w:t>
      </w:r>
      <w:r>
        <w:rPr>
          <w:rFonts w:ascii="Arial" w:hAnsi="Arial" w:cs="Arial"/>
          <w:sz w:val="24"/>
          <w:szCs w:val="24"/>
        </w:rPr>
        <w:t>tes</w:t>
      </w:r>
      <w:r>
        <w:rPr>
          <w:rStyle w:val="FootnoteReference"/>
          <w:rFonts w:ascii="Arial" w:hAnsi="Arial" w:cs="Arial"/>
          <w:sz w:val="24"/>
          <w:szCs w:val="24"/>
        </w:rPr>
        <w:footnoteReference w:id="68"/>
      </w:r>
      <w:r>
        <w:rPr>
          <w:rFonts w:ascii="Arial" w:hAnsi="Arial" w:cs="Arial"/>
          <w:sz w:val="24"/>
          <w:szCs w:val="24"/>
        </w:rPr>
        <w:t>. Again, during the Third Samnite War Rome suffered incursions into her territory and saw – again sensing Roman weakness – Gauls and Etruscans advancing down the Tiber valley; it was only the hard-fought Roman victory at Sentinum that prevented them advancing further</w:t>
      </w:r>
      <w:r>
        <w:rPr>
          <w:rStyle w:val="FootnoteReference"/>
          <w:rFonts w:ascii="Arial" w:hAnsi="Arial" w:cs="Arial"/>
          <w:sz w:val="24"/>
          <w:szCs w:val="24"/>
        </w:rPr>
        <w:footnoteReference w:id="69"/>
      </w:r>
      <w:r>
        <w:rPr>
          <w:rFonts w:ascii="Arial" w:hAnsi="Arial" w:cs="Arial"/>
          <w:sz w:val="24"/>
          <w:szCs w:val="24"/>
        </w:rPr>
        <w:t xml:space="preserve">. It helps explain Rome’s conditions for Carthage in the treaties signed with them (see chapter 5). Rome was desperate to ensure Carthage – at this point friendly with the Etruscans – </w:t>
      </w:r>
      <w:r w:rsidR="009405B1">
        <w:rPr>
          <w:rFonts w:ascii="Arial" w:hAnsi="Arial" w:cs="Arial"/>
          <w:sz w:val="24"/>
          <w:szCs w:val="24"/>
        </w:rPr>
        <w:t xml:space="preserve">stayed </w:t>
      </w:r>
      <w:r>
        <w:rPr>
          <w:rFonts w:ascii="Arial" w:hAnsi="Arial" w:cs="Arial"/>
          <w:sz w:val="24"/>
          <w:szCs w:val="24"/>
        </w:rPr>
        <w:t>out of the Italian peninsula</w:t>
      </w:r>
      <w:r w:rsidR="00FE4D4B">
        <w:rPr>
          <w:rFonts w:ascii="Arial" w:hAnsi="Arial" w:cs="Arial"/>
          <w:sz w:val="24"/>
          <w:szCs w:val="24"/>
        </w:rPr>
        <w:t xml:space="preserve">. </w:t>
      </w:r>
      <w:r>
        <w:rPr>
          <w:rFonts w:ascii="Arial" w:hAnsi="Arial" w:cs="Arial"/>
          <w:sz w:val="24"/>
          <w:szCs w:val="24"/>
        </w:rPr>
        <w:t xml:space="preserve">Rome needed Carthaginian neutrality and non-intervention. </w:t>
      </w:r>
    </w:p>
    <w:p w14:paraId="31741FE9" w14:textId="54CF6C10" w:rsidR="00F21624" w:rsidRDefault="00F21624" w:rsidP="008B745A">
      <w:pPr>
        <w:spacing w:line="480" w:lineRule="auto"/>
        <w:rPr>
          <w:rFonts w:ascii="Arial" w:hAnsi="Arial" w:cs="Arial"/>
          <w:sz w:val="24"/>
          <w:szCs w:val="24"/>
        </w:rPr>
      </w:pPr>
      <w:r>
        <w:rPr>
          <w:rFonts w:ascii="Arial" w:hAnsi="Arial" w:cs="Arial"/>
          <w:sz w:val="24"/>
          <w:szCs w:val="24"/>
        </w:rPr>
        <w:t>It was relentless and a pattern emerges. As Rome conquered states, to ensure its own position, other powers began to feel threatened. For example, having defeated and absorbed the Veii lands the Tarquinii and the Volsci began to attack</w:t>
      </w:r>
      <w:r>
        <w:rPr>
          <w:rStyle w:val="FootnoteReference"/>
          <w:rFonts w:ascii="Arial" w:hAnsi="Arial" w:cs="Arial"/>
          <w:sz w:val="24"/>
          <w:szCs w:val="24"/>
        </w:rPr>
        <w:footnoteReference w:id="70"/>
      </w:r>
      <w:r>
        <w:rPr>
          <w:rFonts w:ascii="Arial" w:hAnsi="Arial" w:cs="Arial"/>
          <w:sz w:val="24"/>
          <w:szCs w:val="24"/>
        </w:rPr>
        <w:t>. Even Oakley concedes that the Volsci were ‘a constant threat’</w:t>
      </w:r>
      <w:r>
        <w:rPr>
          <w:rStyle w:val="FootnoteReference"/>
          <w:rFonts w:ascii="Arial" w:hAnsi="Arial" w:cs="Arial"/>
          <w:sz w:val="24"/>
          <w:szCs w:val="24"/>
        </w:rPr>
        <w:footnoteReference w:id="71"/>
      </w:r>
      <w:r>
        <w:rPr>
          <w:rFonts w:ascii="Arial" w:hAnsi="Arial" w:cs="Arial"/>
          <w:sz w:val="24"/>
          <w:szCs w:val="24"/>
        </w:rPr>
        <w:t>.</w:t>
      </w:r>
      <w:r w:rsidR="001022A3">
        <w:rPr>
          <w:rFonts w:ascii="Arial" w:hAnsi="Arial" w:cs="Arial"/>
          <w:sz w:val="24"/>
          <w:szCs w:val="24"/>
        </w:rPr>
        <w:t xml:space="preserve"> </w:t>
      </w:r>
      <w:r>
        <w:rPr>
          <w:rFonts w:ascii="Arial" w:hAnsi="Arial" w:cs="Arial"/>
          <w:sz w:val="24"/>
          <w:szCs w:val="24"/>
        </w:rPr>
        <w:t>These cities were taking advantage of Rome’s weakness after the Gallic sack to improve their own positions on the peninsula, whilst destroying a rival who may regain strength, although it should be noted that Rome was able to restore power in southern Etruria quickly after the Gallic sack</w:t>
      </w:r>
      <w:r>
        <w:rPr>
          <w:rStyle w:val="FootnoteReference"/>
          <w:rFonts w:ascii="Arial" w:hAnsi="Arial" w:cs="Arial"/>
          <w:sz w:val="24"/>
          <w:szCs w:val="24"/>
        </w:rPr>
        <w:footnoteReference w:id="72"/>
      </w:r>
      <w:r>
        <w:rPr>
          <w:rFonts w:ascii="Arial" w:hAnsi="Arial" w:cs="Arial"/>
          <w:sz w:val="24"/>
          <w:szCs w:val="24"/>
        </w:rPr>
        <w:t>. Again, the result of this conflict was a thirty-year truce</w:t>
      </w:r>
      <w:r>
        <w:rPr>
          <w:rStyle w:val="FootnoteReference"/>
          <w:rFonts w:ascii="Arial" w:hAnsi="Arial" w:cs="Arial"/>
          <w:sz w:val="24"/>
          <w:szCs w:val="24"/>
        </w:rPr>
        <w:footnoteReference w:id="73"/>
      </w:r>
      <w:r>
        <w:rPr>
          <w:rFonts w:ascii="Arial" w:hAnsi="Arial" w:cs="Arial"/>
          <w:sz w:val="24"/>
          <w:szCs w:val="24"/>
        </w:rPr>
        <w:t xml:space="preserve">, </w:t>
      </w:r>
      <w:r>
        <w:rPr>
          <w:rFonts w:ascii="Arial" w:hAnsi="Arial" w:cs="Arial"/>
          <w:sz w:val="24"/>
          <w:szCs w:val="24"/>
        </w:rPr>
        <w:lastRenderedPageBreak/>
        <w:t>which relieved pressure on Rome</w:t>
      </w:r>
      <w:r>
        <w:rPr>
          <w:rStyle w:val="FootnoteReference"/>
          <w:rFonts w:ascii="Arial" w:hAnsi="Arial" w:cs="Arial"/>
          <w:sz w:val="24"/>
          <w:szCs w:val="24"/>
        </w:rPr>
        <w:footnoteReference w:id="74"/>
      </w:r>
      <w:r>
        <w:rPr>
          <w:rFonts w:ascii="Arial" w:hAnsi="Arial" w:cs="Arial"/>
          <w:sz w:val="24"/>
          <w:szCs w:val="24"/>
        </w:rPr>
        <w:t>. For historians like Raaflaub who state it was Rome who could not ‘sit still’ and was eager for expansion the evidence clearly suggests it was other powers attacking Rome</w:t>
      </w:r>
      <w:r w:rsidR="00571B72">
        <w:rPr>
          <w:rFonts w:ascii="Arial" w:hAnsi="Arial" w:cs="Arial"/>
          <w:sz w:val="24"/>
          <w:szCs w:val="24"/>
        </w:rPr>
        <w:t xml:space="preserve"> as well</w:t>
      </w:r>
      <w:r>
        <w:rPr>
          <w:rStyle w:val="FootnoteReference"/>
          <w:rFonts w:ascii="Arial" w:hAnsi="Arial" w:cs="Arial"/>
          <w:sz w:val="24"/>
          <w:szCs w:val="24"/>
        </w:rPr>
        <w:footnoteReference w:id="75"/>
      </w:r>
      <w:r>
        <w:rPr>
          <w:rFonts w:ascii="Arial" w:hAnsi="Arial" w:cs="Arial"/>
          <w:sz w:val="24"/>
          <w:szCs w:val="24"/>
        </w:rPr>
        <w:t>. It also helps refute Harris’ claims that Rome’s wars were usually plundering expeditions on foreign soil</w:t>
      </w:r>
      <w:r>
        <w:rPr>
          <w:rStyle w:val="FootnoteReference"/>
          <w:rFonts w:ascii="Arial" w:hAnsi="Arial" w:cs="Arial"/>
          <w:sz w:val="24"/>
          <w:szCs w:val="24"/>
        </w:rPr>
        <w:footnoteReference w:id="76"/>
      </w:r>
      <w:r>
        <w:rPr>
          <w:rFonts w:ascii="Arial" w:hAnsi="Arial" w:cs="Arial"/>
          <w:sz w:val="24"/>
          <w:szCs w:val="24"/>
        </w:rPr>
        <w:t xml:space="preserve">. </w:t>
      </w:r>
    </w:p>
    <w:p w14:paraId="413F61A0" w14:textId="65E40B20" w:rsidR="00F21624" w:rsidRDefault="00F21624" w:rsidP="008B745A">
      <w:pPr>
        <w:spacing w:line="480" w:lineRule="auto"/>
        <w:rPr>
          <w:rFonts w:ascii="Arial" w:hAnsi="Arial" w:cs="Arial"/>
          <w:sz w:val="24"/>
          <w:szCs w:val="24"/>
        </w:rPr>
      </w:pPr>
      <w:r>
        <w:rPr>
          <w:rFonts w:ascii="Arial" w:hAnsi="Arial" w:cs="Arial"/>
          <w:sz w:val="24"/>
          <w:szCs w:val="24"/>
        </w:rPr>
        <w:t>Rather than an aggressive, plunder and land hungry city, the First Samnite War was a clash of two suspicious powers. It was so hard-fought that once again, rather than take booty and plunder, they settled for a two-year truce</w:t>
      </w:r>
      <w:r>
        <w:rPr>
          <w:rStyle w:val="FootnoteReference"/>
          <w:rFonts w:ascii="Arial" w:hAnsi="Arial" w:cs="Arial"/>
          <w:sz w:val="24"/>
          <w:szCs w:val="24"/>
        </w:rPr>
        <w:footnoteReference w:id="77"/>
      </w:r>
      <w:r>
        <w:rPr>
          <w:rFonts w:ascii="Arial" w:hAnsi="Arial" w:cs="Arial"/>
          <w:sz w:val="24"/>
          <w:szCs w:val="24"/>
        </w:rPr>
        <w:t>. Again, according to Diodorus</w:t>
      </w:r>
      <w:r w:rsidR="001D0FB5">
        <w:rPr>
          <w:rFonts w:ascii="Arial" w:hAnsi="Arial" w:cs="Arial"/>
          <w:sz w:val="24"/>
          <w:szCs w:val="24"/>
        </w:rPr>
        <w:t>,</w:t>
      </w:r>
      <w:r>
        <w:rPr>
          <w:rFonts w:ascii="Arial" w:hAnsi="Arial" w:cs="Arial"/>
          <w:sz w:val="24"/>
          <w:szCs w:val="24"/>
        </w:rPr>
        <w:t xml:space="preserve"> the Romans were defeated</w:t>
      </w:r>
      <w:r>
        <w:rPr>
          <w:rStyle w:val="FootnoteReference"/>
          <w:rFonts w:ascii="Arial" w:hAnsi="Arial" w:cs="Arial"/>
          <w:sz w:val="24"/>
          <w:szCs w:val="24"/>
        </w:rPr>
        <w:footnoteReference w:id="78"/>
      </w:r>
      <w:r w:rsidR="00BC096C">
        <w:rPr>
          <w:rFonts w:ascii="Arial" w:hAnsi="Arial" w:cs="Arial"/>
          <w:sz w:val="24"/>
          <w:szCs w:val="24"/>
        </w:rPr>
        <w:t>, a</w:t>
      </w:r>
      <w:r>
        <w:rPr>
          <w:rFonts w:ascii="Arial" w:hAnsi="Arial" w:cs="Arial"/>
          <w:sz w:val="24"/>
          <w:szCs w:val="24"/>
        </w:rPr>
        <w:t>lthough Livy states the battle was indecisive</w:t>
      </w:r>
      <w:r>
        <w:rPr>
          <w:rStyle w:val="FootnoteReference"/>
          <w:rFonts w:ascii="Arial" w:hAnsi="Arial" w:cs="Arial"/>
          <w:sz w:val="24"/>
          <w:szCs w:val="24"/>
        </w:rPr>
        <w:footnoteReference w:id="79"/>
      </w:r>
      <w:r>
        <w:rPr>
          <w:rFonts w:ascii="Arial" w:hAnsi="Arial" w:cs="Arial"/>
          <w:sz w:val="24"/>
          <w:szCs w:val="24"/>
        </w:rPr>
        <w:t>. In this case</w:t>
      </w:r>
      <w:r w:rsidR="009C66AD">
        <w:rPr>
          <w:rFonts w:ascii="Arial" w:hAnsi="Arial" w:cs="Arial"/>
          <w:sz w:val="24"/>
          <w:szCs w:val="24"/>
        </w:rPr>
        <w:t>,</w:t>
      </w:r>
      <w:r>
        <w:rPr>
          <w:rFonts w:ascii="Arial" w:hAnsi="Arial" w:cs="Arial"/>
          <w:sz w:val="24"/>
          <w:szCs w:val="24"/>
        </w:rPr>
        <w:t xml:space="preserve"> Diodorus is the more reliable as after the battle the Samnites were able to raid into </w:t>
      </w:r>
      <w:proofErr w:type="spellStart"/>
      <w:r>
        <w:rPr>
          <w:rFonts w:ascii="Arial" w:hAnsi="Arial" w:cs="Arial"/>
          <w:sz w:val="24"/>
          <w:szCs w:val="24"/>
        </w:rPr>
        <w:t>Ardea</w:t>
      </w:r>
      <w:proofErr w:type="spellEnd"/>
      <w:r>
        <w:rPr>
          <w:rFonts w:ascii="Arial" w:hAnsi="Arial" w:cs="Arial"/>
          <w:sz w:val="24"/>
          <w:szCs w:val="24"/>
        </w:rPr>
        <w:t xml:space="preserve"> and revolts sprang up among the </w:t>
      </w:r>
      <w:r w:rsidR="001D0FB5">
        <w:rPr>
          <w:rFonts w:ascii="Arial" w:hAnsi="Arial" w:cs="Arial"/>
          <w:sz w:val="24"/>
          <w:szCs w:val="24"/>
        </w:rPr>
        <w:t>Volscians</w:t>
      </w:r>
      <w:r>
        <w:rPr>
          <w:rFonts w:ascii="Arial" w:hAnsi="Arial" w:cs="Arial"/>
          <w:sz w:val="24"/>
          <w:szCs w:val="24"/>
        </w:rPr>
        <w:t xml:space="preserve"> and Rome’s Campanian allies</w:t>
      </w:r>
      <w:r>
        <w:rPr>
          <w:rStyle w:val="FootnoteReference"/>
          <w:rFonts w:ascii="Arial" w:hAnsi="Arial" w:cs="Arial"/>
          <w:sz w:val="24"/>
          <w:szCs w:val="24"/>
        </w:rPr>
        <w:footnoteReference w:id="80"/>
      </w:r>
      <w:r>
        <w:rPr>
          <w:rFonts w:ascii="Arial" w:hAnsi="Arial" w:cs="Arial"/>
          <w:sz w:val="24"/>
          <w:szCs w:val="24"/>
        </w:rPr>
        <w:t>. When the Samnite Wars were eventually concluded, Harris makes great claims about the wealth that was accrued</w:t>
      </w:r>
      <w:r>
        <w:rPr>
          <w:rStyle w:val="FootnoteReference"/>
          <w:rFonts w:ascii="Arial" w:hAnsi="Arial" w:cs="Arial"/>
          <w:sz w:val="24"/>
          <w:szCs w:val="24"/>
        </w:rPr>
        <w:footnoteReference w:id="81"/>
      </w:r>
      <w:r>
        <w:rPr>
          <w:rFonts w:ascii="Arial" w:hAnsi="Arial" w:cs="Arial"/>
          <w:sz w:val="24"/>
          <w:szCs w:val="24"/>
        </w:rPr>
        <w:t>. This is likely, as the Romans had fought a difficult war, its citizen population had suffered humiliations and loses. Yet, the cause of the first war was based around the Capuans appealing to Rome for help from the Samnites and the Third Samnite war once again centred around Lucanian appeals to Rome to help against the Samnites</w:t>
      </w:r>
      <w:r>
        <w:rPr>
          <w:rStyle w:val="FootnoteReference"/>
          <w:rFonts w:ascii="Arial" w:hAnsi="Arial" w:cs="Arial"/>
          <w:sz w:val="24"/>
          <w:szCs w:val="24"/>
        </w:rPr>
        <w:footnoteReference w:id="82"/>
      </w:r>
      <w:r>
        <w:rPr>
          <w:rFonts w:ascii="Arial" w:hAnsi="Arial" w:cs="Arial"/>
          <w:sz w:val="24"/>
          <w:szCs w:val="24"/>
        </w:rPr>
        <w:t>. Whilst these have been viewed simply as a pretext by Rome</w:t>
      </w:r>
      <w:r>
        <w:rPr>
          <w:rStyle w:val="FootnoteReference"/>
          <w:rFonts w:ascii="Arial" w:hAnsi="Arial" w:cs="Arial"/>
          <w:sz w:val="24"/>
          <w:szCs w:val="24"/>
        </w:rPr>
        <w:footnoteReference w:id="83"/>
      </w:r>
      <w:r>
        <w:rPr>
          <w:rFonts w:ascii="Arial" w:hAnsi="Arial" w:cs="Arial"/>
          <w:sz w:val="24"/>
          <w:szCs w:val="24"/>
        </w:rPr>
        <w:t xml:space="preserve">, it must be remembered that if Rome did not respond the Samnites would have taken territory, encircling Rome – a factor considered by Dionysus of </w:t>
      </w:r>
      <w:r w:rsidR="007643A5">
        <w:rPr>
          <w:rFonts w:ascii="Arial" w:hAnsi="Arial" w:cs="Arial"/>
          <w:sz w:val="24"/>
          <w:szCs w:val="24"/>
        </w:rPr>
        <w:t>Halicarnassus</w:t>
      </w:r>
      <w:r>
        <w:rPr>
          <w:rStyle w:val="FootnoteReference"/>
          <w:rFonts w:ascii="Arial" w:hAnsi="Arial" w:cs="Arial"/>
          <w:sz w:val="24"/>
          <w:szCs w:val="24"/>
        </w:rPr>
        <w:footnoteReference w:id="84"/>
      </w:r>
      <w:r>
        <w:rPr>
          <w:rFonts w:ascii="Arial" w:hAnsi="Arial" w:cs="Arial"/>
          <w:sz w:val="24"/>
          <w:szCs w:val="24"/>
        </w:rPr>
        <w:t xml:space="preserve">. </w:t>
      </w:r>
    </w:p>
    <w:p w14:paraId="379118AF" w14:textId="69AEB4E5" w:rsidR="00F21624" w:rsidRDefault="001D0FB5" w:rsidP="008B745A">
      <w:pPr>
        <w:spacing w:line="480" w:lineRule="auto"/>
        <w:rPr>
          <w:rFonts w:ascii="Arial" w:hAnsi="Arial" w:cs="Arial"/>
          <w:sz w:val="24"/>
          <w:szCs w:val="24"/>
        </w:rPr>
      </w:pPr>
      <w:r>
        <w:rPr>
          <w:rFonts w:ascii="Arial" w:hAnsi="Arial" w:cs="Arial"/>
          <w:sz w:val="24"/>
          <w:szCs w:val="24"/>
        </w:rPr>
        <w:lastRenderedPageBreak/>
        <w:t>Additionally, t</w:t>
      </w:r>
      <w:r w:rsidR="00F21624">
        <w:rPr>
          <w:rFonts w:ascii="Arial" w:hAnsi="Arial" w:cs="Arial"/>
          <w:sz w:val="24"/>
          <w:szCs w:val="24"/>
        </w:rPr>
        <w:t>he Roman fear of the Celts were well founded, as city walls were built around Rome in 380 impoverishing the people</w:t>
      </w:r>
      <w:r w:rsidR="00F21624">
        <w:rPr>
          <w:rStyle w:val="FootnoteReference"/>
          <w:rFonts w:ascii="Arial" w:hAnsi="Arial" w:cs="Arial"/>
          <w:sz w:val="24"/>
          <w:szCs w:val="24"/>
        </w:rPr>
        <w:footnoteReference w:id="85"/>
      </w:r>
      <w:r w:rsidR="00F21624">
        <w:rPr>
          <w:rFonts w:ascii="Arial" w:hAnsi="Arial" w:cs="Arial"/>
          <w:sz w:val="24"/>
          <w:szCs w:val="24"/>
        </w:rPr>
        <w:t>. Whilst Oakley maintains the desire for land was the main driver for expansion</w:t>
      </w:r>
      <w:r w:rsidR="00F21624">
        <w:rPr>
          <w:rStyle w:val="FootnoteReference"/>
          <w:rFonts w:ascii="Arial" w:hAnsi="Arial" w:cs="Arial"/>
          <w:sz w:val="24"/>
          <w:szCs w:val="24"/>
        </w:rPr>
        <w:footnoteReference w:id="86"/>
      </w:r>
      <w:r w:rsidR="00F21624">
        <w:rPr>
          <w:rFonts w:ascii="Arial" w:hAnsi="Arial" w:cs="Arial"/>
          <w:sz w:val="24"/>
          <w:szCs w:val="24"/>
        </w:rPr>
        <w:t>, it is interesting to note that strategic concerns – the building of the wall – was tolerated, even though it drove more people into debt</w:t>
      </w:r>
      <w:r w:rsidR="00F21624">
        <w:rPr>
          <w:rStyle w:val="FootnoteReference"/>
          <w:rFonts w:ascii="Arial" w:hAnsi="Arial" w:cs="Arial"/>
          <w:sz w:val="24"/>
          <w:szCs w:val="24"/>
        </w:rPr>
        <w:footnoteReference w:id="87"/>
      </w:r>
      <w:r w:rsidR="00F21624">
        <w:rPr>
          <w:rFonts w:ascii="Arial" w:hAnsi="Arial" w:cs="Arial"/>
          <w:sz w:val="24"/>
          <w:szCs w:val="24"/>
        </w:rPr>
        <w:t xml:space="preserve">. </w:t>
      </w:r>
    </w:p>
    <w:p w14:paraId="248CCD50" w14:textId="2DF25356" w:rsidR="00F21624" w:rsidRDefault="00F21624" w:rsidP="008B745A">
      <w:pPr>
        <w:spacing w:line="480" w:lineRule="auto"/>
        <w:rPr>
          <w:rFonts w:ascii="Arial" w:hAnsi="Arial" w:cs="Arial"/>
          <w:sz w:val="24"/>
          <w:szCs w:val="24"/>
        </w:rPr>
      </w:pPr>
      <w:r>
        <w:rPr>
          <w:rFonts w:ascii="Arial" w:hAnsi="Arial" w:cs="Arial"/>
          <w:sz w:val="24"/>
          <w:szCs w:val="24"/>
        </w:rPr>
        <w:t>Cornell states that Roman action after the sack was aggressive, rather than defensive</w:t>
      </w:r>
      <w:r>
        <w:rPr>
          <w:rStyle w:val="FootnoteReference"/>
          <w:rFonts w:ascii="Arial" w:hAnsi="Arial" w:cs="Arial"/>
          <w:sz w:val="24"/>
          <w:szCs w:val="24"/>
        </w:rPr>
        <w:footnoteReference w:id="88"/>
      </w:r>
      <w:r w:rsidR="007643A5">
        <w:rPr>
          <w:rFonts w:ascii="Arial" w:hAnsi="Arial" w:cs="Arial"/>
          <w:sz w:val="24"/>
          <w:szCs w:val="24"/>
        </w:rPr>
        <w:t>, citing</w:t>
      </w:r>
      <w:r>
        <w:rPr>
          <w:rFonts w:ascii="Arial" w:hAnsi="Arial" w:cs="Arial"/>
          <w:sz w:val="24"/>
          <w:szCs w:val="24"/>
        </w:rPr>
        <w:t xml:space="preserve"> the Roman pre-emptive strike on the Aequi in 288</w:t>
      </w:r>
      <w:r>
        <w:rPr>
          <w:rStyle w:val="FootnoteReference"/>
          <w:rFonts w:ascii="Arial" w:hAnsi="Arial" w:cs="Arial"/>
          <w:sz w:val="24"/>
          <w:szCs w:val="24"/>
        </w:rPr>
        <w:footnoteReference w:id="89"/>
      </w:r>
      <w:r>
        <w:rPr>
          <w:rFonts w:ascii="Arial" w:hAnsi="Arial" w:cs="Arial"/>
          <w:sz w:val="24"/>
          <w:szCs w:val="24"/>
        </w:rPr>
        <w:t xml:space="preserve">. The problem for Cornell is that his principal argument is that Rome was aggressive for booty and plunder. However, this aggressiveness makes much more sense if viewed as a form of defensive imperialism. Having just been traumatised by the Celts, the Romans would obviously be looking to ensure that their borders and immediate frontiers were secure. It helps explain Rome’s continuing attacks upon </w:t>
      </w:r>
      <w:proofErr w:type="spellStart"/>
      <w:r>
        <w:rPr>
          <w:rFonts w:ascii="Arial" w:hAnsi="Arial" w:cs="Arial"/>
          <w:sz w:val="24"/>
          <w:szCs w:val="24"/>
        </w:rPr>
        <w:t>Velitrae</w:t>
      </w:r>
      <w:proofErr w:type="spellEnd"/>
      <w:r>
        <w:rPr>
          <w:rFonts w:ascii="Arial" w:hAnsi="Arial" w:cs="Arial"/>
          <w:sz w:val="24"/>
          <w:szCs w:val="24"/>
        </w:rPr>
        <w:t xml:space="preserve"> until its</w:t>
      </w:r>
      <w:r w:rsidR="00712FC5">
        <w:rPr>
          <w:rFonts w:ascii="Arial" w:hAnsi="Arial" w:cs="Arial"/>
          <w:sz w:val="24"/>
          <w:szCs w:val="24"/>
        </w:rPr>
        <w:t xml:space="preserve"> eventual</w:t>
      </w:r>
      <w:r>
        <w:rPr>
          <w:rFonts w:ascii="Arial" w:hAnsi="Arial" w:cs="Arial"/>
          <w:sz w:val="24"/>
          <w:szCs w:val="24"/>
        </w:rPr>
        <w:t xml:space="preserve"> capture in 280</w:t>
      </w:r>
      <w:r w:rsidR="009C66AD">
        <w:rPr>
          <w:rFonts w:ascii="Arial" w:hAnsi="Arial" w:cs="Arial"/>
          <w:sz w:val="24"/>
          <w:szCs w:val="24"/>
        </w:rPr>
        <w:t xml:space="preserve"> – its economic value must have seriously declined as a result of these continuing attacks</w:t>
      </w:r>
      <w:r>
        <w:rPr>
          <w:rStyle w:val="FootnoteReference"/>
          <w:rFonts w:ascii="Arial" w:hAnsi="Arial" w:cs="Arial"/>
          <w:sz w:val="24"/>
          <w:szCs w:val="24"/>
        </w:rPr>
        <w:footnoteReference w:id="90"/>
      </w:r>
      <w:r>
        <w:rPr>
          <w:rFonts w:ascii="Arial" w:hAnsi="Arial" w:cs="Arial"/>
          <w:sz w:val="24"/>
          <w:szCs w:val="24"/>
        </w:rPr>
        <w:t>.</w:t>
      </w:r>
      <w:r w:rsidR="001022A3">
        <w:rPr>
          <w:rFonts w:ascii="Arial" w:hAnsi="Arial" w:cs="Arial"/>
          <w:sz w:val="24"/>
          <w:szCs w:val="24"/>
        </w:rPr>
        <w:t xml:space="preserve"> </w:t>
      </w:r>
    </w:p>
    <w:p w14:paraId="1631440F" w14:textId="2B4BCB7C" w:rsidR="009C66AD" w:rsidRDefault="00757ABD" w:rsidP="008B745A">
      <w:pPr>
        <w:spacing w:line="480" w:lineRule="auto"/>
        <w:rPr>
          <w:rFonts w:ascii="Arial" w:hAnsi="Arial" w:cs="Arial"/>
          <w:sz w:val="24"/>
          <w:szCs w:val="24"/>
        </w:rPr>
      </w:pPr>
      <w:r>
        <w:rPr>
          <w:rFonts w:ascii="Arial" w:hAnsi="Arial" w:cs="Arial"/>
          <w:sz w:val="24"/>
          <w:szCs w:val="24"/>
        </w:rPr>
        <w:t>Importantly,</w:t>
      </w:r>
      <w:r w:rsidR="00F21624">
        <w:rPr>
          <w:rFonts w:ascii="Arial" w:hAnsi="Arial" w:cs="Arial"/>
          <w:sz w:val="24"/>
          <w:szCs w:val="24"/>
        </w:rPr>
        <w:t xml:space="preserve"> Rome</w:t>
      </w:r>
      <w:r w:rsidR="009C66AD">
        <w:rPr>
          <w:rFonts w:ascii="Arial" w:hAnsi="Arial" w:cs="Arial"/>
          <w:sz w:val="24"/>
          <w:szCs w:val="24"/>
        </w:rPr>
        <w:t xml:space="preserve"> and other powers</w:t>
      </w:r>
      <w:r w:rsidR="00F21624">
        <w:rPr>
          <w:rFonts w:ascii="Arial" w:hAnsi="Arial" w:cs="Arial"/>
          <w:sz w:val="24"/>
          <w:szCs w:val="24"/>
        </w:rPr>
        <w:t xml:space="preserve"> w</w:t>
      </w:r>
      <w:r w:rsidR="009C66AD">
        <w:rPr>
          <w:rFonts w:ascii="Arial" w:hAnsi="Arial" w:cs="Arial"/>
          <w:sz w:val="24"/>
          <w:szCs w:val="24"/>
        </w:rPr>
        <w:t>ere</w:t>
      </w:r>
      <w:r w:rsidR="00F21624">
        <w:rPr>
          <w:rFonts w:ascii="Arial" w:hAnsi="Arial" w:cs="Arial"/>
          <w:sz w:val="24"/>
          <w:szCs w:val="24"/>
        </w:rPr>
        <w:t xml:space="preserve"> facing multi-front war</w:t>
      </w:r>
      <w:r w:rsidR="009C66AD">
        <w:rPr>
          <w:rFonts w:ascii="Arial" w:hAnsi="Arial" w:cs="Arial"/>
          <w:sz w:val="24"/>
          <w:szCs w:val="24"/>
        </w:rPr>
        <w:t>s</w:t>
      </w:r>
      <w:r w:rsidR="00F21624">
        <w:rPr>
          <w:rFonts w:ascii="Arial" w:hAnsi="Arial" w:cs="Arial"/>
          <w:sz w:val="24"/>
          <w:szCs w:val="24"/>
        </w:rPr>
        <w:t xml:space="preserve"> and needed to mobilise unprecedented resources.</w:t>
      </w:r>
      <w:r w:rsidR="009C66AD">
        <w:rPr>
          <w:rFonts w:ascii="Arial" w:hAnsi="Arial" w:cs="Arial"/>
          <w:sz w:val="24"/>
          <w:szCs w:val="24"/>
        </w:rPr>
        <w:t xml:space="preserve"> For example, the Gauls after the sack of Rome needed to retreat</w:t>
      </w:r>
      <w:r>
        <w:rPr>
          <w:rFonts w:ascii="Arial" w:hAnsi="Arial" w:cs="Arial"/>
          <w:sz w:val="24"/>
          <w:szCs w:val="24"/>
        </w:rPr>
        <w:t>,</w:t>
      </w:r>
      <w:r w:rsidR="009C66AD">
        <w:rPr>
          <w:rFonts w:ascii="Arial" w:hAnsi="Arial" w:cs="Arial"/>
          <w:sz w:val="24"/>
          <w:szCs w:val="24"/>
        </w:rPr>
        <w:t xml:space="preserve"> as their lands were being attacked by the </w:t>
      </w:r>
      <w:proofErr w:type="spellStart"/>
      <w:r w:rsidR="009C66AD">
        <w:rPr>
          <w:rFonts w:ascii="Arial" w:hAnsi="Arial" w:cs="Arial"/>
          <w:sz w:val="24"/>
          <w:szCs w:val="24"/>
        </w:rPr>
        <w:t>Veneti</w:t>
      </w:r>
      <w:proofErr w:type="spellEnd"/>
      <w:r w:rsidR="009C66AD">
        <w:rPr>
          <w:rStyle w:val="FootnoteReference"/>
          <w:rFonts w:ascii="Arial" w:hAnsi="Arial" w:cs="Arial"/>
          <w:sz w:val="24"/>
          <w:szCs w:val="24"/>
        </w:rPr>
        <w:footnoteReference w:id="91"/>
      </w:r>
      <w:r w:rsidR="009C66AD">
        <w:rPr>
          <w:rFonts w:ascii="Arial" w:hAnsi="Arial" w:cs="Arial"/>
          <w:sz w:val="24"/>
          <w:szCs w:val="24"/>
        </w:rPr>
        <w:t>.</w:t>
      </w:r>
      <w:r w:rsidR="00F21624">
        <w:rPr>
          <w:rFonts w:ascii="Arial" w:hAnsi="Arial" w:cs="Arial"/>
          <w:sz w:val="24"/>
          <w:szCs w:val="24"/>
        </w:rPr>
        <w:t xml:space="preserve"> Eckstein is correct in his assessment that this experience of long-term vulnerability to military pressure must have hel</w:t>
      </w:r>
      <w:r w:rsidR="007C54FB">
        <w:rPr>
          <w:rFonts w:ascii="Arial" w:hAnsi="Arial" w:cs="Arial"/>
          <w:sz w:val="24"/>
          <w:szCs w:val="24"/>
        </w:rPr>
        <w:t>p</w:t>
      </w:r>
      <w:r w:rsidR="00F21624">
        <w:rPr>
          <w:rFonts w:ascii="Arial" w:hAnsi="Arial" w:cs="Arial"/>
          <w:sz w:val="24"/>
          <w:szCs w:val="24"/>
        </w:rPr>
        <w:t>ed establish the militarisation of Roman society – especially if Rome wished to survive these pressures</w:t>
      </w:r>
      <w:r w:rsidR="00F21624">
        <w:rPr>
          <w:rStyle w:val="FootnoteReference"/>
          <w:rFonts w:ascii="Arial" w:hAnsi="Arial" w:cs="Arial"/>
          <w:sz w:val="24"/>
          <w:szCs w:val="24"/>
        </w:rPr>
        <w:footnoteReference w:id="92"/>
      </w:r>
      <w:r w:rsidR="00F21624">
        <w:rPr>
          <w:rFonts w:ascii="Arial" w:hAnsi="Arial" w:cs="Arial"/>
          <w:sz w:val="24"/>
          <w:szCs w:val="24"/>
        </w:rPr>
        <w:t xml:space="preserve">. Family glory was clearly important, and </w:t>
      </w:r>
      <w:r w:rsidR="00F21624">
        <w:rPr>
          <w:rFonts w:ascii="Arial" w:hAnsi="Arial" w:cs="Arial"/>
          <w:sz w:val="24"/>
          <w:szCs w:val="24"/>
        </w:rPr>
        <w:lastRenderedPageBreak/>
        <w:t>warfare provided a means of enhancement and status</w:t>
      </w:r>
      <w:r w:rsidR="00F21624">
        <w:rPr>
          <w:rStyle w:val="FootnoteReference"/>
          <w:rFonts w:ascii="Arial" w:hAnsi="Arial" w:cs="Arial"/>
          <w:sz w:val="24"/>
          <w:szCs w:val="24"/>
        </w:rPr>
        <w:footnoteReference w:id="93"/>
      </w:r>
      <w:r w:rsidR="00F21624">
        <w:rPr>
          <w:rFonts w:ascii="Arial" w:hAnsi="Arial" w:cs="Arial"/>
          <w:sz w:val="24"/>
          <w:szCs w:val="24"/>
        </w:rPr>
        <w:t xml:space="preserve">. For example, Ap. Claudius </w:t>
      </w:r>
      <w:proofErr w:type="spellStart"/>
      <w:r w:rsidR="00F21624">
        <w:rPr>
          <w:rFonts w:ascii="Arial" w:hAnsi="Arial" w:cs="Arial"/>
          <w:sz w:val="24"/>
          <w:szCs w:val="24"/>
        </w:rPr>
        <w:t>Caecus</w:t>
      </w:r>
      <w:proofErr w:type="spellEnd"/>
      <w:r w:rsidR="00F21624">
        <w:rPr>
          <w:rFonts w:ascii="Arial" w:hAnsi="Arial" w:cs="Arial"/>
          <w:sz w:val="24"/>
          <w:szCs w:val="24"/>
        </w:rPr>
        <w:t>’ vow to build a temple to Bellona in 296 after his victory over the Samnites</w:t>
      </w:r>
      <w:r>
        <w:rPr>
          <w:rFonts w:ascii="Arial" w:hAnsi="Arial" w:cs="Arial"/>
          <w:sz w:val="24"/>
          <w:szCs w:val="24"/>
        </w:rPr>
        <w:t xml:space="preserve"> and </w:t>
      </w:r>
      <w:r w:rsidR="00F21624">
        <w:rPr>
          <w:rFonts w:ascii="Arial" w:hAnsi="Arial" w:cs="Arial"/>
          <w:sz w:val="24"/>
          <w:szCs w:val="24"/>
        </w:rPr>
        <w:t xml:space="preserve">the </w:t>
      </w:r>
      <w:proofErr w:type="spellStart"/>
      <w:r w:rsidR="00F21624">
        <w:rPr>
          <w:rFonts w:ascii="Arial" w:hAnsi="Arial" w:cs="Arial"/>
          <w:sz w:val="24"/>
          <w:szCs w:val="24"/>
        </w:rPr>
        <w:t>errection</w:t>
      </w:r>
      <w:proofErr w:type="spellEnd"/>
      <w:r w:rsidR="00F21624">
        <w:rPr>
          <w:rFonts w:ascii="Arial" w:hAnsi="Arial" w:cs="Arial"/>
          <w:sz w:val="24"/>
          <w:szCs w:val="24"/>
        </w:rPr>
        <w:t xml:space="preserve"> of the </w:t>
      </w:r>
      <w:proofErr w:type="spellStart"/>
      <w:r w:rsidR="00F21624">
        <w:rPr>
          <w:rFonts w:ascii="Arial" w:hAnsi="Arial" w:cs="Arial"/>
          <w:sz w:val="24"/>
          <w:szCs w:val="24"/>
        </w:rPr>
        <w:t>Columna</w:t>
      </w:r>
      <w:proofErr w:type="spellEnd"/>
      <w:r w:rsidR="00F21624">
        <w:rPr>
          <w:rFonts w:ascii="Arial" w:hAnsi="Arial" w:cs="Arial"/>
          <w:sz w:val="24"/>
          <w:szCs w:val="24"/>
        </w:rPr>
        <w:t xml:space="preserve"> </w:t>
      </w:r>
      <w:proofErr w:type="spellStart"/>
      <w:r w:rsidR="00F21624">
        <w:rPr>
          <w:rFonts w:ascii="Arial" w:hAnsi="Arial" w:cs="Arial"/>
          <w:sz w:val="24"/>
          <w:szCs w:val="24"/>
        </w:rPr>
        <w:t>Maenia</w:t>
      </w:r>
      <w:proofErr w:type="spellEnd"/>
      <w:r w:rsidR="00F21624">
        <w:rPr>
          <w:rFonts w:ascii="Arial" w:hAnsi="Arial" w:cs="Arial"/>
          <w:sz w:val="24"/>
          <w:szCs w:val="24"/>
        </w:rPr>
        <w:t xml:space="preserve"> by C. </w:t>
      </w:r>
      <w:proofErr w:type="spellStart"/>
      <w:r w:rsidR="00F21624">
        <w:rPr>
          <w:rFonts w:ascii="Arial" w:hAnsi="Arial" w:cs="Arial"/>
          <w:sz w:val="24"/>
          <w:szCs w:val="24"/>
        </w:rPr>
        <w:t>Meanius</w:t>
      </w:r>
      <w:proofErr w:type="spellEnd"/>
      <w:r w:rsidR="00F21624">
        <w:rPr>
          <w:rFonts w:ascii="Arial" w:hAnsi="Arial" w:cs="Arial"/>
          <w:sz w:val="24"/>
          <w:szCs w:val="24"/>
        </w:rPr>
        <w:t xml:space="preserve"> to commemorate his victory over </w:t>
      </w:r>
      <w:proofErr w:type="spellStart"/>
      <w:r w:rsidR="00F21624">
        <w:rPr>
          <w:rFonts w:ascii="Arial" w:hAnsi="Arial" w:cs="Arial"/>
          <w:sz w:val="24"/>
          <w:szCs w:val="24"/>
        </w:rPr>
        <w:t>Antium</w:t>
      </w:r>
      <w:proofErr w:type="spellEnd"/>
      <w:r>
        <w:rPr>
          <w:rFonts w:ascii="Arial" w:hAnsi="Arial" w:cs="Arial"/>
          <w:sz w:val="24"/>
          <w:szCs w:val="24"/>
        </w:rPr>
        <w:t xml:space="preserve"> highlight the lengths aristocrats would go to publicise and celebrate their victories</w:t>
      </w:r>
      <w:r w:rsidR="00F21624">
        <w:rPr>
          <w:rStyle w:val="FootnoteReference"/>
          <w:rFonts w:ascii="Arial" w:hAnsi="Arial" w:cs="Arial"/>
          <w:sz w:val="24"/>
          <w:szCs w:val="24"/>
        </w:rPr>
        <w:footnoteReference w:id="94"/>
      </w:r>
      <w:r>
        <w:rPr>
          <w:rFonts w:ascii="Arial" w:hAnsi="Arial" w:cs="Arial"/>
          <w:sz w:val="24"/>
          <w:szCs w:val="24"/>
        </w:rPr>
        <w:t>.</w:t>
      </w:r>
    </w:p>
    <w:p w14:paraId="48AD305B" w14:textId="5C9689CC" w:rsidR="00F21624" w:rsidRDefault="00F21624" w:rsidP="008B745A">
      <w:pPr>
        <w:spacing w:line="480" w:lineRule="auto"/>
        <w:rPr>
          <w:rFonts w:ascii="Arial" w:hAnsi="Arial" w:cs="Arial"/>
          <w:sz w:val="24"/>
          <w:szCs w:val="24"/>
        </w:rPr>
      </w:pPr>
      <w:r>
        <w:rPr>
          <w:rFonts w:ascii="Arial" w:hAnsi="Arial" w:cs="Arial"/>
          <w:sz w:val="24"/>
          <w:szCs w:val="24"/>
        </w:rPr>
        <w:t>However, there was nothing unique about aristocratic martial ethos. As will be shown in the following chapters, both Carthage and Tarentine established an aristocratic elite in which military success was important. Further proof comes from Etruscan funerary monuments that depict mounted Etruscans chasing Celtic soldiers who were on foot</w:t>
      </w:r>
      <w:r>
        <w:rPr>
          <w:rStyle w:val="FootnoteReference"/>
          <w:rFonts w:ascii="Arial" w:hAnsi="Arial" w:cs="Arial"/>
          <w:sz w:val="24"/>
          <w:szCs w:val="24"/>
        </w:rPr>
        <w:footnoteReference w:id="95"/>
      </w:r>
      <w:r>
        <w:rPr>
          <w:rFonts w:ascii="Arial" w:hAnsi="Arial" w:cs="Arial"/>
          <w:sz w:val="24"/>
          <w:szCs w:val="24"/>
        </w:rPr>
        <w:t>. Eckstein’s idea that a martial aristocracy was created from the conditions prevalent in these early states matches that fact many of these states valued military success. However, it does not pro</w:t>
      </w:r>
      <w:r w:rsidR="007C54FB">
        <w:rPr>
          <w:rFonts w:ascii="Arial" w:hAnsi="Arial" w:cs="Arial"/>
          <w:sz w:val="24"/>
          <w:szCs w:val="24"/>
        </w:rPr>
        <w:t>ve</w:t>
      </w:r>
      <w:r>
        <w:rPr>
          <w:rFonts w:ascii="Arial" w:hAnsi="Arial" w:cs="Arial"/>
          <w:sz w:val="24"/>
          <w:szCs w:val="24"/>
        </w:rPr>
        <w:t xml:space="preserve"> that this was a driving force behind conquests. As has been shown, many of the engagements Rome fought lead to truces and defeats, rather than endless victories. </w:t>
      </w:r>
    </w:p>
    <w:p w14:paraId="2072B047" w14:textId="55B4B29A" w:rsidR="00F21624" w:rsidRDefault="00F21624" w:rsidP="008B745A">
      <w:pPr>
        <w:spacing w:line="480" w:lineRule="auto"/>
        <w:rPr>
          <w:rFonts w:ascii="Arial" w:hAnsi="Arial" w:cs="Arial"/>
          <w:b/>
          <w:bCs/>
          <w:sz w:val="24"/>
          <w:szCs w:val="24"/>
        </w:rPr>
      </w:pPr>
      <w:r>
        <w:rPr>
          <w:rFonts w:ascii="Arial" w:hAnsi="Arial" w:cs="Arial"/>
          <w:b/>
          <w:bCs/>
          <w:sz w:val="24"/>
          <w:szCs w:val="24"/>
        </w:rPr>
        <w:t xml:space="preserve">Responding to </w:t>
      </w:r>
      <w:r w:rsidR="007C54FB">
        <w:rPr>
          <w:rFonts w:ascii="Arial" w:hAnsi="Arial" w:cs="Arial"/>
          <w:b/>
          <w:bCs/>
          <w:sz w:val="24"/>
          <w:szCs w:val="24"/>
        </w:rPr>
        <w:t>P</w:t>
      </w:r>
      <w:r>
        <w:rPr>
          <w:rFonts w:ascii="Arial" w:hAnsi="Arial" w:cs="Arial"/>
          <w:b/>
          <w:bCs/>
          <w:sz w:val="24"/>
          <w:szCs w:val="24"/>
        </w:rPr>
        <w:t>leas</w:t>
      </w:r>
    </w:p>
    <w:p w14:paraId="6AE15DBF" w14:textId="4B2061BD" w:rsidR="00F21624" w:rsidRDefault="009C66AD" w:rsidP="008B745A">
      <w:pPr>
        <w:spacing w:line="480" w:lineRule="auto"/>
        <w:rPr>
          <w:rFonts w:ascii="Arial" w:hAnsi="Arial" w:cs="Arial"/>
          <w:sz w:val="24"/>
          <w:szCs w:val="24"/>
        </w:rPr>
      </w:pPr>
      <w:r>
        <w:rPr>
          <w:rFonts w:ascii="Arial" w:hAnsi="Arial" w:cs="Arial"/>
          <w:sz w:val="24"/>
          <w:szCs w:val="24"/>
        </w:rPr>
        <w:t>S</w:t>
      </w:r>
      <w:r w:rsidR="00F21624">
        <w:rPr>
          <w:rFonts w:ascii="Arial" w:hAnsi="Arial" w:cs="Arial"/>
          <w:sz w:val="24"/>
          <w:szCs w:val="24"/>
        </w:rPr>
        <w:t xml:space="preserve">maller states had very few options and as Herodotus states had to, “put themselves into the hands of stronger ones” </w:t>
      </w:r>
      <w:r w:rsidR="00F21624">
        <w:rPr>
          <w:rStyle w:val="FootnoteReference"/>
          <w:rFonts w:ascii="Arial" w:hAnsi="Arial" w:cs="Arial"/>
          <w:sz w:val="24"/>
          <w:szCs w:val="24"/>
        </w:rPr>
        <w:footnoteReference w:id="96"/>
      </w:r>
      <w:r w:rsidR="00F21624">
        <w:rPr>
          <w:rFonts w:ascii="Arial" w:hAnsi="Arial" w:cs="Arial"/>
          <w:sz w:val="24"/>
          <w:szCs w:val="24"/>
        </w:rPr>
        <w:t xml:space="preserve">. </w:t>
      </w:r>
      <w:r>
        <w:rPr>
          <w:rFonts w:ascii="Arial" w:hAnsi="Arial" w:cs="Arial"/>
          <w:sz w:val="24"/>
          <w:szCs w:val="24"/>
        </w:rPr>
        <w:t>T</w:t>
      </w:r>
      <w:r w:rsidR="00F21624">
        <w:rPr>
          <w:rFonts w:ascii="Arial" w:hAnsi="Arial" w:cs="Arial"/>
          <w:sz w:val="24"/>
          <w:szCs w:val="24"/>
        </w:rPr>
        <w:t>he idea that small towns and cities gravitated around larger states, often for short term gain is of paramount importance because it helps to explain the decision making of both Rome and Carthage</w:t>
      </w:r>
      <w:r w:rsidR="00F21624">
        <w:rPr>
          <w:rStyle w:val="FootnoteReference"/>
          <w:rFonts w:ascii="Arial" w:hAnsi="Arial" w:cs="Arial"/>
          <w:sz w:val="24"/>
          <w:szCs w:val="24"/>
        </w:rPr>
        <w:footnoteReference w:id="97"/>
      </w:r>
      <w:r w:rsidR="00F21624">
        <w:rPr>
          <w:rFonts w:ascii="Arial" w:hAnsi="Arial" w:cs="Arial"/>
          <w:sz w:val="24"/>
          <w:szCs w:val="24"/>
        </w:rPr>
        <w:t>.</w:t>
      </w:r>
    </w:p>
    <w:p w14:paraId="39F6A0F4" w14:textId="77777777" w:rsidR="007C54FB" w:rsidRDefault="00F21624" w:rsidP="008B745A">
      <w:pPr>
        <w:spacing w:line="480" w:lineRule="auto"/>
        <w:rPr>
          <w:rFonts w:ascii="Arial" w:hAnsi="Arial" w:cs="Arial"/>
          <w:sz w:val="24"/>
          <w:szCs w:val="24"/>
        </w:rPr>
      </w:pPr>
      <w:r>
        <w:rPr>
          <w:rFonts w:ascii="Arial" w:hAnsi="Arial" w:cs="Arial"/>
          <w:sz w:val="24"/>
          <w:szCs w:val="24"/>
        </w:rPr>
        <w:lastRenderedPageBreak/>
        <w:t>For example, the Capuans came to Rome offering surrender if they would be protected from the Samnites</w:t>
      </w:r>
      <w:r>
        <w:rPr>
          <w:rStyle w:val="FootnoteReference"/>
          <w:rFonts w:ascii="Arial" w:hAnsi="Arial" w:cs="Arial"/>
          <w:sz w:val="24"/>
          <w:szCs w:val="24"/>
        </w:rPr>
        <w:footnoteReference w:id="98"/>
      </w:r>
      <w:r>
        <w:rPr>
          <w:rFonts w:ascii="Arial" w:hAnsi="Arial" w:cs="Arial"/>
          <w:sz w:val="24"/>
          <w:szCs w:val="24"/>
        </w:rPr>
        <w:t xml:space="preserve">. The Capuans may have even seen the Romans themselves as threatening, but less so than the Samnites. Contrary to Oakley, who states the Romans used the pretext of Capuan </w:t>
      </w:r>
      <w:proofErr w:type="spellStart"/>
      <w:r w:rsidRPr="00D44139">
        <w:rPr>
          <w:rFonts w:ascii="Arial" w:hAnsi="Arial" w:cs="Arial"/>
          <w:i/>
          <w:iCs/>
          <w:sz w:val="24"/>
          <w:szCs w:val="24"/>
        </w:rPr>
        <w:t>deditio</w:t>
      </w:r>
      <w:proofErr w:type="spellEnd"/>
      <w:r>
        <w:rPr>
          <w:rFonts w:ascii="Arial" w:hAnsi="Arial" w:cs="Arial"/>
          <w:sz w:val="24"/>
          <w:szCs w:val="24"/>
        </w:rPr>
        <w:t xml:space="preserve"> because they wanted war</w:t>
      </w:r>
      <w:r>
        <w:rPr>
          <w:rStyle w:val="FootnoteReference"/>
          <w:rFonts w:ascii="Arial" w:hAnsi="Arial" w:cs="Arial"/>
          <w:sz w:val="24"/>
          <w:szCs w:val="24"/>
        </w:rPr>
        <w:footnoteReference w:id="99"/>
      </w:r>
      <w:r>
        <w:rPr>
          <w:rFonts w:ascii="Arial" w:hAnsi="Arial" w:cs="Arial"/>
          <w:sz w:val="24"/>
          <w:szCs w:val="24"/>
        </w:rPr>
        <w:t>, as has been shown what is more likely is that Rome was not prepared to allow a potential rival a chance to grow in power</w:t>
      </w:r>
      <w:r w:rsidR="008F4E91">
        <w:rPr>
          <w:rFonts w:ascii="Arial" w:hAnsi="Arial" w:cs="Arial"/>
          <w:sz w:val="24"/>
          <w:szCs w:val="24"/>
        </w:rPr>
        <w:t xml:space="preserve"> – the fact three wars needed to be fought highlights how dangerous they were</w:t>
      </w:r>
      <w:r>
        <w:rPr>
          <w:rFonts w:ascii="Arial" w:hAnsi="Arial" w:cs="Arial"/>
          <w:sz w:val="24"/>
          <w:szCs w:val="24"/>
        </w:rPr>
        <w:t>. More likely is Eckstein’s argument that the Romans did not want the resources of Capua to fall into Samnite hands</w:t>
      </w:r>
      <w:r>
        <w:rPr>
          <w:rStyle w:val="FootnoteReference"/>
          <w:rFonts w:ascii="Arial" w:hAnsi="Arial" w:cs="Arial"/>
          <w:sz w:val="24"/>
          <w:szCs w:val="24"/>
        </w:rPr>
        <w:footnoteReference w:id="100"/>
      </w:r>
      <w:r>
        <w:rPr>
          <w:rFonts w:ascii="Arial" w:hAnsi="Arial" w:cs="Arial"/>
          <w:sz w:val="24"/>
          <w:szCs w:val="24"/>
        </w:rPr>
        <w:t>. Another piece of evidence that suggests that the Romans were conscious of Samnite expansion were the reports that they were preparing to take to the sea as pirates</w:t>
      </w:r>
      <w:r>
        <w:rPr>
          <w:rStyle w:val="FootnoteReference"/>
          <w:rFonts w:ascii="Arial" w:hAnsi="Arial" w:cs="Arial"/>
          <w:sz w:val="24"/>
          <w:szCs w:val="24"/>
        </w:rPr>
        <w:footnoteReference w:id="101"/>
      </w:r>
      <w:r>
        <w:rPr>
          <w:rFonts w:ascii="Arial" w:hAnsi="Arial" w:cs="Arial"/>
          <w:sz w:val="24"/>
          <w:szCs w:val="24"/>
        </w:rPr>
        <w:t xml:space="preserve">. </w:t>
      </w:r>
    </w:p>
    <w:p w14:paraId="62D64CF0" w14:textId="1D580329" w:rsidR="00F21624" w:rsidRDefault="00F21624" w:rsidP="008B745A">
      <w:pPr>
        <w:spacing w:line="480" w:lineRule="auto"/>
        <w:rPr>
          <w:rFonts w:ascii="Arial" w:hAnsi="Arial" w:cs="Arial"/>
          <w:sz w:val="24"/>
          <w:szCs w:val="24"/>
        </w:rPr>
      </w:pPr>
      <w:r>
        <w:rPr>
          <w:rFonts w:ascii="Arial" w:hAnsi="Arial" w:cs="Arial"/>
          <w:sz w:val="24"/>
          <w:szCs w:val="24"/>
        </w:rPr>
        <w:t>This also matches Apulia’s submission to Rom</w:t>
      </w:r>
      <w:r w:rsidR="007C54FB">
        <w:rPr>
          <w:rFonts w:ascii="Arial" w:hAnsi="Arial" w:cs="Arial"/>
          <w:sz w:val="24"/>
          <w:szCs w:val="24"/>
        </w:rPr>
        <w:t>e</w:t>
      </w:r>
      <w:r>
        <w:rPr>
          <w:rFonts w:ascii="Arial" w:hAnsi="Arial" w:cs="Arial"/>
          <w:sz w:val="24"/>
          <w:szCs w:val="24"/>
        </w:rPr>
        <w:t xml:space="preserve">. Livy explains that the </w:t>
      </w:r>
      <w:r w:rsidR="00D44139">
        <w:rPr>
          <w:rFonts w:ascii="Arial" w:hAnsi="Arial" w:cs="Arial"/>
          <w:sz w:val="24"/>
          <w:szCs w:val="24"/>
        </w:rPr>
        <w:t>Apulian’s</w:t>
      </w:r>
      <w:r>
        <w:rPr>
          <w:rFonts w:ascii="Arial" w:hAnsi="Arial" w:cs="Arial"/>
          <w:sz w:val="24"/>
          <w:szCs w:val="24"/>
        </w:rPr>
        <w:t xml:space="preserve"> did not love </w:t>
      </w:r>
      <w:r w:rsidR="00850A61">
        <w:rPr>
          <w:rFonts w:ascii="Arial" w:hAnsi="Arial" w:cs="Arial"/>
          <w:sz w:val="24"/>
          <w:szCs w:val="24"/>
        </w:rPr>
        <w:t>Rome but</w:t>
      </w:r>
      <w:r>
        <w:rPr>
          <w:rFonts w:ascii="Arial" w:hAnsi="Arial" w:cs="Arial"/>
          <w:sz w:val="24"/>
          <w:szCs w:val="24"/>
        </w:rPr>
        <w:t xml:space="preserve"> feared continuing Samnite attacks</w:t>
      </w:r>
      <w:r>
        <w:rPr>
          <w:rStyle w:val="FootnoteReference"/>
          <w:rFonts w:ascii="Arial" w:hAnsi="Arial" w:cs="Arial"/>
          <w:sz w:val="24"/>
          <w:szCs w:val="24"/>
        </w:rPr>
        <w:footnoteReference w:id="102"/>
      </w:r>
      <w:r>
        <w:rPr>
          <w:rFonts w:ascii="Arial" w:hAnsi="Arial" w:cs="Arial"/>
          <w:sz w:val="24"/>
          <w:szCs w:val="24"/>
        </w:rPr>
        <w:t xml:space="preserve">. Whilst for Rome this was a strategic strongpoint to counter the Samnites, for the Samnites it was an intolerable threat to </w:t>
      </w:r>
      <w:r>
        <w:rPr>
          <w:rFonts w:ascii="Arial" w:hAnsi="Arial" w:cs="Arial"/>
          <w:i/>
          <w:iCs/>
          <w:sz w:val="24"/>
          <w:szCs w:val="24"/>
        </w:rPr>
        <w:t>their</w:t>
      </w:r>
      <w:r>
        <w:rPr>
          <w:rFonts w:ascii="Arial" w:hAnsi="Arial" w:cs="Arial"/>
          <w:sz w:val="24"/>
          <w:szCs w:val="24"/>
        </w:rPr>
        <w:t xml:space="preserve"> security.  As a city-state with little to no navy, Rome would not have been excited by this prospect of Samnite piracy. As will be demonstrated, Carthage and other powers like Pyrrhus and the Tarentines all had to deal with appeals from smaller states. Rather than using them as a pretext the options available to larger powers was simple: reject the appeal, giving territory, strategic position and resources to rival powers, or respond proactively, even if it meant war. </w:t>
      </w:r>
    </w:p>
    <w:p w14:paraId="3F3F62FB" w14:textId="77777777" w:rsidR="007C54FB" w:rsidRDefault="007C54FB" w:rsidP="008B745A">
      <w:pPr>
        <w:spacing w:line="480" w:lineRule="auto"/>
        <w:rPr>
          <w:rFonts w:ascii="Arial" w:hAnsi="Arial" w:cs="Arial"/>
          <w:sz w:val="24"/>
          <w:szCs w:val="24"/>
        </w:rPr>
      </w:pPr>
    </w:p>
    <w:p w14:paraId="63D2AFC8" w14:textId="77777777" w:rsidR="008F4E91" w:rsidRDefault="008F4E91" w:rsidP="008B745A">
      <w:pPr>
        <w:spacing w:line="480" w:lineRule="auto"/>
        <w:rPr>
          <w:rFonts w:ascii="Arial" w:hAnsi="Arial" w:cs="Arial"/>
          <w:sz w:val="24"/>
          <w:szCs w:val="24"/>
        </w:rPr>
      </w:pPr>
    </w:p>
    <w:p w14:paraId="52528A66" w14:textId="77777777" w:rsidR="00F21624" w:rsidRDefault="00F21624" w:rsidP="008B745A">
      <w:pPr>
        <w:spacing w:line="480" w:lineRule="auto"/>
        <w:rPr>
          <w:rFonts w:ascii="Arial" w:hAnsi="Arial" w:cs="Arial"/>
          <w:b/>
          <w:bCs/>
          <w:sz w:val="24"/>
          <w:szCs w:val="24"/>
        </w:rPr>
      </w:pPr>
      <w:r>
        <w:rPr>
          <w:rFonts w:ascii="Arial" w:hAnsi="Arial" w:cs="Arial"/>
          <w:b/>
          <w:bCs/>
          <w:sz w:val="24"/>
          <w:szCs w:val="24"/>
        </w:rPr>
        <w:lastRenderedPageBreak/>
        <w:t>Peace-making</w:t>
      </w:r>
    </w:p>
    <w:p w14:paraId="43944485" w14:textId="5E5CF759" w:rsidR="00F21624" w:rsidRDefault="00F21624" w:rsidP="008B745A">
      <w:pPr>
        <w:spacing w:line="480" w:lineRule="auto"/>
        <w:rPr>
          <w:rFonts w:ascii="Arial" w:hAnsi="Arial" w:cs="Arial"/>
          <w:sz w:val="24"/>
          <w:szCs w:val="24"/>
        </w:rPr>
      </w:pPr>
      <w:r>
        <w:rPr>
          <w:rFonts w:ascii="Arial" w:hAnsi="Arial" w:cs="Arial"/>
          <w:sz w:val="24"/>
          <w:szCs w:val="24"/>
        </w:rPr>
        <w:t xml:space="preserve">After the successful conclusion of wars Rome routinely engaged in settling colonists and founding colonies. </w:t>
      </w:r>
    </w:p>
    <w:p w14:paraId="2A157783" w14:textId="0F5251B0" w:rsidR="00F21624" w:rsidRDefault="00F21624" w:rsidP="008B745A">
      <w:pPr>
        <w:spacing w:line="480" w:lineRule="auto"/>
        <w:rPr>
          <w:rFonts w:ascii="Arial" w:hAnsi="Arial" w:cs="Arial"/>
          <w:sz w:val="24"/>
          <w:szCs w:val="24"/>
        </w:rPr>
      </w:pPr>
      <w:r>
        <w:rPr>
          <w:rFonts w:ascii="Arial" w:hAnsi="Arial" w:cs="Arial"/>
          <w:sz w:val="24"/>
          <w:szCs w:val="24"/>
        </w:rPr>
        <w:t>The importance of these colonies can be demonstrated. During the 380s and 370s the city of Sutrium changed hands several times between Rome, the Tarquinii and the Volsci, coining the phrase, “to go to Sutrium”, which meant, “be ready for war”</w:t>
      </w:r>
      <w:r>
        <w:rPr>
          <w:rStyle w:val="FootnoteReference"/>
          <w:rFonts w:ascii="Arial" w:hAnsi="Arial" w:cs="Arial"/>
          <w:sz w:val="24"/>
          <w:szCs w:val="24"/>
        </w:rPr>
        <w:footnoteReference w:id="103"/>
      </w:r>
      <w:r>
        <w:rPr>
          <w:rFonts w:ascii="Arial" w:hAnsi="Arial" w:cs="Arial"/>
          <w:sz w:val="24"/>
          <w:szCs w:val="24"/>
        </w:rPr>
        <w:t>. Livy emphasises that the Tarquinii and Volsci were often successful in their attacks on the frontier</w:t>
      </w:r>
      <w:r>
        <w:rPr>
          <w:rStyle w:val="FootnoteReference"/>
          <w:rFonts w:ascii="Arial" w:hAnsi="Arial" w:cs="Arial"/>
          <w:sz w:val="24"/>
          <w:szCs w:val="24"/>
        </w:rPr>
        <w:footnoteReference w:id="104"/>
      </w:r>
      <w:r>
        <w:rPr>
          <w:rFonts w:ascii="Arial" w:hAnsi="Arial" w:cs="Arial"/>
          <w:sz w:val="24"/>
          <w:szCs w:val="24"/>
        </w:rPr>
        <w:t xml:space="preserve">. The cities of </w:t>
      </w:r>
      <w:proofErr w:type="spellStart"/>
      <w:r>
        <w:rPr>
          <w:rFonts w:ascii="Arial" w:hAnsi="Arial" w:cs="Arial"/>
          <w:sz w:val="24"/>
          <w:szCs w:val="24"/>
        </w:rPr>
        <w:t>Marsalia</w:t>
      </w:r>
      <w:r w:rsidR="00007AEA">
        <w:rPr>
          <w:rFonts w:ascii="Arial" w:hAnsi="Arial" w:cs="Arial"/>
          <w:sz w:val="24"/>
          <w:szCs w:val="24"/>
        </w:rPr>
        <w:t>n</w:t>
      </w:r>
      <w:proofErr w:type="spellEnd"/>
      <w:r>
        <w:rPr>
          <w:rFonts w:ascii="Arial" w:hAnsi="Arial" w:cs="Arial"/>
          <w:sz w:val="24"/>
          <w:szCs w:val="24"/>
        </w:rPr>
        <w:t xml:space="preserve"> and Saturnian may have been destroyed by the </w:t>
      </w:r>
      <w:proofErr w:type="spellStart"/>
      <w:r>
        <w:rPr>
          <w:rFonts w:ascii="Arial" w:hAnsi="Arial" w:cs="Arial"/>
          <w:sz w:val="24"/>
          <w:szCs w:val="24"/>
        </w:rPr>
        <w:t>Vulsci</w:t>
      </w:r>
      <w:proofErr w:type="spellEnd"/>
      <w:r>
        <w:rPr>
          <w:rFonts w:ascii="Arial" w:hAnsi="Arial" w:cs="Arial"/>
          <w:sz w:val="24"/>
          <w:szCs w:val="24"/>
        </w:rPr>
        <w:t xml:space="preserve"> in the 5</w:t>
      </w:r>
      <w:r>
        <w:rPr>
          <w:rFonts w:ascii="Arial" w:hAnsi="Arial" w:cs="Arial"/>
          <w:sz w:val="24"/>
          <w:szCs w:val="24"/>
          <w:vertAlign w:val="superscript"/>
        </w:rPr>
        <w:t>th</w:t>
      </w:r>
      <w:r>
        <w:rPr>
          <w:rFonts w:ascii="Arial" w:hAnsi="Arial" w:cs="Arial"/>
          <w:sz w:val="24"/>
          <w:szCs w:val="24"/>
        </w:rPr>
        <w:t xml:space="preserve"> century and the city of Caere was subjected to various attacks by the Tarquinii</w:t>
      </w:r>
      <w:r>
        <w:rPr>
          <w:rStyle w:val="FootnoteReference"/>
          <w:rFonts w:ascii="Arial" w:hAnsi="Arial" w:cs="Arial"/>
          <w:sz w:val="24"/>
          <w:szCs w:val="24"/>
        </w:rPr>
        <w:footnoteReference w:id="105"/>
      </w:r>
      <w:r>
        <w:rPr>
          <w:rFonts w:ascii="Arial" w:hAnsi="Arial" w:cs="Arial"/>
          <w:sz w:val="24"/>
          <w:szCs w:val="24"/>
        </w:rPr>
        <w:t xml:space="preserve">. </w:t>
      </w:r>
    </w:p>
    <w:p w14:paraId="0235025E" w14:textId="0786C3BF" w:rsidR="00BE0043" w:rsidRDefault="00F21624" w:rsidP="008B745A">
      <w:pPr>
        <w:spacing w:line="480" w:lineRule="auto"/>
        <w:rPr>
          <w:rFonts w:ascii="Arial" w:hAnsi="Arial" w:cs="Arial"/>
          <w:sz w:val="24"/>
          <w:szCs w:val="24"/>
        </w:rPr>
      </w:pPr>
      <w:r>
        <w:rPr>
          <w:rFonts w:ascii="Arial" w:hAnsi="Arial" w:cs="Arial"/>
          <w:sz w:val="24"/>
          <w:szCs w:val="24"/>
        </w:rPr>
        <w:t xml:space="preserve">Rome established the colony of </w:t>
      </w:r>
      <w:proofErr w:type="spellStart"/>
      <w:r>
        <w:rPr>
          <w:rFonts w:ascii="Arial" w:hAnsi="Arial" w:cs="Arial"/>
          <w:sz w:val="24"/>
          <w:szCs w:val="24"/>
        </w:rPr>
        <w:t>Satricum</w:t>
      </w:r>
      <w:proofErr w:type="spellEnd"/>
      <w:r>
        <w:rPr>
          <w:rFonts w:ascii="Arial" w:hAnsi="Arial" w:cs="Arial"/>
          <w:sz w:val="24"/>
          <w:szCs w:val="24"/>
        </w:rPr>
        <w:t xml:space="preserve"> in 385B.C. – another strategic location</w:t>
      </w:r>
      <w:r>
        <w:rPr>
          <w:rStyle w:val="FootnoteReference"/>
          <w:rFonts w:ascii="Arial" w:hAnsi="Arial" w:cs="Arial"/>
          <w:sz w:val="24"/>
          <w:szCs w:val="24"/>
        </w:rPr>
        <w:footnoteReference w:id="106"/>
      </w:r>
      <w:r>
        <w:rPr>
          <w:rFonts w:ascii="Arial" w:hAnsi="Arial" w:cs="Arial"/>
          <w:sz w:val="24"/>
          <w:szCs w:val="24"/>
        </w:rPr>
        <w:t xml:space="preserve"> - which was taken and retaken several times between 386 and 280</w:t>
      </w:r>
      <w:r>
        <w:rPr>
          <w:rStyle w:val="FootnoteReference"/>
          <w:rFonts w:ascii="Arial" w:hAnsi="Arial" w:cs="Arial"/>
          <w:sz w:val="24"/>
          <w:szCs w:val="24"/>
        </w:rPr>
        <w:footnoteReference w:id="107"/>
      </w:r>
      <w:r>
        <w:rPr>
          <w:rFonts w:ascii="Arial" w:hAnsi="Arial" w:cs="Arial"/>
          <w:sz w:val="24"/>
          <w:szCs w:val="24"/>
        </w:rPr>
        <w:t xml:space="preserve">. </w:t>
      </w:r>
      <w:r w:rsidR="00494507">
        <w:rPr>
          <w:rFonts w:ascii="Arial" w:hAnsi="Arial" w:cs="Arial"/>
          <w:sz w:val="24"/>
          <w:szCs w:val="24"/>
        </w:rPr>
        <w:t>I</w:t>
      </w:r>
      <w:r>
        <w:rPr>
          <w:rFonts w:ascii="Arial" w:hAnsi="Arial" w:cs="Arial"/>
          <w:sz w:val="24"/>
          <w:szCs w:val="24"/>
        </w:rPr>
        <w:t xml:space="preserve">n terms of wealth and land being the deciding factor in warfare, these colonies would have been devastated if rival armies were marching through them again and again. If land was a major factor these colonies would not have been placed in such strategic locations, as they were attacked repeatedly, hardly a conducive environment for farming. </w:t>
      </w:r>
      <w:r w:rsidR="00494507">
        <w:rPr>
          <w:rFonts w:ascii="Arial" w:hAnsi="Arial" w:cs="Arial"/>
          <w:sz w:val="24"/>
          <w:szCs w:val="24"/>
        </w:rPr>
        <w:t>D</w:t>
      </w:r>
      <w:r>
        <w:rPr>
          <w:rFonts w:ascii="Arial" w:hAnsi="Arial" w:cs="Arial"/>
          <w:sz w:val="24"/>
          <w:szCs w:val="24"/>
        </w:rPr>
        <w:t>uring the 340s</w:t>
      </w:r>
      <w:r w:rsidR="00494507">
        <w:rPr>
          <w:rFonts w:ascii="Arial" w:hAnsi="Arial" w:cs="Arial"/>
          <w:sz w:val="24"/>
          <w:szCs w:val="24"/>
        </w:rPr>
        <w:t>,</w:t>
      </w:r>
      <w:r>
        <w:rPr>
          <w:rFonts w:ascii="Arial" w:hAnsi="Arial" w:cs="Arial"/>
          <w:sz w:val="24"/>
          <w:szCs w:val="24"/>
        </w:rPr>
        <w:t xml:space="preserve"> battles were fought within 30 miles of Rome. This and previous examples certainly counter Harris’ claim that </w:t>
      </w:r>
      <w:r>
        <w:rPr>
          <w:rFonts w:ascii="Arial" w:hAnsi="Arial" w:cs="Arial"/>
          <w:i/>
          <w:iCs/>
          <w:sz w:val="24"/>
          <w:szCs w:val="24"/>
        </w:rPr>
        <w:t>some</w:t>
      </w:r>
      <w:r>
        <w:rPr>
          <w:rFonts w:ascii="Arial" w:hAnsi="Arial" w:cs="Arial"/>
          <w:sz w:val="24"/>
          <w:szCs w:val="24"/>
        </w:rPr>
        <w:t xml:space="preserve"> powers </w:t>
      </w:r>
      <w:r w:rsidR="006D699C">
        <w:rPr>
          <w:rFonts w:ascii="Arial" w:hAnsi="Arial" w:cs="Arial"/>
          <w:sz w:val="24"/>
          <w:szCs w:val="24"/>
        </w:rPr>
        <w:t>‘</w:t>
      </w:r>
      <w:r>
        <w:rPr>
          <w:rFonts w:ascii="Arial" w:hAnsi="Arial" w:cs="Arial"/>
          <w:i/>
          <w:iCs/>
          <w:sz w:val="24"/>
          <w:szCs w:val="24"/>
        </w:rPr>
        <w:t>perhaps</w:t>
      </w:r>
      <w:r>
        <w:rPr>
          <w:rFonts w:ascii="Arial" w:hAnsi="Arial" w:cs="Arial"/>
          <w:sz w:val="24"/>
          <w:szCs w:val="24"/>
        </w:rPr>
        <w:t xml:space="preserve"> aggressively’ attacked Rome</w:t>
      </w:r>
      <w:r>
        <w:rPr>
          <w:rStyle w:val="FootnoteReference"/>
          <w:rFonts w:ascii="Arial" w:hAnsi="Arial" w:cs="Arial"/>
          <w:sz w:val="24"/>
          <w:szCs w:val="24"/>
        </w:rPr>
        <w:footnoteReference w:id="108"/>
      </w:r>
      <w:r>
        <w:rPr>
          <w:rFonts w:ascii="Arial" w:hAnsi="Arial" w:cs="Arial"/>
          <w:sz w:val="24"/>
          <w:szCs w:val="24"/>
        </w:rPr>
        <w:t xml:space="preserve">. </w:t>
      </w:r>
      <w:proofErr w:type="spellStart"/>
      <w:r>
        <w:rPr>
          <w:rFonts w:ascii="Arial" w:hAnsi="Arial" w:cs="Arial"/>
          <w:sz w:val="24"/>
          <w:szCs w:val="24"/>
        </w:rPr>
        <w:t>Nedu’s</w:t>
      </w:r>
      <w:proofErr w:type="spellEnd"/>
      <w:r>
        <w:rPr>
          <w:rFonts w:ascii="Arial" w:hAnsi="Arial" w:cs="Arial"/>
          <w:sz w:val="24"/>
          <w:szCs w:val="24"/>
        </w:rPr>
        <w:t xml:space="preserve"> assessment that Rome during this time was </w:t>
      </w:r>
      <w:r>
        <w:rPr>
          <w:rFonts w:ascii="Arial" w:hAnsi="Arial" w:cs="Arial"/>
          <w:sz w:val="24"/>
          <w:szCs w:val="24"/>
        </w:rPr>
        <w:lastRenderedPageBreak/>
        <w:t>‘under siege’ is more likely correct</w:t>
      </w:r>
      <w:r>
        <w:rPr>
          <w:rStyle w:val="FootnoteReference"/>
          <w:rFonts w:ascii="Arial" w:hAnsi="Arial" w:cs="Arial"/>
          <w:sz w:val="24"/>
          <w:szCs w:val="24"/>
        </w:rPr>
        <w:footnoteReference w:id="109"/>
      </w:r>
      <w:r>
        <w:rPr>
          <w:rFonts w:ascii="Arial" w:hAnsi="Arial" w:cs="Arial"/>
          <w:sz w:val="24"/>
          <w:szCs w:val="24"/>
        </w:rPr>
        <w:t>. Even Cornell</w:t>
      </w:r>
      <w:r w:rsidR="002F400D">
        <w:rPr>
          <w:rFonts w:ascii="Arial" w:hAnsi="Arial" w:cs="Arial"/>
          <w:sz w:val="24"/>
          <w:szCs w:val="24"/>
        </w:rPr>
        <w:t>,</w:t>
      </w:r>
      <w:r>
        <w:rPr>
          <w:rFonts w:ascii="Arial" w:hAnsi="Arial" w:cs="Arial"/>
          <w:sz w:val="24"/>
          <w:szCs w:val="24"/>
        </w:rPr>
        <w:t xml:space="preserve"> who argues the case for aggressive </w:t>
      </w:r>
      <w:r w:rsidR="002F400D">
        <w:rPr>
          <w:rFonts w:ascii="Arial" w:hAnsi="Arial" w:cs="Arial"/>
          <w:sz w:val="24"/>
          <w:szCs w:val="24"/>
        </w:rPr>
        <w:t>R</w:t>
      </w:r>
      <w:r>
        <w:rPr>
          <w:rFonts w:ascii="Arial" w:hAnsi="Arial" w:cs="Arial"/>
          <w:sz w:val="24"/>
          <w:szCs w:val="24"/>
        </w:rPr>
        <w:t>oman expansion</w:t>
      </w:r>
      <w:r w:rsidR="002F400D">
        <w:rPr>
          <w:rFonts w:ascii="Arial" w:hAnsi="Arial" w:cs="Arial"/>
          <w:sz w:val="24"/>
          <w:szCs w:val="24"/>
        </w:rPr>
        <w:t>,</w:t>
      </w:r>
      <w:r>
        <w:rPr>
          <w:rFonts w:ascii="Arial" w:hAnsi="Arial" w:cs="Arial"/>
          <w:sz w:val="24"/>
          <w:szCs w:val="24"/>
        </w:rPr>
        <w:t xml:space="preserve"> calls the 5</w:t>
      </w:r>
      <w:r>
        <w:rPr>
          <w:rFonts w:ascii="Arial" w:hAnsi="Arial" w:cs="Arial"/>
          <w:sz w:val="24"/>
          <w:szCs w:val="24"/>
          <w:vertAlign w:val="superscript"/>
        </w:rPr>
        <w:t>th</w:t>
      </w:r>
      <w:r>
        <w:rPr>
          <w:rFonts w:ascii="Arial" w:hAnsi="Arial" w:cs="Arial"/>
          <w:sz w:val="24"/>
          <w:szCs w:val="24"/>
        </w:rPr>
        <w:t xml:space="preserve"> century one of ‘dismal hardship’</w:t>
      </w:r>
      <w:r>
        <w:rPr>
          <w:rStyle w:val="FootnoteReference"/>
          <w:rFonts w:ascii="Arial" w:hAnsi="Arial" w:cs="Arial"/>
          <w:sz w:val="24"/>
          <w:szCs w:val="24"/>
        </w:rPr>
        <w:footnoteReference w:id="110"/>
      </w:r>
      <w:r>
        <w:rPr>
          <w:rFonts w:ascii="Arial" w:hAnsi="Arial" w:cs="Arial"/>
          <w:sz w:val="24"/>
          <w:szCs w:val="24"/>
        </w:rPr>
        <w:t>.</w:t>
      </w:r>
    </w:p>
    <w:p w14:paraId="1496A439" w14:textId="270DBB1C" w:rsidR="00F21624" w:rsidRDefault="00F21624" w:rsidP="008B745A">
      <w:pPr>
        <w:spacing w:line="480" w:lineRule="auto"/>
        <w:rPr>
          <w:rFonts w:ascii="Arial" w:hAnsi="Arial" w:cs="Arial"/>
          <w:sz w:val="24"/>
          <w:szCs w:val="24"/>
        </w:rPr>
      </w:pPr>
      <w:r>
        <w:rPr>
          <w:rFonts w:ascii="Arial" w:hAnsi="Arial" w:cs="Arial"/>
          <w:sz w:val="24"/>
          <w:szCs w:val="24"/>
        </w:rPr>
        <w:t xml:space="preserve"> </w:t>
      </w:r>
      <w:r w:rsidR="00303F38">
        <w:rPr>
          <w:rFonts w:ascii="Arial" w:hAnsi="Arial" w:cs="Arial"/>
          <w:sz w:val="24"/>
          <w:szCs w:val="24"/>
        </w:rPr>
        <w:t>M</w:t>
      </w:r>
      <w:r>
        <w:rPr>
          <w:rFonts w:ascii="Arial" w:hAnsi="Arial" w:cs="Arial"/>
          <w:sz w:val="24"/>
          <w:szCs w:val="24"/>
        </w:rPr>
        <w:t xml:space="preserve">any of </w:t>
      </w:r>
      <w:r w:rsidR="00303F38">
        <w:rPr>
          <w:rFonts w:ascii="Arial" w:hAnsi="Arial" w:cs="Arial"/>
          <w:sz w:val="24"/>
          <w:szCs w:val="24"/>
        </w:rPr>
        <w:t>Rome’s</w:t>
      </w:r>
      <w:r>
        <w:rPr>
          <w:rFonts w:ascii="Arial" w:hAnsi="Arial" w:cs="Arial"/>
          <w:sz w:val="24"/>
          <w:szCs w:val="24"/>
        </w:rPr>
        <w:t xml:space="preserve"> early wars were not much more than raids –</w:t>
      </w:r>
      <w:r w:rsidR="00303F38">
        <w:rPr>
          <w:rFonts w:ascii="Arial" w:hAnsi="Arial" w:cs="Arial"/>
          <w:sz w:val="24"/>
          <w:szCs w:val="24"/>
        </w:rPr>
        <w:t xml:space="preserve"> </w:t>
      </w:r>
      <w:r>
        <w:rPr>
          <w:rFonts w:ascii="Arial" w:hAnsi="Arial" w:cs="Arial"/>
          <w:sz w:val="24"/>
          <w:szCs w:val="24"/>
        </w:rPr>
        <w:t xml:space="preserve">Livy confirms this in his statement that there were years with, “neither peace </w:t>
      </w:r>
      <w:r w:rsidR="002F400D">
        <w:rPr>
          <w:rFonts w:ascii="Arial" w:hAnsi="Arial" w:cs="Arial"/>
          <w:sz w:val="24"/>
          <w:szCs w:val="24"/>
        </w:rPr>
        <w:t>n</w:t>
      </w:r>
      <w:r>
        <w:rPr>
          <w:rFonts w:ascii="Arial" w:hAnsi="Arial" w:cs="Arial"/>
          <w:sz w:val="24"/>
          <w:szCs w:val="24"/>
        </w:rPr>
        <w:t>or war”</w:t>
      </w:r>
      <w:r>
        <w:rPr>
          <w:rStyle w:val="FootnoteReference"/>
          <w:rFonts w:ascii="Arial" w:hAnsi="Arial" w:cs="Arial"/>
          <w:sz w:val="24"/>
          <w:szCs w:val="24"/>
        </w:rPr>
        <w:footnoteReference w:id="111"/>
      </w:r>
      <w:r>
        <w:rPr>
          <w:rFonts w:ascii="Arial" w:hAnsi="Arial" w:cs="Arial"/>
          <w:sz w:val="24"/>
          <w:szCs w:val="24"/>
        </w:rPr>
        <w:t>. Cornell states this as proof that the main desire was booty</w:t>
      </w:r>
      <w:r>
        <w:rPr>
          <w:rStyle w:val="FootnoteReference"/>
          <w:rFonts w:ascii="Arial" w:hAnsi="Arial" w:cs="Arial"/>
          <w:sz w:val="24"/>
          <w:szCs w:val="24"/>
        </w:rPr>
        <w:footnoteReference w:id="112"/>
      </w:r>
      <w:r>
        <w:rPr>
          <w:rFonts w:ascii="Arial" w:hAnsi="Arial" w:cs="Arial"/>
          <w:sz w:val="24"/>
          <w:szCs w:val="24"/>
        </w:rPr>
        <w:t>. Certainly, plunder was expected</w:t>
      </w:r>
      <w:r w:rsidR="002F400D">
        <w:rPr>
          <w:rFonts w:ascii="Arial" w:hAnsi="Arial" w:cs="Arial"/>
          <w:sz w:val="24"/>
          <w:szCs w:val="24"/>
        </w:rPr>
        <w:t>, even if only to offset the costs associated with conflict</w:t>
      </w:r>
      <w:r>
        <w:rPr>
          <w:rFonts w:ascii="Arial" w:hAnsi="Arial" w:cs="Arial"/>
          <w:sz w:val="24"/>
          <w:szCs w:val="24"/>
        </w:rPr>
        <w:t>, but the sheer number of strategic colonies and the fact that they were used block passages and were fought over again and again highlight that Rome was principally concerned with protecting itself. These early wars against the Volsci and the Aequi were defensive in nature, as Rome struggled to compete and survive in an environment full of small city-states</w:t>
      </w:r>
      <w:r>
        <w:rPr>
          <w:rStyle w:val="FootnoteReference"/>
          <w:rFonts w:ascii="Arial" w:hAnsi="Arial" w:cs="Arial"/>
          <w:sz w:val="24"/>
          <w:szCs w:val="24"/>
        </w:rPr>
        <w:footnoteReference w:id="113"/>
      </w:r>
      <w:r>
        <w:rPr>
          <w:rFonts w:ascii="Arial" w:hAnsi="Arial" w:cs="Arial"/>
          <w:sz w:val="24"/>
          <w:szCs w:val="24"/>
        </w:rPr>
        <w:t>. After Volsci’s destruction</w:t>
      </w:r>
      <w:r w:rsidR="00303F38">
        <w:rPr>
          <w:rFonts w:ascii="Arial" w:hAnsi="Arial" w:cs="Arial"/>
          <w:sz w:val="24"/>
          <w:szCs w:val="24"/>
        </w:rPr>
        <w:t>,</w:t>
      </w:r>
      <w:r>
        <w:rPr>
          <w:rFonts w:ascii="Arial" w:hAnsi="Arial" w:cs="Arial"/>
          <w:sz w:val="24"/>
          <w:szCs w:val="24"/>
        </w:rPr>
        <w:t xml:space="preserve"> Rome was quick to establish colonies in the strategic passes once again – this time at </w:t>
      </w:r>
      <w:proofErr w:type="spellStart"/>
      <w:r>
        <w:rPr>
          <w:rFonts w:ascii="Arial" w:hAnsi="Arial" w:cs="Arial"/>
          <w:sz w:val="24"/>
          <w:szCs w:val="24"/>
        </w:rPr>
        <w:t>Fragellae</w:t>
      </w:r>
      <w:proofErr w:type="spellEnd"/>
      <w:r>
        <w:rPr>
          <w:rStyle w:val="FootnoteReference"/>
          <w:rFonts w:ascii="Arial" w:hAnsi="Arial" w:cs="Arial"/>
          <w:sz w:val="24"/>
          <w:szCs w:val="24"/>
        </w:rPr>
        <w:footnoteReference w:id="114"/>
      </w:r>
      <w:r>
        <w:rPr>
          <w:rFonts w:ascii="Arial" w:hAnsi="Arial" w:cs="Arial"/>
          <w:sz w:val="24"/>
          <w:szCs w:val="24"/>
        </w:rPr>
        <w:t xml:space="preserve">. Whilst it may have satisfied land and plunder, the Romans would have been aware that the colony lay on the strategic pass into Samnium. </w:t>
      </w:r>
    </w:p>
    <w:p w14:paraId="7226EB0E" w14:textId="1FC1D6A7" w:rsidR="00F21624" w:rsidRDefault="00F21624" w:rsidP="008B745A">
      <w:pPr>
        <w:spacing w:line="480" w:lineRule="auto"/>
        <w:rPr>
          <w:rFonts w:ascii="Arial" w:hAnsi="Arial" w:cs="Arial"/>
          <w:sz w:val="24"/>
          <w:szCs w:val="24"/>
        </w:rPr>
      </w:pPr>
      <w:r>
        <w:rPr>
          <w:rFonts w:ascii="Arial" w:hAnsi="Arial" w:cs="Arial"/>
          <w:sz w:val="24"/>
          <w:szCs w:val="24"/>
        </w:rPr>
        <w:t>In 311</w:t>
      </w:r>
      <w:r w:rsidR="00494507">
        <w:rPr>
          <w:rFonts w:ascii="Arial" w:hAnsi="Arial" w:cs="Arial"/>
          <w:sz w:val="24"/>
          <w:szCs w:val="24"/>
        </w:rPr>
        <w:t>,</w:t>
      </w:r>
      <w:r>
        <w:rPr>
          <w:rFonts w:ascii="Arial" w:hAnsi="Arial" w:cs="Arial"/>
          <w:sz w:val="24"/>
          <w:szCs w:val="24"/>
        </w:rPr>
        <w:t xml:space="preserve"> all the Etruscan peoples fought together against the Romans, except </w:t>
      </w:r>
      <w:proofErr w:type="spellStart"/>
      <w:r>
        <w:rPr>
          <w:rFonts w:ascii="Arial" w:hAnsi="Arial" w:cs="Arial"/>
          <w:sz w:val="24"/>
          <w:szCs w:val="24"/>
        </w:rPr>
        <w:t>Arretium</w:t>
      </w:r>
      <w:proofErr w:type="spellEnd"/>
      <w:r>
        <w:rPr>
          <w:rFonts w:ascii="Arial" w:hAnsi="Arial" w:cs="Arial"/>
          <w:sz w:val="24"/>
          <w:szCs w:val="24"/>
        </w:rPr>
        <w:t>, to attack the Roman colony of Sutrium – mentioned earlier as a colony founded on a strategic site</w:t>
      </w:r>
      <w:r>
        <w:rPr>
          <w:rStyle w:val="FootnoteReference"/>
          <w:rFonts w:ascii="Arial" w:hAnsi="Arial" w:cs="Arial"/>
          <w:sz w:val="24"/>
          <w:szCs w:val="24"/>
        </w:rPr>
        <w:footnoteReference w:id="115"/>
      </w:r>
      <w:r>
        <w:rPr>
          <w:rFonts w:ascii="Arial" w:hAnsi="Arial" w:cs="Arial"/>
          <w:sz w:val="24"/>
          <w:szCs w:val="24"/>
        </w:rPr>
        <w:t>. Forsythe’s statement that Rome opened another front confidently as a means of ‘</w:t>
      </w:r>
      <w:r w:rsidR="00BE0043">
        <w:rPr>
          <w:rFonts w:ascii="Arial" w:hAnsi="Arial" w:cs="Arial"/>
          <w:sz w:val="24"/>
          <w:szCs w:val="24"/>
        </w:rPr>
        <w:t>opportunistic</w:t>
      </w:r>
      <w:r>
        <w:rPr>
          <w:rFonts w:ascii="Arial" w:hAnsi="Arial" w:cs="Arial"/>
          <w:sz w:val="24"/>
          <w:szCs w:val="24"/>
        </w:rPr>
        <w:t xml:space="preserve"> expansionism’ seems incorrect when the shattering Roman defeats are remembered</w:t>
      </w:r>
      <w:r>
        <w:rPr>
          <w:rStyle w:val="FootnoteReference"/>
          <w:rFonts w:ascii="Arial" w:hAnsi="Arial" w:cs="Arial"/>
          <w:sz w:val="24"/>
          <w:szCs w:val="24"/>
        </w:rPr>
        <w:footnoteReference w:id="116"/>
      </w:r>
      <w:r>
        <w:rPr>
          <w:rFonts w:ascii="Arial" w:hAnsi="Arial" w:cs="Arial"/>
          <w:sz w:val="24"/>
          <w:szCs w:val="24"/>
        </w:rPr>
        <w:t xml:space="preserve">. </w:t>
      </w:r>
      <w:r w:rsidR="00BE0043">
        <w:rPr>
          <w:rFonts w:ascii="Arial" w:hAnsi="Arial" w:cs="Arial"/>
          <w:sz w:val="24"/>
          <w:szCs w:val="24"/>
        </w:rPr>
        <w:t>S</w:t>
      </w:r>
      <w:r>
        <w:rPr>
          <w:rFonts w:ascii="Arial" w:hAnsi="Arial" w:cs="Arial"/>
          <w:sz w:val="24"/>
          <w:szCs w:val="24"/>
        </w:rPr>
        <w:t xml:space="preserve">tatements from Livy about the importance of the cities of Sutrium and </w:t>
      </w:r>
      <w:proofErr w:type="spellStart"/>
      <w:r>
        <w:rPr>
          <w:rFonts w:ascii="Arial" w:hAnsi="Arial" w:cs="Arial"/>
          <w:sz w:val="24"/>
          <w:szCs w:val="24"/>
        </w:rPr>
        <w:t>Nepet</w:t>
      </w:r>
      <w:proofErr w:type="spellEnd"/>
      <w:r>
        <w:rPr>
          <w:rFonts w:ascii="Arial" w:hAnsi="Arial" w:cs="Arial"/>
          <w:sz w:val="24"/>
          <w:szCs w:val="24"/>
        </w:rPr>
        <w:t xml:space="preserve"> as</w:t>
      </w:r>
      <w:r w:rsidR="00494507">
        <w:rPr>
          <w:rFonts w:ascii="Arial" w:hAnsi="Arial" w:cs="Arial"/>
          <w:sz w:val="24"/>
          <w:szCs w:val="24"/>
        </w:rPr>
        <w:t>,</w:t>
      </w:r>
      <w:r>
        <w:rPr>
          <w:rFonts w:ascii="Arial" w:hAnsi="Arial" w:cs="Arial"/>
          <w:sz w:val="24"/>
          <w:szCs w:val="24"/>
        </w:rPr>
        <w:t xml:space="preserve"> “the barriers against Etruria and </w:t>
      </w:r>
      <w:r>
        <w:rPr>
          <w:rFonts w:ascii="Arial" w:hAnsi="Arial" w:cs="Arial"/>
          <w:sz w:val="24"/>
          <w:szCs w:val="24"/>
        </w:rPr>
        <w:lastRenderedPageBreak/>
        <w:t>the gateway to Rome” help reinforce the idea that these cities were not taken simply from a desire for booty</w:t>
      </w:r>
      <w:r>
        <w:rPr>
          <w:rStyle w:val="FootnoteReference"/>
          <w:rFonts w:ascii="Arial" w:hAnsi="Arial" w:cs="Arial"/>
          <w:sz w:val="24"/>
          <w:szCs w:val="24"/>
        </w:rPr>
        <w:footnoteReference w:id="117"/>
      </w:r>
      <w:r>
        <w:rPr>
          <w:rFonts w:ascii="Arial" w:hAnsi="Arial" w:cs="Arial"/>
          <w:sz w:val="24"/>
          <w:szCs w:val="24"/>
        </w:rPr>
        <w:t xml:space="preserve">. It is clear for Livy that they were more about armies </w:t>
      </w:r>
      <w:r w:rsidR="00BE0043">
        <w:rPr>
          <w:rFonts w:ascii="Arial" w:hAnsi="Arial" w:cs="Arial"/>
          <w:sz w:val="24"/>
          <w:szCs w:val="24"/>
        </w:rPr>
        <w:t>trespassing</w:t>
      </w:r>
      <w:r>
        <w:rPr>
          <w:rFonts w:ascii="Arial" w:hAnsi="Arial" w:cs="Arial"/>
          <w:sz w:val="24"/>
          <w:szCs w:val="24"/>
        </w:rPr>
        <w:t xml:space="preserve"> into Rome and as avenues for Roman expansion</w:t>
      </w:r>
    </w:p>
    <w:p w14:paraId="5A147BCF" w14:textId="4800493B" w:rsidR="00F21624" w:rsidRDefault="00F21624" w:rsidP="008B745A">
      <w:pPr>
        <w:spacing w:line="480" w:lineRule="auto"/>
        <w:rPr>
          <w:rFonts w:ascii="Arial" w:hAnsi="Arial" w:cs="Arial"/>
          <w:sz w:val="24"/>
          <w:szCs w:val="24"/>
        </w:rPr>
      </w:pPr>
      <w:r>
        <w:rPr>
          <w:rFonts w:ascii="Arial" w:hAnsi="Arial" w:cs="Arial"/>
          <w:sz w:val="24"/>
          <w:szCs w:val="24"/>
        </w:rPr>
        <w:t xml:space="preserve">It is evident that fear and desire for security were the principle concerns, </w:t>
      </w:r>
      <w:r w:rsidR="002F400D">
        <w:rPr>
          <w:rFonts w:ascii="Arial" w:hAnsi="Arial" w:cs="Arial"/>
          <w:sz w:val="24"/>
          <w:szCs w:val="24"/>
        </w:rPr>
        <w:t>as evidenced by</w:t>
      </w:r>
      <w:r>
        <w:rPr>
          <w:rFonts w:ascii="Arial" w:hAnsi="Arial" w:cs="Arial"/>
          <w:sz w:val="24"/>
          <w:szCs w:val="24"/>
        </w:rPr>
        <w:t xml:space="preserve"> the construction of fortified outposts and settlements during this period (400 – 264B.C.)</w:t>
      </w:r>
      <w:r>
        <w:rPr>
          <w:rStyle w:val="FootnoteReference"/>
          <w:rFonts w:ascii="Arial" w:hAnsi="Arial" w:cs="Arial"/>
          <w:sz w:val="24"/>
          <w:szCs w:val="24"/>
        </w:rPr>
        <w:footnoteReference w:id="118"/>
      </w:r>
      <w:r>
        <w:rPr>
          <w:rFonts w:ascii="Arial" w:hAnsi="Arial" w:cs="Arial"/>
          <w:sz w:val="24"/>
          <w:szCs w:val="24"/>
        </w:rPr>
        <w:t xml:space="preserve">. The </w:t>
      </w:r>
      <w:r w:rsidR="002F400D">
        <w:rPr>
          <w:rFonts w:ascii="Arial" w:hAnsi="Arial" w:cs="Arial"/>
          <w:sz w:val="24"/>
          <w:szCs w:val="24"/>
        </w:rPr>
        <w:t>S</w:t>
      </w:r>
      <w:r>
        <w:rPr>
          <w:rFonts w:ascii="Arial" w:hAnsi="Arial" w:cs="Arial"/>
          <w:sz w:val="24"/>
          <w:szCs w:val="24"/>
        </w:rPr>
        <w:t xml:space="preserve">enate sought to protect central Italy by fortifying the invasion </w:t>
      </w:r>
      <w:r w:rsidR="0080107C">
        <w:rPr>
          <w:rFonts w:ascii="Arial" w:hAnsi="Arial" w:cs="Arial"/>
          <w:sz w:val="24"/>
          <w:szCs w:val="24"/>
        </w:rPr>
        <w:t>routes and</w:t>
      </w:r>
      <w:r>
        <w:rPr>
          <w:rFonts w:ascii="Arial" w:hAnsi="Arial" w:cs="Arial"/>
          <w:sz w:val="24"/>
          <w:szCs w:val="24"/>
        </w:rPr>
        <w:t xml:space="preserve"> </w:t>
      </w:r>
      <w:r w:rsidR="0080107C">
        <w:rPr>
          <w:rFonts w:ascii="Arial" w:hAnsi="Arial" w:cs="Arial"/>
          <w:sz w:val="24"/>
          <w:szCs w:val="24"/>
        </w:rPr>
        <w:t>capping</w:t>
      </w:r>
      <w:r>
        <w:rPr>
          <w:rFonts w:ascii="Arial" w:hAnsi="Arial" w:cs="Arial"/>
          <w:sz w:val="24"/>
          <w:szCs w:val="24"/>
        </w:rPr>
        <w:t xml:space="preserve"> them off with the city of </w:t>
      </w:r>
      <w:proofErr w:type="spellStart"/>
      <w:r>
        <w:rPr>
          <w:rFonts w:ascii="Arial" w:hAnsi="Arial" w:cs="Arial"/>
          <w:sz w:val="24"/>
          <w:szCs w:val="24"/>
        </w:rPr>
        <w:t>Arminium</w:t>
      </w:r>
      <w:proofErr w:type="spellEnd"/>
      <w:r>
        <w:rPr>
          <w:rFonts w:ascii="Arial" w:hAnsi="Arial" w:cs="Arial"/>
          <w:sz w:val="24"/>
          <w:szCs w:val="24"/>
        </w:rPr>
        <w:t xml:space="preserve"> in 268B.C. </w:t>
      </w:r>
      <w:r w:rsidR="0080107C">
        <w:rPr>
          <w:rFonts w:ascii="Arial" w:hAnsi="Arial" w:cs="Arial"/>
          <w:sz w:val="24"/>
          <w:szCs w:val="24"/>
        </w:rPr>
        <w:t>Tacitus</w:t>
      </w:r>
      <w:r>
        <w:rPr>
          <w:rFonts w:ascii="Arial" w:hAnsi="Arial" w:cs="Arial"/>
          <w:sz w:val="24"/>
          <w:szCs w:val="24"/>
        </w:rPr>
        <w:t xml:space="preserve"> referred to these military colonies in the Po Valley as, “outer bulwarks” to protect against attack – certainly defensive in nature</w:t>
      </w:r>
      <w:r>
        <w:rPr>
          <w:rStyle w:val="FootnoteReference"/>
          <w:rFonts w:ascii="Arial" w:hAnsi="Arial" w:cs="Arial"/>
          <w:sz w:val="24"/>
          <w:szCs w:val="24"/>
        </w:rPr>
        <w:footnoteReference w:id="119"/>
      </w:r>
      <w:r>
        <w:rPr>
          <w:rFonts w:ascii="Arial" w:hAnsi="Arial" w:cs="Arial"/>
          <w:sz w:val="24"/>
          <w:szCs w:val="24"/>
        </w:rPr>
        <w:t>. Indeed, this was to prove a wise decision as in the 230s it came under Gallic attack and these became so severe that in the 220s an act of human sacrifice had to be performed</w:t>
      </w:r>
      <w:r>
        <w:rPr>
          <w:rStyle w:val="FootnoteReference"/>
          <w:rFonts w:ascii="Arial" w:hAnsi="Arial" w:cs="Arial"/>
          <w:sz w:val="24"/>
          <w:szCs w:val="24"/>
        </w:rPr>
        <w:footnoteReference w:id="120"/>
      </w:r>
      <w:r>
        <w:rPr>
          <w:rFonts w:ascii="Arial" w:hAnsi="Arial" w:cs="Arial"/>
          <w:sz w:val="24"/>
          <w:szCs w:val="24"/>
        </w:rPr>
        <w:t>. Fear of Gallic invasion was well founded and the fact that they were able to repeatedly attack and advance into Roman lands highlights the need for Rome to ensure its frontier was secure. It also force</w:t>
      </w:r>
      <w:r w:rsidR="00A46CC7">
        <w:rPr>
          <w:rFonts w:ascii="Arial" w:hAnsi="Arial" w:cs="Arial"/>
          <w:sz w:val="24"/>
          <w:szCs w:val="24"/>
        </w:rPr>
        <w:t>d</w:t>
      </w:r>
      <w:r>
        <w:rPr>
          <w:rFonts w:ascii="Arial" w:hAnsi="Arial" w:cs="Arial"/>
          <w:sz w:val="24"/>
          <w:szCs w:val="24"/>
        </w:rPr>
        <w:t xml:space="preserve"> the Romans to accept the idea of neutralising threats before they became too strong, as the event in 264 and the Mamertines would attest when considering the outbreak of the First Punic War (see Chapter 7). </w:t>
      </w:r>
    </w:p>
    <w:p w14:paraId="1CDED195" w14:textId="6C75E771" w:rsidR="00F21624" w:rsidRDefault="00A46CC7" w:rsidP="008B745A">
      <w:pPr>
        <w:spacing w:line="480" w:lineRule="auto"/>
        <w:rPr>
          <w:rFonts w:ascii="Arial" w:hAnsi="Arial" w:cs="Arial"/>
          <w:sz w:val="24"/>
          <w:szCs w:val="24"/>
        </w:rPr>
      </w:pPr>
      <w:r>
        <w:rPr>
          <w:rFonts w:ascii="Arial" w:hAnsi="Arial" w:cs="Arial"/>
          <w:sz w:val="24"/>
          <w:szCs w:val="24"/>
        </w:rPr>
        <w:t>I</w:t>
      </w:r>
      <w:r w:rsidR="00F21624">
        <w:rPr>
          <w:rFonts w:ascii="Arial" w:hAnsi="Arial" w:cs="Arial"/>
          <w:sz w:val="24"/>
          <w:szCs w:val="24"/>
        </w:rPr>
        <w:t>t is true that after Roman victory in 396 the entire territory of the Veiians was confiscated and some rich farmland distributed to Roman settlers</w:t>
      </w:r>
      <w:r w:rsidR="00F21624">
        <w:rPr>
          <w:rStyle w:val="FootnoteReference"/>
          <w:rFonts w:ascii="Arial" w:hAnsi="Arial" w:cs="Arial"/>
          <w:sz w:val="24"/>
          <w:szCs w:val="24"/>
        </w:rPr>
        <w:footnoteReference w:id="121"/>
      </w:r>
      <w:r w:rsidR="00CC28EF">
        <w:rPr>
          <w:rFonts w:ascii="Arial" w:hAnsi="Arial" w:cs="Arial"/>
          <w:sz w:val="24"/>
          <w:szCs w:val="24"/>
        </w:rPr>
        <w:t xml:space="preserve">. </w:t>
      </w:r>
      <w:r w:rsidR="00F21624">
        <w:rPr>
          <w:rFonts w:ascii="Arial" w:hAnsi="Arial" w:cs="Arial"/>
          <w:sz w:val="24"/>
          <w:szCs w:val="24"/>
        </w:rPr>
        <w:t xml:space="preserve">Later, the Romans annexed half of </w:t>
      </w:r>
      <w:proofErr w:type="spellStart"/>
      <w:r w:rsidR="00F21624">
        <w:rPr>
          <w:rFonts w:ascii="Arial" w:hAnsi="Arial" w:cs="Arial"/>
          <w:sz w:val="24"/>
          <w:szCs w:val="24"/>
        </w:rPr>
        <w:t>Caere’s</w:t>
      </w:r>
      <w:proofErr w:type="spellEnd"/>
      <w:r w:rsidR="00F21624">
        <w:rPr>
          <w:rFonts w:ascii="Arial" w:hAnsi="Arial" w:cs="Arial"/>
          <w:sz w:val="24"/>
          <w:szCs w:val="24"/>
        </w:rPr>
        <w:t xml:space="preserve"> territory</w:t>
      </w:r>
      <w:r w:rsidR="00F21624">
        <w:rPr>
          <w:rStyle w:val="FootnoteReference"/>
          <w:rFonts w:ascii="Arial" w:hAnsi="Arial" w:cs="Arial"/>
          <w:sz w:val="24"/>
          <w:szCs w:val="24"/>
        </w:rPr>
        <w:footnoteReference w:id="122"/>
      </w:r>
      <w:r w:rsidR="00F21624">
        <w:rPr>
          <w:rFonts w:ascii="Arial" w:hAnsi="Arial" w:cs="Arial"/>
          <w:sz w:val="24"/>
          <w:szCs w:val="24"/>
        </w:rPr>
        <w:t>. Importantly, the defeat and confiscation of the land meant that Rome now had a buffer zone north of the Tiber – it is crucial to remember that Veii lay directly opposite Rome</w:t>
      </w:r>
      <w:r w:rsidR="00F21624">
        <w:rPr>
          <w:rStyle w:val="FootnoteReference"/>
          <w:rFonts w:ascii="Arial" w:hAnsi="Arial" w:cs="Arial"/>
          <w:sz w:val="24"/>
          <w:szCs w:val="24"/>
        </w:rPr>
        <w:footnoteReference w:id="123"/>
      </w:r>
      <w:r w:rsidR="00F21624">
        <w:rPr>
          <w:rFonts w:ascii="Arial" w:hAnsi="Arial" w:cs="Arial"/>
          <w:sz w:val="24"/>
          <w:szCs w:val="24"/>
        </w:rPr>
        <w:t xml:space="preserve">. </w:t>
      </w:r>
      <w:r w:rsidR="00CC28EF">
        <w:rPr>
          <w:rFonts w:ascii="Arial" w:hAnsi="Arial" w:cs="Arial"/>
          <w:sz w:val="24"/>
          <w:szCs w:val="24"/>
        </w:rPr>
        <w:t>H</w:t>
      </w:r>
      <w:r w:rsidR="00F21624">
        <w:rPr>
          <w:rFonts w:ascii="Arial" w:hAnsi="Arial" w:cs="Arial"/>
          <w:sz w:val="24"/>
          <w:szCs w:val="24"/>
        </w:rPr>
        <w:t>aving fought with great difficulty</w:t>
      </w:r>
      <w:r w:rsidR="002F400D">
        <w:rPr>
          <w:rFonts w:ascii="Arial" w:hAnsi="Arial" w:cs="Arial"/>
          <w:sz w:val="24"/>
          <w:szCs w:val="24"/>
        </w:rPr>
        <w:t>,</w:t>
      </w:r>
      <w:r w:rsidR="00F21624">
        <w:rPr>
          <w:rFonts w:ascii="Arial" w:hAnsi="Arial" w:cs="Arial"/>
          <w:sz w:val="24"/>
          <w:szCs w:val="24"/>
        </w:rPr>
        <w:t xml:space="preserve"> </w:t>
      </w:r>
      <w:r w:rsidR="00F21624">
        <w:rPr>
          <w:rFonts w:ascii="Arial" w:hAnsi="Arial" w:cs="Arial"/>
          <w:sz w:val="24"/>
          <w:szCs w:val="24"/>
        </w:rPr>
        <w:lastRenderedPageBreak/>
        <w:t>it would be unusual for the Romans to return the land – as Veii was strategically important</w:t>
      </w:r>
      <w:r w:rsidR="00606C05">
        <w:rPr>
          <w:rFonts w:ascii="Arial" w:hAnsi="Arial" w:cs="Arial"/>
          <w:sz w:val="24"/>
          <w:szCs w:val="24"/>
        </w:rPr>
        <w:t>.</w:t>
      </w:r>
      <w:r w:rsidR="00F21624">
        <w:rPr>
          <w:rFonts w:ascii="Arial" w:hAnsi="Arial" w:cs="Arial"/>
          <w:sz w:val="24"/>
          <w:szCs w:val="24"/>
        </w:rPr>
        <w:t xml:space="preserve"> </w:t>
      </w:r>
    </w:p>
    <w:p w14:paraId="2B1AF25C" w14:textId="10DB4F0A" w:rsidR="00F21624" w:rsidRDefault="00F21624" w:rsidP="008B745A">
      <w:pPr>
        <w:spacing w:line="480" w:lineRule="auto"/>
        <w:rPr>
          <w:rFonts w:ascii="Arial" w:hAnsi="Arial" w:cs="Arial"/>
          <w:sz w:val="24"/>
          <w:szCs w:val="24"/>
        </w:rPr>
      </w:pPr>
      <w:r>
        <w:rPr>
          <w:rFonts w:ascii="Arial" w:hAnsi="Arial" w:cs="Arial"/>
          <w:sz w:val="24"/>
          <w:szCs w:val="24"/>
        </w:rPr>
        <w:t xml:space="preserve">The Roman conquest of Veii also produced plunder. Livy reports that Camillus sold the population into slavery and that allotments of seven </w:t>
      </w:r>
      <w:proofErr w:type="spellStart"/>
      <w:r>
        <w:rPr>
          <w:rFonts w:ascii="Arial" w:hAnsi="Arial" w:cs="Arial"/>
          <w:sz w:val="24"/>
          <w:szCs w:val="24"/>
        </w:rPr>
        <w:t>jugera</w:t>
      </w:r>
      <w:proofErr w:type="spellEnd"/>
      <w:r>
        <w:rPr>
          <w:rFonts w:ascii="Arial" w:hAnsi="Arial" w:cs="Arial"/>
          <w:sz w:val="24"/>
          <w:szCs w:val="24"/>
        </w:rPr>
        <w:t xml:space="preserve"> were parcelled out</w:t>
      </w:r>
      <w:r>
        <w:rPr>
          <w:rStyle w:val="FootnoteReference"/>
          <w:rFonts w:ascii="Arial" w:hAnsi="Arial" w:cs="Arial"/>
          <w:sz w:val="24"/>
          <w:szCs w:val="24"/>
        </w:rPr>
        <w:footnoteReference w:id="124"/>
      </w:r>
      <w:r>
        <w:rPr>
          <w:rFonts w:ascii="Arial" w:hAnsi="Arial" w:cs="Arial"/>
          <w:sz w:val="24"/>
          <w:szCs w:val="24"/>
        </w:rPr>
        <w:t>. Forsythe is correct to point out that this would have been a significant increase to the slave population of Rome and the amount of arable land that she could cultivate – as well as having the added advantage of taking the Veientine stone quarries, again reinforcing the idea that it was done on strategic considerations</w:t>
      </w:r>
      <w:r>
        <w:rPr>
          <w:rStyle w:val="FootnoteReference"/>
          <w:rFonts w:ascii="Arial" w:hAnsi="Arial" w:cs="Arial"/>
          <w:sz w:val="24"/>
          <w:szCs w:val="24"/>
        </w:rPr>
        <w:footnoteReference w:id="125"/>
      </w:r>
      <w:r>
        <w:rPr>
          <w:rFonts w:ascii="Arial" w:hAnsi="Arial" w:cs="Arial"/>
          <w:sz w:val="24"/>
          <w:szCs w:val="24"/>
        </w:rPr>
        <w:t xml:space="preserve">. When thinking about the reasons for Roman expansion, this is more important than initially realised as it was stone from these Veiian quarries that was used to build the </w:t>
      </w:r>
      <w:proofErr w:type="spellStart"/>
      <w:r>
        <w:rPr>
          <w:rFonts w:ascii="Arial" w:hAnsi="Arial" w:cs="Arial"/>
          <w:sz w:val="24"/>
          <w:szCs w:val="24"/>
        </w:rPr>
        <w:t>Servian</w:t>
      </w:r>
      <w:proofErr w:type="spellEnd"/>
      <w:r>
        <w:rPr>
          <w:rFonts w:ascii="Arial" w:hAnsi="Arial" w:cs="Arial"/>
          <w:sz w:val="24"/>
          <w:szCs w:val="24"/>
        </w:rPr>
        <w:t xml:space="preserve"> walls around Rome – later</w:t>
      </w:r>
      <w:r w:rsidR="002F400D">
        <w:rPr>
          <w:rFonts w:ascii="Arial" w:hAnsi="Arial" w:cs="Arial"/>
          <w:sz w:val="24"/>
          <w:szCs w:val="24"/>
        </w:rPr>
        <w:t>,</w:t>
      </w:r>
      <w:r>
        <w:rPr>
          <w:rFonts w:ascii="Arial" w:hAnsi="Arial" w:cs="Arial"/>
          <w:sz w:val="24"/>
          <w:szCs w:val="24"/>
        </w:rPr>
        <w:t xml:space="preserve"> after the Gallic sack</w:t>
      </w:r>
      <w:r>
        <w:rPr>
          <w:rStyle w:val="FootnoteReference"/>
          <w:rFonts w:ascii="Arial" w:hAnsi="Arial" w:cs="Arial"/>
          <w:sz w:val="24"/>
          <w:szCs w:val="24"/>
        </w:rPr>
        <w:footnoteReference w:id="126"/>
      </w:r>
      <w:r>
        <w:rPr>
          <w:rFonts w:ascii="Arial" w:hAnsi="Arial" w:cs="Arial"/>
          <w:sz w:val="24"/>
          <w:szCs w:val="24"/>
        </w:rPr>
        <w:t>. The fact that Livy attests to them being repaired in 353B.C. demonstrates once again that not all fighting occurred outside Latium and certainly the fighting was more than mere raiding</w:t>
      </w:r>
      <w:r>
        <w:rPr>
          <w:rStyle w:val="FootnoteReference"/>
          <w:rFonts w:ascii="Arial" w:hAnsi="Arial" w:cs="Arial"/>
          <w:sz w:val="24"/>
          <w:szCs w:val="24"/>
        </w:rPr>
        <w:footnoteReference w:id="127"/>
      </w:r>
      <w:r>
        <w:rPr>
          <w:rFonts w:ascii="Arial" w:hAnsi="Arial" w:cs="Arial"/>
          <w:sz w:val="24"/>
          <w:szCs w:val="24"/>
        </w:rPr>
        <w:t xml:space="preserve">. </w:t>
      </w:r>
    </w:p>
    <w:p w14:paraId="43D073DC" w14:textId="69B2C9E4" w:rsidR="00F21624" w:rsidRDefault="0080107C" w:rsidP="008B745A">
      <w:pPr>
        <w:spacing w:line="480" w:lineRule="auto"/>
        <w:rPr>
          <w:rFonts w:ascii="Arial" w:hAnsi="Arial" w:cs="Arial"/>
          <w:sz w:val="24"/>
          <w:szCs w:val="24"/>
        </w:rPr>
      </w:pPr>
      <w:r>
        <w:rPr>
          <w:rFonts w:ascii="Arial" w:hAnsi="Arial" w:cs="Arial"/>
          <w:sz w:val="24"/>
          <w:szCs w:val="24"/>
        </w:rPr>
        <w:t>T</w:t>
      </w:r>
      <w:r w:rsidR="00F21624">
        <w:rPr>
          <w:rFonts w:ascii="Arial" w:hAnsi="Arial" w:cs="Arial"/>
          <w:sz w:val="24"/>
          <w:szCs w:val="24"/>
        </w:rPr>
        <w:t>he land taken would be denied to the Etruscans and other states, whilst ensuring that Rome protected its northern frontier from the Etruscans. One of the most interesting statements made by Livy during Rome’s wars with the Etruscans was that they were motivated themselves by a fear of the Celts</w:t>
      </w:r>
      <w:r w:rsidR="00F21624">
        <w:rPr>
          <w:rStyle w:val="FootnoteReference"/>
          <w:rFonts w:ascii="Arial" w:hAnsi="Arial" w:cs="Arial"/>
          <w:sz w:val="24"/>
          <w:szCs w:val="24"/>
        </w:rPr>
        <w:footnoteReference w:id="128"/>
      </w:r>
      <w:r w:rsidR="00F21624">
        <w:rPr>
          <w:rFonts w:ascii="Arial" w:hAnsi="Arial" w:cs="Arial"/>
          <w:sz w:val="24"/>
          <w:szCs w:val="24"/>
        </w:rPr>
        <w:t>. It helps reinforce Eckstein’s ideas of multi-polar anarchy: the Etruscans eventually accept</w:t>
      </w:r>
      <w:r w:rsidR="00303F38">
        <w:rPr>
          <w:rFonts w:ascii="Arial" w:hAnsi="Arial" w:cs="Arial"/>
          <w:sz w:val="24"/>
          <w:szCs w:val="24"/>
        </w:rPr>
        <w:t>ed</w:t>
      </w:r>
      <w:r w:rsidR="00F21624">
        <w:rPr>
          <w:rFonts w:ascii="Arial" w:hAnsi="Arial" w:cs="Arial"/>
          <w:sz w:val="24"/>
          <w:szCs w:val="24"/>
        </w:rPr>
        <w:t xml:space="preserve"> Roman hegemony as they were unable to defend themselves against the Celts and Rome provided what protection it could</w:t>
      </w:r>
      <w:r w:rsidR="00F21624">
        <w:rPr>
          <w:rStyle w:val="FootnoteReference"/>
          <w:rFonts w:ascii="Arial" w:hAnsi="Arial" w:cs="Arial"/>
          <w:sz w:val="24"/>
          <w:szCs w:val="24"/>
        </w:rPr>
        <w:footnoteReference w:id="129"/>
      </w:r>
      <w:r w:rsidR="00F21624">
        <w:rPr>
          <w:rFonts w:ascii="Arial" w:hAnsi="Arial" w:cs="Arial"/>
          <w:sz w:val="24"/>
          <w:szCs w:val="24"/>
        </w:rPr>
        <w:t>.</w:t>
      </w:r>
    </w:p>
    <w:p w14:paraId="399CB48C" w14:textId="402E443C" w:rsidR="00F21624" w:rsidRDefault="00F21624" w:rsidP="008B745A">
      <w:pPr>
        <w:spacing w:line="480" w:lineRule="auto"/>
        <w:rPr>
          <w:rFonts w:ascii="Arial" w:hAnsi="Arial" w:cs="Arial"/>
          <w:sz w:val="24"/>
          <w:szCs w:val="24"/>
        </w:rPr>
      </w:pPr>
      <w:r>
        <w:rPr>
          <w:rFonts w:ascii="Arial" w:hAnsi="Arial" w:cs="Arial"/>
          <w:sz w:val="24"/>
          <w:szCs w:val="24"/>
        </w:rPr>
        <w:lastRenderedPageBreak/>
        <w:t xml:space="preserve">After the Samnite </w:t>
      </w:r>
      <w:r w:rsidR="00A46CC7">
        <w:rPr>
          <w:rFonts w:ascii="Arial" w:hAnsi="Arial" w:cs="Arial"/>
          <w:sz w:val="24"/>
          <w:szCs w:val="24"/>
        </w:rPr>
        <w:t>Wars</w:t>
      </w:r>
      <w:r w:rsidR="00E43AA1">
        <w:rPr>
          <w:rFonts w:ascii="Arial" w:hAnsi="Arial" w:cs="Arial"/>
          <w:sz w:val="24"/>
          <w:szCs w:val="24"/>
        </w:rPr>
        <w:t>,</w:t>
      </w:r>
      <w:r>
        <w:rPr>
          <w:rFonts w:ascii="Arial" w:hAnsi="Arial" w:cs="Arial"/>
          <w:sz w:val="24"/>
          <w:szCs w:val="24"/>
        </w:rPr>
        <w:t xml:space="preserve"> the triumph of L. </w:t>
      </w:r>
      <w:proofErr w:type="spellStart"/>
      <w:r>
        <w:rPr>
          <w:rFonts w:ascii="Arial" w:hAnsi="Arial" w:cs="Arial"/>
          <w:sz w:val="24"/>
          <w:szCs w:val="24"/>
        </w:rPr>
        <w:t>Papirius</w:t>
      </w:r>
      <w:proofErr w:type="spellEnd"/>
      <w:r>
        <w:rPr>
          <w:rFonts w:ascii="Arial" w:hAnsi="Arial" w:cs="Arial"/>
          <w:sz w:val="24"/>
          <w:szCs w:val="24"/>
        </w:rPr>
        <w:t xml:space="preserve"> Cursor contained 1</w:t>
      </w:r>
      <w:r w:rsidR="00E43AA1">
        <w:rPr>
          <w:rFonts w:ascii="Arial" w:hAnsi="Arial" w:cs="Arial"/>
          <w:sz w:val="24"/>
          <w:szCs w:val="24"/>
        </w:rPr>
        <w:t>,</w:t>
      </w:r>
      <w:r>
        <w:rPr>
          <w:rFonts w:ascii="Arial" w:hAnsi="Arial" w:cs="Arial"/>
          <w:sz w:val="24"/>
          <w:szCs w:val="24"/>
        </w:rPr>
        <w:t>830 pounds of silver along with 2,533,000 pounds of bronze from sold slaves</w:t>
      </w:r>
      <w:r>
        <w:rPr>
          <w:rStyle w:val="FootnoteReference"/>
          <w:rFonts w:ascii="Arial" w:hAnsi="Arial" w:cs="Arial"/>
          <w:sz w:val="24"/>
          <w:szCs w:val="24"/>
        </w:rPr>
        <w:footnoteReference w:id="130"/>
      </w:r>
      <w:r>
        <w:rPr>
          <w:rFonts w:ascii="Arial" w:hAnsi="Arial" w:cs="Arial"/>
          <w:sz w:val="24"/>
          <w:szCs w:val="24"/>
        </w:rPr>
        <w:t xml:space="preserve"> - which Harris states </w:t>
      </w:r>
      <w:r w:rsidR="00A46CC7">
        <w:rPr>
          <w:rFonts w:ascii="Arial" w:hAnsi="Arial" w:cs="Arial"/>
          <w:sz w:val="24"/>
          <w:szCs w:val="24"/>
        </w:rPr>
        <w:t>were</w:t>
      </w:r>
      <w:r>
        <w:rPr>
          <w:rFonts w:ascii="Arial" w:hAnsi="Arial" w:cs="Arial"/>
          <w:sz w:val="24"/>
          <w:szCs w:val="24"/>
        </w:rPr>
        <w:t xml:space="preserve"> expected</w:t>
      </w:r>
      <w:r>
        <w:rPr>
          <w:rStyle w:val="FootnoteReference"/>
          <w:rFonts w:ascii="Arial" w:hAnsi="Arial" w:cs="Arial"/>
          <w:sz w:val="24"/>
          <w:szCs w:val="24"/>
        </w:rPr>
        <w:footnoteReference w:id="131"/>
      </w:r>
      <w:r>
        <w:rPr>
          <w:rFonts w:ascii="Arial" w:hAnsi="Arial" w:cs="Arial"/>
          <w:sz w:val="24"/>
          <w:szCs w:val="24"/>
        </w:rPr>
        <w:t xml:space="preserve">.  This paper does not reject the notion that plunder was </w:t>
      </w:r>
      <w:r w:rsidR="00A46CC7">
        <w:rPr>
          <w:rFonts w:ascii="Arial" w:hAnsi="Arial" w:cs="Arial"/>
          <w:sz w:val="24"/>
          <w:szCs w:val="24"/>
        </w:rPr>
        <w:t>important,</w:t>
      </w:r>
      <w:r>
        <w:rPr>
          <w:rFonts w:ascii="Arial" w:hAnsi="Arial" w:cs="Arial"/>
          <w:sz w:val="24"/>
          <w:szCs w:val="24"/>
        </w:rPr>
        <w:t xml:space="preserve"> but it should be </w:t>
      </w:r>
      <w:r w:rsidR="00A46CC7">
        <w:rPr>
          <w:rFonts w:ascii="Arial" w:hAnsi="Arial" w:cs="Arial"/>
          <w:sz w:val="24"/>
          <w:szCs w:val="24"/>
        </w:rPr>
        <w:t>noted</w:t>
      </w:r>
      <w:r>
        <w:rPr>
          <w:rFonts w:ascii="Arial" w:hAnsi="Arial" w:cs="Arial"/>
          <w:sz w:val="24"/>
          <w:szCs w:val="24"/>
        </w:rPr>
        <w:t xml:space="preserve"> that these huge amount</w:t>
      </w:r>
      <w:r w:rsidR="002F400D">
        <w:rPr>
          <w:rFonts w:ascii="Arial" w:hAnsi="Arial" w:cs="Arial"/>
          <w:sz w:val="24"/>
          <w:szCs w:val="24"/>
        </w:rPr>
        <w:t>s</w:t>
      </w:r>
      <w:r>
        <w:rPr>
          <w:rFonts w:ascii="Arial" w:hAnsi="Arial" w:cs="Arial"/>
          <w:sz w:val="24"/>
          <w:szCs w:val="24"/>
        </w:rPr>
        <w:t xml:space="preserve"> of wealth result</w:t>
      </w:r>
      <w:r w:rsidR="00EB035D">
        <w:rPr>
          <w:rFonts w:ascii="Arial" w:hAnsi="Arial" w:cs="Arial"/>
          <w:sz w:val="24"/>
          <w:szCs w:val="24"/>
        </w:rPr>
        <w:t>ed</w:t>
      </w:r>
      <w:r>
        <w:rPr>
          <w:rFonts w:ascii="Arial" w:hAnsi="Arial" w:cs="Arial"/>
          <w:sz w:val="24"/>
          <w:szCs w:val="24"/>
        </w:rPr>
        <w:t xml:space="preserve"> from the most destructive conflict the Romans had yet fought, against an enemy that was exceptionally difficult to defeat. Having lost thousands of lives and spent immense sums of money, it would be unusual if plunder was not taken. Having recognised Samnite power, Rome’s taking of her territory removed at a stroke an enemy who had shown that they could return strong enough to fight – it must be remembered it took three wars to defeat them. Where Forsythe is incorrect is his assessment that Rome’s wars </w:t>
      </w:r>
      <w:r w:rsidR="002F400D">
        <w:rPr>
          <w:rFonts w:ascii="Arial" w:hAnsi="Arial" w:cs="Arial"/>
          <w:sz w:val="24"/>
          <w:szCs w:val="24"/>
        </w:rPr>
        <w:t>transform</w:t>
      </w:r>
      <w:r>
        <w:rPr>
          <w:rFonts w:ascii="Arial" w:hAnsi="Arial" w:cs="Arial"/>
          <w:sz w:val="24"/>
          <w:szCs w:val="24"/>
        </w:rPr>
        <w:t xml:space="preserve"> from defen</w:t>
      </w:r>
      <w:r w:rsidR="002F400D">
        <w:rPr>
          <w:rFonts w:ascii="Arial" w:hAnsi="Arial" w:cs="Arial"/>
          <w:sz w:val="24"/>
          <w:szCs w:val="24"/>
        </w:rPr>
        <w:t>ce</w:t>
      </w:r>
      <w:r>
        <w:rPr>
          <w:rFonts w:ascii="Arial" w:hAnsi="Arial" w:cs="Arial"/>
          <w:sz w:val="24"/>
          <w:szCs w:val="24"/>
        </w:rPr>
        <w:t xml:space="preserve"> to aggress</w:t>
      </w:r>
      <w:r w:rsidR="002F400D">
        <w:rPr>
          <w:rFonts w:ascii="Arial" w:hAnsi="Arial" w:cs="Arial"/>
          <w:sz w:val="24"/>
          <w:szCs w:val="24"/>
        </w:rPr>
        <w:t>ion</w:t>
      </w:r>
      <w:r>
        <w:rPr>
          <w:rStyle w:val="FootnoteReference"/>
          <w:rFonts w:ascii="Arial" w:hAnsi="Arial" w:cs="Arial"/>
          <w:sz w:val="24"/>
          <w:szCs w:val="24"/>
        </w:rPr>
        <w:footnoteReference w:id="132"/>
      </w:r>
      <w:r>
        <w:rPr>
          <w:rFonts w:ascii="Arial" w:hAnsi="Arial" w:cs="Arial"/>
          <w:sz w:val="24"/>
          <w:szCs w:val="24"/>
        </w:rPr>
        <w:t xml:space="preserve">. As has been shown, whilst Rome did proactively fight, the results almost always resulted in a better strategic position – with colonies usually placed at strategic sites, rather than fertile ones. </w:t>
      </w:r>
    </w:p>
    <w:p w14:paraId="4BC7212C" w14:textId="7099C34C" w:rsidR="00F21624" w:rsidRDefault="00F21624" w:rsidP="008B745A">
      <w:pPr>
        <w:spacing w:line="480" w:lineRule="auto"/>
        <w:rPr>
          <w:rFonts w:ascii="Arial" w:hAnsi="Arial" w:cs="Arial"/>
          <w:sz w:val="24"/>
          <w:szCs w:val="24"/>
        </w:rPr>
      </w:pPr>
      <w:r>
        <w:rPr>
          <w:rFonts w:ascii="Arial" w:hAnsi="Arial" w:cs="Arial"/>
          <w:sz w:val="24"/>
          <w:szCs w:val="24"/>
        </w:rPr>
        <w:t>Slaves were also taken after several conflicts</w:t>
      </w:r>
      <w:r>
        <w:rPr>
          <w:rStyle w:val="FootnoteReference"/>
          <w:rFonts w:ascii="Arial" w:hAnsi="Arial" w:cs="Arial"/>
          <w:sz w:val="24"/>
          <w:szCs w:val="24"/>
        </w:rPr>
        <w:footnoteReference w:id="133"/>
      </w:r>
      <w:r>
        <w:rPr>
          <w:rFonts w:ascii="Arial" w:hAnsi="Arial" w:cs="Arial"/>
          <w:sz w:val="24"/>
          <w:szCs w:val="24"/>
        </w:rPr>
        <w:t>. Forsythe states, especially after the capture and annexation of Veii, that Rome began to expect booty, particularly slaves, and that warfare provided a bond that kept Rome and its allies together</w:t>
      </w:r>
      <w:r>
        <w:rPr>
          <w:rStyle w:val="FootnoteReference"/>
          <w:rFonts w:ascii="Arial" w:hAnsi="Arial" w:cs="Arial"/>
          <w:sz w:val="24"/>
          <w:szCs w:val="24"/>
        </w:rPr>
        <w:footnoteReference w:id="134"/>
      </w:r>
      <w:r>
        <w:rPr>
          <w:rFonts w:ascii="Arial" w:hAnsi="Arial" w:cs="Arial"/>
          <w:sz w:val="24"/>
          <w:szCs w:val="24"/>
        </w:rPr>
        <w:t>. Whilst it is true that slavery in the Roman Republic grew – evidence such as Livy’s 5% tax on manumitted slaves can be used as proof – this paper does not claim that Rome did not expect slaves</w:t>
      </w:r>
      <w:r>
        <w:rPr>
          <w:rStyle w:val="FootnoteReference"/>
          <w:rFonts w:ascii="Arial" w:hAnsi="Arial" w:cs="Arial"/>
          <w:sz w:val="24"/>
          <w:szCs w:val="24"/>
        </w:rPr>
        <w:footnoteReference w:id="135"/>
      </w:r>
      <w:r>
        <w:rPr>
          <w:rFonts w:ascii="Arial" w:hAnsi="Arial" w:cs="Arial"/>
          <w:sz w:val="24"/>
          <w:szCs w:val="24"/>
        </w:rPr>
        <w:t>. Where this paper disagrees is the notion that conquest established a slave economy, which bred more conquest</w:t>
      </w:r>
      <w:r>
        <w:rPr>
          <w:rStyle w:val="FootnoteReference"/>
          <w:rFonts w:ascii="Arial" w:hAnsi="Arial" w:cs="Arial"/>
          <w:sz w:val="24"/>
          <w:szCs w:val="24"/>
        </w:rPr>
        <w:footnoteReference w:id="136"/>
      </w:r>
      <w:r>
        <w:rPr>
          <w:rFonts w:ascii="Arial" w:hAnsi="Arial" w:cs="Arial"/>
          <w:sz w:val="24"/>
          <w:szCs w:val="24"/>
        </w:rPr>
        <w:t xml:space="preserve">. As has been shown, there were many conflicts in which slaves were not taken and instead cities and </w:t>
      </w:r>
      <w:r>
        <w:rPr>
          <w:rFonts w:ascii="Arial" w:hAnsi="Arial" w:cs="Arial"/>
          <w:sz w:val="24"/>
          <w:szCs w:val="24"/>
        </w:rPr>
        <w:lastRenderedPageBreak/>
        <w:t xml:space="preserve">states came under Roman hegemony. Rather, this suggests that slaves were taken where they could, but that </w:t>
      </w:r>
      <w:r w:rsidR="00CC0FC7">
        <w:rPr>
          <w:rFonts w:ascii="Arial" w:hAnsi="Arial" w:cs="Arial"/>
          <w:sz w:val="24"/>
          <w:szCs w:val="24"/>
        </w:rPr>
        <w:t>this</w:t>
      </w:r>
      <w:r>
        <w:rPr>
          <w:rFonts w:ascii="Arial" w:hAnsi="Arial" w:cs="Arial"/>
          <w:sz w:val="24"/>
          <w:szCs w:val="24"/>
        </w:rPr>
        <w:t xml:space="preserve"> was not the primary focus </w:t>
      </w:r>
      <w:r w:rsidR="00CC0FC7">
        <w:rPr>
          <w:rFonts w:ascii="Arial" w:hAnsi="Arial" w:cs="Arial"/>
          <w:sz w:val="24"/>
          <w:szCs w:val="24"/>
        </w:rPr>
        <w:t>or</w:t>
      </w:r>
      <w:r>
        <w:rPr>
          <w:rFonts w:ascii="Arial" w:hAnsi="Arial" w:cs="Arial"/>
          <w:sz w:val="24"/>
          <w:szCs w:val="24"/>
        </w:rPr>
        <w:t xml:space="preserve"> main driver of expansion. It should also be noted that slavery existed in other Mediterranean powers as well – as will be shown Carthage was no exception. Carthage’s wars also did not </w:t>
      </w:r>
      <w:r w:rsidR="00A46CC7">
        <w:rPr>
          <w:rFonts w:ascii="Arial" w:hAnsi="Arial" w:cs="Arial"/>
          <w:sz w:val="24"/>
          <w:szCs w:val="24"/>
        </w:rPr>
        <w:t>result</w:t>
      </w:r>
      <w:r>
        <w:rPr>
          <w:rFonts w:ascii="Arial" w:hAnsi="Arial" w:cs="Arial"/>
          <w:sz w:val="24"/>
          <w:szCs w:val="24"/>
        </w:rPr>
        <w:t xml:space="preserve"> in slaves all the time. Instead slavery was a secondary issue, something to have should the war be successful, but not as the </w:t>
      </w:r>
      <w:r w:rsidR="00CC0FC7">
        <w:rPr>
          <w:rFonts w:ascii="Arial" w:hAnsi="Arial" w:cs="Arial"/>
          <w:sz w:val="24"/>
          <w:szCs w:val="24"/>
        </w:rPr>
        <w:t>primary reason</w:t>
      </w:r>
      <w:r>
        <w:rPr>
          <w:rFonts w:ascii="Arial" w:hAnsi="Arial" w:cs="Arial"/>
          <w:sz w:val="24"/>
          <w:szCs w:val="24"/>
        </w:rPr>
        <w:t xml:space="preserve"> </w:t>
      </w:r>
      <w:r w:rsidR="00CC0FC7">
        <w:rPr>
          <w:rFonts w:ascii="Arial" w:hAnsi="Arial" w:cs="Arial"/>
          <w:sz w:val="24"/>
          <w:szCs w:val="24"/>
        </w:rPr>
        <w:t>for</w:t>
      </w:r>
      <w:r>
        <w:rPr>
          <w:rFonts w:ascii="Arial" w:hAnsi="Arial" w:cs="Arial"/>
          <w:sz w:val="24"/>
          <w:szCs w:val="24"/>
        </w:rPr>
        <w:t xml:space="preserve"> going to war. </w:t>
      </w:r>
    </w:p>
    <w:p w14:paraId="3150654F" w14:textId="023CC68D" w:rsidR="00F21624" w:rsidRDefault="00F21624" w:rsidP="008B745A">
      <w:pPr>
        <w:spacing w:line="480" w:lineRule="auto"/>
        <w:rPr>
          <w:rFonts w:ascii="Arial" w:hAnsi="Arial" w:cs="Arial"/>
          <w:sz w:val="24"/>
          <w:szCs w:val="24"/>
        </w:rPr>
      </w:pPr>
      <w:r>
        <w:rPr>
          <w:rFonts w:ascii="Arial" w:hAnsi="Arial" w:cs="Arial"/>
          <w:sz w:val="24"/>
          <w:szCs w:val="24"/>
        </w:rPr>
        <w:t>This is also true of land acquisition</w:t>
      </w:r>
      <w:r w:rsidR="00974071">
        <w:rPr>
          <w:rFonts w:ascii="Arial" w:hAnsi="Arial" w:cs="Arial"/>
          <w:sz w:val="24"/>
          <w:szCs w:val="24"/>
        </w:rPr>
        <w:t xml:space="preserve"> being</w:t>
      </w:r>
      <w:r>
        <w:rPr>
          <w:rFonts w:ascii="Arial" w:hAnsi="Arial" w:cs="Arial"/>
          <w:sz w:val="24"/>
          <w:szCs w:val="24"/>
        </w:rPr>
        <w:t xml:space="preserve"> the principal driver behind Roman expansion. </w:t>
      </w:r>
      <w:r w:rsidR="00974071">
        <w:rPr>
          <w:rFonts w:ascii="Arial" w:hAnsi="Arial" w:cs="Arial"/>
          <w:sz w:val="24"/>
          <w:szCs w:val="24"/>
        </w:rPr>
        <w:t>These historians</w:t>
      </w:r>
      <w:r>
        <w:rPr>
          <w:rFonts w:ascii="Arial" w:hAnsi="Arial" w:cs="Arial"/>
          <w:sz w:val="24"/>
          <w:szCs w:val="24"/>
        </w:rPr>
        <w:t xml:space="preserve"> cite debt crises as issues which may well have been resolved by expansion and that the establishment of colonies would have helped reduce the debt crisis</w:t>
      </w:r>
      <w:r>
        <w:rPr>
          <w:rStyle w:val="FootnoteReference"/>
          <w:rFonts w:ascii="Arial" w:hAnsi="Arial" w:cs="Arial"/>
          <w:sz w:val="24"/>
          <w:szCs w:val="24"/>
        </w:rPr>
        <w:footnoteReference w:id="137"/>
      </w:r>
      <w:r>
        <w:rPr>
          <w:rFonts w:ascii="Arial" w:hAnsi="Arial" w:cs="Arial"/>
          <w:sz w:val="24"/>
          <w:szCs w:val="24"/>
        </w:rPr>
        <w:t>. Furthermor</w:t>
      </w:r>
      <w:r w:rsidR="00CC0FC7">
        <w:rPr>
          <w:rFonts w:ascii="Arial" w:hAnsi="Arial" w:cs="Arial"/>
          <w:sz w:val="24"/>
          <w:szCs w:val="24"/>
        </w:rPr>
        <w:t>e</w:t>
      </w:r>
      <w:r>
        <w:rPr>
          <w:rFonts w:ascii="Arial" w:hAnsi="Arial" w:cs="Arial"/>
          <w:sz w:val="24"/>
          <w:szCs w:val="24"/>
        </w:rPr>
        <w:t>, the reduction of debt bondage would have increased the desire for slaves</w:t>
      </w:r>
      <w:r>
        <w:rPr>
          <w:rStyle w:val="FootnoteReference"/>
          <w:rFonts w:ascii="Arial" w:hAnsi="Arial" w:cs="Arial"/>
          <w:sz w:val="24"/>
          <w:szCs w:val="24"/>
        </w:rPr>
        <w:footnoteReference w:id="138"/>
      </w:r>
      <w:r>
        <w:rPr>
          <w:rFonts w:ascii="Arial" w:hAnsi="Arial" w:cs="Arial"/>
          <w:sz w:val="24"/>
          <w:szCs w:val="24"/>
        </w:rPr>
        <w:t xml:space="preserve">. Oakley goes as far to state that economic interests were </w:t>
      </w:r>
      <w:r w:rsidR="00CC0FC7">
        <w:rPr>
          <w:rFonts w:ascii="Arial" w:hAnsi="Arial" w:cs="Arial"/>
          <w:sz w:val="24"/>
          <w:szCs w:val="24"/>
        </w:rPr>
        <w:t>more</w:t>
      </w:r>
      <w:r>
        <w:rPr>
          <w:rFonts w:ascii="Arial" w:hAnsi="Arial" w:cs="Arial"/>
          <w:sz w:val="24"/>
          <w:szCs w:val="24"/>
        </w:rPr>
        <w:t xml:space="preserve"> important than strategic ones – he even states that colonisation was not about security</w:t>
      </w:r>
      <w:r>
        <w:rPr>
          <w:rStyle w:val="FootnoteReference"/>
          <w:rFonts w:ascii="Arial" w:hAnsi="Arial" w:cs="Arial"/>
          <w:sz w:val="24"/>
          <w:szCs w:val="24"/>
        </w:rPr>
        <w:footnoteReference w:id="139"/>
      </w:r>
      <w:r>
        <w:rPr>
          <w:rFonts w:ascii="Arial" w:hAnsi="Arial" w:cs="Arial"/>
          <w:sz w:val="24"/>
          <w:szCs w:val="24"/>
        </w:rPr>
        <w:t>.</w:t>
      </w:r>
    </w:p>
    <w:p w14:paraId="094BCF6E" w14:textId="053E5F5D" w:rsidR="00F21624" w:rsidRDefault="00F21624" w:rsidP="008B745A">
      <w:pPr>
        <w:spacing w:line="480" w:lineRule="auto"/>
        <w:rPr>
          <w:rFonts w:ascii="Arial" w:hAnsi="Arial" w:cs="Arial"/>
          <w:sz w:val="24"/>
          <w:szCs w:val="24"/>
        </w:rPr>
      </w:pPr>
      <w:r>
        <w:rPr>
          <w:rFonts w:ascii="Arial" w:hAnsi="Arial" w:cs="Arial"/>
          <w:sz w:val="24"/>
          <w:szCs w:val="24"/>
        </w:rPr>
        <w:t>However, Cornell is incorrect when he says that war and conquest would have satisfied these desires</w:t>
      </w:r>
      <w:r>
        <w:rPr>
          <w:rStyle w:val="FootnoteReference"/>
          <w:rFonts w:ascii="Arial" w:hAnsi="Arial" w:cs="Arial"/>
          <w:sz w:val="24"/>
          <w:szCs w:val="24"/>
        </w:rPr>
        <w:footnoteReference w:id="140"/>
      </w:r>
      <w:r>
        <w:rPr>
          <w:rFonts w:ascii="Arial" w:hAnsi="Arial" w:cs="Arial"/>
          <w:sz w:val="24"/>
          <w:szCs w:val="24"/>
        </w:rPr>
        <w:t xml:space="preserve">. As Livy states, the decision to build walls </w:t>
      </w:r>
      <w:r w:rsidR="002516E1">
        <w:rPr>
          <w:rFonts w:ascii="Arial" w:hAnsi="Arial" w:cs="Arial"/>
          <w:sz w:val="24"/>
          <w:szCs w:val="24"/>
        </w:rPr>
        <w:t>plunged</w:t>
      </w:r>
      <w:r>
        <w:rPr>
          <w:rFonts w:ascii="Arial" w:hAnsi="Arial" w:cs="Arial"/>
          <w:sz w:val="24"/>
          <w:szCs w:val="24"/>
        </w:rPr>
        <w:t xml:space="preserve"> the </w:t>
      </w:r>
      <w:r w:rsidR="00CC0FC7">
        <w:rPr>
          <w:rFonts w:ascii="Arial" w:hAnsi="Arial" w:cs="Arial"/>
          <w:sz w:val="24"/>
          <w:szCs w:val="24"/>
        </w:rPr>
        <w:t>population</w:t>
      </w:r>
      <w:r>
        <w:rPr>
          <w:rFonts w:ascii="Arial" w:hAnsi="Arial" w:cs="Arial"/>
          <w:sz w:val="24"/>
          <w:szCs w:val="24"/>
        </w:rPr>
        <w:t xml:space="preserve"> further into debt – strategic concerns were of greater importance</w:t>
      </w:r>
      <w:r>
        <w:rPr>
          <w:rStyle w:val="FootnoteReference"/>
          <w:rFonts w:ascii="Arial" w:hAnsi="Arial" w:cs="Arial"/>
          <w:sz w:val="24"/>
          <w:szCs w:val="24"/>
        </w:rPr>
        <w:footnoteReference w:id="141"/>
      </w:r>
      <w:r>
        <w:rPr>
          <w:rFonts w:ascii="Arial" w:hAnsi="Arial" w:cs="Arial"/>
          <w:sz w:val="24"/>
          <w:szCs w:val="24"/>
        </w:rPr>
        <w:t>. This has added weight considering that</w:t>
      </w:r>
      <w:r w:rsidR="00CC0FC7">
        <w:rPr>
          <w:rFonts w:ascii="Arial" w:hAnsi="Arial" w:cs="Arial"/>
          <w:sz w:val="24"/>
          <w:szCs w:val="24"/>
        </w:rPr>
        <w:t>,</w:t>
      </w:r>
      <w:r>
        <w:rPr>
          <w:rFonts w:ascii="Arial" w:hAnsi="Arial" w:cs="Arial"/>
          <w:sz w:val="24"/>
          <w:szCs w:val="24"/>
        </w:rPr>
        <w:t xml:space="preserve"> during the Gallic sack</w:t>
      </w:r>
      <w:r w:rsidR="00CC0FC7">
        <w:rPr>
          <w:rFonts w:ascii="Arial" w:hAnsi="Arial" w:cs="Arial"/>
          <w:sz w:val="24"/>
          <w:szCs w:val="24"/>
        </w:rPr>
        <w:t>,</w:t>
      </w:r>
      <w:r>
        <w:rPr>
          <w:rFonts w:ascii="Arial" w:hAnsi="Arial" w:cs="Arial"/>
          <w:sz w:val="24"/>
          <w:szCs w:val="24"/>
        </w:rPr>
        <w:t xml:space="preserve"> there was an attempted coup – supported by the impoverished</w:t>
      </w:r>
      <w:r>
        <w:rPr>
          <w:rStyle w:val="FootnoteReference"/>
          <w:rFonts w:ascii="Arial" w:hAnsi="Arial" w:cs="Arial"/>
          <w:sz w:val="24"/>
          <w:szCs w:val="24"/>
        </w:rPr>
        <w:footnoteReference w:id="142"/>
      </w:r>
      <w:r>
        <w:rPr>
          <w:rFonts w:ascii="Arial" w:hAnsi="Arial" w:cs="Arial"/>
          <w:sz w:val="24"/>
          <w:szCs w:val="24"/>
        </w:rPr>
        <w:t>. Yet, rather than immediately take land, the</w:t>
      </w:r>
      <w:r w:rsidR="00CC0FC7">
        <w:rPr>
          <w:rFonts w:ascii="Arial" w:hAnsi="Arial" w:cs="Arial"/>
          <w:sz w:val="24"/>
          <w:szCs w:val="24"/>
        </w:rPr>
        <w:t>y</w:t>
      </w:r>
      <w:r>
        <w:rPr>
          <w:rFonts w:ascii="Arial" w:hAnsi="Arial" w:cs="Arial"/>
          <w:sz w:val="24"/>
          <w:szCs w:val="24"/>
        </w:rPr>
        <w:t xml:space="preserve"> built walls, plunging them into debt.</w:t>
      </w:r>
    </w:p>
    <w:p w14:paraId="3C61741F" w14:textId="30E2EDED" w:rsidR="00F21624" w:rsidRDefault="00F21624" w:rsidP="008B745A">
      <w:pPr>
        <w:spacing w:line="480" w:lineRule="auto"/>
      </w:pPr>
      <w:r>
        <w:rPr>
          <w:rFonts w:ascii="Arial" w:hAnsi="Arial" w:cs="Arial"/>
          <w:sz w:val="24"/>
          <w:szCs w:val="24"/>
        </w:rPr>
        <w:t xml:space="preserve">To conclude, Rome was motivated by fear, born out of centuries of brutal warfare with Rome often fighting defensively – there was certainly no innate, ‘biological </w:t>
      </w:r>
      <w:r>
        <w:rPr>
          <w:rFonts w:ascii="Arial" w:hAnsi="Arial" w:cs="Arial"/>
          <w:sz w:val="24"/>
          <w:szCs w:val="24"/>
        </w:rPr>
        <w:lastRenderedPageBreak/>
        <w:t>necessity’ to mobilise for war</w:t>
      </w:r>
      <w:r>
        <w:rPr>
          <w:rStyle w:val="FootnoteReference"/>
          <w:rFonts w:ascii="Arial" w:hAnsi="Arial" w:cs="Arial"/>
          <w:sz w:val="24"/>
          <w:szCs w:val="24"/>
        </w:rPr>
        <w:footnoteReference w:id="143"/>
      </w:r>
      <w:r>
        <w:rPr>
          <w:rFonts w:ascii="Arial" w:hAnsi="Arial" w:cs="Arial"/>
          <w:sz w:val="24"/>
          <w:szCs w:val="24"/>
        </w:rPr>
        <w:t>. As such, Rome began to neutralise perceived threats, often resulting in the establishment of strategic colonies. Due to the nature of inter-state relations</w:t>
      </w:r>
      <w:r w:rsidR="00CC0FC7">
        <w:rPr>
          <w:rFonts w:ascii="Arial" w:hAnsi="Arial" w:cs="Arial"/>
          <w:sz w:val="24"/>
          <w:szCs w:val="24"/>
        </w:rPr>
        <w:t>,</w:t>
      </w:r>
      <w:r>
        <w:rPr>
          <w:rFonts w:ascii="Arial" w:hAnsi="Arial" w:cs="Arial"/>
          <w:sz w:val="24"/>
          <w:szCs w:val="24"/>
        </w:rPr>
        <w:t xml:space="preserve"> warfare was endemic – the idea that Rome began looking for wars, even going so far to state that she actively sought pretexts lacks foundation when considering that refusal to respond to appeals would have made rivals more powerful, weakening Rome’s position</w:t>
      </w:r>
      <w:r>
        <w:rPr>
          <w:rStyle w:val="FootnoteReference"/>
          <w:rFonts w:ascii="Arial" w:hAnsi="Arial" w:cs="Arial"/>
          <w:sz w:val="24"/>
          <w:szCs w:val="24"/>
        </w:rPr>
        <w:footnoteReference w:id="144"/>
      </w:r>
      <w:r>
        <w:rPr>
          <w:rFonts w:ascii="Arial" w:hAnsi="Arial" w:cs="Arial"/>
          <w:sz w:val="24"/>
          <w:szCs w:val="24"/>
        </w:rPr>
        <w:t>. As Rome had experience of what a weak position could do – the Gallic sack being prime example – she sought to ensure that she would not be placed in that position again. Rather than claiming that Rome was occasionally faced with external dangers, this paper has shown the opposite and that it constituted a trauma for Rome</w:t>
      </w:r>
      <w:r>
        <w:rPr>
          <w:rStyle w:val="FootnoteReference"/>
          <w:rFonts w:ascii="Arial" w:hAnsi="Arial" w:cs="Arial"/>
          <w:sz w:val="24"/>
          <w:szCs w:val="24"/>
        </w:rPr>
        <w:footnoteReference w:id="145"/>
      </w:r>
      <w:r>
        <w:rPr>
          <w:rFonts w:ascii="Arial" w:hAnsi="Arial" w:cs="Arial"/>
          <w:sz w:val="24"/>
          <w:szCs w:val="24"/>
        </w:rPr>
        <w:t xml:space="preserve">. </w:t>
      </w:r>
      <w:r w:rsidR="005C4221">
        <w:rPr>
          <w:rFonts w:ascii="Arial" w:hAnsi="Arial" w:cs="Arial"/>
          <w:sz w:val="24"/>
          <w:szCs w:val="24"/>
        </w:rPr>
        <w:t>Importantly,</w:t>
      </w:r>
      <w:r>
        <w:rPr>
          <w:rFonts w:ascii="Arial" w:hAnsi="Arial" w:cs="Arial"/>
          <w:sz w:val="24"/>
          <w:szCs w:val="24"/>
        </w:rPr>
        <w:t xml:space="preserve"> Rome was not acting unilaterally by being aggressive</w:t>
      </w:r>
      <w:r>
        <w:rPr>
          <w:rStyle w:val="FootnoteReference"/>
        </w:rPr>
        <w:footnoteReference w:id="146"/>
      </w:r>
      <w:r>
        <w:t xml:space="preserve">. </w:t>
      </w:r>
    </w:p>
    <w:p w14:paraId="01B095D8" w14:textId="64696FFE" w:rsidR="00F21624" w:rsidRDefault="00F21624" w:rsidP="008B745A">
      <w:pPr>
        <w:spacing w:line="480" w:lineRule="auto"/>
        <w:rPr>
          <w:rFonts w:ascii="Arial" w:hAnsi="Arial" w:cs="Arial"/>
          <w:sz w:val="24"/>
          <w:szCs w:val="24"/>
        </w:rPr>
      </w:pPr>
      <w:r>
        <w:rPr>
          <w:rFonts w:ascii="Arial" w:hAnsi="Arial" w:cs="Arial"/>
          <w:sz w:val="24"/>
          <w:szCs w:val="24"/>
        </w:rPr>
        <w:t>These formative years were of crucial importance for the origins of the First Punic War. Carthage’s taking of Messana in 264 placed her in a strategically important location – only ten miles from Italy</w:t>
      </w:r>
      <w:r w:rsidR="00CC0FC7">
        <w:rPr>
          <w:rFonts w:ascii="Arial" w:hAnsi="Arial" w:cs="Arial"/>
          <w:sz w:val="24"/>
          <w:szCs w:val="24"/>
        </w:rPr>
        <w:t>. This</w:t>
      </w:r>
      <w:r>
        <w:rPr>
          <w:rFonts w:ascii="Arial" w:hAnsi="Arial" w:cs="Arial"/>
          <w:sz w:val="24"/>
          <w:szCs w:val="24"/>
        </w:rPr>
        <w:t xml:space="preserve"> was a prime consideration </w:t>
      </w:r>
      <w:r w:rsidR="00CC0FC7">
        <w:rPr>
          <w:rFonts w:ascii="Arial" w:hAnsi="Arial" w:cs="Arial"/>
          <w:sz w:val="24"/>
          <w:szCs w:val="24"/>
        </w:rPr>
        <w:t>in deciding to</w:t>
      </w:r>
      <w:r>
        <w:rPr>
          <w:rFonts w:ascii="Arial" w:hAnsi="Arial" w:cs="Arial"/>
          <w:sz w:val="24"/>
          <w:szCs w:val="24"/>
        </w:rPr>
        <w:t xml:space="preserve"> fight – especially when Carthage’s actions immediately after Pyrrhus’ invasion are analysed. </w:t>
      </w:r>
    </w:p>
    <w:p w14:paraId="6E712501" w14:textId="1D8D775D" w:rsidR="00F21624" w:rsidRDefault="00F21624" w:rsidP="008B745A">
      <w:pPr>
        <w:spacing w:line="480" w:lineRule="auto"/>
        <w:rPr>
          <w:rFonts w:ascii="Arial" w:hAnsi="Arial" w:cs="Arial"/>
          <w:sz w:val="24"/>
          <w:szCs w:val="24"/>
        </w:rPr>
      </w:pPr>
      <w:r>
        <w:rPr>
          <w:rFonts w:ascii="Arial" w:hAnsi="Arial" w:cs="Arial"/>
          <w:sz w:val="24"/>
          <w:szCs w:val="24"/>
        </w:rPr>
        <w:t xml:space="preserve">Secondly, the Mamertine appeal placed Rome in </w:t>
      </w:r>
      <w:r w:rsidR="00A46CC7">
        <w:rPr>
          <w:rFonts w:ascii="Arial" w:hAnsi="Arial" w:cs="Arial"/>
          <w:sz w:val="24"/>
          <w:szCs w:val="24"/>
        </w:rPr>
        <w:t>the same</w:t>
      </w:r>
      <w:r>
        <w:rPr>
          <w:rFonts w:ascii="Arial" w:hAnsi="Arial" w:cs="Arial"/>
          <w:sz w:val="24"/>
          <w:szCs w:val="24"/>
        </w:rPr>
        <w:t xml:space="preserve"> position she had been with the Capuan appeal: refusal would have meant Carthage’s control of northern Sicily. Carthage’s location would have also provided another state for towns and cities on the Italian peninsula to appeal to, as the Tarentines had done. Rome’s history up to these events ensured that there was only one way she could respond </w:t>
      </w:r>
      <w:r>
        <w:rPr>
          <w:rFonts w:ascii="Arial" w:hAnsi="Arial" w:cs="Arial"/>
          <w:sz w:val="24"/>
          <w:szCs w:val="24"/>
        </w:rPr>
        <w:lastRenderedPageBreak/>
        <w:t xml:space="preserve">when the crisis came, even though she was not ready for war with </w:t>
      </w:r>
      <w:r>
        <w:rPr>
          <w:rFonts w:ascii="Arial" w:hAnsi="Arial" w:cs="Arial"/>
          <w:sz w:val="24"/>
          <w:szCs w:val="24"/>
        </w:rPr>
        <w:br/>
        <w:t xml:space="preserve">Carthage. </w:t>
      </w:r>
    </w:p>
    <w:p w14:paraId="10A50CFB" w14:textId="5728EFF1" w:rsidR="00C63884" w:rsidRDefault="00C63884" w:rsidP="008B745A">
      <w:pPr>
        <w:spacing w:line="480" w:lineRule="auto"/>
        <w:rPr>
          <w:rFonts w:ascii="Arial" w:hAnsi="Arial" w:cs="Arial"/>
          <w:sz w:val="24"/>
          <w:szCs w:val="24"/>
        </w:rPr>
      </w:pPr>
    </w:p>
    <w:p w14:paraId="5889E37D" w14:textId="3CE924AD" w:rsidR="00A46CC7" w:rsidRDefault="00A46CC7" w:rsidP="008B745A">
      <w:pPr>
        <w:spacing w:line="480" w:lineRule="auto"/>
        <w:rPr>
          <w:rFonts w:ascii="Arial" w:hAnsi="Arial" w:cs="Arial"/>
          <w:sz w:val="24"/>
          <w:szCs w:val="24"/>
        </w:rPr>
      </w:pPr>
    </w:p>
    <w:p w14:paraId="5730DAC3" w14:textId="0845437C" w:rsidR="00A46CC7" w:rsidRDefault="00A46CC7" w:rsidP="008B745A">
      <w:pPr>
        <w:spacing w:line="480" w:lineRule="auto"/>
        <w:rPr>
          <w:rFonts w:ascii="Arial" w:hAnsi="Arial" w:cs="Arial"/>
          <w:sz w:val="24"/>
          <w:szCs w:val="24"/>
        </w:rPr>
      </w:pPr>
    </w:p>
    <w:p w14:paraId="643A9AF3" w14:textId="3757513E" w:rsidR="00A46CC7" w:rsidRDefault="00A46CC7" w:rsidP="008B745A">
      <w:pPr>
        <w:spacing w:line="480" w:lineRule="auto"/>
        <w:rPr>
          <w:rFonts w:ascii="Arial" w:hAnsi="Arial" w:cs="Arial"/>
          <w:sz w:val="24"/>
          <w:szCs w:val="24"/>
        </w:rPr>
      </w:pPr>
    </w:p>
    <w:p w14:paraId="2BD47FC2" w14:textId="456F76F5" w:rsidR="00A46CC7" w:rsidRDefault="00A46CC7" w:rsidP="008B745A">
      <w:pPr>
        <w:spacing w:line="480" w:lineRule="auto"/>
        <w:rPr>
          <w:rFonts w:ascii="Arial" w:hAnsi="Arial" w:cs="Arial"/>
          <w:sz w:val="24"/>
          <w:szCs w:val="24"/>
        </w:rPr>
      </w:pPr>
    </w:p>
    <w:p w14:paraId="60336254" w14:textId="7FCEEDFF" w:rsidR="007B0BE0" w:rsidRDefault="007B0BE0" w:rsidP="008B745A">
      <w:pPr>
        <w:spacing w:line="480" w:lineRule="auto"/>
        <w:rPr>
          <w:rFonts w:ascii="Arial" w:hAnsi="Arial" w:cs="Arial"/>
          <w:sz w:val="24"/>
          <w:szCs w:val="24"/>
        </w:rPr>
      </w:pPr>
    </w:p>
    <w:p w14:paraId="408D3AEF" w14:textId="051AC0DD" w:rsidR="00BE2253" w:rsidRDefault="00BE2253" w:rsidP="008B745A">
      <w:pPr>
        <w:spacing w:line="480" w:lineRule="auto"/>
        <w:rPr>
          <w:rFonts w:ascii="Arial" w:hAnsi="Arial" w:cs="Arial"/>
          <w:sz w:val="24"/>
          <w:szCs w:val="24"/>
        </w:rPr>
      </w:pPr>
    </w:p>
    <w:p w14:paraId="6E65902F" w14:textId="49595A3A" w:rsidR="00BE2253" w:rsidRDefault="00BE2253" w:rsidP="008B745A">
      <w:pPr>
        <w:spacing w:line="480" w:lineRule="auto"/>
        <w:rPr>
          <w:rFonts w:ascii="Arial" w:hAnsi="Arial" w:cs="Arial"/>
          <w:sz w:val="24"/>
          <w:szCs w:val="24"/>
        </w:rPr>
      </w:pPr>
    </w:p>
    <w:p w14:paraId="03E7465B" w14:textId="5A82B805" w:rsidR="00BE2253" w:rsidRDefault="00BE2253" w:rsidP="008B745A">
      <w:pPr>
        <w:spacing w:line="480" w:lineRule="auto"/>
        <w:rPr>
          <w:rFonts w:ascii="Arial" w:hAnsi="Arial" w:cs="Arial"/>
          <w:sz w:val="24"/>
          <w:szCs w:val="24"/>
        </w:rPr>
      </w:pPr>
    </w:p>
    <w:p w14:paraId="63DA8309" w14:textId="50E1EDB3" w:rsidR="00BE2253" w:rsidRDefault="00BE2253" w:rsidP="008B745A">
      <w:pPr>
        <w:spacing w:line="480" w:lineRule="auto"/>
        <w:rPr>
          <w:rFonts w:ascii="Arial" w:hAnsi="Arial" w:cs="Arial"/>
          <w:sz w:val="24"/>
          <w:szCs w:val="24"/>
        </w:rPr>
      </w:pPr>
    </w:p>
    <w:p w14:paraId="0668C86B" w14:textId="77777777" w:rsidR="00BE2253" w:rsidRDefault="00BE2253" w:rsidP="008B745A">
      <w:pPr>
        <w:spacing w:line="480" w:lineRule="auto"/>
        <w:rPr>
          <w:rFonts w:ascii="Arial" w:hAnsi="Arial" w:cs="Arial"/>
          <w:sz w:val="24"/>
          <w:szCs w:val="24"/>
        </w:rPr>
      </w:pPr>
    </w:p>
    <w:p w14:paraId="39CC2397" w14:textId="77777777" w:rsidR="00A46CC7" w:rsidRDefault="00A46CC7" w:rsidP="008B745A">
      <w:pPr>
        <w:spacing w:line="480" w:lineRule="auto"/>
        <w:rPr>
          <w:rFonts w:ascii="Arial" w:hAnsi="Arial" w:cs="Arial"/>
          <w:sz w:val="24"/>
          <w:szCs w:val="24"/>
        </w:rPr>
      </w:pPr>
    </w:p>
    <w:p w14:paraId="0DCD4D27" w14:textId="77777777" w:rsidR="00BE2253" w:rsidRDefault="00BE2253" w:rsidP="008B745A">
      <w:pPr>
        <w:spacing w:line="480" w:lineRule="auto"/>
        <w:jc w:val="center"/>
        <w:rPr>
          <w:rFonts w:ascii="Arial" w:hAnsi="Arial" w:cs="Arial"/>
          <w:b/>
          <w:bCs/>
          <w:sz w:val="24"/>
          <w:szCs w:val="24"/>
          <w:u w:val="single"/>
        </w:rPr>
      </w:pPr>
    </w:p>
    <w:p w14:paraId="0D6615EB" w14:textId="77777777" w:rsidR="00BE2253" w:rsidRDefault="00BE2253" w:rsidP="008B745A">
      <w:pPr>
        <w:spacing w:line="480" w:lineRule="auto"/>
        <w:jc w:val="center"/>
        <w:rPr>
          <w:rFonts w:ascii="Arial" w:hAnsi="Arial" w:cs="Arial"/>
          <w:b/>
          <w:bCs/>
          <w:sz w:val="24"/>
          <w:szCs w:val="24"/>
          <w:u w:val="single"/>
        </w:rPr>
      </w:pPr>
    </w:p>
    <w:p w14:paraId="2B8D10F8" w14:textId="18158A44" w:rsidR="00F21624" w:rsidRDefault="00F21624" w:rsidP="008B745A">
      <w:pPr>
        <w:spacing w:line="480" w:lineRule="auto"/>
        <w:jc w:val="center"/>
        <w:rPr>
          <w:rFonts w:ascii="Arial" w:hAnsi="Arial" w:cs="Arial"/>
          <w:b/>
          <w:bCs/>
          <w:sz w:val="24"/>
          <w:szCs w:val="24"/>
          <w:u w:val="single"/>
        </w:rPr>
      </w:pPr>
      <w:r>
        <w:rPr>
          <w:rFonts w:ascii="Arial" w:hAnsi="Arial" w:cs="Arial"/>
          <w:b/>
          <w:bCs/>
          <w:sz w:val="24"/>
          <w:szCs w:val="24"/>
          <w:u w:val="single"/>
        </w:rPr>
        <w:t>The Rise of Carthage</w:t>
      </w:r>
    </w:p>
    <w:p w14:paraId="5DD0BE6D" w14:textId="751B62D6" w:rsidR="00F21624" w:rsidRDefault="00F21624" w:rsidP="008B745A">
      <w:pPr>
        <w:spacing w:line="480" w:lineRule="auto"/>
        <w:rPr>
          <w:rFonts w:ascii="Arial" w:hAnsi="Arial" w:cs="Arial"/>
          <w:sz w:val="24"/>
          <w:szCs w:val="24"/>
        </w:rPr>
      </w:pPr>
      <w:r>
        <w:rPr>
          <w:rFonts w:ascii="Arial" w:hAnsi="Arial" w:cs="Arial"/>
          <w:sz w:val="24"/>
          <w:szCs w:val="24"/>
        </w:rPr>
        <w:t>When analysing the origins of the First Punic War historians tend to focus principally on Rome, at the expense of Carthage’s motivations</w:t>
      </w:r>
      <w:r>
        <w:rPr>
          <w:rStyle w:val="FootnoteReference"/>
          <w:rFonts w:ascii="Arial" w:hAnsi="Arial" w:cs="Arial"/>
          <w:sz w:val="24"/>
          <w:szCs w:val="24"/>
        </w:rPr>
        <w:footnoteReference w:id="147"/>
      </w:r>
      <w:r>
        <w:rPr>
          <w:rFonts w:ascii="Arial" w:hAnsi="Arial" w:cs="Arial"/>
          <w:sz w:val="24"/>
          <w:szCs w:val="24"/>
        </w:rPr>
        <w:t xml:space="preserve">. Harris even claims that the </w:t>
      </w:r>
      <w:r>
        <w:rPr>
          <w:rFonts w:ascii="Arial" w:hAnsi="Arial" w:cs="Arial"/>
          <w:sz w:val="24"/>
          <w:szCs w:val="24"/>
        </w:rPr>
        <w:lastRenderedPageBreak/>
        <w:t>Carthaginians behaved correctly in the events leading up to the war, stressing Roman desire for plunder as the prime cause of the conflict</w:t>
      </w:r>
      <w:r>
        <w:rPr>
          <w:rStyle w:val="FootnoteReference"/>
          <w:rFonts w:ascii="Arial" w:hAnsi="Arial" w:cs="Arial"/>
          <w:sz w:val="24"/>
          <w:szCs w:val="24"/>
        </w:rPr>
        <w:footnoteReference w:id="148"/>
      </w:r>
      <w:r>
        <w:rPr>
          <w:rFonts w:ascii="Arial" w:hAnsi="Arial" w:cs="Arial"/>
          <w:sz w:val="24"/>
          <w:szCs w:val="24"/>
        </w:rPr>
        <w:t>. However, Carthaginian history prior to Pyrrhus’ invasion demonstrates Carthaginian determination in protecting her commercial interests, reacting assertively to perceived threats</w:t>
      </w:r>
      <w:r w:rsidR="00CC0FC7">
        <w:rPr>
          <w:rFonts w:ascii="Arial" w:hAnsi="Arial" w:cs="Arial"/>
          <w:sz w:val="24"/>
          <w:szCs w:val="24"/>
        </w:rPr>
        <w:t>,</w:t>
      </w:r>
      <w:r>
        <w:rPr>
          <w:rFonts w:ascii="Arial" w:hAnsi="Arial" w:cs="Arial"/>
          <w:sz w:val="24"/>
          <w:szCs w:val="24"/>
        </w:rPr>
        <w:t xml:space="preserve"> just as Rome did</w:t>
      </w:r>
      <w:r>
        <w:rPr>
          <w:rStyle w:val="FootnoteReference"/>
          <w:rFonts w:ascii="Arial" w:hAnsi="Arial" w:cs="Arial"/>
          <w:sz w:val="24"/>
          <w:szCs w:val="24"/>
        </w:rPr>
        <w:footnoteReference w:id="149"/>
      </w:r>
      <w:r>
        <w:rPr>
          <w:rFonts w:ascii="Arial" w:hAnsi="Arial" w:cs="Arial"/>
          <w:sz w:val="24"/>
          <w:szCs w:val="24"/>
        </w:rPr>
        <w:t>. Due to prolonged conflict on Sicily</w:t>
      </w:r>
      <w:r w:rsidR="007B0BE0">
        <w:rPr>
          <w:rFonts w:ascii="Arial" w:hAnsi="Arial" w:cs="Arial"/>
          <w:sz w:val="24"/>
          <w:szCs w:val="24"/>
        </w:rPr>
        <w:t xml:space="preserve">, </w:t>
      </w:r>
      <w:r>
        <w:rPr>
          <w:rFonts w:ascii="Arial" w:hAnsi="Arial" w:cs="Arial"/>
          <w:sz w:val="24"/>
          <w:szCs w:val="24"/>
        </w:rPr>
        <w:t xml:space="preserve">Carthage sought to reduce the influence of other powers, even if that involved war. Carthage’s determination to gain and maintain hegemony of the island, </w:t>
      </w:r>
      <w:r w:rsidR="000C2C78">
        <w:rPr>
          <w:rFonts w:ascii="Arial" w:hAnsi="Arial" w:cs="Arial"/>
          <w:sz w:val="24"/>
          <w:szCs w:val="24"/>
        </w:rPr>
        <w:t>led</w:t>
      </w:r>
      <w:r>
        <w:rPr>
          <w:rFonts w:ascii="Arial" w:hAnsi="Arial" w:cs="Arial"/>
          <w:sz w:val="24"/>
          <w:szCs w:val="24"/>
        </w:rPr>
        <w:t xml:space="preserve"> her to view Roman intervention at Messana as intolerable, especially after the dramatic collapse of Syracusan power, after years of inconclusive fighting against Carthage. </w:t>
      </w:r>
    </w:p>
    <w:p w14:paraId="54A2AFE8" w14:textId="5EFE7D3D" w:rsidR="00F21624" w:rsidRDefault="00F21624" w:rsidP="008B745A">
      <w:pPr>
        <w:spacing w:line="480" w:lineRule="auto"/>
        <w:rPr>
          <w:rFonts w:ascii="Arial" w:hAnsi="Arial" w:cs="Arial"/>
          <w:sz w:val="24"/>
          <w:szCs w:val="24"/>
        </w:rPr>
      </w:pPr>
      <w:r>
        <w:rPr>
          <w:rFonts w:ascii="Arial" w:hAnsi="Arial" w:cs="Arial"/>
          <w:sz w:val="24"/>
          <w:szCs w:val="24"/>
        </w:rPr>
        <w:t>Carthage’s first colony was Ibiza, founded in 650 B.C. and a perfect location for revictualing ships</w:t>
      </w:r>
      <w:r>
        <w:rPr>
          <w:rStyle w:val="FootnoteReference"/>
          <w:rFonts w:ascii="Arial" w:hAnsi="Arial" w:cs="Arial"/>
          <w:sz w:val="24"/>
          <w:szCs w:val="24"/>
        </w:rPr>
        <w:footnoteReference w:id="150"/>
      </w:r>
      <w:r>
        <w:rPr>
          <w:rFonts w:ascii="Arial" w:hAnsi="Arial" w:cs="Arial"/>
          <w:sz w:val="24"/>
          <w:szCs w:val="24"/>
        </w:rPr>
        <w:t>.This was a key consideration for the Carthaginians, as ships could not travel more than a few days without putting in for supplies</w:t>
      </w:r>
      <w:r>
        <w:rPr>
          <w:rStyle w:val="FootnoteReference"/>
          <w:rFonts w:ascii="Arial" w:hAnsi="Arial" w:cs="Arial"/>
          <w:sz w:val="24"/>
          <w:szCs w:val="24"/>
        </w:rPr>
        <w:footnoteReference w:id="151"/>
      </w:r>
      <w:r>
        <w:rPr>
          <w:rFonts w:ascii="Arial" w:hAnsi="Arial" w:cs="Arial"/>
          <w:sz w:val="24"/>
          <w:szCs w:val="24"/>
        </w:rPr>
        <w:t xml:space="preserve">. This also explains Carthage’s acquisition of Malta and </w:t>
      </w:r>
      <w:proofErr w:type="spellStart"/>
      <w:r>
        <w:rPr>
          <w:rFonts w:ascii="Arial" w:hAnsi="Arial" w:cs="Arial"/>
          <w:sz w:val="24"/>
          <w:szCs w:val="24"/>
        </w:rPr>
        <w:t>Gozo</w:t>
      </w:r>
      <w:proofErr w:type="spellEnd"/>
      <w:r>
        <w:rPr>
          <w:rFonts w:ascii="Arial" w:hAnsi="Arial" w:cs="Arial"/>
          <w:sz w:val="24"/>
          <w:szCs w:val="24"/>
        </w:rPr>
        <w:t xml:space="preserve">, again described as having serviceable harbours, although their proximity to Carthage itself also </w:t>
      </w:r>
      <w:r w:rsidR="00C857DB">
        <w:rPr>
          <w:rFonts w:ascii="Arial" w:hAnsi="Arial" w:cs="Arial"/>
          <w:sz w:val="24"/>
          <w:szCs w:val="24"/>
        </w:rPr>
        <w:t>infers</w:t>
      </w:r>
      <w:r>
        <w:rPr>
          <w:rFonts w:ascii="Arial" w:hAnsi="Arial" w:cs="Arial"/>
          <w:sz w:val="24"/>
          <w:szCs w:val="24"/>
        </w:rPr>
        <w:t xml:space="preserve"> to security considerations</w:t>
      </w:r>
      <w:r>
        <w:rPr>
          <w:rStyle w:val="FootnoteReference"/>
          <w:rFonts w:ascii="Arial" w:hAnsi="Arial" w:cs="Arial"/>
          <w:sz w:val="24"/>
          <w:szCs w:val="24"/>
        </w:rPr>
        <w:footnoteReference w:id="152"/>
      </w:r>
      <w:r>
        <w:rPr>
          <w:rFonts w:ascii="Arial" w:hAnsi="Arial" w:cs="Arial"/>
          <w:sz w:val="24"/>
          <w:szCs w:val="24"/>
        </w:rPr>
        <w:t>. These colonies could be used to monitor the Spanish coastline, as well as Marsalia in southern France</w:t>
      </w:r>
      <w:r>
        <w:rPr>
          <w:rStyle w:val="FootnoteReference"/>
          <w:rFonts w:ascii="Arial" w:hAnsi="Arial" w:cs="Arial"/>
          <w:sz w:val="24"/>
          <w:szCs w:val="24"/>
        </w:rPr>
        <w:footnoteReference w:id="153"/>
      </w:r>
      <w:r>
        <w:rPr>
          <w:rFonts w:ascii="Arial" w:hAnsi="Arial" w:cs="Arial"/>
          <w:sz w:val="24"/>
          <w:szCs w:val="24"/>
        </w:rPr>
        <w:t>. Sardinia was another strategic outpost for Carthage, with determined and unsuccessful efforts to take the island stretching back to the 6</w:t>
      </w:r>
      <w:r>
        <w:rPr>
          <w:rFonts w:ascii="Arial" w:hAnsi="Arial" w:cs="Arial"/>
          <w:sz w:val="24"/>
          <w:szCs w:val="24"/>
          <w:vertAlign w:val="superscript"/>
        </w:rPr>
        <w:t>th</w:t>
      </w:r>
      <w:r>
        <w:rPr>
          <w:rFonts w:ascii="Arial" w:hAnsi="Arial" w:cs="Arial"/>
          <w:sz w:val="24"/>
          <w:szCs w:val="24"/>
        </w:rPr>
        <w:t xml:space="preserve"> century</w:t>
      </w:r>
      <w:r>
        <w:rPr>
          <w:rStyle w:val="FootnoteReference"/>
          <w:rFonts w:ascii="Arial" w:hAnsi="Arial" w:cs="Arial"/>
          <w:sz w:val="24"/>
          <w:szCs w:val="24"/>
        </w:rPr>
        <w:footnoteReference w:id="154"/>
      </w:r>
      <w:r>
        <w:rPr>
          <w:rFonts w:ascii="Arial" w:hAnsi="Arial" w:cs="Arial"/>
          <w:sz w:val="24"/>
          <w:szCs w:val="24"/>
        </w:rPr>
        <w:t xml:space="preserve">. </w:t>
      </w:r>
    </w:p>
    <w:p w14:paraId="2C250AEB" w14:textId="218266D4" w:rsidR="00F21624" w:rsidRDefault="00F21624" w:rsidP="008B745A">
      <w:pPr>
        <w:spacing w:line="480" w:lineRule="auto"/>
        <w:rPr>
          <w:rFonts w:ascii="Arial" w:hAnsi="Arial" w:cs="Arial"/>
          <w:sz w:val="24"/>
          <w:szCs w:val="24"/>
        </w:rPr>
      </w:pPr>
      <w:r>
        <w:rPr>
          <w:rFonts w:ascii="Arial" w:hAnsi="Arial" w:cs="Arial"/>
          <w:sz w:val="24"/>
          <w:szCs w:val="24"/>
        </w:rPr>
        <w:t>This system of islands helps to explain the nature of Carthaginian imperialism</w:t>
      </w:r>
      <w:r w:rsidR="0066599F">
        <w:rPr>
          <w:rFonts w:ascii="Arial" w:hAnsi="Arial" w:cs="Arial"/>
          <w:sz w:val="24"/>
          <w:szCs w:val="24"/>
        </w:rPr>
        <w:t>.</w:t>
      </w:r>
      <w:r>
        <w:rPr>
          <w:rFonts w:ascii="Arial" w:hAnsi="Arial" w:cs="Arial"/>
          <w:sz w:val="24"/>
          <w:szCs w:val="24"/>
        </w:rPr>
        <w:t xml:space="preserve"> </w:t>
      </w:r>
      <w:r w:rsidR="0066599F">
        <w:rPr>
          <w:rFonts w:ascii="Arial" w:hAnsi="Arial" w:cs="Arial"/>
          <w:sz w:val="24"/>
          <w:szCs w:val="24"/>
        </w:rPr>
        <w:t>I</w:t>
      </w:r>
      <w:r>
        <w:rPr>
          <w:rFonts w:ascii="Arial" w:hAnsi="Arial" w:cs="Arial"/>
          <w:sz w:val="24"/>
          <w:szCs w:val="24"/>
        </w:rPr>
        <w:t xml:space="preserve">t was important to have a series of settlements along the coastline to support trading </w:t>
      </w:r>
      <w:r>
        <w:rPr>
          <w:rFonts w:ascii="Arial" w:hAnsi="Arial" w:cs="Arial"/>
          <w:sz w:val="24"/>
          <w:szCs w:val="24"/>
        </w:rPr>
        <w:lastRenderedPageBreak/>
        <w:t>vessels</w:t>
      </w:r>
      <w:r>
        <w:rPr>
          <w:rStyle w:val="FootnoteReference"/>
          <w:rFonts w:ascii="Arial" w:hAnsi="Arial" w:cs="Arial"/>
          <w:sz w:val="24"/>
          <w:szCs w:val="24"/>
        </w:rPr>
        <w:footnoteReference w:id="155"/>
      </w:r>
      <w:r>
        <w:rPr>
          <w:rFonts w:ascii="Arial" w:hAnsi="Arial" w:cs="Arial"/>
          <w:sz w:val="24"/>
          <w:szCs w:val="24"/>
        </w:rPr>
        <w:t>. Strategic points in the Mediterranean allowed for protection of trade routes, as well as stimulating them - maintaining Carthage’s position in the Mediterranean as leaders in the carrying trade</w:t>
      </w:r>
      <w:r>
        <w:rPr>
          <w:rStyle w:val="FootnoteReference"/>
          <w:rFonts w:ascii="Arial" w:hAnsi="Arial" w:cs="Arial"/>
          <w:sz w:val="24"/>
          <w:szCs w:val="24"/>
        </w:rPr>
        <w:footnoteReference w:id="156"/>
      </w:r>
      <w:r>
        <w:rPr>
          <w:rFonts w:ascii="Arial" w:hAnsi="Arial" w:cs="Arial"/>
          <w:sz w:val="24"/>
          <w:szCs w:val="24"/>
        </w:rPr>
        <w:t>. Already in 450 B.C.</w:t>
      </w:r>
      <w:r w:rsidR="00C857DB">
        <w:rPr>
          <w:rFonts w:ascii="Arial" w:hAnsi="Arial" w:cs="Arial"/>
          <w:sz w:val="24"/>
          <w:szCs w:val="24"/>
        </w:rPr>
        <w:t>,</w:t>
      </w:r>
      <w:r>
        <w:rPr>
          <w:rFonts w:ascii="Arial" w:hAnsi="Arial" w:cs="Arial"/>
          <w:sz w:val="24"/>
          <w:szCs w:val="24"/>
        </w:rPr>
        <w:t xml:space="preserve"> its riches were attested</w:t>
      </w:r>
      <w:r>
        <w:rPr>
          <w:rStyle w:val="FootnoteReference"/>
          <w:rFonts w:ascii="Arial" w:hAnsi="Arial" w:cs="Arial"/>
          <w:sz w:val="24"/>
          <w:szCs w:val="24"/>
        </w:rPr>
        <w:footnoteReference w:id="157"/>
      </w:r>
      <w:r>
        <w:rPr>
          <w:rFonts w:ascii="Arial" w:hAnsi="Arial" w:cs="Arial"/>
          <w:sz w:val="24"/>
          <w:szCs w:val="24"/>
        </w:rPr>
        <w:t>. Rainey’s assertation that, “maritime trade was the mainstay of the Carthaginian economy” is not an exaggeration</w:t>
      </w:r>
      <w:r>
        <w:rPr>
          <w:rStyle w:val="FootnoteReference"/>
          <w:rFonts w:ascii="Arial" w:hAnsi="Arial" w:cs="Arial"/>
          <w:sz w:val="24"/>
          <w:szCs w:val="24"/>
        </w:rPr>
        <w:footnoteReference w:id="158"/>
      </w:r>
      <w:r>
        <w:rPr>
          <w:rFonts w:ascii="Arial" w:hAnsi="Arial" w:cs="Arial"/>
          <w:sz w:val="24"/>
          <w:szCs w:val="24"/>
        </w:rPr>
        <w:t>. This trade was widespread, as noted by the increase in Egyptian wares in Carthaginian tombs and amphorae from Rhodes ha</w:t>
      </w:r>
      <w:r w:rsidR="00125F0C">
        <w:rPr>
          <w:rFonts w:ascii="Arial" w:hAnsi="Arial" w:cs="Arial"/>
          <w:sz w:val="24"/>
          <w:szCs w:val="24"/>
        </w:rPr>
        <w:t>ve</w:t>
      </w:r>
      <w:r>
        <w:rPr>
          <w:rFonts w:ascii="Arial" w:hAnsi="Arial" w:cs="Arial"/>
          <w:sz w:val="24"/>
          <w:szCs w:val="24"/>
        </w:rPr>
        <w:t xml:space="preserve"> been found filled with wine</w:t>
      </w:r>
      <w:r>
        <w:rPr>
          <w:rStyle w:val="FootnoteReference"/>
          <w:rFonts w:ascii="Arial" w:hAnsi="Arial" w:cs="Arial"/>
          <w:sz w:val="24"/>
          <w:szCs w:val="24"/>
        </w:rPr>
        <w:footnoteReference w:id="159"/>
      </w:r>
      <w:r>
        <w:rPr>
          <w:rFonts w:ascii="Arial" w:hAnsi="Arial" w:cs="Arial"/>
          <w:sz w:val="24"/>
          <w:szCs w:val="24"/>
        </w:rPr>
        <w:t xml:space="preserve">. </w:t>
      </w:r>
    </w:p>
    <w:p w14:paraId="36B52DB3" w14:textId="1C08DA51" w:rsidR="003D4EF4" w:rsidRDefault="00F21624" w:rsidP="008B745A">
      <w:pPr>
        <w:spacing w:line="480" w:lineRule="auto"/>
        <w:rPr>
          <w:rFonts w:ascii="Arial" w:hAnsi="Arial" w:cs="Arial"/>
          <w:sz w:val="24"/>
          <w:szCs w:val="24"/>
        </w:rPr>
      </w:pPr>
      <w:r>
        <w:rPr>
          <w:rFonts w:ascii="Arial" w:hAnsi="Arial" w:cs="Arial"/>
          <w:sz w:val="24"/>
          <w:szCs w:val="24"/>
        </w:rPr>
        <w:t>It also explains the varied nature of Carthaginian expansion. Often, exclusive trading rights were all that was needed between Carthage and another city</w:t>
      </w:r>
      <w:r>
        <w:rPr>
          <w:rStyle w:val="FootnoteReference"/>
          <w:rFonts w:ascii="Arial" w:hAnsi="Arial" w:cs="Arial"/>
          <w:sz w:val="24"/>
          <w:szCs w:val="24"/>
        </w:rPr>
        <w:footnoteReference w:id="160"/>
      </w:r>
      <w:r>
        <w:rPr>
          <w:rFonts w:ascii="Arial" w:hAnsi="Arial" w:cs="Arial"/>
          <w:sz w:val="24"/>
          <w:szCs w:val="24"/>
        </w:rPr>
        <w:t>, or a small number of Punic settlers would go and establish themselves in different towns. On the other hand, Punic culture and large-scale Punic colonisation or resettlement occurred - for example, the resettling of the Megarian colony of Selinus into Lilybaeum</w:t>
      </w:r>
      <w:r>
        <w:rPr>
          <w:rStyle w:val="FootnoteReference"/>
          <w:rFonts w:ascii="Arial" w:hAnsi="Arial" w:cs="Arial"/>
          <w:sz w:val="24"/>
          <w:szCs w:val="24"/>
        </w:rPr>
        <w:footnoteReference w:id="161"/>
      </w:r>
      <w:r>
        <w:rPr>
          <w:rFonts w:ascii="Arial" w:hAnsi="Arial" w:cs="Arial"/>
          <w:sz w:val="24"/>
          <w:szCs w:val="24"/>
        </w:rPr>
        <w:t>. Old Phoenician settlements were expanded on, like Motya and Panormus</w:t>
      </w:r>
      <w:r>
        <w:rPr>
          <w:rStyle w:val="FootnoteReference"/>
          <w:rFonts w:ascii="Arial" w:hAnsi="Arial" w:cs="Arial"/>
          <w:sz w:val="24"/>
          <w:szCs w:val="24"/>
        </w:rPr>
        <w:footnoteReference w:id="162"/>
      </w:r>
      <w:r>
        <w:rPr>
          <w:rFonts w:ascii="Arial" w:hAnsi="Arial" w:cs="Arial"/>
          <w:sz w:val="24"/>
          <w:szCs w:val="24"/>
        </w:rPr>
        <w:t>. In 409</w:t>
      </w:r>
      <w:r w:rsidR="00395550">
        <w:rPr>
          <w:rFonts w:ascii="Arial" w:hAnsi="Arial" w:cs="Arial"/>
          <w:sz w:val="24"/>
          <w:szCs w:val="24"/>
        </w:rPr>
        <w:t>,</w:t>
      </w:r>
      <w:r>
        <w:rPr>
          <w:rFonts w:ascii="Arial" w:hAnsi="Arial" w:cs="Arial"/>
          <w:sz w:val="24"/>
          <w:szCs w:val="24"/>
        </w:rPr>
        <w:t xml:space="preserve"> Carthage sent colonists to establish the town of Thermae and to Hotya in the 4</w:t>
      </w:r>
      <w:r>
        <w:rPr>
          <w:rFonts w:ascii="Arial" w:hAnsi="Arial" w:cs="Arial"/>
          <w:sz w:val="24"/>
          <w:szCs w:val="24"/>
          <w:vertAlign w:val="superscript"/>
        </w:rPr>
        <w:t>th</w:t>
      </w:r>
      <w:r>
        <w:rPr>
          <w:rFonts w:ascii="Arial" w:hAnsi="Arial" w:cs="Arial"/>
          <w:sz w:val="24"/>
          <w:szCs w:val="24"/>
        </w:rPr>
        <w:t xml:space="preserve"> century</w:t>
      </w:r>
      <w:r>
        <w:rPr>
          <w:rStyle w:val="FootnoteReference"/>
          <w:rFonts w:ascii="Arial" w:hAnsi="Arial" w:cs="Arial"/>
          <w:sz w:val="24"/>
          <w:szCs w:val="24"/>
        </w:rPr>
        <w:footnoteReference w:id="163"/>
      </w:r>
      <w:r>
        <w:rPr>
          <w:rFonts w:ascii="Arial" w:hAnsi="Arial" w:cs="Arial"/>
          <w:sz w:val="24"/>
          <w:szCs w:val="24"/>
        </w:rPr>
        <w:t>. Other sites like Lepis Magna and the Thugga were heavily redeveloped by Carthage, as shown by the quantity of Punic remains and religious iconography</w:t>
      </w:r>
      <w:r>
        <w:rPr>
          <w:rStyle w:val="FootnoteReference"/>
          <w:rFonts w:ascii="Arial" w:hAnsi="Arial" w:cs="Arial"/>
          <w:sz w:val="24"/>
          <w:szCs w:val="24"/>
        </w:rPr>
        <w:footnoteReference w:id="164"/>
      </w:r>
      <w:r>
        <w:rPr>
          <w:rFonts w:ascii="Arial" w:hAnsi="Arial" w:cs="Arial"/>
          <w:sz w:val="24"/>
          <w:szCs w:val="24"/>
        </w:rPr>
        <w:t xml:space="preserve">. This was probably due to the strategic value of the sites – Lilybaeum offered control of the waters between Carthage and Sicily, Lepis Magna was a vital port in the trade routes between Carthage and Egypt and Thugga was situated in Sicily, close to Carthage’s great rival Syracuse. Other sites, like </w:t>
      </w:r>
      <w:proofErr w:type="spellStart"/>
      <w:r>
        <w:rPr>
          <w:rFonts w:ascii="Arial" w:hAnsi="Arial" w:cs="Arial"/>
          <w:sz w:val="24"/>
          <w:szCs w:val="24"/>
        </w:rPr>
        <w:t>Himera</w:t>
      </w:r>
      <w:proofErr w:type="spellEnd"/>
      <w:r>
        <w:rPr>
          <w:rFonts w:ascii="Arial" w:hAnsi="Arial" w:cs="Arial"/>
          <w:sz w:val="24"/>
          <w:szCs w:val="24"/>
        </w:rPr>
        <w:t xml:space="preserve">, </w:t>
      </w:r>
      <w:r>
        <w:rPr>
          <w:rFonts w:ascii="Arial" w:hAnsi="Arial" w:cs="Arial"/>
          <w:sz w:val="24"/>
          <w:szCs w:val="24"/>
        </w:rPr>
        <w:lastRenderedPageBreak/>
        <w:t>were re-founded as Punic settlements to maintain its loyalty – especially since it was the site of a large Carthaginian defeat</w:t>
      </w:r>
      <w:r>
        <w:rPr>
          <w:rStyle w:val="FootnoteReference"/>
          <w:rFonts w:ascii="Arial" w:hAnsi="Arial" w:cs="Arial"/>
          <w:sz w:val="24"/>
          <w:szCs w:val="24"/>
        </w:rPr>
        <w:footnoteReference w:id="165"/>
      </w:r>
      <w:r>
        <w:rPr>
          <w:rFonts w:ascii="Arial" w:hAnsi="Arial" w:cs="Arial"/>
          <w:sz w:val="24"/>
          <w:szCs w:val="24"/>
        </w:rPr>
        <w:t xml:space="preserve">. Carthage was aware of the fragility of its maritime empire and was prepared to take pro-active steps to protect it. </w:t>
      </w:r>
    </w:p>
    <w:p w14:paraId="178D5B41" w14:textId="5DE97C06" w:rsidR="00F21624" w:rsidRDefault="00F21624" w:rsidP="008B745A">
      <w:pPr>
        <w:spacing w:line="480" w:lineRule="auto"/>
        <w:rPr>
          <w:rFonts w:ascii="Arial" w:hAnsi="Arial" w:cs="Arial"/>
          <w:sz w:val="24"/>
          <w:szCs w:val="24"/>
        </w:rPr>
      </w:pPr>
      <w:r>
        <w:rPr>
          <w:rFonts w:ascii="Arial" w:hAnsi="Arial" w:cs="Arial"/>
          <w:sz w:val="24"/>
          <w:szCs w:val="24"/>
        </w:rPr>
        <w:t>The key thing to state is the flexibility employed by Carthage to promote its interests and influence. Whilst Whittaker argues that early Carthaginian warfare was not about territory but ensuring the independence of cities and offering them rights</w:t>
      </w:r>
      <w:r>
        <w:rPr>
          <w:rStyle w:val="FootnoteReference"/>
          <w:rFonts w:ascii="Arial" w:hAnsi="Arial" w:cs="Arial"/>
          <w:sz w:val="24"/>
          <w:szCs w:val="24"/>
        </w:rPr>
        <w:footnoteReference w:id="166"/>
      </w:r>
      <w:r>
        <w:rPr>
          <w:rFonts w:ascii="Arial" w:hAnsi="Arial" w:cs="Arial"/>
          <w:sz w:val="24"/>
          <w:szCs w:val="24"/>
        </w:rPr>
        <w:t>, this was one of many strategies</w:t>
      </w:r>
      <w:r w:rsidR="003D4EF4">
        <w:rPr>
          <w:rFonts w:ascii="Arial" w:hAnsi="Arial" w:cs="Arial"/>
          <w:sz w:val="24"/>
          <w:szCs w:val="24"/>
        </w:rPr>
        <w:t xml:space="preserve"> they employed</w:t>
      </w:r>
      <w:r>
        <w:rPr>
          <w:rFonts w:ascii="Arial" w:hAnsi="Arial" w:cs="Arial"/>
          <w:sz w:val="24"/>
          <w:szCs w:val="24"/>
        </w:rPr>
        <w:t>. Carthage did not have the military strength to continuously expand its territory</w:t>
      </w:r>
      <w:r w:rsidR="00860C9A">
        <w:rPr>
          <w:rFonts w:ascii="Arial" w:hAnsi="Arial" w:cs="Arial"/>
          <w:sz w:val="24"/>
          <w:szCs w:val="24"/>
        </w:rPr>
        <w:t>;</w:t>
      </w:r>
      <w:r>
        <w:rPr>
          <w:rFonts w:ascii="Arial" w:hAnsi="Arial" w:cs="Arial"/>
          <w:sz w:val="24"/>
          <w:szCs w:val="24"/>
        </w:rPr>
        <w:t xml:space="preserve"> it needed other strategies to avoid polities switching allegiance to Syracuse. </w:t>
      </w:r>
    </w:p>
    <w:p w14:paraId="24F280C4" w14:textId="1A1AFF09" w:rsidR="00F21624" w:rsidRDefault="00F21624" w:rsidP="008B745A">
      <w:pPr>
        <w:spacing w:line="480" w:lineRule="auto"/>
        <w:rPr>
          <w:rFonts w:ascii="Arial" w:hAnsi="Arial" w:cs="Arial"/>
          <w:sz w:val="24"/>
          <w:szCs w:val="24"/>
        </w:rPr>
      </w:pPr>
      <w:r>
        <w:rPr>
          <w:rFonts w:ascii="Arial" w:hAnsi="Arial" w:cs="Arial"/>
          <w:sz w:val="24"/>
          <w:szCs w:val="24"/>
        </w:rPr>
        <w:t>The rivalry between Carthage and Syracuse created separate spheres of influence, leading cities to make agreements with Carthage</w:t>
      </w:r>
      <w:r>
        <w:rPr>
          <w:rStyle w:val="FootnoteReference"/>
          <w:rFonts w:ascii="Arial" w:hAnsi="Arial" w:cs="Arial"/>
          <w:sz w:val="24"/>
          <w:szCs w:val="24"/>
        </w:rPr>
        <w:footnoteReference w:id="167"/>
      </w:r>
      <w:r>
        <w:rPr>
          <w:rFonts w:ascii="Arial" w:hAnsi="Arial" w:cs="Arial"/>
          <w:sz w:val="24"/>
          <w:szCs w:val="24"/>
        </w:rPr>
        <w:t>. Segesta, one of the largest cities, certainly did so</w:t>
      </w:r>
      <w:r>
        <w:rPr>
          <w:rStyle w:val="FootnoteReference"/>
          <w:rFonts w:ascii="Arial" w:hAnsi="Arial" w:cs="Arial"/>
          <w:sz w:val="24"/>
          <w:szCs w:val="24"/>
        </w:rPr>
        <w:footnoteReference w:id="168"/>
      </w:r>
      <w:r>
        <w:rPr>
          <w:rFonts w:ascii="Arial" w:hAnsi="Arial" w:cs="Arial"/>
          <w:sz w:val="24"/>
          <w:szCs w:val="24"/>
        </w:rPr>
        <w:t xml:space="preserve">. Others like Gela and </w:t>
      </w:r>
      <w:proofErr w:type="spellStart"/>
      <w:r>
        <w:rPr>
          <w:rFonts w:ascii="Arial" w:hAnsi="Arial" w:cs="Arial"/>
          <w:sz w:val="24"/>
          <w:szCs w:val="24"/>
        </w:rPr>
        <w:t>Carmaria</w:t>
      </w:r>
      <w:proofErr w:type="spellEnd"/>
      <w:r>
        <w:rPr>
          <w:rFonts w:ascii="Arial" w:hAnsi="Arial" w:cs="Arial"/>
          <w:sz w:val="24"/>
          <w:szCs w:val="24"/>
        </w:rPr>
        <w:t xml:space="preserve"> had to pay tribute, but not previously Phoenician ones like the </w:t>
      </w:r>
      <w:proofErr w:type="spellStart"/>
      <w:r>
        <w:rPr>
          <w:rFonts w:ascii="Arial" w:hAnsi="Arial" w:cs="Arial"/>
          <w:sz w:val="24"/>
          <w:szCs w:val="24"/>
        </w:rPr>
        <w:t>Elymians</w:t>
      </w:r>
      <w:proofErr w:type="spellEnd"/>
      <w:r>
        <w:rPr>
          <w:rStyle w:val="FootnoteReference"/>
          <w:rFonts w:ascii="Arial" w:hAnsi="Arial" w:cs="Arial"/>
          <w:sz w:val="24"/>
          <w:szCs w:val="24"/>
        </w:rPr>
        <w:footnoteReference w:id="169"/>
      </w:r>
      <w:r>
        <w:rPr>
          <w:rFonts w:ascii="Arial" w:hAnsi="Arial" w:cs="Arial"/>
          <w:sz w:val="24"/>
          <w:szCs w:val="24"/>
        </w:rPr>
        <w:t>. The city of Etna in fact explicitly asked for Carthaginian soldiers to protect them</w:t>
      </w:r>
      <w:r>
        <w:rPr>
          <w:rStyle w:val="FootnoteReference"/>
          <w:rFonts w:ascii="Arial" w:hAnsi="Arial" w:cs="Arial"/>
          <w:sz w:val="24"/>
          <w:szCs w:val="24"/>
        </w:rPr>
        <w:footnoteReference w:id="170"/>
      </w:r>
      <w:r>
        <w:rPr>
          <w:rFonts w:ascii="Arial" w:hAnsi="Arial" w:cs="Arial"/>
          <w:sz w:val="24"/>
          <w:szCs w:val="24"/>
        </w:rPr>
        <w:t>. Herodotus’s view that Carthage’s aim to enslave the Sicilian Greeks is not convincing</w:t>
      </w:r>
      <w:r>
        <w:rPr>
          <w:rStyle w:val="FootnoteReference"/>
          <w:rFonts w:ascii="Arial" w:hAnsi="Arial" w:cs="Arial"/>
          <w:sz w:val="24"/>
          <w:szCs w:val="24"/>
        </w:rPr>
        <w:footnoteReference w:id="171"/>
      </w:r>
      <w:r>
        <w:rPr>
          <w:rFonts w:ascii="Arial" w:hAnsi="Arial" w:cs="Arial"/>
          <w:sz w:val="24"/>
          <w:szCs w:val="24"/>
        </w:rPr>
        <w:t>. Rather, these agreements show that Carthage valued stability in Sicily –</w:t>
      </w:r>
      <w:r w:rsidR="00827B4C">
        <w:rPr>
          <w:rFonts w:ascii="Arial" w:hAnsi="Arial" w:cs="Arial"/>
          <w:sz w:val="24"/>
          <w:szCs w:val="24"/>
        </w:rPr>
        <w:t xml:space="preserve"> </w:t>
      </w:r>
      <w:r>
        <w:rPr>
          <w:rFonts w:ascii="Arial" w:hAnsi="Arial" w:cs="Arial"/>
          <w:sz w:val="24"/>
          <w:szCs w:val="24"/>
        </w:rPr>
        <w:t xml:space="preserve">to stimulate trade. Direct control could </w:t>
      </w:r>
      <w:r w:rsidR="00E706EF">
        <w:rPr>
          <w:rFonts w:ascii="Arial" w:hAnsi="Arial" w:cs="Arial"/>
          <w:sz w:val="24"/>
          <w:szCs w:val="24"/>
        </w:rPr>
        <w:t>be</w:t>
      </w:r>
      <w:r>
        <w:rPr>
          <w:rFonts w:ascii="Arial" w:hAnsi="Arial" w:cs="Arial"/>
          <w:sz w:val="24"/>
          <w:szCs w:val="24"/>
        </w:rPr>
        <w:t xml:space="preserve"> authorised - Selinus was garrisoned</w:t>
      </w:r>
      <w:r>
        <w:rPr>
          <w:rStyle w:val="FootnoteReference"/>
          <w:rFonts w:ascii="Arial" w:hAnsi="Arial" w:cs="Arial"/>
          <w:sz w:val="24"/>
          <w:szCs w:val="24"/>
        </w:rPr>
        <w:footnoteReference w:id="172"/>
      </w:r>
      <w:r>
        <w:rPr>
          <w:rFonts w:ascii="Arial" w:hAnsi="Arial" w:cs="Arial"/>
          <w:sz w:val="24"/>
          <w:szCs w:val="24"/>
        </w:rPr>
        <w:t xml:space="preserve"> and Carthage also acquired territory in the east of the island, such as the cities of Gela and </w:t>
      </w:r>
      <w:proofErr w:type="spellStart"/>
      <w:r>
        <w:rPr>
          <w:rFonts w:ascii="Arial" w:hAnsi="Arial" w:cs="Arial"/>
          <w:sz w:val="24"/>
          <w:szCs w:val="24"/>
        </w:rPr>
        <w:t>Camarina</w:t>
      </w:r>
      <w:proofErr w:type="spellEnd"/>
      <w:r>
        <w:rPr>
          <w:rStyle w:val="FootnoteReference"/>
          <w:rFonts w:ascii="Arial" w:hAnsi="Arial" w:cs="Arial"/>
          <w:sz w:val="24"/>
          <w:szCs w:val="24"/>
        </w:rPr>
        <w:footnoteReference w:id="173"/>
      </w:r>
      <w:r>
        <w:rPr>
          <w:rFonts w:ascii="Arial" w:hAnsi="Arial" w:cs="Arial"/>
          <w:sz w:val="24"/>
          <w:szCs w:val="24"/>
        </w:rPr>
        <w:t xml:space="preserve">. So long as Carthage sought to limit the growth of other powers on the island, she could maintain stability </w:t>
      </w:r>
      <w:r w:rsidR="002F332C">
        <w:rPr>
          <w:rFonts w:ascii="Arial" w:hAnsi="Arial" w:cs="Arial"/>
          <w:sz w:val="24"/>
          <w:szCs w:val="24"/>
        </w:rPr>
        <w:t>continue trading</w:t>
      </w:r>
      <w:r>
        <w:rPr>
          <w:rFonts w:ascii="Arial" w:hAnsi="Arial" w:cs="Arial"/>
          <w:sz w:val="24"/>
          <w:szCs w:val="24"/>
        </w:rPr>
        <w:t xml:space="preserve">. </w:t>
      </w:r>
      <w:r w:rsidR="00E706EF">
        <w:rPr>
          <w:rFonts w:ascii="Arial" w:hAnsi="Arial" w:cs="Arial"/>
          <w:sz w:val="24"/>
          <w:szCs w:val="24"/>
        </w:rPr>
        <w:t>I</w:t>
      </w:r>
      <w:r>
        <w:rPr>
          <w:rFonts w:ascii="Arial" w:hAnsi="Arial" w:cs="Arial"/>
          <w:sz w:val="24"/>
          <w:szCs w:val="24"/>
        </w:rPr>
        <w:t>n 406</w:t>
      </w:r>
      <w:r w:rsidR="00E327DB">
        <w:rPr>
          <w:rFonts w:ascii="Arial" w:hAnsi="Arial" w:cs="Arial"/>
          <w:sz w:val="24"/>
          <w:szCs w:val="24"/>
        </w:rPr>
        <w:t>,</w:t>
      </w:r>
      <w:r>
        <w:rPr>
          <w:rFonts w:ascii="Arial" w:hAnsi="Arial" w:cs="Arial"/>
          <w:sz w:val="24"/>
          <w:szCs w:val="24"/>
        </w:rPr>
        <w:t xml:space="preserve"> Carthage made an offer of alliance and neutrality to </w:t>
      </w:r>
      <w:proofErr w:type="spellStart"/>
      <w:r>
        <w:rPr>
          <w:rFonts w:ascii="Arial" w:hAnsi="Arial" w:cs="Arial"/>
          <w:sz w:val="24"/>
          <w:szCs w:val="24"/>
        </w:rPr>
        <w:lastRenderedPageBreak/>
        <w:t>Acragas</w:t>
      </w:r>
      <w:proofErr w:type="spellEnd"/>
      <w:r>
        <w:rPr>
          <w:rFonts w:ascii="Arial" w:hAnsi="Arial" w:cs="Arial"/>
          <w:sz w:val="24"/>
          <w:szCs w:val="24"/>
        </w:rPr>
        <w:t>, despite the town’s earlier hostility to Carthage</w:t>
      </w:r>
      <w:r>
        <w:rPr>
          <w:rStyle w:val="FootnoteReference"/>
          <w:rFonts w:ascii="Arial" w:hAnsi="Arial" w:cs="Arial"/>
          <w:sz w:val="24"/>
          <w:szCs w:val="24"/>
        </w:rPr>
        <w:footnoteReference w:id="174"/>
      </w:r>
      <w:r>
        <w:rPr>
          <w:rFonts w:ascii="Arial" w:hAnsi="Arial" w:cs="Arial"/>
          <w:sz w:val="24"/>
          <w:szCs w:val="24"/>
        </w:rPr>
        <w:t xml:space="preserve">. </w:t>
      </w:r>
      <w:r w:rsidR="00827B4C">
        <w:rPr>
          <w:rFonts w:ascii="Arial" w:hAnsi="Arial" w:cs="Arial"/>
          <w:sz w:val="24"/>
          <w:szCs w:val="24"/>
        </w:rPr>
        <w:t>As a result</w:t>
      </w:r>
      <w:r>
        <w:rPr>
          <w:rFonts w:ascii="Arial" w:hAnsi="Arial" w:cs="Arial"/>
          <w:sz w:val="24"/>
          <w:szCs w:val="24"/>
        </w:rPr>
        <w:t>, Carthage spread its influence further, whilst avoiding the need for expensive garrisons - these relations were vital because Carthage could not afford a standing army</w:t>
      </w:r>
      <w:r>
        <w:rPr>
          <w:rStyle w:val="FootnoteReference"/>
          <w:rFonts w:ascii="Arial" w:hAnsi="Arial" w:cs="Arial"/>
          <w:sz w:val="24"/>
          <w:szCs w:val="24"/>
        </w:rPr>
        <w:footnoteReference w:id="175"/>
      </w:r>
      <w:r>
        <w:rPr>
          <w:rFonts w:ascii="Arial" w:hAnsi="Arial" w:cs="Arial"/>
          <w:sz w:val="24"/>
          <w:szCs w:val="24"/>
        </w:rPr>
        <w:t xml:space="preserve"> </w:t>
      </w:r>
      <w:r w:rsidR="001B5582">
        <w:rPr>
          <w:rFonts w:ascii="Arial" w:hAnsi="Arial" w:cs="Arial"/>
          <w:sz w:val="24"/>
          <w:szCs w:val="24"/>
        </w:rPr>
        <w:t>- encouraging</w:t>
      </w:r>
      <w:r>
        <w:rPr>
          <w:rFonts w:ascii="Arial" w:hAnsi="Arial" w:cs="Arial"/>
          <w:sz w:val="24"/>
          <w:szCs w:val="24"/>
        </w:rPr>
        <w:t xml:space="preserve"> the risk of the town appealing to Syracuse. </w:t>
      </w:r>
    </w:p>
    <w:p w14:paraId="0642A2DE" w14:textId="25DA657F" w:rsidR="00F21624" w:rsidRDefault="00F21624" w:rsidP="008B745A">
      <w:pPr>
        <w:spacing w:line="480" w:lineRule="auto"/>
        <w:rPr>
          <w:rFonts w:ascii="Arial" w:hAnsi="Arial" w:cs="Arial"/>
          <w:sz w:val="24"/>
          <w:szCs w:val="24"/>
        </w:rPr>
      </w:pPr>
      <w:r>
        <w:rPr>
          <w:rFonts w:ascii="Arial" w:hAnsi="Arial" w:cs="Arial"/>
          <w:sz w:val="24"/>
          <w:szCs w:val="24"/>
        </w:rPr>
        <w:t>Like Rome, Carthage had to respond to pleas from smaller powers – for some Greek states coming under Carthaginian dominion was preferable to Syracusan</w:t>
      </w:r>
      <w:r>
        <w:rPr>
          <w:rStyle w:val="FootnoteReference"/>
          <w:rFonts w:ascii="Arial" w:hAnsi="Arial" w:cs="Arial"/>
          <w:sz w:val="24"/>
          <w:szCs w:val="24"/>
        </w:rPr>
        <w:footnoteReference w:id="176"/>
      </w:r>
      <w:r>
        <w:rPr>
          <w:rFonts w:ascii="Arial" w:hAnsi="Arial" w:cs="Arial"/>
          <w:sz w:val="24"/>
          <w:szCs w:val="24"/>
        </w:rPr>
        <w:t>. In 410, the Carthaginians intervened in Sicily at the request of Segesta</w:t>
      </w:r>
      <w:r w:rsidR="002F332C">
        <w:rPr>
          <w:rFonts w:ascii="Arial" w:hAnsi="Arial" w:cs="Arial"/>
          <w:sz w:val="24"/>
          <w:szCs w:val="24"/>
        </w:rPr>
        <w:t>,</w:t>
      </w:r>
      <w:r>
        <w:rPr>
          <w:rFonts w:ascii="Arial" w:hAnsi="Arial" w:cs="Arial"/>
          <w:sz w:val="24"/>
          <w:szCs w:val="24"/>
        </w:rPr>
        <w:t xml:space="preserve"> who was at war with Selinus</w:t>
      </w:r>
      <w:r>
        <w:rPr>
          <w:rStyle w:val="FootnoteReference"/>
          <w:rFonts w:ascii="Arial" w:hAnsi="Arial" w:cs="Arial"/>
          <w:sz w:val="24"/>
          <w:szCs w:val="24"/>
        </w:rPr>
        <w:footnoteReference w:id="177"/>
      </w:r>
      <w:r>
        <w:rPr>
          <w:rFonts w:ascii="Arial" w:hAnsi="Arial" w:cs="Arial"/>
          <w:sz w:val="24"/>
          <w:szCs w:val="24"/>
        </w:rPr>
        <w:t>. Pilkington views this as a mere pretext, stating that it was Syracusan instability after the Athenian expedition that led Carthage to move in</w:t>
      </w:r>
      <w:r>
        <w:rPr>
          <w:rStyle w:val="FootnoteReference"/>
          <w:rFonts w:ascii="Arial" w:hAnsi="Arial" w:cs="Arial"/>
          <w:sz w:val="24"/>
          <w:szCs w:val="24"/>
        </w:rPr>
        <w:footnoteReference w:id="178"/>
      </w:r>
      <w:r>
        <w:rPr>
          <w:rFonts w:ascii="Arial" w:hAnsi="Arial" w:cs="Arial"/>
          <w:sz w:val="24"/>
          <w:szCs w:val="24"/>
        </w:rPr>
        <w:t xml:space="preserve"> - Syracuse lost 30 ships in 410 at the Battle of Cyzicus</w:t>
      </w:r>
      <w:r>
        <w:rPr>
          <w:rStyle w:val="FootnoteReference"/>
          <w:rFonts w:ascii="Arial" w:hAnsi="Arial" w:cs="Arial"/>
          <w:sz w:val="24"/>
          <w:szCs w:val="24"/>
        </w:rPr>
        <w:footnoteReference w:id="179"/>
      </w:r>
      <w:r>
        <w:rPr>
          <w:rFonts w:ascii="Arial" w:hAnsi="Arial" w:cs="Arial"/>
          <w:sz w:val="24"/>
          <w:szCs w:val="24"/>
        </w:rPr>
        <w:t>. On the other hand, Whittaker states that Carthage was keen not to antagonise Syracuse</w:t>
      </w:r>
      <w:r>
        <w:rPr>
          <w:rStyle w:val="FootnoteReference"/>
          <w:rFonts w:ascii="Arial" w:hAnsi="Arial" w:cs="Arial"/>
          <w:sz w:val="24"/>
          <w:szCs w:val="24"/>
        </w:rPr>
        <w:footnoteReference w:id="180"/>
      </w:r>
      <w:r>
        <w:rPr>
          <w:rFonts w:ascii="Arial" w:hAnsi="Arial" w:cs="Arial"/>
          <w:sz w:val="24"/>
          <w:szCs w:val="24"/>
        </w:rPr>
        <w:t xml:space="preserve"> – for example using an </w:t>
      </w:r>
      <w:proofErr w:type="spellStart"/>
      <w:r>
        <w:rPr>
          <w:rFonts w:ascii="Arial" w:hAnsi="Arial" w:cs="Arial"/>
          <w:sz w:val="24"/>
          <w:szCs w:val="24"/>
        </w:rPr>
        <w:t>Elymian</w:t>
      </w:r>
      <w:proofErr w:type="spellEnd"/>
      <w:r>
        <w:rPr>
          <w:rFonts w:ascii="Arial" w:hAnsi="Arial" w:cs="Arial"/>
          <w:sz w:val="24"/>
          <w:szCs w:val="24"/>
        </w:rPr>
        <w:t xml:space="preserve"> general for the first battle rather than a Carthaginian</w:t>
      </w:r>
      <w:r>
        <w:rPr>
          <w:rStyle w:val="FootnoteReference"/>
          <w:rFonts w:ascii="Arial" w:hAnsi="Arial" w:cs="Arial"/>
          <w:sz w:val="24"/>
          <w:szCs w:val="24"/>
        </w:rPr>
        <w:footnoteReference w:id="181"/>
      </w:r>
      <w:r>
        <w:rPr>
          <w:rFonts w:ascii="Arial" w:hAnsi="Arial" w:cs="Arial"/>
          <w:sz w:val="24"/>
          <w:szCs w:val="24"/>
        </w:rPr>
        <w:t>. More likely, in the wake of Syracusan weakness, Selinus may have wanted to increase its role in Sicilian trade and ensure she could compete – Athenian imports begin to be found around this time</w:t>
      </w:r>
      <w:r>
        <w:rPr>
          <w:rStyle w:val="FootnoteReference"/>
          <w:rFonts w:ascii="Arial" w:hAnsi="Arial" w:cs="Arial"/>
          <w:sz w:val="24"/>
          <w:szCs w:val="24"/>
        </w:rPr>
        <w:footnoteReference w:id="182"/>
      </w:r>
      <w:r>
        <w:rPr>
          <w:rFonts w:ascii="Arial" w:hAnsi="Arial" w:cs="Arial"/>
          <w:sz w:val="24"/>
          <w:szCs w:val="24"/>
        </w:rPr>
        <w:t xml:space="preserve">.  </w:t>
      </w:r>
      <w:r w:rsidR="00B07618">
        <w:rPr>
          <w:rFonts w:ascii="Arial" w:hAnsi="Arial" w:cs="Arial"/>
          <w:sz w:val="24"/>
          <w:szCs w:val="24"/>
        </w:rPr>
        <w:t>N</w:t>
      </w:r>
      <w:r>
        <w:rPr>
          <w:rFonts w:ascii="Arial" w:hAnsi="Arial" w:cs="Arial"/>
          <w:sz w:val="24"/>
          <w:szCs w:val="24"/>
        </w:rPr>
        <w:t>ot to respond would have allowed Selinus to steal trade and influence, whilst setting a precedent that Carthage would not defend cities that appealed to he</w:t>
      </w:r>
      <w:r w:rsidR="001B5582">
        <w:rPr>
          <w:rFonts w:ascii="Arial" w:hAnsi="Arial" w:cs="Arial"/>
          <w:sz w:val="24"/>
          <w:szCs w:val="24"/>
        </w:rPr>
        <w:t>r</w:t>
      </w:r>
      <w:r>
        <w:rPr>
          <w:rFonts w:ascii="Arial" w:hAnsi="Arial" w:cs="Arial"/>
          <w:sz w:val="24"/>
          <w:szCs w:val="24"/>
        </w:rPr>
        <w:t xml:space="preserve">. These Greek polities feared Syracusan expansion as much as Carthage did, or at least saw short-term gain to be had from Carthaginian </w:t>
      </w:r>
      <w:r>
        <w:rPr>
          <w:rFonts w:ascii="Arial" w:hAnsi="Arial" w:cs="Arial"/>
          <w:sz w:val="24"/>
          <w:szCs w:val="24"/>
        </w:rPr>
        <w:lastRenderedPageBreak/>
        <w:t>ascendency</w:t>
      </w:r>
      <w:r>
        <w:rPr>
          <w:rStyle w:val="FootnoteReference"/>
          <w:rFonts w:ascii="Arial" w:hAnsi="Arial" w:cs="Arial"/>
          <w:sz w:val="24"/>
          <w:szCs w:val="24"/>
        </w:rPr>
        <w:footnoteReference w:id="183"/>
      </w:r>
      <w:r>
        <w:rPr>
          <w:rFonts w:ascii="Arial" w:hAnsi="Arial" w:cs="Arial"/>
          <w:sz w:val="24"/>
          <w:szCs w:val="24"/>
        </w:rPr>
        <w:t xml:space="preserve">. </w:t>
      </w:r>
      <w:r w:rsidR="00B07618">
        <w:rPr>
          <w:rFonts w:ascii="Arial" w:hAnsi="Arial" w:cs="Arial"/>
          <w:sz w:val="24"/>
          <w:szCs w:val="24"/>
        </w:rPr>
        <w:t>L</w:t>
      </w:r>
      <w:r>
        <w:rPr>
          <w:rFonts w:ascii="Arial" w:hAnsi="Arial" w:cs="Arial"/>
          <w:sz w:val="24"/>
          <w:szCs w:val="24"/>
        </w:rPr>
        <w:t xml:space="preserve">ike the growth of Rome, the Carthaginians were aware that there were other powers they had to </w:t>
      </w:r>
      <w:r w:rsidR="007E40C0">
        <w:rPr>
          <w:rFonts w:ascii="Arial" w:hAnsi="Arial" w:cs="Arial"/>
          <w:sz w:val="24"/>
          <w:szCs w:val="24"/>
        </w:rPr>
        <w:t>counter,</w:t>
      </w:r>
      <w:r>
        <w:rPr>
          <w:rFonts w:ascii="Arial" w:hAnsi="Arial" w:cs="Arial"/>
          <w:sz w:val="24"/>
          <w:szCs w:val="24"/>
        </w:rPr>
        <w:t xml:space="preserve"> and that proactive force could be necessary. </w:t>
      </w:r>
    </w:p>
    <w:p w14:paraId="49F8BBCE" w14:textId="77777777" w:rsidR="00621114" w:rsidRDefault="001B5582" w:rsidP="008B745A">
      <w:pPr>
        <w:spacing w:line="480" w:lineRule="auto"/>
        <w:rPr>
          <w:rFonts w:ascii="Arial" w:hAnsi="Arial" w:cs="Arial"/>
          <w:sz w:val="24"/>
          <w:szCs w:val="24"/>
        </w:rPr>
      </w:pPr>
      <w:r>
        <w:rPr>
          <w:rFonts w:ascii="Arial" w:hAnsi="Arial" w:cs="Arial"/>
          <w:sz w:val="24"/>
          <w:szCs w:val="24"/>
        </w:rPr>
        <w:t>M</w:t>
      </w:r>
      <w:r w:rsidR="00F21624">
        <w:rPr>
          <w:rFonts w:ascii="Arial" w:hAnsi="Arial" w:cs="Arial"/>
          <w:sz w:val="24"/>
          <w:szCs w:val="24"/>
        </w:rPr>
        <w:t>uch like the history of Rome, different states could work together for mutual intere</w:t>
      </w:r>
      <w:r>
        <w:rPr>
          <w:rFonts w:ascii="Arial" w:hAnsi="Arial" w:cs="Arial"/>
          <w:sz w:val="24"/>
          <w:szCs w:val="24"/>
        </w:rPr>
        <w:t>s</w:t>
      </w:r>
      <w:r w:rsidR="00F21624">
        <w:rPr>
          <w:rFonts w:ascii="Arial" w:hAnsi="Arial" w:cs="Arial"/>
          <w:sz w:val="24"/>
          <w:szCs w:val="24"/>
        </w:rPr>
        <w:t>t</w:t>
      </w:r>
      <w:r w:rsidR="00E327DB">
        <w:rPr>
          <w:rFonts w:ascii="Arial" w:hAnsi="Arial" w:cs="Arial"/>
          <w:sz w:val="24"/>
          <w:szCs w:val="24"/>
        </w:rPr>
        <w:t xml:space="preserve">. For example, the naval victory at </w:t>
      </w:r>
      <w:proofErr w:type="spellStart"/>
      <w:r w:rsidR="00E327DB">
        <w:rPr>
          <w:rFonts w:ascii="Arial" w:hAnsi="Arial" w:cs="Arial"/>
          <w:sz w:val="24"/>
          <w:szCs w:val="24"/>
        </w:rPr>
        <w:t>Alalia</w:t>
      </w:r>
      <w:proofErr w:type="spellEnd"/>
      <w:r w:rsidR="00E327DB">
        <w:rPr>
          <w:rFonts w:ascii="Arial" w:hAnsi="Arial" w:cs="Arial"/>
          <w:sz w:val="24"/>
          <w:szCs w:val="24"/>
        </w:rPr>
        <w:t xml:space="preserve"> in 535, forcing the </w:t>
      </w:r>
      <w:proofErr w:type="spellStart"/>
      <w:r w:rsidR="00E327DB">
        <w:rPr>
          <w:rFonts w:ascii="Arial" w:hAnsi="Arial" w:cs="Arial"/>
          <w:sz w:val="24"/>
          <w:szCs w:val="24"/>
        </w:rPr>
        <w:t>Phocaeans</w:t>
      </w:r>
      <w:proofErr w:type="spellEnd"/>
      <w:r w:rsidR="00E327DB">
        <w:rPr>
          <w:rFonts w:ascii="Arial" w:hAnsi="Arial" w:cs="Arial"/>
          <w:sz w:val="24"/>
          <w:szCs w:val="24"/>
        </w:rPr>
        <w:t xml:space="preserve"> off Corsica, was only achieved through alliance with the Etruscans</w:t>
      </w:r>
      <w:r w:rsidR="00E327DB">
        <w:rPr>
          <w:rStyle w:val="FootnoteReference"/>
          <w:rFonts w:ascii="Arial" w:hAnsi="Arial" w:cs="Arial"/>
          <w:sz w:val="24"/>
          <w:szCs w:val="24"/>
        </w:rPr>
        <w:footnoteReference w:id="184"/>
      </w:r>
      <w:r w:rsidR="00E327DB">
        <w:rPr>
          <w:rFonts w:ascii="Arial" w:hAnsi="Arial" w:cs="Arial"/>
          <w:sz w:val="24"/>
          <w:szCs w:val="24"/>
        </w:rPr>
        <w:t>. For the Etruscans</w:t>
      </w:r>
      <w:r w:rsidR="00621114">
        <w:rPr>
          <w:rFonts w:ascii="Arial" w:hAnsi="Arial" w:cs="Arial"/>
          <w:sz w:val="24"/>
          <w:szCs w:val="24"/>
        </w:rPr>
        <w:t>,</w:t>
      </w:r>
      <w:r w:rsidR="00E327DB">
        <w:rPr>
          <w:rFonts w:ascii="Arial" w:hAnsi="Arial" w:cs="Arial"/>
          <w:sz w:val="24"/>
          <w:szCs w:val="24"/>
        </w:rPr>
        <w:t xml:space="preserve"> it may well have been a case of eliminating piracy, or rather freeing the waters for their own, as Cicero suggests</w:t>
      </w:r>
      <w:r w:rsidR="00E327DB">
        <w:rPr>
          <w:rStyle w:val="FootnoteReference"/>
          <w:rFonts w:ascii="Arial" w:hAnsi="Arial" w:cs="Arial"/>
          <w:sz w:val="24"/>
          <w:szCs w:val="24"/>
        </w:rPr>
        <w:footnoteReference w:id="185"/>
      </w:r>
      <w:r w:rsidR="00F21624">
        <w:rPr>
          <w:rFonts w:ascii="Arial" w:hAnsi="Arial" w:cs="Arial"/>
          <w:sz w:val="24"/>
          <w:szCs w:val="24"/>
        </w:rPr>
        <w:t xml:space="preserve">. </w:t>
      </w:r>
    </w:p>
    <w:p w14:paraId="456ED2F3" w14:textId="3E5FEE8D" w:rsidR="00F21624" w:rsidRDefault="005368F0" w:rsidP="008B745A">
      <w:pPr>
        <w:spacing w:line="480" w:lineRule="auto"/>
        <w:rPr>
          <w:rFonts w:ascii="Arial" w:hAnsi="Arial" w:cs="Arial"/>
          <w:sz w:val="24"/>
          <w:szCs w:val="24"/>
        </w:rPr>
      </w:pPr>
      <w:r>
        <w:rPr>
          <w:rFonts w:ascii="Arial" w:hAnsi="Arial" w:cs="Arial"/>
          <w:sz w:val="24"/>
          <w:szCs w:val="24"/>
        </w:rPr>
        <w:t xml:space="preserve">Again, </w:t>
      </w:r>
      <w:r w:rsidR="00F21624">
        <w:rPr>
          <w:rFonts w:ascii="Arial" w:hAnsi="Arial" w:cs="Arial"/>
          <w:sz w:val="24"/>
          <w:szCs w:val="24"/>
        </w:rPr>
        <w:t xml:space="preserve">like Rome, victories often did not guarantee a smooth increase in power. </w:t>
      </w:r>
      <w:r w:rsidR="003B0D94">
        <w:rPr>
          <w:rFonts w:ascii="Arial" w:hAnsi="Arial" w:cs="Arial"/>
          <w:sz w:val="24"/>
          <w:szCs w:val="24"/>
        </w:rPr>
        <w:t xml:space="preserve">In 480, the Carthaginians were defeated at </w:t>
      </w:r>
      <w:proofErr w:type="spellStart"/>
      <w:r w:rsidR="003B0D94">
        <w:rPr>
          <w:rFonts w:ascii="Arial" w:hAnsi="Arial" w:cs="Arial"/>
          <w:sz w:val="24"/>
          <w:szCs w:val="24"/>
        </w:rPr>
        <w:t>Himera</w:t>
      </w:r>
      <w:proofErr w:type="spellEnd"/>
      <w:r w:rsidR="003B0D94">
        <w:rPr>
          <w:rFonts w:ascii="Arial" w:hAnsi="Arial" w:cs="Arial"/>
          <w:sz w:val="24"/>
          <w:szCs w:val="24"/>
        </w:rPr>
        <w:t xml:space="preserve"> and were defeated again at Cumae in 474</w:t>
      </w:r>
      <w:r w:rsidR="003B0D94">
        <w:rPr>
          <w:rStyle w:val="FootnoteReference"/>
          <w:rFonts w:ascii="Arial" w:hAnsi="Arial" w:cs="Arial"/>
          <w:sz w:val="24"/>
          <w:szCs w:val="24"/>
        </w:rPr>
        <w:footnoteReference w:id="186"/>
      </w:r>
      <w:r w:rsidR="003B0D94">
        <w:rPr>
          <w:rFonts w:ascii="Arial" w:hAnsi="Arial" w:cs="Arial"/>
          <w:sz w:val="24"/>
          <w:szCs w:val="24"/>
        </w:rPr>
        <w:t xml:space="preserve">. </w:t>
      </w:r>
      <w:r w:rsidR="00F21624">
        <w:rPr>
          <w:rFonts w:ascii="Arial" w:hAnsi="Arial" w:cs="Arial"/>
          <w:sz w:val="24"/>
          <w:szCs w:val="24"/>
        </w:rPr>
        <w:t xml:space="preserve">Carthaginian attempts gain control of Sicily and </w:t>
      </w:r>
      <w:r w:rsidR="00C3700C">
        <w:rPr>
          <w:rFonts w:ascii="Arial" w:hAnsi="Arial" w:cs="Arial"/>
          <w:sz w:val="24"/>
          <w:szCs w:val="24"/>
        </w:rPr>
        <w:t>maintain</w:t>
      </w:r>
      <w:r w:rsidR="00F21624">
        <w:rPr>
          <w:rFonts w:ascii="Arial" w:hAnsi="Arial" w:cs="Arial"/>
          <w:sz w:val="24"/>
          <w:szCs w:val="24"/>
        </w:rPr>
        <w:t xml:space="preserve"> influence there was certainly hard-fought, ingraining the attitude that having spent so much blood and treasure to establish their position, they would never countenance losing it. </w:t>
      </w:r>
    </w:p>
    <w:p w14:paraId="479F85E0" w14:textId="11BACC22" w:rsidR="00F21624" w:rsidRDefault="00F21624" w:rsidP="008B745A">
      <w:pPr>
        <w:spacing w:line="480" w:lineRule="auto"/>
        <w:rPr>
          <w:rFonts w:ascii="Arial" w:hAnsi="Arial" w:cs="Arial"/>
          <w:sz w:val="24"/>
          <w:szCs w:val="24"/>
        </w:rPr>
      </w:pPr>
      <w:r>
        <w:rPr>
          <w:rFonts w:ascii="Arial" w:hAnsi="Arial" w:cs="Arial"/>
          <w:sz w:val="24"/>
          <w:szCs w:val="24"/>
        </w:rPr>
        <w:t>The argument that Carthage would take proactive measures to ensure the protection</w:t>
      </w:r>
      <w:r w:rsidR="005C7E39">
        <w:rPr>
          <w:rFonts w:ascii="Arial" w:hAnsi="Arial" w:cs="Arial"/>
          <w:sz w:val="24"/>
          <w:szCs w:val="24"/>
        </w:rPr>
        <w:t xml:space="preserve"> </w:t>
      </w:r>
      <w:r>
        <w:rPr>
          <w:rFonts w:ascii="Arial" w:hAnsi="Arial" w:cs="Arial"/>
          <w:sz w:val="24"/>
          <w:szCs w:val="24"/>
        </w:rPr>
        <w:t>of her trade routes can also be seen with how she treated other polities’ shipping. For example, Strabo notes that the Carthaginians drowned sailors they found sailing to Sardinia or the Pillars of Hercules and excluded sailors from traveling to Sardinia</w:t>
      </w:r>
      <w:r>
        <w:rPr>
          <w:rStyle w:val="FootnoteReference"/>
          <w:rFonts w:ascii="Arial" w:hAnsi="Arial" w:cs="Arial"/>
          <w:sz w:val="24"/>
          <w:szCs w:val="24"/>
        </w:rPr>
        <w:footnoteReference w:id="187"/>
      </w:r>
      <w:r>
        <w:rPr>
          <w:rFonts w:ascii="Arial" w:hAnsi="Arial" w:cs="Arial"/>
          <w:sz w:val="24"/>
          <w:szCs w:val="24"/>
        </w:rPr>
        <w:t xml:space="preserve">. </w:t>
      </w:r>
      <w:r w:rsidR="00897062">
        <w:rPr>
          <w:rFonts w:ascii="Arial" w:hAnsi="Arial" w:cs="Arial"/>
          <w:sz w:val="24"/>
          <w:szCs w:val="24"/>
        </w:rPr>
        <w:t>T</w:t>
      </w:r>
      <w:r>
        <w:rPr>
          <w:rFonts w:ascii="Arial" w:hAnsi="Arial" w:cs="Arial"/>
          <w:sz w:val="24"/>
          <w:szCs w:val="24"/>
        </w:rPr>
        <w:t>his is seconded by Aristotle, who describes Carthaginians murdering intruders to their islands</w:t>
      </w:r>
      <w:r>
        <w:rPr>
          <w:rStyle w:val="FootnoteReference"/>
          <w:rFonts w:ascii="Arial" w:hAnsi="Arial" w:cs="Arial"/>
          <w:sz w:val="24"/>
          <w:szCs w:val="24"/>
        </w:rPr>
        <w:footnoteReference w:id="188"/>
      </w:r>
      <w:r>
        <w:rPr>
          <w:rFonts w:ascii="Arial" w:hAnsi="Arial" w:cs="Arial"/>
          <w:sz w:val="24"/>
          <w:szCs w:val="24"/>
        </w:rPr>
        <w:t>. Whilst Polybius refers to Carthaginian attacks on shipping</w:t>
      </w:r>
      <w:r>
        <w:rPr>
          <w:rStyle w:val="FootnoteReference"/>
          <w:rFonts w:ascii="Arial" w:hAnsi="Arial" w:cs="Arial"/>
          <w:sz w:val="24"/>
          <w:szCs w:val="24"/>
        </w:rPr>
        <w:footnoteReference w:id="189"/>
      </w:r>
      <w:r>
        <w:rPr>
          <w:rFonts w:ascii="Arial" w:hAnsi="Arial" w:cs="Arial"/>
          <w:sz w:val="24"/>
          <w:szCs w:val="24"/>
        </w:rPr>
        <w:t xml:space="preserve">, Whittaker states these were merely Roman horror stories to ramp up </w:t>
      </w:r>
      <w:r>
        <w:rPr>
          <w:rFonts w:ascii="Arial" w:hAnsi="Arial" w:cs="Arial"/>
          <w:sz w:val="24"/>
          <w:szCs w:val="24"/>
        </w:rPr>
        <w:lastRenderedPageBreak/>
        <w:t>anti-Punic sentiment</w:t>
      </w:r>
      <w:r>
        <w:rPr>
          <w:rStyle w:val="FootnoteReference"/>
          <w:rFonts w:ascii="Arial" w:hAnsi="Arial" w:cs="Arial"/>
          <w:sz w:val="24"/>
          <w:szCs w:val="24"/>
        </w:rPr>
        <w:footnoteReference w:id="190"/>
      </w:r>
      <w:r>
        <w:rPr>
          <w:rFonts w:ascii="Arial" w:hAnsi="Arial" w:cs="Arial"/>
          <w:sz w:val="24"/>
          <w:szCs w:val="24"/>
        </w:rPr>
        <w:t xml:space="preserve">. </w:t>
      </w:r>
      <w:r w:rsidR="00897062">
        <w:rPr>
          <w:rFonts w:ascii="Arial" w:hAnsi="Arial" w:cs="Arial"/>
          <w:sz w:val="24"/>
          <w:szCs w:val="24"/>
        </w:rPr>
        <w:t>T</w:t>
      </w:r>
      <w:r>
        <w:rPr>
          <w:rFonts w:ascii="Arial" w:hAnsi="Arial" w:cs="Arial"/>
          <w:sz w:val="24"/>
          <w:szCs w:val="24"/>
        </w:rPr>
        <w:t xml:space="preserve">hat these attacks are attested to in other sources </w:t>
      </w:r>
      <w:r w:rsidR="002F332C">
        <w:rPr>
          <w:rFonts w:ascii="Arial" w:hAnsi="Arial" w:cs="Arial"/>
          <w:sz w:val="24"/>
          <w:szCs w:val="24"/>
        </w:rPr>
        <w:t>indicates</w:t>
      </w:r>
      <w:r>
        <w:rPr>
          <w:rFonts w:ascii="Arial" w:hAnsi="Arial" w:cs="Arial"/>
          <w:sz w:val="24"/>
          <w:szCs w:val="24"/>
        </w:rPr>
        <w:t xml:space="preserve"> some </w:t>
      </w:r>
      <w:r w:rsidR="00897062">
        <w:rPr>
          <w:rFonts w:ascii="Arial" w:hAnsi="Arial" w:cs="Arial"/>
          <w:sz w:val="24"/>
          <w:szCs w:val="24"/>
        </w:rPr>
        <w:t>form</w:t>
      </w:r>
      <w:r>
        <w:rPr>
          <w:rFonts w:ascii="Arial" w:hAnsi="Arial" w:cs="Arial"/>
          <w:sz w:val="24"/>
          <w:szCs w:val="24"/>
        </w:rPr>
        <w:t xml:space="preserve"> of Carthaginian effort to control access to its commercial empire</w:t>
      </w:r>
      <w:r w:rsidR="002F332C">
        <w:rPr>
          <w:rFonts w:ascii="Arial" w:hAnsi="Arial" w:cs="Arial"/>
          <w:sz w:val="24"/>
          <w:szCs w:val="24"/>
        </w:rPr>
        <w:t xml:space="preserve"> is</w:t>
      </w:r>
      <w:r>
        <w:rPr>
          <w:rFonts w:ascii="Arial" w:hAnsi="Arial" w:cs="Arial"/>
          <w:sz w:val="24"/>
          <w:szCs w:val="24"/>
        </w:rPr>
        <w:t xml:space="preserve"> likely. </w:t>
      </w:r>
    </w:p>
    <w:p w14:paraId="4DDFB4CC" w14:textId="326F2079" w:rsidR="00F21624" w:rsidRDefault="00F21624" w:rsidP="008B745A">
      <w:pPr>
        <w:spacing w:line="480" w:lineRule="auto"/>
        <w:rPr>
          <w:rFonts w:ascii="Arial" w:hAnsi="Arial" w:cs="Arial"/>
          <w:sz w:val="24"/>
          <w:szCs w:val="24"/>
        </w:rPr>
      </w:pPr>
      <w:r>
        <w:rPr>
          <w:rFonts w:ascii="Arial" w:hAnsi="Arial" w:cs="Arial"/>
          <w:sz w:val="24"/>
          <w:szCs w:val="24"/>
        </w:rPr>
        <w:t>Like Rome, the Carthaginians had a militaristic ethos. For example, Mago was awarded four triumphs and eleven dictatorships</w:t>
      </w:r>
      <w:r w:rsidR="00897062">
        <w:rPr>
          <w:rFonts w:ascii="Arial" w:hAnsi="Arial" w:cs="Arial"/>
          <w:sz w:val="24"/>
          <w:szCs w:val="24"/>
        </w:rPr>
        <w:t>;</w:t>
      </w:r>
      <w:r>
        <w:rPr>
          <w:rFonts w:ascii="Arial" w:hAnsi="Arial" w:cs="Arial"/>
          <w:sz w:val="24"/>
          <w:szCs w:val="24"/>
        </w:rPr>
        <w:t xml:space="preserve"> later</w:t>
      </w:r>
      <w:r w:rsidR="00897062">
        <w:rPr>
          <w:rFonts w:ascii="Arial" w:hAnsi="Arial" w:cs="Arial"/>
          <w:sz w:val="24"/>
          <w:szCs w:val="24"/>
        </w:rPr>
        <w:t>,</w:t>
      </w:r>
      <w:r>
        <w:rPr>
          <w:rFonts w:ascii="Arial" w:hAnsi="Arial" w:cs="Arial"/>
          <w:sz w:val="24"/>
          <w:szCs w:val="24"/>
        </w:rPr>
        <w:t xml:space="preserve"> Hamilcar had triumphal parades through the streets</w:t>
      </w:r>
      <w:r>
        <w:rPr>
          <w:rStyle w:val="FootnoteReference"/>
          <w:rFonts w:ascii="Arial" w:hAnsi="Arial" w:cs="Arial"/>
          <w:sz w:val="24"/>
          <w:szCs w:val="24"/>
        </w:rPr>
        <w:footnoteReference w:id="191"/>
      </w:r>
      <w:r>
        <w:rPr>
          <w:rFonts w:ascii="Arial" w:hAnsi="Arial" w:cs="Arial"/>
          <w:sz w:val="24"/>
          <w:szCs w:val="24"/>
        </w:rPr>
        <w:t>.</w:t>
      </w:r>
      <w:r w:rsidR="00517B70">
        <w:rPr>
          <w:rFonts w:ascii="Arial" w:hAnsi="Arial" w:cs="Arial"/>
          <w:sz w:val="24"/>
          <w:szCs w:val="24"/>
        </w:rPr>
        <w:t xml:space="preserve"> T</w:t>
      </w:r>
      <w:r>
        <w:rPr>
          <w:rFonts w:ascii="Arial" w:hAnsi="Arial" w:cs="Arial"/>
          <w:sz w:val="24"/>
          <w:szCs w:val="24"/>
        </w:rPr>
        <w:t>he pressures of warfare creat</w:t>
      </w:r>
      <w:r w:rsidR="002F332C">
        <w:rPr>
          <w:rFonts w:ascii="Arial" w:hAnsi="Arial" w:cs="Arial"/>
          <w:sz w:val="24"/>
          <w:szCs w:val="24"/>
        </w:rPr>
        <w:t>ed</w:t>
      </w:r>
      <w:r>
        <w:rPr>
          <w:rFonts w:ascii="Arial" w:hAnsi="Arial" w:cs="Arial"/>
          <w:sz w:val="24"/>
          <w:szCs w:val="24"/>
        </w:rPr>
        <w:t xml:space="preserve"> a martial ethos and militarised aristocracy - Herodotus mentions that Hamilcar, who lead an expedition to Sicily in 480, had become king of the Carthaginians due to his ‘virtue and valour’</w:t>
      </w:r>
      <w:r>
        <w:rPr>
          <w:rStyle w:val="FootnoteReference"/>
          <w:rFonts w:ascii="Arial" w:hAnsi="Arial" w:cs="Arial"/>
          <w:sz w:val="24"/>
          <w:szCs w:val="24"/>
        </w:rPr>
        <w:footnoteReference w:id="192"/>
      </w:r>
      <w:r>
        <w:rPr>
          <w:rFonts w:ascii="Arial" w:hAnsi="Arial" w:cs="Arial"/>
          <w:sz w:val="24"/>
          <w:szCs w:val="24"/>
        </w:rPr>
        <w:t>. Another, Hanno, commanding an expedition in 368 is referred to by Justin as, ‘</w:t>
      </w:r>
      <w:r w:rsidRPr="0086388C">
        <w:rPr>
          <w:rFonts w:ascii="Arial" w:hAnsi="Arial" w:cs="Arial"/>
          <w:i/>
          <w:iCs/>
          <w:sz w:val="24"/>
          <w:szCs w:val="24"/>
        </w:rPr>
        <w:t xml:space="preserve">Princeps </w:t>
      </w:r>
      <w:proofErr w:type="spellStart"/>
      <w:r w:rsidRPr="0086388C">
        <w:rPr>
          <w:rFonts w:ascii="Arial" w:hAnsi="Arial" w:cs="Arial"/>
          <w:i/>
          <w:iCs/>
          <w:sz w:val="24"/>
          <w:szCs w:val="24"/>
        </w:rPr>
        <w:t>Carthainensium</w:t>
      </w:r>
      <w:proofErr w:type="spellEnd"/>
      <w:r w:rsidRPr="0086388C">
        <w:rPr>
          <w:rFonts w:ascii="Arial" w:hAnsi="Arial" w:cs="Arial"/>
          <w:sz w:val="24"/>
          <w:szCs w:val="24"/>
        </w:rPr>
        <w:t xml:space="preserve">’ </w:t>
      </w:r>
      <w:r>
        <w:rPr>
          <w:rFonts w:ascii="Arial" w:hAnsi="Arial" w:cs="Arial"/>
          <w:sz w:val="24"/>
          <w:szCs w:val="24"/>
        </w:rPr>
        <w:t>– stressing the wealth and power of his house</w:t>
      </w:r>
      <w:r>
        <w:rPr>
          <w:rStyle w:val="FootnoteReference"/>
          <w:rFonts w:ascii="Arial" w:hAnsi="Arial" w:cs="Arial"/>
          <w:sz w:val="24"/>
          <w:szCs w:val="24"/>
        </w:rPr>
        <w:footnoteReference w:id="193"/>
      </w:r>
      <w:r>
        <w:rPr>
          <w:rFonts w:ascii="Arial" w:hAnsi="Arial" w:cs="Arial"/>
          <w:sz w:val="24"/>
          <w:szCs w:val="24"/>
        </w:rPr>
        <w:t xml:space="preserve">. Victories and prestige </w:t>
      </w:r>
      <w:r w:rsidR="00897062">
        <w:rPr>
          <w:rFonts w:ascii="Arial" w:hAnsi="Arial" w:cs="Arial"/>
          <w:sz w:val="24"/>
          <w:szCs w:val="24"/>
        </w:rPr>
        <w:t>were important to the</w:t>
      </w:r>
      <w:r>
        <w:rPr>
          <w:rFonts w:ascii="Arial" w:hAnsi="Arial" w:cs="Arial"/>
          <w:sz w:val="24"/>
          <w:szCs w:val="24"/>
        </w:rPr>
        <w:t xml:space="preserve"> elite, as after the defeat at </w:t>
      </w:r>
      <w:proofErr w:type="spellStart"/>
      <w:r>
        <w:rPr>
          <w:rFonts w:ascii="Arial" w:hAnsi="Arial" w:cs="Arial"/>
          <w:sz w:val="24"/>
          <w:szCs w:val="24"/>
        </w:rPr>
        <w:t>Himera</w:t>
      </w:r>
      <w:proofErr w:type="spellEnd"/>
      <w:r w:rsidR="002F332C">
        <w:rPr>
          <w:rFonts w:ascii="Arial" w:hAnsi="Arial" w:cs="Arial"/>
          <w:sz w:val="24"/>
          <w:szCs w:val="24"/>
        </w:rPr>
        <w:t>,</w:t>
      </w:r>
      <w:r>
        <w:rPr>
          <w:rFonts w:ascii="Arial" w:hAnsi="Arial" w:cs="Arial"/>
          <w:sz w:val="24"/>
          <w:szCs w:val="24"/>
        </w:rPr>
        <w:t xml:space="preserve"> Hamilcar went back to Carthage, eventually killing himself</w:t>
      </w:r>
      <w:r>
        <w:rPr>
          <w:rStyle w:val="FootnoteReference"/>
          <w:rFonts w:ascii="Arial" w:hAnsi="Arial" w:cs="Arial"/>
          <w:sz w:val="24"/>
          <w:szCs w:val="24"/>
        </w:rPr>
        <w:footnoteReference w:id="194"/>
      </w:r>
      <w:r>
        <w:rPr>
          <w:rFonts w:ascii="Arial" w:hAnsi="Arial" w:cs="Arial"/>
          <w:sz w:val="24"/>
          <w:szCs w:val="24"/>
        </w:rPr>
        <w:t>. Wealth was also important – Aristotle mentions that rulers were chosen from both the best and wealthiest men</w:t>
      </w:r>
      <w:r>
        <w:rPr>
          <w:rStyle w:val="FootnoteReference"/>
          <w:rFonts w:ascii="Arial" w:hAnsi="Arial" w:cs="Arial"/>
          <w:sz w:val="24"/>
          <w:szCs w:val="24"/>
        </w:rPr>
        <w:footnoteReference w:id="195"/>
      </w:r>
      <w:r>
        <w:rPr>
          <w:rFonts w:ascii="Arial" w:hAnsi="Arial" w:cs="Arial"/>
          <w:sz w:val="24"/>
          <w:szCs w:val="24"/>
        </w:rPr>
        <w:t xml:space="preserve"> and Carthaginians used their estates as a form of display and wealth</w:t>
      </w:r>
      <w:r>
        <w:rPr>
          <w:rStyle w:val="FootnoteReference"/>
          <w:rFonts w:ascii="Arial" w:hAnsi="Arial" w:cs="Arial"/>
          <w:sz w:val="24"/>
          <w:szCs w:val="24"/>
        </w:rPr>
        <w:footnoteReference w:id="196"/>
      </w:r>
      <w:r>
        <w:rPr>
          <w:rFonts w:ascii="Arial" w:hAnsi="Arial" w:cs="Arial"/>
          <w:sz w:val="24"/>
          <w:szCs w:val="24"/>
        </w:rPr>
        <w:t xml:space="preserve">. </w:t>
      </w:r>
      <w:r w:rsidR="00897062">
        <w:rPr>
          <w:rFonts w:ascii="Arial" w:hAnsi="Arial" w:cs="Arial"/>
          <w:sz w:val="24"/>
          <w:szCs w:val="24"/>
        </w:rPr>
        <w:t>S</w:t>
      </w:r>
      <w:r>
        <w:rPr>
          <w:rFonts w:ascii="Arial" w:hAnsi="Arial" w:cs="Arial"/>
          <w:sz w:val="24"/>
          <w:szCs w:val="24"/>
        </w:rPr>
        <w:t xml:space="preserve">ince much of this wealth derived from maintaining Carthage’s commercial empire, Carthaginians had a vested interest in proactively dealing with potential threats. </w:t>
      </w:r>
    </w:p>
    <w:p w14:paraId="1A27C875" w14:textId="5C85D0A1" w:rsidR="00F21624" w:rsidRDefault="00F21624" w:rsidP="008B745A">
      <w:pPr>
        <w:spacing w:line="480" w:lineRule="auto"/>
        <w:rPr>
          <w:rFonts w:ascii="Arial" w:hAnsi="Arial" w:cs="Arial"/>
          <w:sz w:val="24"/>
          <w:szCs w:val="24"/>
        </w:rPr>
      </w:pPr>
      <w:r>
        <w:rPr>
          <w:rFonts w:ascii="Arial" w:hAnsi="Arial" w:cs="Arial"/>
          <w:sz w:val="24"/>
          <w:szCs w:val="24"/>
        </w:rPr>
        <w:t>Furthermore, they had extensive farmlands in Africa</w:t>
      </w:r>
      <w:r>
        <w:rPr>
          <w:rStyle w:val="FootnoteReference"/>
          <w:rFonts w:ascii="Arial" w:hAnsi="Arial" w:cs="Arial"/>
          <w:sz w:val="24"/>
          <w:szCs w:val="24"/>
        </w:rPr>
        <w:footnoteReference w:id="197"/>
      </w:r>
      <w:r>
        <w:rPr>
          <w:rFonts w:ascii="Arial" w:hAnsi="Arial" w:cs="Arial"/>
          <w:sz w:val="24"/>
          <w:szCs w:val="24"/>
        </w:rPr>
        <w:t>. These were farmed by slaves</w:t>
      </w:r>
      <w:r>
        <w:rPr>
          <w:rStyle w:val="FootnoteReference"/>
          <w:rFonts w:ascii="Arial" w:hAnsi="Arial" w:cs="Arial"/>
          <w:sz w:val="24"/>
          <w:szCs w:val="24"/>
        </w:rPr>
        <w:footnoteReference w:id="198"/>
      </w:r>
      <w:r w:rsidR="005368F0">
        <w:rPr>
          <w:rFonts w:ascii="Arial" w:hAnsi="Arial" w:cs="Arial"/>
          <w:sz w:val="24"/>
          <w:szCs w:val="24"/>
        </w:rPr>
        <w:t xml:space="preserve">. </w:t>
      </w:r>
      <w:r>
        <w:rPr>
          <w:rFonts w:ascii="Arial" w:hAnsi="Arial" w:cs="Arial"/>
          <w:sz w:val="24"/>
          <w:szCs w:val="24"/>
        </w:rPr>
        <w:t xml:space="preserve">Whilst Pilkington suggests that the Carthaginians were not interested in </w:t>
      </w:r>
      <w:r w:rsidR="00897062">
        <w:rPr>
          <w:rFonts w:ascii="Arial" w:hAnsi="Arial" w:cs="Arial"/>
          <w:sz w:val="24"/>
          <w:szCs w:val="24"/>
        </w:rPr>
        <w:t>plunder</w:t>
      </w:r>
      <w:r>
        <w:rPr>
          <w:rFonts w:ascii="Arial" w:hAnsi="Arial" w:cs="Arial"/>
          <w:sz w:val="24"/>
          <w:szCs w:val="24"/>
        </w:rPr>
        <w:t xml:space="preserve">, the sheer number of slaves described </w:t>
      </w:r>
      <w:r w:rsidR="004506A5">
        <w:rPr>
          <w:rFonts w:ascii="Arial" w:hAnsi="Arial" w:cs="Arial"/>
          <w:sz w:val="24"/>
          <w:szCs w:val="24"/>
        </w:rPr>
        <w:t>indicates</w:t>
      </w:r>
      <w:r>
        <w:rPr>
          <w:rFonts w:ascii="Arial" w:hAnsi="Arial" w:cs="Arial"/>
          <w:sz w:val="24"/>
          <w:szCs w:val="24"/>
        </w:rPr>
        <w:t xml:space="preserve"> they were taken through </w:t>
      </w:r>
      <w:r>
        <w:rPr>
          <w:rFonts w:ascii="Arial" w:hAnsi="Arial" w:cs="Arial"/>
          <w:sz w:val="24"/>
          <w:szCs w:val="24"/>
        </w:rPr>
        <w:lastRenderedPageBreak/>
        <w:t>victories in war</w:t>
      </w:r>
      <w:r>
        <w:rPr>
          <w:rStyle w:val="FootnoteReference"/>
          <w:rFonts w:ascii="Arial" w:hAnsi="Arial" w:cs="Arial"/>
          <w:sz w:val="24"/>
          <w:szCs w:val="24"/>
        </w:rPr>
        <w:footnoteReference w:id="199"/>
      </w:r>
      <w:r>
        <w:rPr>
          <w:rFonts w:ascii="Arial" w:hAnsi="Arial" w:cs="Arial"/>
          <w:sz w:val="24"/>
          <w:szCs w:val="24"/>
        </w:rPr>
        <w:t>. Carthage too had expectations regarding slaves and plunder during war, but this was not the primary motivation for such conflicts</w:t>
      </w:r>
      <w:r w:rsidR="00734DCA">
        <w:rPr>
          <w:rFonts w:ascii="Arial" w:hAnsi="Arial" w:cs="Arial"/>
          <w:sz w:val="24"/>
          <w:szCs w:val="24"/>
        </w:rPr>
        <w:t>. A</w:t>
      </w:r>
      <w:r>
        <w:rPr>
          <w:rFonts w:ascii="Arial" w:hAnsi="Arial" w:cs="Arial"/>
          <w:sz w:val="24"/>
          <w:szCs w:val="24"/>
        </w:rPr>
        <w:t>s mentioned</w:t>
      </w:r>
      <w:r w:rsidR="00734DCA">
        <w:rPr>
          <w:rFonts w:ascii="Arial" w:hAnsi="Arial" w:cs="Arial"/>
          <w:sz w:val="24"/>
          <w:szCs w:val="24"/>
        </w:rPr>
        <w:t>,</w:t>
      </w:r>
      <w:r>
        <w:rPr>
          <w:rFonts w:ascii="Arial" w:hAnsi="Arial" w:cs="Arial"/>
          <w:sz w:val="24"/>
          <w:szCs w:val="24"/>
        </w:rPr>
        <w:t xml:space="preserve"> their relations to Sicilian cities did not always result in land and wealth, but the increase</w:t>
      </w:r>
      <w:r w:rsidR="00734DCA">
        <w:rPr>
          <w:rFonts w:ascii="Arial" w:hAnsi="Arial" w:cs="Arial"/>
          <w:sz w:val="24"/>
          <w:szCs w:val="24"/>
        </w:rPr>
        <w:t>d</w:t>
      </w:r>
      <w:r>
        <w:rPr>
          <w:rFonts w:ascii="Arial" w:hAnsi="Arial" w:cs="Arial"/>
          <w:sz w:val="24"/>
          <w:szCs w:val="24"/>
        </w:rPr>
        <w:t xml:space="preserve"> wealth from trade would have been noticeable. </w:t>
      </w:r>
    </w:p>
    <w:p w14:paraId="0341FBE3" w14:textId="64105C51" w:rsidR="00F21624" w:rsidRDefault="00F21624" w:rsidP="008B745A">
      <w:pPr>
        <w:spacing w:line="480" w:lineRule="auto"/>
        <w:rPr>
          <w:rFonts w:ascii="Arial" w:hAnsi="Arial" w:cs="Arial"/>
          <w:sz w:val="24"/>
          <w:szCs w:val="24"/>
        </w:rPr>
      </w:pPr>
      <w:r>
        <w:rPr>
          <w:rFonts w:ascii="Arial" w:hAnsi="Arial" w:cs="Arial"/>
          <w:sz w:val="24"/>
          <w:szCs w:val="24"/>
        </w:rPr>
        <w:t>Whilst some historians state African territories were taken to compensate los</w:t>
      </w:r>
      <w:r w:rsidR="00734DCA">
        <w:rPr>
          <w:rFonts w:ascii="Arial" w:hAnsi="Arial" w:cs="Arial"/>
          <w:sz w:val="24"/>
          <w:szCs w:val="24"/>
        </w:rPr>
        <w:t>s</w:t>
      </w:r>
      <w:r>
        <w:rPr>
          <w:rFonts w:ascii="Arial" w:hAnsi="Arial" w:cs="Arial"/>
          <w:sz w:val="24"/>
          <w:szCs w:val="24"/>
        </w:rPr>
        <w:t>es in Sicily during the wars there</w:t>
      </w:r>
      <w:r>
        <w:rPr>
          <w:rStyle w:val="FootnoteReference"/>
          <w:rFonts w:ascii="Arial" w:hAnsi="Arial" w:cs="Arial"/>
          <w:sz w:val="24"/>
          <w:szCs w:val="24"/>
        </w:rPr>
        <w:footnoteReference w:id="200"/>
      </w:r>
      <w:r>
        <w:rPr>
          <w:rFonts w:ascii="Arial" w:hAnsi="Arial" w:cs="Arial"/>
          <w:sz w:val="24"/>
          <w:szCs w:val="24"/>
        </w:rPr>
        <w:t>, it is more likely that African lands were needed to furnish resources to fight in Sicily</w:t>
      </w:r>
      <w:r>
        <w:rPr>
          <w:rStyle w:val="FootnoteReference"/>
          <w:rFonts w:ascii="Arial" w:hAnsi="Arial" w:cs="Arial"/>
          <w:sz w:val="24"/>
          <w:szCs w:val="24"/>
        </w:rPr>
        <w:footnoteReference w:id="201"/>
      </w:r>
      <w:r>
        <w:rPr>
          <w:rFonts w:ascii="Arial" w:hAnsi="Arial" w:cs="Arial"/>
          <w:sz w:val="24"/>
          <w:szCs w:val="24"/>
        </w:rPr>
        <w:t>. The wars were extremely taxing</w:t>
      </w:r>
      <w:r w:rsidR="00734DCA">
        <w:rPr>
          <w:rFonts w:ascii="Arial" w:hAnsi="Arial" w:cs="Arial"/>
          <w:sz w:val="24"/>
          <w:szCs w:val="24"/>
        </w:rPr>
        <w:t xml:space="preserve">; </w:t>
      </w:r>
      <w:r>
        <w:rPr>
          <w:rFonts w:ascii="Arial" w:hAnsi="Arial" w:cs="Arial"/>
          <w:sz w:val="24"/>
          <w:szCs w:val="24"/>
        </w:rPr>
        <w:t>Carthage had to expend huge resources to fight on the island. The only alternative would be to capitulate and reduce Carthaginian influence, something she would not accept. Other evidence, such as the Carthaginians paying the Numidians for land</w:t>
      </w:r>
      <w:r w:rsidR="002F332C">
        <w:rPr>
          <w:rFonts w:ascii="Arial" w:hAnsi="Arial" w:cs="Arial"/>
          <w:sz w:val="24"/>
          <w:szCs w:val="24"/>
        </w:rPr>
        <w:t>,</w:t>
      </w:r>
      <w:r>
        <w:rPr>
          <w:rFonts w:ascii="Arial" w:hAnsi="Arial" w:cs="Arial"/>
          <w:sz w:val="24"/>
          <w:szCs w:val="24"/>
        </w:rPr>
        <w:t xml:space="preserve"> help </w:t>
      </w:r>
      <w:r w:rsidR="00734DCA">
        <w:rPr>
          <w:rFonts w:ascii="Arial" w:hAnsi="Arial" w:cs="Arial"/>
          <w:sz w:val="24"/>
          <w:szCs w:val="24"/>
        </w:rPr>
        <w:t xml:space="preserve">to </w:t>
      </w:r>
      <w:r>
        <w:rPr>
          <w:rFonts w:ascii="Arial" w:hAnsi="Arial" w:cs="Arial"/>
          <w:sz w:val="24"/>
          <w:szCs w:val="24"/>
        </w:rPr>
        <w:t>refute argument</w:t>
      </w:r>
      <w:r w:rsidR="00734DCA">
        <w:rPr>
          <w:rFonts w:ascii="Arial" w:hAnsi="Arial" w:cs="Arial"/>
          <w:sz w:val="24"/>
          <w:szCs w:val="24"/>
        </w:rPr>
        <w:t>s</w:t>
      </w:r>
      <w:r>
        <w:rPr>
          <w:rFonts w:ascii="Arial" w:hAnsi="Arial" w:cs="Arial"/>
          <w:sz w:val="24"/>
          <w:szCs w:val="24"/>
        </w:rPr>
        <w:t xml:space="preserve"> that land itself was </w:t>
      </w:r>
      <w:r w:rsidR="00734DCA">
        <w:rPr>
          <w:rFonts w:ascii="Arial" w:hAnsi="Arial" w:cs="Arial"/>
          <w:sz w:val="24"/>
          <w:szCs w:val="24"/>
        </w:rPr>
        <w:t>the</w:t>
      </w:r>
      <w:r>
        <w:rPr>
          <w:rFonts w:ascii="Arial" w:hAnsi="Arial" w:cs="Arial"/>
          <w:sz w:val="24"/>
          <w:szCs w:val="24"/>
        </w:rPr>
        <w:t xml:space="preserve"> prime driver for Punic expansion, since glory and slaves would not have been gained through this method</w:t>
      </w:r>
      <w:r>
        <w:rPr>
          <w:rStyle w:val="FootnoteReference"/>
          <w:rFonts w:ascii="Arial" w:hAnsi="Arial" w:cs="Arial"/>
          <w:sz w:val="24"/>
          <w:szCs w:val="24"/>
        </w:rPr>
        <w:footnoteReference w:id="202"/>
      </w:r>
      <w:r>
        <w:rPr>
          <w:rFonts w:ascii="Arial" w:hAnsi="Arial" w:cs="Arial"/>
          <w:sz w:val="24"/>
          <w:szCs w:val="24"/>
        </w:rPr>
        <w:t xml:space="preserve">. </w:t>
      </w:r>
      <w:r w:rsidR="00734DCA">
        <w:rPr>
          <w:rFonts w:ascii="Arial" w:hAnsi="Arial" w:cs="Arial"/>
          <w:sz w:val="24"/>
          <w:szCs w:val="24"/>
        </w:rPr>
        <w:t>T</w:t>
      </w:r>
      <w:r>
        <w:rPr>
          <w:rFonts w:ascii="Arial" w:hAnsi="Arial" w:cs="Arial"/>
          <w:sz w:val="24"/>
          <w:szCs w:val="24"/>
        </w:rPr>
        <w:t>here is evidence to suggest that expansion into Africa was also to combat Libyan attacks in the 370s</w:t>
      </w:r>
      <w:r>
        <w:rPr>
          <w:rStyle w:val="FootnoteReference"/>
          <w:rFonts w:ascii="Arial" w:hAnsi="Arial" w:cs="Arial"/>
          <w:sz w:val="24"/>
          <w:szCs w:val="24"/>
        </w:rPr>
        <w:footnoteReference w:id="203"/>
      </w:r>
      <w:r>
        <w:rPr>
          <w:rFonts w:ascii="Arial" w:hAnsi="Arial" w:cs="Arial"/>
          <w:sz w:val="24"/>
          <w:szCs w:val="24"/>
        </w:rPr>
        <w:t>. The ditches surrounding Carthage’s African territories do not suggest an ‘aggressive’ approach</w:t>
      </w:r>
      <w:r>
        <w:rPr>
          <w:rStyle w:val="FootnoteReference"/>
          <w:rFonts w:ascii="Arial" w:hAnsi="Arial" w:cs="Arial"/>
          <w:sz w:val="24"/>
          <w:szCs w:val="24"/>
        </w:rPr>
        <w:footnoteReference w:id="204"/>
      </w:r>
      <w:r>
        <w:rPr>
          <w:rFonts w:ascii="Arial" w:hAnsi="Arial" w:cs="Arial"/>
          <w:sz w:val="24"/>
          <w:szCs w:val="24"/>
        </w:rPr>
        <w:t>. Rather, as Pilkington makes clear, these conquests were as a result of weakness around Carthage’s periphery</w:t>
      </w:r>
      <w:r>
        <w:rPr>
          <w:rStyle w:val="FootnoteReference"/>
          <w:rFonts w:ascii="Arial" w:hAnsi="Arial" w:cs="Arial"/>
          <w:sz w:val="24"/>
          <w:szCs w:val="24"/>
        </w:rPr>
        <w:footnoteReference w:id="205"/>
      </w:r>
      <w:r>
        <w:rPr>
          <w:rFonts w:ascii="Arial" w:hAnsi="Arial" w:cs="Arial"/>
          <w:sz w:val="24"/>
          <w:szCs w:val="24"/>
        </w:rPr>
        <w:t xml:space="preserve">. It needed agriculture to support the metropole and efforts to maintain its commercial hegemony.  </w:t>
      </w:r>
    </w:p>
    <w:p w14:paraId="1568DC9A" w14:textId="77777777" w:rsidR="00F21624" w:rsidRDefault="00F21624" w:rsidP="008B745A">
      <w:pPr>
        <w:spacing w:line="480" w:lineRule="auto"/>
        <w:jc w:val="center"/>
        <w:rPr>
          <w:rFonts w:ascii="Arial" w:hAnsi="Arial" w:cs="Arial"/>
          <w:b/>
          <w:bCs/>
          <w:sz w:val="24"/>
          <w:szCs w:val="24"/>
        </w:rPr>
      </w:pPr>
      <w:r>
        <w:rPr>
          <w:rFonts w:ascii="Arial" w:hAnsi="Arial" w:cs="Arial"/>
          <w:b/>
          <w:bCs/>
          <w:sz w:val="24"/>
          <w:szCs w:val="24"/>
        </w:rPr>
        <w:t>Carthage and Sicily</w:t>
      </w:r>
    </w:p>
    <w:p w14:paraId="72E3CF12" w14:textId="0702DB64" w:rsidR="00F21624" w:rsidRDefault="00F21624" w:rsidP="008B745A">
      <w:pPr>
        <w:spacing w:line="480" w:lineRule="auto"/>
        <w:rPr>
          <w:rFonts w:ascii="Arial" w:hAnsi="Arial" w:cs="Arial"/>
          <w:sz w:val="24"/>
          <w:szCs w:val="24"/>
        </w:rPr>
      </w:pPr>
      <w:r>
        <w:rPr>
          <w:rFonts w:ascii="Arial" w:hAnsi="Arial" w:cs="Arial"/>
          <w:sz w:val="24"/>
          <w:szCs w:val="24"/>
        </w:rPr>
        <w:t>The key to the Carthaginian trading empire was Sicily. Even from the outset Lilybaeum was a perfect harbour and the key to Mediterranean trade</w:t>
      </w:r>
      <w:r>
        <w:rPr>
          <w:rStyle w:val="FootnoteReference"/>
          <w:rFonts w:ascii="Arial" w:hAnsi="Arial" w:cs="Arial"/>
          <w:sz w:val="24"/>
          <w:szCs w:val="24"/>
        </w:rPr>
        <w:footnoteReference w:id="206"/>
      </w:r>
      <w:r>
        <w:rPr>
          <w:rFonts w:ascii="Arial" w:hAnsi="Arial" w:cs="Arial"/>
          <w:sz w:val="24"/>
          <w:szCs w:val="24"/>
        </w:rPr>
        <w:t xml:space="preserve">. It allowed </w:t>
      </w:r>
      <w:r>
        <w:rPr>
          <w:rFonts w:ascii="Arial" w:hAnsi="Arial" w:cs="Arial"/>
          <w:sz w:val="24"/>
          <w:szCs w:val="24"/>
        </w:rPr>
        <w:lastRenderedPageBreak/>
        <w:t>Carthage to dominate all trade going around the Southern half of Sicily</w:t>
      </w:r>
      <w:r>
        <w:rPr>
          <w:rStyle w:val="FootnoteReference"/>
          <w:rFonts w:ascii="Arial" w:hAnsi="Arial" w:cs="Arial"/>
          <w:sz w:val="24"/>
          <w:szCs w:val="24"/>
        </w:rPr>
        <w:footnoteReference w:id="207"/>
      </w:r>
      <w:r>
        <w:rPr>
          <w:rFonts w:ascii="Arial" w:hAnsi="Arial" w:cs="Arial"/>
          <w:sz w:val="24"/>
          <w:szCs w:val="24"/>
        </w:rPr>
        <w:t xml:space="preserve"> – making the Straits of Messana incredibly important. Diodorus described the island as having safe harbours, with several local industries and commodities</w:t>
      </w:r>
      <w:r>
        <w:rPr>
          <w:rStyle w:val="FootnoteReference"/>
          <w:rFonts w:ascii="Arial" w:hAnsi="Arial" w:cs="Arial"/>
          <w:sz w:val="24"/>
          <w:szCs w:val="24"/>
        </w:rPr>
        <w:footnoteReference w:id="208"/>
      </w:r>
      <w:r>
        <w:rPr>
          <w:rFonts w:ascii="Arial" w:hAnsi="Arial" w:cs="Arial"/>
          <w:sz w:val="24"/>
          <w:szCs w:val="24"/>
        </w:rPr>
        <w:t>. One anecdote as to its ideal location concerns a man called Strabo the Quint-eyed, who claimed to be able to se</w:t>
      </w:r>
      <w:r w:rsidR="002F332C">
        <w:rPr>
          <w:rFonts w:ascii="Arial" w:hAnsi="Arial" w:cs="Arial"/>
          <w:sz w:val="24"/>
          <w:szCs w:val="24"/>
        </w:rPr>
        <w:t>e</w:t>
      </w:r>
      <w:r>
        <w:rPr>
          <w:rFonts w:ascii="Arial" w:hAnsi="Arial" w:cs="Arial"/>
          <w:sz w:val="24"/>
          <w:szCs w:val="24"/>
        </w:rPr>
        <w:t xml:space="preserve"> Carthage from Lilybaeum</w:t>
      </w:r>
      <w:r>
        <w:rPr>
          <w:rStyle w:val="FootnoteReference"/>
          <w:rFonts w:ascii="Arial" w:hAnsi="Arial" w:cs="Arial"/>
          <w:sz w:val="24"/>
          <w:szCs w:val="24"/>
        </w:rPr>
        <w:footnoteReference w:id="209"/>
      </w:r>
      <w:r>
        <w:rPr>
          <w:rFonts w:ascii="Arial" w:hAnsi="Arial" w:cs="Arial"/>
          <w:sz w:val="24"/>
          <w:szCs w:val="24"/>
        </w:rPr>
        <w:t>. It</w:t>
      </w:r>
      <w:r w:rsidR="00501BB0">
        <w:rPr>
          <w:rFonts w:ascii="Arial" w:hAnsi="Arial" w:cs="Arial"/>
          <w:sz w:val="24"/>
          <w:szCs w:val="24"/>
        </w:rPr>
        <w:t>’</w:t>
      </w:r>
      <w:r>
        <w:rPr>
          <w:rFonts w:ascii="Arial" w:hAnsi="Arial" w:cs="Arial"/>
          <w:sz w:val="24"/>
          <w:szCs w:val="24"/>
        </w:rPr>
        <w:t>s suitability as a naval base is attested to when</w:t>
      </w:r>
      <w:r w:rsidR="00856F16">
        <w:rPr>
          <w:rFonts w:ascii="Arial" w:hAnsi="Arial" w:cs="Arial"/>
          <w:sz w:val="24"/>
          <w:szCs w:val="24"/>
        </w:rPr>
        <w:t xml:space="preserve"> </w:t>
      </w:r>
      <w:r>
        <w:rPr>
          <w:rFonts w:ascii="Arial" w:hAnsi="Arial" w:cs="Arial"/>
          <w:sz w:val="24"/>
          <w:szCs w:val="24"/>
        </w:rPr>
        <w:t>it was used as a base for the Romans against Carthage</w:t>
      </w:r>
      <w:r>
        <w:rPr>
          <w:rStyle w:val="FootnoteReference"/>
          <w:rFonts w:ascii="Arial" w:hAnsi="Arial" w:cs="Arial"/>
          <w:sz w:val="24"/>
          <w:szCs w:val="24"/>
        </w:rPr>
        <w:footnoteReference w:id="210"/>
      </w:r>
      <w:r>
        <w:rPr>
          <w:rFonts w:ascii="Arial" w:hAnsi="Arial" w:cs="Arial"/>
          <w:sz w:val="24"/>
          <w:szCs w:val="24"/>
        </w:rPr>
        <w:t xml:space="preserve">. </w:t>
      </w:r>
    </w:p>
    <w:p w14:paraId="288BCF31" w14:textId="22C3BB37" w:rsidR="00F21624" w:rsidRDefault="00F21624" w:rsidP="008B745A">
      <w:pPr>
        <w:spacing w:line="480" w:lineRule="auto"/>
        <w:rPr>
          <w:rFonts w:ascii="Arial" w:hAnsi="Arial" w:cs="Arial"/>
          <w:sz w:val="24"/>
          <w:szCs w:val="24"/>
        </w:rPr>
      </w:pPr>
      <w:r>
        <w:rPr>
          <w:rFonts w:ascii="Arial" w:hAnsi="Arial" w:cs="Arial"/>
          <w:sz w:val="24"/>
          <w:szCs w:val="24"/>
        </w:rPr>
        <w:t xml:space="preserve">Defensively, Sicily was vital as a means of buffering Carthage from other Mediterranean </w:t>
      </w:r>
      <w:r w:rsidR="00EB3599">
        <w:rPr>
          <w:rFonts w:ascii="Arial" w:hAnsi="Arial" w:cs="Arial"/>
          <w:sz w:val="24"/>
          <w:szCs w:val="24"/>
        </w:rPr>
        <w:t>powers</w:t>
      </w:r>
      <w:r>
        <w:rPr>
          <w:rStyle w:val="FootnoteReference"/>
          <w:rFonts w:ascii="Arial" w:hAnsi="Arial" w:cs="Arial"/>
          <w:sz w:val="24"/>
          <w:szCs w:val="24"/>
        </w:rPr>
        <w:footnoteReference w:id="211"/>
      </w:r>
      <w:r>
        <w:rPr>
          <w:rFonts w:ascii="Arial" w:hAnsi="Arial" w:cs="Arial"/>
          <w:sz w:val="24"/>
          <w:szCs w:val="24"/>
        </w:rPr>
        <w:t>, as later invasions from Agathocles, Pyrrhus and the Romans demonstrate</w:t>
      </w:r>
      <w:r w:rsidR="00CF34A3">
        <w:rPr>
          <w:rFonts w:ascii="Arial" w:hAnsi="Arial" w:cs="Arial"/>
          <w:sz w:val="24"/>
          <w:szCs w:val="24"/>
        </w:rPr>
        <w:t>d. T</w:t>
      </w:r>
      <w:r>
        <w:rPr>
          <w:rFonts w:ascii="Arial" w:hAnsi="Arial" w:cs="Arial"/>
          <w:sz w:val="24"/>
          <w:szCs w:val="24"/>
        </w:rPr>
        <w:t xml:space="preserve">hese incursions would also have reinforced the idea that Sicily had to be kept, since it would provide a staging post for invasions </w:t>
      </w:r>
      <w:r w:rsidR="00CF34A3">
        <w:rPr>
          <w:rFonts w:ascii="Arial" w:hAnsi="Arial" w:cs="Arial"/>
          <w:sz w:val="24"/>
          <w:szCs w:val="24"/>
        </w:rPr>
        <w:t>towards</w:t>
      </w:r>
      <w:r>
        <w:rPr>
          <w:rFonts w:ascii="Arial" w:hAnsi="Arial" w:cs="Arial"/>
          <w:sz w:val="24"/>
          <w:szCs w:val="24"/>
        </w:rPr>
        <w:t xml:space="preserve"> the </w:t>
      </w:r>
      <w:r w:rsidR="00CF34A3">
        <w:rPr>
          <w:rFonts w:ascii="Arial" w:hAnsi="Arial" w:cs="Arial"/>
          <w:sz w:val="24"/>
          <w:szCs w:val="24"/>
        </w:rPr>
        <w:t xml:space="preserve">African </w:t>
      </w:r>
      <w:r>
        <w:rPr>
          <w:rFonts w:ascii="Arial" w:hAnsi="Arial" w:cs="Arial"/>
          <w:sz w:val="24"/>
          <w:szCs w:val="24"/>
        </w:rPr>
        <w:t>mainland</w:t>
      </w:r>
      <w:r w:rsidR="00CF34A3">
        <w:rPr>
          <w:rFonts w:ascii="Arial" w:hAnsi="Arial" w:cs="Arial"/>
          <w:sz w:val="24"/>
          <w:szCs w:val="24"/>
        </w:rPr>
        <w:t>,</w:t>
      </w:r>
      <w:r>
        <w:rPr>
          <w:rFonts w:ascii="Arial" w:hAnsi="Arial" w:cs="Arial"/>
          <w:sz w:val="24"/>
          <w:szCs w:val="24"/>
        </w:rPr>
        <w:t xml:space="preserve"> as Carthaginian fears </w:t>
      </w:r>
      <w:r w:rsidR="00CF34A3">
        <w:rPr>
          <w:rFonts w:ascii="Arial" w:hAnsi="Arial" w:cs="Arial"/>
          <w:sz w:val="24"/>
          <w:szCs w:val="24"/>
        </w:rPr>
        <w:t xml:space="preserve">of </w:t>
      </w:r>
      <w:proofErr w:type="spellStart"/>
      <w:r w:rsidR="00CF34A3">
        <w:rPr>
          <w:rFonts w:ascii="Arial" w:hAnsi="Arial" w:cs="Arial"/>
          <w:sz w:val="24"/>
          <w:szCs w:val="24"/>
        </w:rPr>
        <w:t>Gelon’s</w:t>
      </w:r>
      <w:proofErr w:type="spellEnd"/>
      <w:r w:rsidR="00CF34A3">
        <w:rPr>
          <w:rFonts w:ascii="Arial" w:hAnsi="Arial" w:cs="Arial"/>
          <w:sz w:val="24"/>
          <w:szCs w:val="24"/>
        </w:rPr>
        <w:t xml:space="preserve"> potential invasion after </w:t>
      </w:r>
      <w:proofErr w:type="spellStart"/>
      <w:r w:rsidR="00CF34A3">
        <w:rPr>
          <w:rFonts w:ascii="Arial" w:hAnsi="Arial" w:cs="Arial"/>
          <w:sz w:val="24"/>
          <w:szCs w:val="24"/>
        </w:rPr>
        <w:t>Himera</w:t>
      </w:r>
      <w:proofErr w:type="spellEnd"/>
      <w:r w:rsidR="00CF34A3">
        <w:rPr>
          <w:rFonts w:ascii="Arial" w:hAnsi="Arial" w:cs="Arial"/>
          <w:sz w:val="24"/>
          <w:szCs w:val="24"/>
        </w:rPr>
        <w:t xml:space="preserve"> confirm</w:t>
      </w:r>
      <w:r>
        <w:rPr>
          <w:rStyle w:val="FootnoteReference"/>
          <w:rFonts w:ascii="Arial" w:hAnsi="Arial" w:cs="Arial"/>
          <w:sz w:val="24"/>
          <w:szCs w:val="24"/>
        </w:rPr>
        <w:footnoteReference w:id="212"/>
      </w:r>
      <w:r>
        <w:rPr>
          <w:rFonts w:ascii="Arial" w:hAnsi="Arial" w:cs="Arial"/>
          <w:sz w:val="24"/>
          <w:szCs w:val="24"/>
        </w:rPr>
        <w:t xml:space="preserve">. </w:t>
      </w:r>
    </w:p>
    <w:p w14:paraId="169842C6" w14:textId="78484A51" w:rsidR="00F21624" w:rsidRPr="00E746D0" w:rsidRDefault="00F21624" w:rsidP="008B745A">
      <w:pPr>
        <w:spacing w:line="480" w:lineRule="auto"/>
        <w:rPr>
          <w:rFonts w:ascii="Arial" w:hAnsi="Arial" w:cs="Arial"/>
          <w:sz w:val="24"/>
          <w:szCs w:val="24"/>
          <w:highlight w:val="yellow"/>
        </w:rPr>
      </w:pPr>
      <w:r>
        <w:rPr>
          <w:rFonts w:ascii="Arial" w:hAnsi="Arial" w:cs="Arial"/>
          <w:sz w:val="24"/>
          <w:szCs w:val="24"/>
        </w:rPr>
        <w:t>Proof of the islands strategic and commercial value come from the fact that the island was fought over for centuries – Thucydides mentions several centuries of Punic-Sicilian conflicts</w:t>
      </w:r>
      <w:r>
        <w:rPr>
          <w:rStyle w:val="FootnoteReference"/>
          <w:rFonts w:ascii="Arial" w:hAnsi="Arial" w:cs="Arial"/>
          <w:sz w:val="24"/>
          <w:szCs w:val="24"/>
        </w:rPr>
        <w:footnoteReference w:id="213"/>
      </w:r>
      <w:r>
        <w:rPr>
          <w:rFonts w:ascii="Arial" w:hAnsi="Arial" w:cs="Arial"/>
          <w:sz w:val="24"/>
          <w:szCs w:val="24"/>
        </w:rPr>
        <w:t xml:space="preserve">. Moreover, Carthage did not have the resources to easily take the island. During the conflicts with Dionysus I and </w:t>
      </w:r>
      <w:proofErr w:type="spellStart"/>
      <w:r>
        <w:rPr>
          <w:rFonts w:ascii="Arial" w:hAnsi="Arial" w:cs="Arial"/>
          <w:sz w:val="24"/>
          <w:szCs w:val="24"/>
        </w:rPr>
        <w:t>Gelon</w:t>
      </w:r>
      <w:proofErr w:type="spellEnd"/>
      <w:r w:rsidR="002704BD">
        <w:rPr>
          <w:rFonts w:ascii="Arial" w:hAnsi="Arial" w:cs="Arial"/>
          <w:sz w:val="24"/>
          <w:szCs w:val="24"/>
        </w:rPr>
        <w:t>,</w:t>
      </w:r>
      <w:r>
        <w:rPr>
          <w:rFonts w:ascii="Arial" w:hAnsi="Arial" w:cs="Arial"/>
          <w:sz w:val="24"/>
          <w:szCs w:val="24"/>
        </w:rPr>
        <w:t xml:space="preserve"> in 480 the Carthaginians were so desperate they sued for peace</w:t>
      </w:r>
      <w:r>
        <w:rPr>
          <w:rStyle w:val="FootnoteReference"/>
          <w:rFonts w:ascii="Arial" w:hAnsi="Arial" w:cs="Arial"/>
          <w:sz w:val="24"/>
          <w:szCs w:val="24"/>
        </w:rPr>
        <w:footnoteReference w:id="214"/>
      </w:r>
      <w:r w:rsidR="002704BD">
        <w:rPr>
          <w:rFonts w:ascii="Arial" w:hAnsi="Arial" w:cs="Arial"/>
          <w:sz w:val="24"/>
          <w:szCs w:val="24"/>
        </w:rPr>
        <w:t>. This happened again</w:t>
      </w:r>
      <w:r>
        <w:rPr>
          <w:rFonts w:ascii="Arial" w:hAnsi="Arial" w:cs="Arial"/>
          <w:sz w:val="24"/>
          <w:szCs w:val="24"/>
        </w:rPr>
        <w:t xml:space="preserve"> after another defeat at Cumae</w:t>
      </w:r>
      <w:r w:rsidR="002704BD">
        <w:rPr>
          <w:rFonts w:ascii="Arial" w:hAnsi="Arial" w:cs="Arial"/>
          <w:sz w:val="24"/>
          <w:szCs w:val="24"/>
        </w:rPr>
        <w:t xml:space="preserve"> </w:t>
      </w:r>
      <w:r>
        <w:rPr>
          <w:rFonts w:ascii="Arial" w:hAnsi="Arial" w:cs="Arial"/>
          <w:sz w:val="24"/>
          <w:szCs w:val="24"/>
        </w:rPr>
        <w:t>– Carthage managed to get the peace to last for most of the 5</w:t>
      </w:r>
      <w:r>
        <w:rPr>
          <w:rFonts w:ascii="Arial" w:hAnsi="Arial" w:cs="Arial"/>
          <w:sz w:val="24"/>
          <w:szCs w:val="24"/>
          <w:vertAlign w:val="superscript"/>
        </w:rPr>
        <w:t>th</w:t>
      </w:r>
      <w:r>
        <w:rPr>
          <w:rFonts w:ascii="Arial" w:hAnsi="Arial" w:cs="Arial"/>
          <w:sz w:val="24"/>
          <w:szCs w:val="24"/>
        </w:rPr>
        <w:t xml:space="preserve"> century</w:t>
      </w:r>
      <w:r>
        <w:rPr>
          <w:rStyle w:val="FootnoteReference"/>
          <w:rFonts w:ascii="Arial" w:hAnsi="Arial" w:cs="Arial"/>
          <w:sz w:val="24"/>
          <w:szCs w:val="24"/>
        </w:rPr>
        <w:footnoteReference w:id="215"/>
      </w:r>
      <w:r>
        <w:rPr>
          <w:rFonts w:ascii="Arial" w:hAnsi="Arial" w:cs="Arial"/>
          <w:sz w:val="24"/>
          <w:szCs w:val="24"/>
        </w:rPr>
        <w:t xml:space="preserve">. </w:t>
      </w:r>
      <w:r w:rsidR="00784BF3">
        <w:rPr>
          <w:rFonts w:ascii="Arial" w:hAnsi="Arial" w:cs="Arial"/>
          <w:sz w:val="24"/>
          <w:szCs w:val="24"/>
        </w:rPr>
        <w:t>L</w:t>
      </w:r>
      <w:r>
        <w:rPr>
          <w:rFonts w:ascii="Arial" w:hAnsi="Arial" w:cs="Arial"/>
          <w:sz w:val="24"/>
          <w:szCs w:val="24"/>
        </w:rPr>
        <w:t xml:space="preserve">ike Rome, Carthage often had to settle for truces and stalemates. This can be seen in 405 when Syracuse and Carthage agreed </w:t>
      </w:r>
      <w:r w:rsidR="00EB3599">
        <w:rPr>
          <w:rFonts w:ascii="Arial" w:hAnsi="Arial" w:cs="Arial"/>
          <w:sz w:val="24"/>
          <w:szCs w:val="24"/>
        </w:rPr>
        <w:t xml:space="preserve">to </w:t>
      </w:r>
      <w:r>
        <w:rPr>
          <w:rFonts w:ascii="Arial" w:hAnsi="Arial" w:cs="Arial"/>
          <w:sz w:val="24"/>
          <w:szCs w:val="24"/>
        </w:rPr>
        <w:t>another peace</w:t>
      </w:r>
      <w:r w:rsidR="008769EC">
        <w:rPr>
          <w:rFonts w:ascii="Arial" w:hAnsi="Arial" w:cs="Arial"/>
          <w:sz w:val="24"/>
          <w:szCs w:val="24"/>
        </w:rPr>
        <w:t xml:space="preserve"> and </w:t>
      </w:r>
      <w:r w:rsidR="008769EC">
        <w:rPr>
          <w:rFonts w:ascii="Arial" w:hAnsi="Arial" w:cs="Arial"/>
          <w:sz w:val="24"/>
          <w:szCs w:val="24"/>
        </w:rPr>
        <w:lastRenderedPageBreak/>
        <w:t xml:space="preserve">again in </w:t>
      </w:r>
      <w:r>
        <w:rPr>
          <w:rFonts w:ascii="Arial" w:hAnsi="Arial" w:cs="Arial"/>
          <w:sz w:val="24"/>
          <w:szCs w:val="24"/>
        </w:rPr>
        <w:t xml:space="preserve">392 </w:t>
      </w:r>
      <w:r w:rsidR="008769EC">
        <w:rPr>
          <w:rFonts w:ascii="Arial" w:hAnsi="Arial" w:cs="Arial"/>
          <w:sz w:val="24"/>
          <w:szCs w:val="24"/>
        </w:rPr>
        <w:t xml:space="preserve">when </w:t>
      </w:r>
      <w:r>
        <w:rPr>
          <w:rFonts w:ascii="Arial" w:hAnsi="Arial" w:cs="Arial"/>
          <w:sz w:val="24"/>
          <w:szCs w:val="24"/>
        </w:rPr>
        <w:t>the Carthaginians sought peace with Syracuse</w:t>
      </w:r>
      <w:r w:rsidR="008769EC">
        <w:rPr>
          <w:rFonts w:ascii="Arial" w:hAnsi="Arial" w:cs="Arial"/>
          <w:sz w:val="24"/>
          <w:szCs w:val="24"/>
        </w:rPr>
        <w:t>. I</w:t>
      </w:r>
      <w:r>
        <w:rPr>
          <w:rFonts w:ascii="Arial" w:hAnsi="Arial" w:cs="Arial"/>
          <w:sz w:val="24"/>
          <w:szCs w:val="24"/>
        </w:rPr>
        <w:t>n the lat</w:t>
      </w:r>
      <w:r w:rsidR="008769EC">
        <w:rPr>
          <w:rFonts w:ascii="Arial" w:hAnsi="Arial" w:cs="Arial"/>
          <w:sz w:val="24"/>
          <w:szCs w:val="24"/>
        </w:rPr>
        <w:t>t</w:t>
      </w:r>
      <w:r>
        <w:rPr>
          <w:rFonts w:ascii="Arial" w:hAnsi="Arial" w:cs="Arial"/>
          <w:sz w:val="24"/>
          <w:szCs w:val="24"/>
        </w:rPr>
        <w:t xml:space="preserve">er they had to give up the cities of </w:t>
      </w:r>
      <w:proofErr w:type="spellStart"/>
      <w:r>
        <w:rPr>
          <w:rFonts w:ascii="Arial" w:hAnsi="Arial" w:cs="Arial"/>
          <w:sz w:val="24"/>
          <w:szCs w:val="24"/>
        </w:rPr>
        <w:t>Tauromenium</w:t>
      </w:r>
      <w:proofErr w:type="spellEnd"/>
      <w:r>
        <w:rPr>
          <w:rFonts w:ascii="Arial" w:hAnsi="Arial" w:cs="Arial"/>
          <w:sz w:val="24"/>
          <w:szCs w:val="24"/>
        </w:rPr>
        <w:t xml:space="preserve"> and </w:t>
      </w:r>
      <w:proofErr w:type="spellStart"/>
      <w:r>
        <w:rPr>
          <w:rFonts w:ascii="Arial" w:hAnsi="Arial" w:cs="Arial"/>
          <w:sz w:val="24"/>
          <w:szCs w:val="24"/>
        </w:rPr>
        <w:t>Siceli</w:t>
      </w:r>
      <w:proofErr w:type="spellEnd"/>
      <w:r>
        <w:rPr>
          <w:rFonts w:ascii="Arial" w:hAnsi="Arial" w:cs="Arial"/>
          <w:sz w:val="24"/>
          <w:szCs w:val="24"/>
        </w:rPr>
        <w:t xml:space="preserve"> after years of intense fighting</w:t>
      </w:r>
      <w:r>
        <w:rPr>
          <w:rStyle w:val="FootnoteReference"/>
          <w:rFonts w:ascii="Arial" w:hAnsi="Arial" w:cs="Arial"/>
          <w:sz w:val="24"/>
          <w:szCs w:val="24"/>
        </w:rPr>
        <w:footnoteReference w:id="216"/>
      </w:r>
      <w:r>
        <w:rPr>
          <w:rFonts w:ascii="Arial" w:hAnsi="Arial" w:cs="Arial"/>
          <w:sz w:val="24"/>
          <w:szCs w:val="24"/>
        </w:rPr>
        <w:t xml:space="preserve">. </w:t>
      </w:r>
      <w:r w:rsidRPr="00B40971">
        <w:rPr>
          <w:rFonts w:ascii="Arial" w:hAnsi="Arial" w:cs="Arial"/>
          <w:sz w:val="24"/>
          <w:szCs w:val="24"/>
        </w:rPr>
        <w:t>Strategically important cities were fought over, like Thermae – on the borders of Punic and Greek Sicily</w:t>
      </w:r>
      <w:r w:rsidRPr="00B40971">
        <w:rPr>
          <w:rStyle w:val="FootnoteReference"/>
          <w:rFonts w:ascii="Arial" w:hAnsi="Arial" w:cs="Arial"/>
          <w:sz w:val="24"/>
          <w:szCs w:val="24"/>
        </w:rPr>
        <w:footnoteReference w:id="217"/>
      </w:r>
      <w:r w:rsidRPr="00B40971">
        <w:rPr>
          <w:rFonts w:ascii="Arial" w:hAnsi="Arial" w:cs="Arial"/>
          <w:sz w:val="24"/>
          <w:szCs w:val="24"/>
        </w:rPr>
        <w:t>.</w:t>
      </w:r>
    </w:p>
    <w:p w14:paraId="6A4673B4" w14:textId="3A011CD2" w:rsidR="00F21624" w:rsidRDefault="00F21624" w:rsidP="008B745A">
      <w:pPr>
        <w:spacing w:line="480" w:lineRule="auto"/>
        <w:rPr>
          <w:rFonts w:ascii="Arial" w:hAnsi="Arial" w:cs="Arial"/>
          <w:sz w:val="24"/>
          <w:szCs w:val="24"/>
        </w:rPr>
      </w:pPr>
      <w:r w:rsidRPr="00B40971">
        <w:rPr>
          <w:rFonts w:ascii="Arial" w:hAnsi="Arial" w:cs="Arial"/>
          <w:sz w:val="24"/>
          <w:szCs w:val="24"/>
        </w:rPr>
        <w:t>In 398, Dionysus</w:t>
      </w:r>
      <w:r w:rsidR="00E746D0" w:rsidRPr="00B40971">
        <w:rPr>
          <w:rFonts w:ascii="Arial" w:hAnsi="Arial" w:cs="Arial"/>
          <w:sz w:val="24"/>
          <w:szCs w:val="24"/>
        </w:rPr>
        <w:t xml:space="preserve"> I </w:t>
      </w:r>
      <w:r w:rsidRPr="00B40971">
        <w:rPr>
          <w:rFonts w:ascii="Arial" w:hAnsi="Arial" w:cs="Arial"/>
          <w:sz w:val="24"/>
          <w:szCs w:val="24"/>
        </w:rPr>
        <w:t>attacked Carthaginian territory</w:t>
      </w:r>
      <w:r w:rsidRPr="00B40971">
        <w:rPr>
          <w:rStyle w:val="FootnoteReference"/>
          <w:rFonts w:ascii="Arial" w:hAnsi="Arial" w:cs="Arial"/>
          <w:sz w:val="24"/>
          <w:szCs w:val="24"/>
        </w:rPr>
        <w:footnoteReference w:id="218"/>
      </w:r>
      <w:r w:rsidRPr="00B40971">
        <w:rPr>
          <w:rFonts w:ascii="Arial" w:hAnsi="Arial" w:cs="Arial"/>
          <w:sz w:val="24"/>
          <w:szCs w:val="24"/>
        </w:rPr>
        <w:t>. He was not going to accept increased Carthaginian control at the expense of his. By 397</w:t>
      </w:r>
      <w:r w:rsidR="00E746D0" w:rsidRPr="00B40971">
        <w:rPr>
          <w:rFonts w:ascii="Arial" w:hAnsi="Arial" w:cs="Arial"/>
          <w:sz w:val="24"/>
          <w:szCs w:val="24"/>
        </w:rPr>
        <w:t>,</w:t>
      </w:r>
      <w:r w:rsidRPr="00B40971">
        <w:rPr>
          <w:rFonts w:ascii="Arial" w:hAnsi="Arial" w:cs="Arial"/>
          <w:sz w:val="24"/>
          <w:szCs w:val="24"/>
        </w:rPr>
        <w:t xml:space="preserve"> he had taken </w:t>
      </w:r>
      <w:proofErr w:type="spellStart"/>
      <w:r w:rsidRPr="00B40971">
        <w:rPr>
          <w:rFonts w:ascii="Arial" w:hAnsi="Arial" w:cs="Arial"/>
          <w:sz w:val="24"/>
          <w:szCs w:val="24"/>
        </w:rPr>
        <w:t>Eryx</w:t>
      </w:r>
      <w:proofErr w:type="spellEnd"/>
      <w:r w:rsidRPr="00B40971">
        <w:rPr>
          <w:rFonts w:ascii="Arial" w:hAnsi="Arial" w:cs="Arial"/>
          <w:sz w:val="24"/>
          <w:szCs w:val="24"/>
        </w:rPr>
        <w:t xml:space="preserve"> and pushed into Western Sicily</w:t>
      </w:r>
      <w:r w:rsidR="00E746D0" w:rsidRPr="00B40971">
        <w:rPr>
          <w:rFonts w:ascii="Arial" w:hAnsi="Arial" w:cs="Arial"/>
          <w:sz w:val="24"/>
          <w:szCs w:val="24"/>
        </w:rPr>
        <w:t xml:space="preserve">; </w:t>
      </w:r>
      <w:r w:rsidRPr="00B40971">
        <w:rPr>
          <w:rFonts w:ascii="Arial" w:hAnsi="Arial" w:cs="Arial"/>
          <w:sz w:val="24"/>
          <w:szCs w:val="24"/>
        </w:rPr>
        <w:t>although the Carthaginians had taken Messana</w:t>
      </w:r>
      <w:r w:rsidR="00E746D0" w:rsidRPr="00B40971">
        <w:rPr>
          <w:rFonts w:ascii="Arial" w:hAnsi="Arial" w:cs="Arial"/>
          <w:sz w:val="24"/>
          <w:szCs w:val="24"/>
        </w:rPr>
        <w:t>,</w:t>
      </w:r>
      <w:r w:rsidRPr="00B40971">
        <w:rPr>
          <w:rFonts w:ascii="Arial" w:hAnsi="Arial" w:cs="Arial"/>
          <w:sz w:val="24"/>
          <w:szCs w:val="24"/>
        </w:rPr>
        <w:t xml:space="preserve"> </w:t>
      </w:r>
      <w:r w:rsidR="00E746D0" w:rsidRPr="00B40971">
        <w:rPr>
          <w:rFonts w:ascii="Arial" w:hAnsi="Arial" w:cs="Arial"/>
          <w:sz w:val="24"/>
          <w:szCs w:val="24"/>
        </w:rPr>
        <w:t xml:space="preserve">they </w:t>
      </w:r>
      <w:r w:rsidRPr="00B40971">
        <w:rPr>
          <w:rFonts w:ascii="Arial" w:hAnsi="Arial" w:cs="Arial"/>
          <w:sz w:val="24"/>
          <w:szCs w:val="24"/>
        </w:rPr>
        <w:t>were defeated once again</w:t>
      </w:r>
      <w:r w:rsidRPr="00B40971">
        <w:rPr>
          <w:rStyle w:val="FootnoteReference"/>
          <w:rFonts w:ascii="Arial" w:hAnsi="Arial" w:cs="Arial"/>
          <w:sz w:val="24"/>
          <w:szCs w:val="24"/>
        </w:rPr>
        <w:footnoteReference w:id="219"/>
      </w:r>
      <w:r w:rsidRPr="00B40971">
        <w:rPr>
          <w:rFonts w:ascii="Arial" w:hAnsi="Arial" w:cs="Arial"/>
          <w:sz w:val="24"/>
          <w:szCs w:val="24"/>
        </w:rPr>
        <w:t xml:space="preserve">. This is important as it </w:t>
      </w:r>
      <w:r w:rsidR="00E746D0" w:rsidRPr="00B40971">
        <w:rPr>
          <w:rFonts w:ascii="Arial" w:hAnsi="Arial" w:cs="Arial"/>
          <w:sz w:val="24"/>
          <w:szCs w:val="24"/>
        </w:rPr>
        <w:t>demonstrates</w:t>
      </w:r>
      <w:r w:rsidRPr="00B40971">
        <w:rPr>
          <w:rFonts w:ascii="Arial" w:hAnsi="Arial" w:cs="Arial"/>
          <w:sz w:val="24"/>
          <w:szCs w:val="24"/>
        </w:rPr>
        <w:t xml:space="preserve"> that Carthage had tried to take the whole island but did not have the resources to do so, helping refute Whittaker’s arguments that Carthage was not particularly aggressive</w:t>
      </w:r>
      <w:r w:rsidRPr="00B40971">
        <w:rPr>
          <w:rStyle w:val="FootnoteReference"/>
          <w:rFonts w:ascii="Arial" w:hAnsi="Arial" w:cs="Arial"/>
          <w:sz w:val="24"/>
          <w:szCs w:val="24"/>
        </w:rPr>
        <w:footnoteReference w:id="220"/>
      </w:r>
      <w:r w:rsidRPr="00B40971">
        <w:rPr>
          <w:rFonts w:ascii="Arial" w:hAnsi="Arial" w:cs="Arial"/>
          <w:sz w:val="24"/>
          <w:szCs w:val="24"/>
        </w:rPr>
        <w:t>. When the Mamertine appeal and Rome’s defeat of Syracuse occurred</w:t>
      </w:r>
      <w:r w:rsidR="00EB3599" w:rsidRPr="00B40971">
        <w:rPr>
          <w:rFonts w:ascii="Arial" w:hAnsi="Arial" w:cs="Arial"/>
          <w:sz w:val="24"/>
          <w:szCs w:val="24"/>
        </w:rPr>
        <w:t>,</w:t>
      </w:r>
      <w:r w:rsidRPr="00B40971">
        <w:rPr>
          <w:rFonts w:ascii="Arial" w:hAnsi="Arial" w:cs="Arial"/>
          <w:sz w:val="24"/>
          <w:szCs w:val="24"/>
        </w:rPr>
        <w:t xml:space="preserve"> Carthage would not allow Rome to establish itself on Sicily when the possibility of Carthaginian ascendency on the island </w:t>
      </w:r>
      <w:r w:rsidR="00E746D0" w:rsidRPr="00B40971">
        <w:rPr>
          <w:rFonts w:ascii="Arial" w:hAnsi="Arial" w:cs="Arial"/>
          <w:sz w:val="24"/>
          <w:szCs w:val="24"/>
        </w:rPr>
        <w:t>was almost realised</w:t>
      </w:r>
      <w:r w:rsidRPr="00B40971">
        <w:rPr>
          <w:rFonts w:ascii="Arial" w:hAnsi="Arial" w:cs="Arial"/>
          <w:sz w:val="24"/>
          <w:szCs w:val="24"/>
        </w:rPr>
        <w:t>.</w:t>
      </w:r>
      <w:r>
        <w:rPr>
          <w:rFonts w:ascii="Arial" w:hAnsi="Arial" w:cs="Arial"/>
          <w:sz w:val="24"/>
          <w:szCs w:val="24"/>
        </w:rPr>
        <w:t xml:space="preserve"> </w:t>
      </w:r>
    </w:p>
    <w:p w14:paraId="2BD1AF10" w14:textId="084AC79C" w:rsidR="00F21624" w:rsidRDefault="00F21624" w:rsidP="008B745A">
      <w:pPr>
        <w:spacing w:line="480" w:lineRule="auto"/>
        <w:rPr>
          <w:rFonts w:ascii="Arial" w:hAnsi="Arial" w:cs="Arial"/>
          <w:sz w:val="24"/>
          <w:szCs w:val="24"/>
        </w:rPr>
      </w:pPr>
      <w:r>
        <w:rPr>
          <w:rFonts w:ascii="Arial" w:hAnsi="Arial" w:cs="Arial"/>
          <w:sz w:val="24"/>
          <w:szCs w:val="24"/>
        </w:rPr>
        <w:t>Finally, Carthage gained the upper hand in 383, defeating Dionysus</w:t>
      </w:r>
      <w:r w:rsidR="00E746D0">
        <w:rPr>
          <w:rFonts w:ascii="Arial" w:hAnsi="Arial" w:cs="Arial"/>
          <w:sz w:val="24"/>
          <w:szCs w:val="24"/>
        </w:rPr>
        <w:t xml:space="preserve"> I at </w:t>
      </w:r>
      <w:proofErr w:type="spellStart"/>
      <w:r w:rsidR="00E746D0">
        <w:rPr>
          <w:rFonts w:ascii="Arial" w:hAnsi="Arial" w:cs="Arial"/>
          <w:sz w:val="24"/>
          <w:szCs w:val="24"/>
        </w:rPr>
        <w:t>Cronium</w:t>
      </w:r>
      <w:proofErr w:type="spellEnd"/>
      <w:r w:rsidR="00E746D0">
        <w:rPr>
          <w:rFonts w:ascii="Arial" w:hAnsi="Arial" w:cs="Arial"/>
          <w:sz w:val="24"/>
          <w:szCs w:val="24"/>
        </w:rPr>
        <w:t>. I</w:t>
      </w:r>
      <w:r>
        <w:rPr>
          <w:rFonts w:ascii="Arial" w:hAnsi="Arial" w:cs="Arial"/>
          <w:sz w:val="24"/>
          <w:szCs w:val="24"/>
        </w:rPr>
        <w:t>n the ensuing peace</w:t>
      </w:r>
      <w:r w:rsidR="00E746D0">
        <w:rPr>
          <w:rFonts w:ascii="Arial" w:hAnsi="Arial" w:cs="Arial"/>
          <w:sz w:val="24"/>
          <w:szCs w:val="24"/>
        </w:rPr>
        <w:t>,</w:t>
      </w:r>
      <w:r>
        <w:rPr>
          <w:rFonts w:ascii="Arial" w:hAnsi="Arial" w:cs="Arial"/>
          <w:sz w:val="24"/>
          <w:szCs w:val="24"/>
        </w:rPr>
        <w:t xml:space="preserve"> </w:t>
      </w:r>
      <w:r w:rsidR="00E746D0">
        <w:rPr>
          <w:rFonts w:ascii="Arial" w:hAnsi="Arial" w:cs="Arial"/>
          <w:sz w:val="24"/>
          <w:szCs w:val="24"/>
        </w:rPr>
        <w:t xml:space="preserve">Carthage </w:t>
      </w:r>
      <w:r>
        <w:rPr>
          <w:rFonts w:ascii="Arial" w:hAnsi="Arial" w:cs="Arial"/>
          <w:sz w:val="24"/>
          <w:szCs w:val="24"/>
        </w:rPr>
        <w:t xml:space="preserve">gained the cities of Selinus and </w:t>
      </w:r>
      <w:proofErr w:type="spellStart"/>
      <w:r>
        <w:rPr>
          <w:rFonts w:ascii="Arial" w:hAnsi="Arial" w:cs="Arial"/>
          <w:sz w:val="24"/>
          <w:szCs w:val="24"/>
        </w:rPr>
        <w:t>Acragas</w:t>
      </w:r>
      <w:proofErr w:type="spellEnd"/>
      <w:r>
        <w:rPr>
          <w:rFonts w:ascii="Arial" w:hAnsi="Arial" w:cs="Arial"/>
          <w:sz w:val="24"/>
          <w:szCs w:val="24"/>
        </w:rPr>
        <w:t>, as well as 1</w:t>
      </w:r>
      <w:r w:rsidR="00E746D0">
        <w:rPr>
          <w:rFonts w:ascii="Arial" w:hAnsi="Arial" w:cs="Arial"/>
          <w:sz w:val="24"/>
          <w:szCs w:val="24"/>
        </w:rPr>
        <w:t>,</w:t>
      </w:r>
      <w:r>
        <w:rPr>
          <w:rFonts w:ascii="Arial" w:hAnsi="Arial" w:cs="Arial"/>
          <w:sz w:val="24"/>
          <w:szCs w:val="24"/>
        </w:rPr>
        <w:t xml:space="preserve">000 talents – </w:t>
      </w:r>
      <w:r w:rsidR="00E746D0">
        <w:rPr>
          <w:rFonts w:ascii="Arial" w:hAnsi="Arial" w:cs="Arial"/>
          <w:sz w:val="24"/>
          <w:szCs w:val="24"/>
        </w:rPr>
        <w:t xml:space="preserve">a </w:t>
      </w:r>
      <w:r>
        <w:rPr>
          <w:rFonts w:ascii="Arial" w:hAnsi="Arial" w:cs="Arial"/>
          <w:sz w:val="24"/>
          <w:szCs w:val="24"/>
        </w:rPr>
        <w:t>rare instance of indemnities being given</w:t>
      </w:r>
      <w:r>
        <w:rPr>
          <w:rStyle w:val="FootnoteReference"/>
          <w:rFonts w:ascii="Arial" w:hAnsi="Arial" w:cs="Arial"/>
          <w:sz w:val="24"/>
          <w:szCs w:val="24"/>
        </w:rPr>
        <w:footnoteReference w:id="221"/>
      </w:r>
      <w:r>
        <w:rPr>
          <w:rFonts w:ascii="Arial" w:hAnsi="Arial" w:cs="Arial"/>
          <w:sz w:val="24"/>
          <w:szCs w:val="24"/>
        </w:rPr>
        <w:t xml:space="preserve">. Despite </w:t>
      </w:r>
      <w:r w:rsidR="00E746D0">
        <w:rPr>
          <w:rFonts w:ascii="Arial" w:hAnsi="Arial" w:cs="Arial"/>
          <w:sz w:val="24"/>
          <w:szCs w:val="24"/>
        </w:rPr>
        <w:t xml:space="preserve">this </w:t>
      </w:r>
      <w:r>
        <w:rPr>
          <w:rFonts w:ascii="Arial" w:hAnsi="Arial" w:cs="Arial"/>
          <w:sz w:val="24"/>
          <w:szCs w:val="24"/>
        </w:rPr>
        <w:t>warfare, trade and commercial relations seemed to continue</w:t>
      </w:r>
      <w:r>
        <w:rPr>
          <w:rStyle w:val="FootnoteReference"/>
          <w:rFonts w:ascii="Arial" w:hAnsi="Arial" w:cs="Arial"/>
          <w:sz w:val="24"/>
          <w:szCs w:val="24"/>
        </w:rPr>
        <w:footnoteReference w:id="222"/>
      </w:r>
      <w:r>
        <w:rPr>
          <w:rFonts w:ascii="Arial" w:hAnsi="Arial" w:cs="Arial"/>
          <w:sz w:val="24"/>
          <w:szCs w:val="24"/>
        </w:rPr>
        <w:t xml:space="preserve">; the Carthaginians did not pursue the defeated Dionysus but accepted the territory and cities east of the </w:t>
      </w:r>
      <w:proofErr w:type="spellStart"/>
      <w:r>
        <w:rPr>
          <w:rFonts w:ascii="Arial" w:hAnsi="Arial" w:cs="Arial"/>
          <w:sz w:val="24"/>
          <w:szCs w:val="24"/>
        </w:rPr>
        <w:t>Halycus</w:t>
      </w:r>
      <w:proofErr w:type="spellEnd"/>
      <w:r>
        <w:rPr>
          <w:rFonts w:ascii="Arial" w:hAnsi="Arial" w:cs="Arial"/>
          <w:sz w:val="24"/>
          <w:szCs w:val="24"/>
        </w:rPr>
        <w:t xml:space="preserve"> River</w:t>
      </w:r>
      <w:r>
        <w:rPr>
          <w:rStyle w:val="FootnoteReference"/>
          <w:rFonts w:ascii="Arial" w:hAnsi="Arial" w:cs="Arial"/>
          <w:sz w:val="24"/>
          <w:szCs w:val="24"/>
        </w:rPr>
        <w:footnoteReference w:id="223"/>
      </w:r>
      <w:r>
        <w:rPr>
          <w:rFonts w:ascii="Arial" w:hAnsi="Arial" w:cs="Arial"/>
          <w:sz w:val="24"/>
          <w:szCs w:val="24"/>
        </w:rPr>
        <w:t xml:space="preserve">. When considering why Carthage did not go further, it should be </w:t>
      </w:r>
      <w:r>
        <w:rPr>
          <w:rFonts w:ascii="Arial" w:hAnsi="Arial" w:cs="Arial"/>
          <w:sz w:val="24"/>
          <w:szCs w:val="24"/>
        </w:rPr>
        <w:lastRenderedPageBreak/>
        <w:t xml:space="preserve">noted that both sides would have been exhausted and trade must have been severely disrupted. </w:t>
      </w:r>
    </w:p>
    <w:p w14:paraId="0642A40F" w14:textId="719738B6" w:rsidR="00BA0F8A" w:rsidRDefault="00F21624" w:rsidP="008B745A">
      <w:pPr>
        <w:spacing w:line="480" w:lineRule="auto"/>
        <w:rPr>
          <w:rFonts w:ascii="Arial" w:hAnsi="Arial" w:cs="Arial"/>
          <w:sz w:val="24"/>
          <w:szCs w:val="24"/>
        </w:rPr>
      </w:pPr>
      <w:r>
        <w:rPr>
          <w:rFonts w:ascii="Arial" w:hAnsi="Arial" w:cs="Arial"/>
          <w:sz w:val="24"/>
          <w:szCs w:val="24"/>
        </w:rPr>
        <w:t>Carthage could not enjoy peace for long. Agathocles’ invasion</w:t>
      </w:r>
      <w:r w:rsidR="00793C64">
        <w:rPr>
          <w:rFonts w:ascii="Arial" w:hAnsi="Arial" w:cs="Arial"/>
          <w:sz w:val="24"/>
          <w:szCs w:val="24"/>
        </w:rPr>
        <w:t xml:space="preserve"> of 310</w:t>
      </w:r>
      <w:r>
        <w:rPr>
          <w:rFonts w:ascii="Arial" w:hAnsi="Arial" w:cs="Arial"/>
          <w:sz w:val="24"/>
          <w:szCs w:val="24"/>
        </w:rPr>
        <w:t xml:space="preserve"> was incredibly damaging - he was able to capture </w:t>
      </w:r>
      <w:r w:rsidR="00E746D0">
        <w:rPr>
          <w:rFonts w:ascii="Arial" w:hAnsi="Arial" w:cs="Arial"/>
          <w:sz w:val="24"/>
          <w:szCs w:val="24"/>
        </w:rPr>
        <w:t>several strategically important towns</w:t>
      </w:r>
      <w:r>
        <w:rPr>
          <w:rStyle w:val="FootnoteReference"/>
          <w:rFonts w:ascii="Arial" w:hAnsi="Arial" w:cs="Arial"/>
          <w:sz w:val="24"/>
          <w:szCs w:val="24"/>
        </w:rPr>
        <w:footnoteReference w:id="224"/>
      </w:r>
      <w:r>
        <w:rPr>
          <w:rFonts w:ascii="Arial" w:hAnsi="Arial" w:cs="Arial"/>
          <w:sz w:val="24"/>
          <w:szCs w:val="24"/>
        </w:rPr>
        <w:t>. Whilst Agathocles may have focused attitudes towards the importance for Sicily, and ensuring a weakened Syracuse, Carthage had experience</w:t>
      </w:r>
      <w:r w:rsidR="00EB3599">
        <w:rPr>
          <w:rFonts w:ascii="Arial" w:hAnsi="Arial" w:cs="Arial"/>
          <w:sz w:val="24"/>
          <w:szCs w:val="24"/>
        </w:rPr>
        <w:t>d</w:t>
      </w:r>
      <w:r>
        <w:rPr>
          <w:rFonts w:ascii="Arial" w:hAnsi="Arial" w:cs="Arial"/>
          <w:sz w:val="24"/>
          <w:szCs w:val="24"/>
        </w:rPr>
        <w:t xml:space="preserve"> threats to invade Sicily before. Pericles had to constantly restrain his fellow Athenians from embarking on an invasion of the island</w:t>
      </w:r>
      <w:r>
        <w:rPr>
          <w:rStyle w:val="FootnoteReference"/>
          <w:rFonts w:ascii="Arial" w:hAnsi="Arial" w:cs="Arial"/>
          <w:sz w:val="24"/>
          <w:szCs w:val="24"/>
        </w:rPr>
        <w:footnoteReference w:id="225"/>
      </w:r>
      <w:r w:rsidR="00E746D0">
        <w:rPr>
          <w:rFonts w:ascii="Arial" w:hAnsi="Arial" w:cs="Arial"/>
          <w:sz w:val="24"/>
          <w:szCs w:val="24"/>
        </w:rPr>
        <w:t xml:space="preserve">. </w:t>
      </w:r>
      <w:r>
        <w:rPr>
          <w:rFonts w:ascii="Arial" w:hAnsi="Arial" w:cs="Arial"/>
          <w:sz w:val="24"/>
          <w:szCs w:val="24"/>
        </w:rPr>
        <w:t>In Aristophanes</w:t>
      </w:r>
      <w:r w:rsidR="00E746D0">
        <w:rPr>
          <w:rFonts w:ascii="Arial" w:hAnsi="Arial" w:cs="Arial"/>
          <w:sz w:val="24"/>
          <w:szCs w:val="24"/>
        </w:rPr>
        <w:t>’</w:t>
      </w:r>
      <w:r>
        <w:rPr>
          <w:rFonts w:ascii="Arial" w:hAnsi="Arial" w:cs="Arial"/>
          <w:sz w:val="24"/>
          <w:szCs w:val="24"/>
        </w:rPr>
        <w:t xml:space="preserve"> </w:t>
      </w:r>
      <w:r w:rsidRPr="00E746D0">
        <w:rPr>
          <w:rFonts w:ascii="Arial" w:hAnsi="Arial" w:cs="Arial"/>
          <w:i/>
          <w:iCs/>
          <w:sz w:val="24"/>
          <w:szCs w:val="24"/>
        </w:rPr>
        <w:t>Knights</w:t>
      </w:r>
      <w:r>
        <w:rPr>
          <w:rFonts w:ascii="Arial" w:hAnsi="Arial" w:cs="Arial"/>
          <w:sz w:val="24"/>
          <w:szCs w:val="24"/>
        </w:rPr>
        <w:t>, Athenians dreamt of conquering Carthage through Sicily</w:t>
      </w:r>
      <w:r>
        <w:rPr>
          <w:rStyle w:val="FootnoteReference"/>
          <w:rFonts w:ascii="Arial" w:hAnsi="Arial" w:cs="Arial"/>
          <w:sz w:val="24"/>
          <w:szCs w:val="24"/>
        </w:rPr>
        <w:footnoteReference w:id="226"/>
      </w:r>
      <w:r>
        <w:rPr>
          <w:rFonts w:ascii="Arial" w:hAnsi="Arial" w:cs="Arial"/>
          <w:sz w:val="24"/>
          <w:szCs w:val="24"/>
        </w:rPr>
        <w:t>. Thucydides himself explains how the plan was initially to conquer Sicily before moving onto the Carthaginians themselves</w:t>
      </w:r>
      <w:r>
        <w:rPr>
          <w:rStyle w:val="FootnoteReference"/>
          <w:rFonts w:ascii="Arial" w:hAnsi="Arial" w:cs="Arial"/>
          <w:sz w:val="24"/>
          <w:szCs w:val="24"/>
        </w:rPr>
        <w:footnoteReference w:id="227"/>
      </w:r>
      <w:r>
        <w:rPr>
          <w:rFonts w:ascii="Arial" w:hAnsi="Arial" w:cs="Arial"/>
          <w:sz w:val="24"/>
          <w:szCs w:val="24"/>
        </w:rPr>
        <w:t xml:space="preserve"> and Alcibiades wanted to capture Carthage</w:t>
      </w:r>
      <w:r>
        <w:rPr>
          <w:rStyle w:val="FootnoteReference"/>
          <w:rFonts w:ascii="Arial" w:hAnsi="Arial" w:cs="Arial"/>
          <w:sz w:val="24"/>
          <w:szCs w:val="24"/>
        </w:rPr>
        <w:footnoteReference w:id="228"/>
      </w:r>
      <w:r>
        <w:rPr>
          <w:rFonts w:ascii="Arial" w:hAnsi="Arial" w:cs="Arial"/>
          <w:sz w:val="24"/>
          <w:szCs w:val="24"/>
        </w:rPr>
        <w:t xml:space="preserve">. </w:t>
      </w:r>
    </w:p>
    <w:p w14:paraId="2635B728" w14:textId="587B1E34" w:rsidR="00F21624" w:rsidRDefault="00F21624" w:rsidP="008B745A">
      <w:pPr>
        <w:spacing w:line="480" w:lineRule="auto"/>
        <w:rPr>
          <w:rFonts w:ascii="Arial" w:hAnsi="Arial" w:cs="Arial"/>
          <w:sz w:val="24"/>
          <w:szCs w:val="24"/>
        </w:rPr>
      </w:pPr>
      <w:r>
        <w:rPr>
          <w:rFonts w:ascii="Arial" w:hAnsi="Arial" w:cs="Arial"/>
          <w:sz w:val="24"/>
          <w:szCs w:val="24"/>
        </w:rPr>
        <w:t xml:space="preserve">When Agathocles invaded Africa, </w:t>
      </w:r>
      <w:r w:rsidR="00EB3599">
        <w:rPr>
          <w:rFonts w:ascii="Arial" w:hAnsi="Arial" w:cs="Arial"/>
          <w:sz w:val="24"/>
          <w:szCs w:val="24"/>
        </w:rPr>
        <w:t>this was the</w:t>
      </w:r>
      <w:r>
        <w:rPr>
          <w:rFonts w:ascii="Arial" w:hAnsi="Arial" w:cs="Arial"/>
          <w:sz w:val="24"/>
          <w:szCs w:val="24"/>
        </w:rPr>
        <w:t xml:space="preserve"> first time such an invasion had been launched from Sicily</w:t>
      </w:r>
      <w:r w:rsidR="00E746D0">
        <w:rPr>
          <w:rFonts w:ascii="Arial" w:hAnsi="Arial" w:cs="Arial"/>
          <w:sz w:val="24"/>
          <w:szCs w:val="24"/>
        </w:rPr>
        <w:t xml:space="preserve"> - </w:t>
      </w:r>
      <w:r>
        <w:rPr>
          <w:rFonts w:ascii="Arial" w:hAnsi="Arial" w:cs="Arial"/>
          <w:sz w:val="24"/>
          <w:szCs w:val="24"/>
        </w:rPr>
        <w:t>the Carthaginians committed an act of human sacrifice in desperation</w:t>
      </w:r>
      <w:r>
        <w:rPr>
          <w:rStyle w:val="FootnoteReference"/>
          <w:rFonts w:ascii="Arial" w:hAnsi="Arial" w:cs="Arial"/>
          <w:sz w:val="24"/>
          <w:szCs w:val="24"/>
        </w:rPr>
        <w:footnoteReference w:id="229"/>
      </w:r>
      <w:r>
        <w:rPr>
          <w:rFonts w:ascii="Arial" w:hAnsi="Arial" w:cs="Arial"/>
          <w:sz w:val="24"/>
          <w:szCs w:val="24"/>
        </w:rPr>
        <w:t xml:space="preserve">. </w:t>
      </w:r>
      <w:r w:rsidR="003F2D4B">
        <w:rPr>
          <w:rFonts w:ascii="Arial" w:hAnsi="Arial" w:cs="Arial"/>
          <w:sz w:val="24"/>
          <w:szCs w:val="24"/>
        </w:rPr>
        <w:t xml:space="preserve">This </w:t>
      </w:r>
      <w:r>
        <w:rPr>
          <w:rFonts w:ascii="Arial" w:hAnsi="Arial" w:cs="Arial"/>
          <w:sz w:val="24"/>
          <w:szCs w:val="24"/>
        </w:rPr>
        <w:t>must have sharpened Carthaginian attitudes to the realisation that Sicily</w:t>
      </w:r>
      <w:r w:rsidR="00EB3599">
        <w:rPr>
          <w:rFonts w:ascii="Arial" w:hAnsi="Arial" w:cs="Arial"/>
          <w:sz w:val="24"/>
          <w:szCs w:val="24"/>
        </w:rPr>
        <w:t xml:space="preserve"> needed to be neutralised</w:t>
      </w:r>
      <w:r>
        <w:rPr>
          <w:rFonts w:ascii="Arial" w:hAnsi="Arial" w:cs="Arial"/>
          <w:sz w:val="24"/>
          <w:szCs w:val="24"/>
        </w:rPr>
        <w:t xml:space="preserve">. The fact that the Syracusans were helping invaders against Carthage – another example of smaller states gravitating to larger ones – would have also increased Carthaginian anxiety; Syracuse’s later alliance with Rome would confirm </w:t>
      </w:r>
      <w:r w:rsidR="00EB3599">
        <w:rPr>
          <w:rFonts w:ascii="Arial" w:hAnsi="Arial" w:cs="Arial"/>
          <w:sz w:val="24"/>
          <w:szCs w:val="24"/>
        </w:rPr>
        <w:t>this viewpoint</w:t>
      </w:r>
      <w:r>
        <w:rPr>
          <w:rFonts w:ascii="Arial" w:hAnsi="Arial" w:cs="Arial"/>
          <w:sz w:val="24"/>
          <w:szCs w:val="24"/>
        </w:rPr>
        <w:t xml:space="preserve">. </w:t>
      </w:r>
    </w:p>
    <w:p w14:paraId="75C031CD" w14:textId="77777777" w:rsidR="00F21624" w:rsidRDefault="00F21624" w:rsidP="008B745A">
      <w:pPr>
        <w:spacing w:line="480" w:lineRule="auto"/>
        <w:rPr>
          <w:rFonts w:ascii="Arial" w:hAnsi="Arial" w:cs="Arial"/>
          <w:b/>
          <w:bCs/>
          <w:sz w:val="24"/>
          <w:szCs w:val="24"/>
        </w:rPr>
      </w:pPr>
      <w:r>
        <w:rPr>
          <w:rFonts w:ascii="Arial" w:hAnsi="Arial" w:cs="Arial"/>
          <w:b/>
          <w:bCs/>
          <w:sz w:val="24"/>
          <w:szCs w:val="24"/>
        </w:rPr>
        <w:t xml:space="preserve">Conclusion </w:t>
      </w:r>
    </w:p>
    <w:p w14:paraId="69436F1F" w14:textId="34243062" w:rsidR="00F21624" w:rsidRDefault="00F21624" w:rsidP="008B745A">
      <w:pPr>
        <w:spacing w:line="480" w:lineRule="auto"/>
        <w:rPr>
          <w:rFonts w:ascii="Arial" w:hAnsi="Arial" w:cs="Arial"/>
          <w:sz w:val="24"/>
          <w:szCs w:val="24"/>
        </w:rPr>
      </w:pPr>
      <w:r>
        <w:rPr>
          <w:rFonts w:ascii="Arial" w:hAnsi="Arial" w:cs="Arial"/>
          <w:sz w:val="24"/>
          <w:szCs w:val="24"/>
        </w:rPr>
        <w:lastRenderedPageBreak/>
        <w:t>To conclude, Carthage</w:t>
      </w:r>
      <w:r w:rsidR="00793C64">
        <w:rPr>
          <w:rFonts w:ascii="Arial" w:hAnsi="Arial" w:cs="Arial"/>
          <w:sz w:val="24"/>
          <w:szCs w:val="24"/>
        </w:rPr>
        <w:t>’</w:t>
      </w:r>
      <w:r>
        <w:rPr>
          <w:rFonts w:ascii="Arial" w:hAnsi="Arial" w:cs="Arial"/>
          <w:sz w:val="24"/>
          <w:szCs w:val="24"/>
        </w:rPr>
        <w:t xml:space="preserve">s history provides several key insights into the origins of the First Punic War: </w:t>
      </w:r>
    </w:p>
    <w:p w14:paraId="5B0AD698" w14:textId="224B5614" w:rsidR="00F21624" w:rsidRDefault="00F21624" w:rsidP="008B745A">
      <w:pPr>
        <w:spacing w:line="480" w:lineRule="auto"/>
        <w:rPr>
          <w:rFonts w:ascii="Arial" w:hAnsi="Arial" w:cs="Arial"/>
          <w:sz w:val="24"/>
          <w:szCs w:val="24"/>
        </w:rPr>
      </w:pPr>
      <w:r>
        <w:rPr>
          <w:rFonts w:ascii="Arial" w:hAnsi="Arial" w:cs="Arial"/>
          <w:sz w:val="24"/>
          <w:szCs w:val="24"/>
        </w:rPr>
        <w:t xml:space="preserve">Firstly, Carthage’s commercial empire </w:t>
      </w:r>
      <w:r w:rsidR="00E06D37">
        <w:rPr>
          <w:rFonts w:ascii="Arial" w:hAnsi="Arial" w:cs="Arial"/>
          <w:sz w:val="24"/>
          <w:szCs w:val="24"/>
        </w:rPr>
        <w:t>was the</w:t>
      </w:r>
      <w:r>
        <w:rPr>
          <w:rFonts w:ascii="Arial" w:hAnsi="Arial" w:cs="Arial"/>
          <w:sz w:val="24"/>
          <w:szCs w:val="24"/>
        </w:rPr>
        <w:t xml:space="preserve"> key to her power</w:t>
      </w:r>
      <w:r w:rsidR="00E06D37">
        <w:rPr>
          <w:rFonts w:ascii="Arial" w:hAnsi="Arial" w:cs="Arial"/>
          <w:sz w:val="24"/>
          <w:szCs w:val="24"/>
        </w:rPr>
        <w:t xml:space="preserve"> </w:t>
      </w:r>
      <w:r>
        <w:rPr>
          <w:rFonts w:ascii="Arial" w:hAnsi="Arial" w:cs="Arial"/>
          <w:sz w:val="24"/>
          <w:szCs w:val="24"/>
        </w:rPr>
        <w:t>and ultimately survival</w:t>
      </w:r>
      <w:r>
        <w:rPr>
          <w:rStyle w:val="FootnoteReference"/>
          <w:rFonts w:ascii="Arial" w:hAnsi="Arial" w:cs="Arial"/>
          <w:sz w:val="24"/>
          <w:szCs w:val="24"/>
        </w:rPr>
        <w:footnoteReference w:id="230"/>
      </w:r>
      <w:r>
        <w:rPr>
          <w:rFonts w:ascii="Arial" w:hAnsi="Arial" w:cs="Arial"/>
          <w:sz w:val="24"/>
          <w:szCs w:val="24"/>
        </w:rPr>
        <w:t>; Rainey is correct when he asserts that trade was the key driver to Carthaginian wealth</w:t>
      </w:r>
      <w:r>
        <w:rPr>
          <w:rStyle w:val="FootnoteReference"/>
          <w:rFonts w:ascii="Arial" w:hAnsi="Arial" w:cs="Arial"/>
          <w:sz w:val="24"/>
          <w:szCs w:val="24"/>
        </w:rPr>
        <w:footnoteReference w:id="231"/>
      </w:r>
      <w:r>
        <w:rPr>
          <w:rFonts w:ascii="Arial" w:hAnsi="Arial" w:cs="Arial"/>
          <w:sz w:val="24"/>
          <w:szCs w:val="24"/>
        </w:rPr>
        <w:t>. Carthage’s attempts to control access to her islands and waters has been demonstrated, along with the inherent fragility such as maritime empire entails</w:t>
      </w:r>
      <w:r>
        <w:rPr>
          <w:rStyle w:val="FootnoteReference"/>
          <w:rFonts w:ascii="Arial" w:hAnsi="Arial" w:cs="Arial"/>
          <w:sz w:val="24"/>
          <w:szCs w:val="24"/>
        </w:rPr>
        <w:footnoteReference w:id="232"/>
      </w:r>
      <w:r>
        <w:rPr>
          <w:rFonts w:ascii="Arial" w:hAnsi="Arial" w:cs="Arial"/>
          <w:sz w:val="24"/>
          <w:szCs w:val="24"/>
        </w:rPr>
        <w:t>. Having established and cornered the carrying trade, Carthage would not tolerate a rival and ensure</w:t>
      </w:r>
      <w:r w:rsidR="00EB3599">
        <w:rPr>
          <w:rFonts w:ascii="Arial" w:hAnsi="Arial" w:cs="Arial"/>
          <w:sz w:val="24"/>
          <w:szCs w:val="24"/>
        </w:rPr>
        <w:t>d</w:t>
      </w:r>
      <w:r>
        <w:rPr>
          <w:rFonts w:ascii="Arial" w:hAnsi="Arial" w:cs="Arial"/>
          <w:sz w:val="24"/>
          <w:szCs w:val="24"/>
        </w:rPr>
        <w:t xml:space="preserve"> </w:t>
      </w:r>
      <w:r w:rsidR="00EB3599">
        <w:rPr>
          <w:rFonts w:ascii="Arial" w:hAnsi="Arial" w:cs="Arial"/>
          <w:sz w:val="24"/>
          <w:szCs w:val="24"/>
        </w:rPr>
        <w:t xml:space="preserve">the </w:t>
      </w:r>
      <w:r>
        <w:rPr>
          <w:rFonts w:ascii="Arial" w:hAnsi="Arial" w:cs="Arial"/>
          <w:sz w:val="24"/>
          <w:szCs w:val="24"/>
        </w:rPr>
        <w:t>empire was protected – Scullard asserts correctly that the central tenet of her foreign policy was the protection of this commercial empire</w:t>
      </w:r>
      <w:r>
        <w:rPr>
          <w:rStyle w:val="FootnoteReference"/>
          <w:rFonts w:ascii="Arial" w:hAnsi="Arial" w:cs="Arial"/>
          <w:sz w:val="24"/>
          <w:szCs w:val="24"/>
        </w:rPr>
        <w:footnoteReference w:id="233"/>
      </w:r>
      <w:r>
        <w:rPr>
          <w:rFonts w:ascii="Arial" w:hAnsi="Arial" w:cs="Arial"/>
          <w:sz w:val="24"/>
          <w:szCs w:val="24"/>
        </w:rPr>
        <w:t>. Her treaties with Rome are testament to how much Carthage wished to preserve hegemony over her possessions</w:t>
      </w:r>
      <w:r>
        <w:rPr>
          <w:rStyle w:val="FootnoteReference"/>
          <w:rFonts w:ascii="Arial" w:hAnsi="Arial" w:cs="Arial"/>
          <w:sz w:val="24"/>
          <w:szCs w:val="24"/>
        </w:rPr>
        <w:footnoteReference w:id="234"/>
      </w:r>
      <w:r>
        <w:rPr>
          <w:rFonts w:ascii="Arial" w:hAnsi="Arial" w:cs="Arial"/>
          <w:sz w:val="24"/>
          <w:szCs w:val="24"/>
        </w:rPr>
        <w:t xml:space="preserve">. </w:t>
      </w:r>
    </w:p>
    <w:p w14:paraId="49D7795B" w14:textId="6CE6FB5A" w:rsidR="00F21624" w:rsidRDefault="00F21624" w:rsidP="008B745A">
      <w:pPr>
        <w:spacing w:line="480" w:lineRule="auto"/>
        <w:rPr>
          <w:rFonts w:ascii="Arial" w:hAnsi="Arial" w:cs="Arial"/>
          <w:sz w:val="24"/>
          <w:szCs w:val="24"/>
        </w:rPr>
      </w:pPr>
      <w:r>
        <w:rPr>
          <w:rFonts w:ascii="Arial" w:hAnsi="Arial" w:cs="Arial"/>
          <w:sz w:val="24"/>
          <w:szCs w:val="24"/>
        </w:rPr>
        <w:t>Secondly, Sicily was the key for Carthage’s maritime and commercial empire and the primary source of its wealth, especially since it was the key for the Athenian grain trade</w:t>
      </w:r>
      <w:r>
        <w:rPr>
          <w:rStyle w:val="FootnoteReference"/>
          <w:rFonts w:ascii="Arial" w:hAnsi="Arial" w:cs="Arial"/>
          <w:sz w:val="24"/>
          <w:szCs w:val="24"/>
        </w:rPr>
        <w:footnoteReference w:id="235"/>
      </w:r>
      <w:r>
        <w:rPr>
          <w:rFonts w:ascii="Arial" w:hAnsi="Arial" w:cs="Arial"/>
          <w:sz w:val="24"/>
          <w:szCs w:val="24"/>
        </w:rPr>
        <w:t>. As centuries of warfare attest</w:t>
      </w:r>
      <w:r w:rsidR="00E746D0">
        <w:rPr>
          <w:rFonts w:ascii="Arial" w:hAnsi="Arial" w:cs="Arial"/>
          <w:sz w:val="24"/>
          <w:szCs w:val="24"/>
        </w:rPr>
        <w:t>,</w:t>
      </w:r>
      <w:r>
        <w:rPr>
          <w:rFonts w:ascii="Arial" w:hAnsi="Arial" w:cs="Arial"/>
          <w:sz w:val="24"/>
          <w:szCs w:val="24"/>
        </w:rPr>
        <w:t xml:space="preserve"> Carthage was not averse to countering threats and fighting to gain strategic advantage and ascendency on the island. The important point to note is that it was becoming increasingly difficult for Carthage to maintain this empire. The Carthaginian presence in Sicily was about defence from Syracuse and she was always concerned about the spread of Syracusan influence</w:t>
      </w:r>
      <w:r>
        <w:rPr>
          <w:rStyle w:val="FootnoteReference"/>
          <w:rFonts w:ascii="Arial" w:hAnsi="Arial" w:cs="Arial"/>
          <w:sz w:val="24"/>
          <w:szCs w:val="24"/>
        </w:rPr>
        <w:footnoteReference w:id="236"/>
      </w:r>
      <w:r>
        <w:rPr>
          <w:rFonts w:ascii="Arial" w:hAnsi="Arial" w:cs="Arial"/>
          <w:sz w:val="24"/>
          <w:szCs w:val="24"/>
        </w:rPr>
        <w:t xml:space="preserve"> - Diodorus is explicit when he talks about Carthage being a counterweight to </w:t>
      </w:r>
      <w:r w:rsidR="00E746D0">
        <w:rPr>
          <w:rFonts w:ascii="Arial" w:hAnsi="Arial" w:cs="Arial"/>
          <w:sz w:val="24"/>
          <w:szCs w:val="24"/>
        </w:rPr>
        <w:t>Syracuse</w:t>
      </w:r>
      <w:r>
        <w:rPr>
          <w:rFonts w:ascii="Arial" w:hAnsi="Arial" w:cs="Arial"/>
          <w:sz w:val="24"/>
          <w:szCs w:val="24"/>
        </w:rPr>
        <w:t xml:space="preserve"> on the island</w:t>
      </w:r>
      <w:r>
        <w:rPr>
          <w:rStyle w:val="FootnoteReference"/>
          <w:rFonts w:ascii="Arial" w:hAnsi="Arial" w:cs="Arial"/>
          <w:sz w:val="24"/>
          <w:szCs w:val="24"/>
        </w:rPr>
        <w:footnoteReference w:id="237"/>
      </w:r>
      <w:r>
        <w:rPr>
          <w:rFonts w:ascii="Arial" w:hAnsi="Arial" w:cs="Arial"/>
          <w:sz w:val="24"/>
          <w:szCs w:val="24"/>
        </w:rPr>
        <w:t xml:space="preserve">. Whittaker’s idea of an unaggressive, </w:t>
      </w:r>
      <w:r>
        <w:rPr>
          <w:rFonts w:ascii="Arial" w:hAnsi="Arial" w:cs="Arial"/>
          <w:sz w:val="24"/>
          <w:szCs w:val="24"/>
        </w:rPr>
        <w:lastRenderedPageBreak/>
        <w:t xml:space="preserve">non-expansionist Carthage is </w:t>
      </w:r>
      <w:r w:rsidR="00EB3599">
        <w:rPr>
          <w:rFonts w:ascii="Arial" w:hAnsi="Arial" w:cs="Arial"/>
          <w:sz w:val="24"/>
          <w:szCs w:val="24"/>
        </w:rPr>
        <w:t>mistaken</w:t>
      </w:r>
      <w:r>
        <w:rPr>
          <w:rFonts w:ascii="Arial" w:hAnsi="Arial" w:cs="Arial"/>
          <w:sz w:val="24"/>
          <w:szCs w:val="24"/>
        </w:rPr>
        <w:t>, whilst Rainey’s statement that Carthage was keen to acquire territory needs to be qualified</w:t>
      </w:r>
      <w:r>
        <w:rPr>
          <w:rStyle w:val="FootnoteReference"/>
          <w:rFonts w:ascii="Arial" w:hAnsi="Arial" w:cs="Arial"/>
          <w:sz w:val="24"/>
          <w:szCs w:val="24"/>
        </w:rPr>
        <w:footnoteReference w:id="238"/>
      </w:r>
      <w:r>
        <w:rPr>
          <w:rFonts w:ascii="Arial" w:hAnsi="Arial" w:cs="Arial"/>
          <w:sz w:val="24"/>
          <w:szCs w:val="24"/>
        </w:rPr>
        <w:t xml:space="preserve">. It was not a lack of will to conquer and control states to ensure the security of Sicily, just insufficient </w:t>
      </w:r>
      <w:r w:rsidR="00EB3599">
        <w:rPr>
          <w:rFonts w:ascii="Arial" w:hAnsi="Arial" w:cs="Arial"/>
          <w:sz w:val="24"/>
          <w:szCs w:val="24"/>
        </w:rPr>
        <w:t>resources</w:t>
      </w:r>
      <w:r>
        <w:rPr>
          <w:rStyle w:val="FootnoteReference"/>
          <w:rFonts w:ascii="Arial" w:hAnsi="Arial" w:cs="Arial"/>
          <w:sz w:val="24"/>
          <w:szCs w:val="24"/>
        </w:rPr>
        <w:footnoteReference w:id="239"/>
      </w:r>
      <w:r>
        <w:rPr>
          <w:rFonts w:ascii="Arial" w:hAnsi="Arial" w:cs="Arial"/>
          <w:sz w:val="24"/>
          <w:szCs w:val="24"/>
        </w:rPr>
        <w:t xml:space="preserve">. </w:t>
      </w:r>
    </w:p>
    <w:p w14:paraId="6A5786BA" w14:textId="2945DEAE" w:rsidR="00F21624" w:rsidRDefault="00F21624" w:rsidP="008B745A">
      <w:pPr>
        <w:spacing w:line="480" w:lineRule="auto"/>
        <w:rPr>
          <w:rFonts w:ascii="Arial" w:hAnsi="Arial" w:cs="Arial"/>
          <w:sz w:val="24"/>
          <w:szCs w:val="24"/>
        </w:rPr>
      </w:pPr>
      <w:r>
        <w:rPr>
          <w:rFonts w:ascii="Arial" w:hAnsi="Arial" w:cs="Arial"/>
          <w:sz w:val="24"/>
          <w:szCs w:val="24"/>
        </w:rPr>
        <w:t xml:space="preserve">As has been shown from her centuries of intermittent warfare on the island, Carthage never had the resources to formalise control. Instead, </w:t>
      </w:r>
      <w:r w:rsidR="000C1EFE">
        <w:rPr>
          <w:rFonts w:ascii="Arial" w:hAnsi="Arial" w:cs="Arial"/>
          <w:sz w:val="24"/>
          <w:szCs w:val="24"/>
        </w:rPr>
        <w:t>she</w:t>
      </w:r>
      <w:r>
        <w:rPr>
          <w:rFonts w:ascii="Arial" w:hAnsi="Arial" w:cs="Arial"/>
          <w:sz w:val="24"/>
          <w:szCs w:val="24"/>
        </w:rPr>
        <w:t xml:space="preserve"> had to use a range of flexible strategies to maintain, promote and protect her sphere of influence. Whilst Whittaker argues that early Carthaginian warfare was not about territory but ensuring the independence of cities and offering them rights</w:t>
      </w:r>
      <w:r>
        <w:rPr>
          <w:rStyle w:val="FootnoteReference"/>
          <w:rFonts w:ascii="Arial" w:hAnsi="Arial" w:cs="Arial"/>
          <w:sz w:val="24"/>
          <w:szCs w:val="24"/>
        </w:rPr>
        <w:footnoteReference w:id="240"/>
      </w:r>
      <w:r>
        <w:rPr>
          <w:rFonts w:ascii="Arial" w:hAnsi="Arial" w:cs="Arial"/>
          <w:sz w:val="24"/>
          <w:szCs w:val="24"/>
        </w:rPr>
        <w:t xml:space="preserve"> - he cites her unpreparedness when asked to assist Motya from Syracusan attack in 397 as proof </w:t>
      </w:r>
      <w:r>
        <w:rPr>
          <w:rStyle w:val="FootnoteReference"/>
          <w:rFonts w:ascii="Arial" w:hAnsi="Arial" w:cs="Arial"/>
          <w:sz w:val="24"/>
          <w:szCs w:val="24"/>
        </w:rPr>
        <w:footnoteReference w:id="241"/>
      </w:r>
      <w:r>
        <w:rPr>
          <w:rFonts w:ascii="Arial" w:hAnsi="Arial" w:cs="Arial"/>
          <w:sz w:val="24"/>
          <w:szCs w:val="24"/>
        </w:rPr>
        <w:t xml:space="preserve"> - it is clear that this was only one of several strategies used to promote her influence. If Carthage had all Sicily, it could be used as a defensive buffer from other Mediterranean powers</w:t>
      </w:r>
      <w:r>
        <w:rPr>
          <w:rStyle w:val="FootnoteReference"/>
          <w:rFonts w:ascii="Arial" w:hAnsi="Arial" w:cs="Arial"/>
          <w:sz w:val="24"/>
          <w:szCs w:val="24"/>
        </w:rPr>
        <w:footnoteReference w:id="242"/>
      </w:r>
      <w:r>
        <w:rPr>
          <w:rFonts w:ascii="Arial" w:hAnsi="Arial" w:cs="Arial"/>
          <w:sz w:val="24"/>
          <w:szCs w:val="24"/>
        </w:rPr>
        <w:t>. For Pilkington, any gains in central Sicily were to create buffer zones between Greek and Carthaginian interests</w:t>
      </w:r>
      <w:r>
        <w:rPr>
          <w:rStyle w:val="FootnoteReference"/>
          <w:rFonts w:ascii="Arial" w:hAnsi="Arial" w:cs="Arial"/>
          <w:sz w:val="24"/>
          <w:szCs w:val="24"/>
        </w:rPr>
        <w:footnoteReference w:id="243"/>
      </w:r>
      <w:r>
        <w:rPr>
          <w:rFonts w:ascii="Arial" w:hAnsi="Arial" w:cs="Arial"/>
          <w:sz w:val="24"/>
          <w:szCs w:val="24"/>
        </w:rPr>
        <w:t>. These may not always be gaining direct Carthaginian territory, but it was always about increasing Carthaginian influence at the expense of Syracuse’s. Whittaker states that Sicily went from a field of enterprise to a security risk</w:t>
      </w:r>
      <w:r>
        <w:rPr>
          <w:rStyle w:val="FootnoteReference"/>
          <w:rFonts w:ascii="Arial" w:hAnsi="Arial" w:cs="Arial"/>
          <w:sz w:val="24"/>
          <w:szCs w:val="24"/>
        </w:rPr>
        <w:footnoteReference w:id="244"/>
      </w:r>
      <w:r>
        <w:rPr>
          <w:rFonts w:ascii="Arial" w:hAnsi="Arial" w:cs="Arial"/>
          <w:sz w:val="24"/>
          <w:szCs w:val="24"/>
        </w:rPr>
        <w:t xml:space="preserve">. This is </w:t>
      </w:r>
      <w:r w:rsidR="00EB3599">
        <w:rPr>
          <w:rFonts w:ascii="Arial" w:hAnsi="Arial" w:cs="Arial"/>
          <w:sz w:val="24"/>
          <w:szCs w:val="24"/>
        </w:rPr>
        <w:t>inaccurate</w:t>
      </w:r>
      <w:r>
        <w:rPr>
          <w:rFonts w:ascii="Arial" w:hAnsi="Arial" w:cs="Arial"/>
          <w:sz w:val="24"/>
          <w:szCs w:val="24"/>
        </w:rPr>
        <w:t>, as Sicily was always a security risk</w:t>
      </w:r>
      <w:r>
        <w:rPr>
          <w:rStyle w:val="FootnoteReference"/>
          <w:rFonts w:ascii="Arial" w:hAnsi="Arial" w:cs="Arial"/>
          <w:sz w:val="24"/>
          <w:szCs w:val="24"/>
        </w:rPr>
        <w:footnoteReference w:id="245"/>
      </w:r>
      <w:r>
        <w:rPr>
          <w:rFonts w:ascii="Arial" w:hAnsi="Arial" w:cs="Arial"/>
          <w:sz w:val="24"/>
          <w:szCs w:val="24"/>
        </w:rPr>
        <w:t xml:space="preserve">. </w:t>
      </w:r>
    </w:p>
    <w:p w14:paraId="777EAAA2" w14:textId="173017E7" w:rsidR="006717FD" w:rsidRDefault="00F21624" w:rsidP="008B745A">
      <w:pPr>
        <w:spacing w:line="480" w:lineRule="auto"/>
        <w:rPr>
          <w:rFonts w:ascii="Arial" w:hAnsi="Arial" w:cs="Arial"/>
          <w:sz w:val="24"/>
          <w:szCs w:val="24"/>
        </w:rPr>
      </w:pPr>
      <w:r>
        <w:rPr>
          <w:rFonts w:ascii="Arial" w:hAnsi="Arial" w:cs="Arial"/>
          <w:sz w:val="24"/>
          <w:szCs w:val="24"/>
        </w:rPr>
        <w:t>After years fighting for Sicily, Lancel calls it their ‘perpetual battle’</w:t>
      </w:r>
      <w:r>
        <w:rPr>
          <w:rStyle w:val="FootnoteReference"/>
          <w:rFonts w:ascii="Arial" w:hAnsi="Arial" w:cs="Arial"/>
          <w:sz w:val="24"/>
          <w:szCs w:val="24"/>
        </w:rPr>
        <w:footnoteReference w:id="246"/>
      </w:r>
      <w:r w:rsidR="004267B9">
        <w:rPr>
          <w:rFonts w:ascii="Arial" w:hAnsi="Arial" w:cs="Arial"/>
          <w:sz w:val="24"/>
          <w:szCs w:val="24"/>
        </w:rPr>
        <w:t>,</w:t>
      </w:r>
      <w:r>
        <w:rPr>
          <w:rFonts w:ascii="Arial" w:hAnsi="Arial" w:cs="Arial"/>
          <w:sz w:val="24"/>
          <w:szCs w:val="24"/>
        </w:rPr>
        <w:t xml:space="preserve"> Carthage would </w:t>
      </w:r>
      <w:r w:rsidR="00E11B38">
        <w:rPr>
          <w:rFonts w:ascii="Arial" w:hAnsi="Arial" w:cs="Arial"/>
          <w:sz w:val="24"/>
          <w:szCs w:val="24"/>
        </w:rPr>
        <w:t>never cede control</w:t>
      </w:r>
      <w:r>
        <w:rPr>
          <w:rFonts w:ascii="Arial" w:hAnsi="Arial" w:cs="Arial"/>
          <w:sz w:val="24"/>
          <w:szCs w:val="24"/>
        </w:rPr>
        <w:t xml:space="preserve">. </w:t>
      </w:r>
      <w:r w:rsidR="00EB3599">
        <w:rPr>
          <w:rFonts w:ascii="Arial" w:hAnsi="Arial" w:cs="Arial"/>
          <w:sz w:val="24"/>
          <w:szCs w:val="24"/>
        </w:rPr>
        <w:t>T</w:t>
      </w:r>
      <w:r>
        <w:rPr>
          <w:rFonts w:ascii="Arial" w:hAnsi="Arial" w:cs="Arial"/>
          <w:sz w:val="24"/>
          <w:szCs w:val="24"/>
        </w:rPr>
        <w:t xml:space="preserve">he value of Sicily to other powers in attacking Carthage was </w:t>
      </w:r>
      <w:r w:rsidR="00EB3599">
        <w:rPr>
          <w:rFonts w:ascii="Arial" w:hAnsi="Arial" w:cs="Arial"/>
          <w:sz w:val="24"/>
          <w:szCs w:val="24"/>
        </w:rPr>
        <w:t xml:space="preserve">already </w:t>
      </w:r>
      <w:r>
        <w:rPr>
          <w:rFonts w:ascii="Arial" w:hAnsi="Arial" w:cs="Arial"/>
          <w:sz w:val="24"/>
          <w:szCs w:val="24"/>
        </w:rPr>
        <w:t>known</w:t>
      </w:r>
      <w:r w:rsidR="00EB3599">
        <w:rPr>
          <w:rFonts w:ascii="Arial" w:hAnsi="Arial" w:cs="Arial"/>
          <w:sz w:val="24"/>
          <w:szCs w:val="24"/>
        </w:rPr>
        <w:t xml:space="preserve"> to the</w:t>
      </w:r>
      <w:r>
        <w:rPr>
          <w:rFonts w:ascii="Arial" w:hAnsi="Arial" w:cs="Arial"/>
          <w:sz w:val="24"/>
          <w:szCs w:val="24"/>
        </w:rPr>
        <w:t xml:space="preserve"> Carthaginians - </w:t>
      </w:r>
      <w:r w:rsidR="00EB3599">
        <w:rPr>
          <w:rFonts w:ascii="Arial" w:hAnsi="Arial" w:cs="Arial"/>
          <w:sz w:val="24"/>
          <w:szCs w:val="24"/>
        </w:rPr>
        <w:t>t</w:t>
      </w:r>
      <w:r>
        <w:rPr>
          <w:rFonts w:ascii="Arial" w:hAnsi="Arial" w:cs="Arial"/>
          <w:sz w:val="24"/>
          <w:szCs w:val="24"/>
        </w:rPr>
        <w:t xml:space="preserve">he realisation for Carthage, certainly with the </w:t>
      </w:r>
      <w:r>
        <w:rPr>
          <w:rFonts w:ascii="Arial" w:hAnsi="Arial" w:cs="Arial"/>
          <w:sz w:val="24"/>
          <w:szCs w:val="24"/>
        </w:rPr>
        <w:lastRenderedPageBreak/>
        <w:t xml:space="preserve">invasions of </w:t>
      </w:r>
      <w:proofErr w:type="spellStart"/>
      <w:r>
        <w:rPr>
          <w:rFonts w:ascii="Arial" w:hAnsi="Arial" w:cs="Arial"/>
          <w:sz w:val="24"/>
          <w:szCs w:val="24"/>
        </w:rPr>
        <w:t>Timoleon</w:t>
      </w:r>
      <w:proofErr w:type="spellEnd"/>
      <w:r>
        <w:rPr>
          <w:rFonts w:ascii="Arial" w:hAnsi="Arial" w:cs="Arial"/>
          <w:sz w:val="24"/>
          <w:szCs w:val="24"/>
        </w:rPr>
        <w:t xml:space="preserve"> and Agathocles</w:t>
      </w:r>
      <w:r w:rsidR="00EB3599">
        <w:rPr>
          <w:rFonts w:ascii="Arial" w:hAnsi="Arial" w:cs="Arial"/>
          <w:sz w:val="24"/>
          <w:szCs w:val="24"/>
        </w:rPr>
        <w:t>,</w:t>
      </w:r>
      <w:r>
        <w:rPr>
          <w:rFonts w:ascii="Arial" w:hAnsi="Arial" w:cs="Arial"/>
          <w:sz w:val="24"/>
          <w:szCs w:val="24"/>
        </w:rPr>
        <w:t xml:space="preserve"> was that more active intervention would be required to keep Sicily. By the end of the 4</w:t>
      </w:r>
      <w:r>
        <w:rPr>
          <w:rFonts w:ascii="Arial" w:hAnsi="Arial" w:cs="Arial"/>
          <w:sz w:val="24"/>
          <w:szCs w:val="24"/>
          <w:vertAlign w:val="superscript"/>
        </w:rPr>
        <w:t>th</w:t>
      </w:r>
      <w:r>
        <w:rPr>
          <w:rFonts w:ascii="Arial" w:hAnsi="Arial" w:cs="Arial"/>
          <w:sz w:val="24"/>
          <w:szCs w:val="24"/>
        </w:rPr>
        <w:t xml:space="preserve"> century</w:t>
      </w:r>
      <w:r w:rsidR="00EB3599">
        <w:rPr>
          <w:rFonts w:ascii="Arial" w:hAnsi="Arial" w:cs="Arial"/>
          <w:sz w:val="24"/>
          <w:szCs w:val="24"/>
        </w:rPr>
        <w:t>,</w:t>
      </w:r>
      <w:r>
        <w:rPr>
          <w:rFonts w:ascii="Arial" w:hAnsi="Arial" w:cs="Arial"/>
          <w:sz w:val="24"/>
          <w:szCs w:val="24"/>
        </w:rPr>
        <w:t xml:space="preserve"> Carthage owned more land than Rome, although was finding it harder to control </w:t>
      </w:r>
      <w:r w:rsidR="00E11B38">
        <w:rPr>
          <w:rFonts w:ascii="Arial" w:hAnsi="Arial" w:cs="Arial"/>
          <w:sz w:val="24"/>
          <w:szCs w:val="24"/>
        </w:rPr>
        <w:t>and</w:t>
      </w:r>
      <w:r>
        <w:rPr>
          <w:rFonts w:ascii="Arial" w:hAnsi="Arial" w:cs="Arial"/>
          <w:sz w:val="24"/>
          <w:szCs w:val="24"/>
        </w:rPr>
        <w:t xml:space="preserve"> she was beginning to have to compete with other powers like Marsalia and southern Italy</w:t>
      </w:r>
      <w:r>
        <w:rPr>
          <w:rStyle w:val="FootnoteReference"/>
          <w:rFonts w:ascii="Arial" w:hAnsi="Arial" w:cs="Arial"/>
          <w:sz w:val="24"/>
          <w:szCs w:val="24"/>
        </w:rPr>
        <w:footnoteReference w:id="247"/>
      </w:r>
      <w:r w:rsidR="00EB3599">
        <w:rPr>
          <w:rFonts w:ascii="Arial" w:hAnsi="Arial" w:cs="Arial"/>
          <w:sz w:val="24"/>
          <w:szCs w:val="24"/>
        </w:rPr>
        <w:t>.</w:t>
      </w:r>
    </w:p>
    <w:p w14:paraId="2CBFE855" w14:textId="5940DC65" w:rsidR="006717FD" w:rsidRDefault="006717FD" w:rsidP="008B745A">
      <w:pPr>
        <w:spacing w:line="480" w:lineRule="auto"/>
        <w:rPr>
          <w:rFonts w:ascii="Arial" w:hAnsi="Arial" w:cs="Arial"/>
          <w:sz w:val="24"/>
          <w:szCs w:val="24"/>
        </w:rPr>
      </w:pPr>
    </w:p>
    <w:p w14:paraId="2853EE87" w14:textId="77777777" w:rsidR="006717FD" w:rsidRDefault="006717FD" w:rsidP="008B745A">
      <w:pPr>
        <w:spacing w:line="480" w:lineRule="auto"/>
        <w:rPr>
          <w:rFonts w:ascii="Arial" w:hAnsi="Arial" w:cs="Arial"/>
          <w:sz w:val="24"/>
          <w:szCs w:val="24"/>
        </w:rPr>
      </w:pPr>
    </w:p>
    <w:p w14:paraId="2EC6EAC3" w14:textId="1ACD60B2" w:rsidR="00730A96" w:rsidRDefault="00730A96" w:rsidP="008B745A">
      <w:pPr>
        <w:spacing w:line="480" w:lineRule="auto"/>
        <w:rPr>
          <w:rFonts w:ascii="Arial" w:hAnsi="Arial" w:cs="Arial"/>
          <w:sz w:val="24"/>
          <w:szCs w:val="24"/>
        </w:rPr>
      </w:pPr>
    </w:p>
    <w:p w14:paraId="54034156" w14:textId="1BEE74AF" w:rsidR="00372B73" w:rsidRDefault="00372B73" w:rsidP="008B745A">
      <w:pPr>
        <w:spacing w:line="480" w:lineRule="auto"/>
        <w:rPr>
          <w:rFonts w:ascii="Arial" w:hAnsi="Arial" w:cs="Arial"/>
          <w:sz w:val="24"/>
          <w:szCs w:val="24"/>
        </w:rPr>
      </w:pPr>
    </w:p>
    <w:p w14:paraId="25FF1B64" w14:textId="46CA9F8C" w:rsidR="00372B73" w:rsidRDefault="00372B73" w:rsidP="008B745A">
      <w:pPr>
        <w:spacing w:line="480" w:lineRule="auto"/>
        <w:rPr>
          <w:rFonts w:ascii="Arial" w:hAnsi="Arial" w:cs="Arial"/>
          <w:sz w:val="24"/>
          <w:szCs w:val="24"/>
        </w:rPr>
      </w:pPr>
    </w:p>
    <w:p w14:paraId="66579DFE" w14:textId="4A54F4D6" w:rsidR="00372B73" w:rsidRDefault="00372B73" w:rsidP="008B745A">
      <w:pPr>
        <w:spacing w:line="480" w:lineRule="auto"/>
        <w:rPr>
          <w:rFonts w:ascii="Arial" w:hAnsi="Arial" w:cs="Arial"/>
          <w:sz w:val="24"/>
          <w:szCs w:val="24"/>
        </w:rPr>
      </w:pPr>
    </w:p>
    <w:p w14:paraId="38418E3C" w14:textId="45FA5B21" w:rsidR="00372B73" w:rsidRDefault="00372B73" w:rsidP="008B745A">
      <w:pPr>
        <w:spacing w:line="480" w:lineRule="auto"/>
        <w:rPr>
          <w:rFonts w:ascii="Arial" w:hAnsi="Arial" w:cs="Arial"/>
          <w:sz w:val="24"/>
          <w:szCs w:val="24"/>
        </w:rPr>
      </w:pPr>
    </w:p>
    <w:p w14:paraId="3086D7D5" w14:textId="4012CDDC" w:rsidR="00372B73" w:rsidRDefault="00372B73" w:rsidP="008B745A">
      <w:pPr>
        <w:spacing w:line="480" w:lineRule="auto"/>
        <w:rPr>
          <w:rFonts w:ascii="Arial" w:hAnsi="Arial" w:cs="Arial"/>
          <w:sz w:val="24"/>
          <w:szCs w:val="24"/>
        </w:rPr>
      </w:pPr>
    </w:p>
    <w:p w14:paraId="2C7055B4" w14:textId="77777777" w:rsidR="00372B73" w:rsidRDefault="00372B73" w:rsidP="008B745A">
      <w:pPr>
        <w:spacing w:line="480" w:lineRule="auto"/>
        <w:rPr>
          <w:rFonts w:ascii="Arial" w:hAnsi="Arial" w:cs="Arial"/>
          <w:sz w:val="24"/>
          <w:szCs w:val="24"/>
        </w:rPr>
      </w:pPr>
    </w:p>
    <w:p w14:paraId="5E8BFD56" w14:textId="23150AE3" w:rsidR="004D3280" w:rsidRDefault="004D3280" w:rsidP="008B745A">
      <w:pPr>
        <w:spacing w:line="480" w:lineRule="auto"/>
        <w:rPr>
          <w:rFonts w:ascii="Arial" w:hAnsi="Arial" w:cs="Arial"/>
          <w:sz w:val="24"/>
          <w:szCs w:val="24"/>
        </w:rPr>
      </w:pPr>
    </w:p>
    <w:p w14:paraId="48CF1C5B" w14:textId="77777777" w:rsidR="00F21624" w:rsidRDefault="00F21624" w:rsidP="008B745A">
      <w:pPr>
        <w:spacing w:line="480" w:lineRule="auto"/>
        <w:jc w:val="center"/>
        <w:rPr>
          <w:rFonts w:ascii="Arial" w:hAnsi="Arial" w:cs="Arial"/>
          <w:b/>
          <w:bCs/>
          <w:sz w:val="24"/>
          <w:szCs w:val="24"/>
        </w:rPr>
      </w:pPr>
      <w:r>
        <w:rPr>
          <w:rFonts w:ascii="Arial" w:hAnsi="Arial" w:cs="Arial"/>
          <w:b/>
          <w:bCs/>
          <w:sz w:val="24"/>
          <w:szCs w:val="24"/>
        </w:rPr>
        <w:t>Relations between Carthage and Rome</w:t>
      </w:r>
    </w:p>
    <w:p w14:paraId="4C7F9B69" w14:textId="0658608A" w:rsidR="00F21624" w:rsidRDefault="00F21624" w:rsidP="008B745A">
      <w:pPr>
        <w:spacing w:line="480" w:lineRule="auto"/>
        <w:rPr>
          <w:rFonts w:ascii="Arial" w:hAnsi="Arial" w:cs="Arial"/>
          <w:sz w:val="24"/>
          <w:szCs w:val="24"/>
        </w:rPr>
      </w:pPr>
      <w:r>
        <w:rPr>
          <w:rFonts w:ascii="Arial" w:hAnsi="Arial" w:cs="Arial"/>
          <w:sz w:val="24"/>
          <w:szCs w:val="24"/>
        </w:rPr>
        <w:t>Relations between Rome and Carthage prior to Pyrrhus’ departure from Italy were mutually beneficial. For Carthag</w:t>
      </w:r>
      <w:r w:rsidR="006717FD">
        <w:rPr>
          <w:rFonts w:ascii="Arial" w:hAnsi="Arial" w:cs="Arial"/>
          <w:sz w:val="24"/>
          <w:szCs w:val="24"/>
        </w:rPr>
        <w:t>e</w:t>
      </w:r>
      <w:r>
        <w:rPr>
          <w:rFonts w:ascii="Arial" w:hAnsi="Arial" w:cs="Arial"/>
          <w:sz w:val="24"/>
          <w:szCs w:val="24"/>
        </w:rPr>
        <w:t xml:space="preserve">, the protection of her commercial empire </w:t>
      </w:r>
      <w:r w:rsidR="00C53A9F">
        <w:rPr>
          <w:rFonts w:ascii="Arial" w:hAnsi="Arial" w:cs="Arial"/>
          <w:sz w:val="24"/>
          <w:szCs w:val="24"/>
        </w:rPr>
        <w:t>was</w:t>
      </w:r>
      <w:r>
        <w:rPr>
          <w:rFonts w:ascii="Arial" w:hAnsi="Arial" w:cs="Arial"/>
          <w:sz w:val="24"/>
          <w:szCs w:val="24"/>
        </w:rPr>
        <w:t xml:space="preserve"> paramount. For Rome, especially in her early history, gaining diplomatic and commercial relations with one of the great powers of the Mediterranean was crucial, lessening the chances of Punic piracy and intervention in the Italian peninsula</w:t>
      </w:r>
      <w:r>
        <w:rPr>
          <w:rStyle w:val="FootnoteReference"/>
          <w:rFonts w:ascii="Arial" w:hAnsi="Arial" w:cs="Arial"/>
          <w:sz w:val="24"/>
          <w:szCs w:val="24"/>
        </w:rPr>
        <w:footnoteReference w:id="248"/>
      </w:r>
      <w:r>
        <w:rPr>
          <w:rFonts w:ascii="Arial" w:hAnsi="Arial" w:cs="Arial"/>
          <w:sz w:val="24"/>
          <w:szCs w:val="24"/>
        </w:rPr>
        <w:t xml:space="preserve">. </w:t>
      </w:r>
      <w:r>
        <w:rPr>
          <w:rFonts w:ascii="Arial" w:hAnsi="Arial" w:cs="Arial"/>
          <w:sz w:val="24"/>
          <w:szCs w:val="24"/>
        </w:rPr>
        <w:lastRenderedPageBreak/>
        <w:t xml:space="preserve">However, these relations changed over time, with Carthage acknowledging the uncomfortable growth of Roman power along with the realisation that holding Sicily was becoming increasingly difficult. </w:t>
      </w:r>
    </w:p>
    <w:p w14:paraId="5679E881" w14:textId="362DDE60" w:rsidR="00F21624" w:rsidRDefault="00F21624" w:rsidP="008B745A">
      <w:pPr>
        <w:spacing w:line="480" w:lineRule="auto"/>
        <w:rPr>
          <w:rFonts w:ascii="Arial" w:hAnsi="Arial" w:cs="Arial"/>
          <w:sz w:val="24"/>
          <w:szCs w:val="24"/>
        </w:rPr>
      </w:pPr>
      <w:r>
        <w:rPr>
          <w:rFonts w:ascii="Arial" w:hAnsi="Arial" w:cs="Arial"/>
          <w:sz w:val="24"/>
          <w:szCs w:val="24"/>
        </w:rPr>
        <w:t xml:space="preserve">The relations between Rome and Carthage help to dispel any notion that the outbreak of the First Punic War was in anyway inevitable, or even likely. </w:t>
      </w:r>
      <w:r w:rsidR="00C53A9F">
        <w:rPr>
          <w:rFonts w:ascii="Arial" w:hAnsi="Arial" w:cs="Arial"/>
          <w:sz w:val="24"/>
          <w:szCs w:val="24"/>
        </w:rPr>
        <w:t>I</w:t>
      </w:r>
      <w:r>
        <w:rPr>
          <w:rFonts w:ascii="Arial" w:hAnsi="Arial" w:cs="Arial"/>
          <w:sz w:val="24"/>
          <w:szCs w:val="24"/>
        </w:rPr>
        <w:t xml:space="preserve">t was only the aftermath of Pyrrhus’ invasions that changed relations to one of suspicion and increased hostility, as Rome’s perception of how best to secure its frontiers as well as Carthage’s began to overlap into each other’s ‘spheres of influence’. From studying the treaties between Rome and Carthage, Carthage’s increasing acknowledgement of Rome’s power and influence becomes clear, as does her increasing anxiety about ensuring Sicily’s protection. When considering the origins of the First Punic War, Carthage’s growing concern over the influence of outside powers in Sicily is highlighted by her changing relationship with Rome. </w:t>
      </w:r>
    </w:p>
    <w:p w14:paraId="1DD98325" w14:textId="650A7B23" w:rsidR="00F21624" w:rsidRDefault="00F21624" w:rsidP="008B745A">
      <w:pPr>
        <w:spacing w:line="480" w:lineRule="auto"/>
        <w:rPr>
          <w:rFonts w:ascii="Arial" w:hAnsi="Arial" w:cs="Arial"/>
          <w:sz w:val="24"/>
          <w:szCs w:val="24"/>
        </w:rPr>
      </w:pPr>
      <w:r>
        <w:rPr>
          <w:rFonts w:ascii="Arial" w:hAnsi="Arial" w:cs="Arial"/>
          <w:sz w:val="24"/>
          <w:szCs w:val="24"/>
        </w:rPr>
        <w:t>There are records of an early First Treaty, back in 509, when Rome gained independence, breaking away from Etruscan control and Polybius states they began to start making treaties as an independent power</w:t>
      </w:r>
      <w:r>
        <w:rPr>
          <w:rStyle w:val="FootnoteReference"/>
          <w:rFonts w:ascii="Arial" w:hAnsi="Arial" w:cs="Arial"/>
          <w:sz w:val="24"/>
          <w:szCs w:val="24"/>
        </w:rPr>
        <w:footnoteReference w:id="249"/>
      </w:r>
      <w:r>
        <w:rPr>
          <w:rFonts w:ascii="Arial" w:hAnsi="Arial" w:cs="Arial"/>
          <w:sz w:val="24"/>
          <w:szCs w:val="24"/>
        </w:rPr>
        <w:t xml:space="preserve">. This initial treaty highlights Carthaginian ascendency and Rome’s status as a minor power, barring Roman shipping from going past Cape Bello and demanding that ships </w:t>
      </w:r>
      <w:r w:rsidR="007308E5">
        <w:rPr>
          <w:rFonts w:ascii="Arial" w:hAnsi="Arial" w:cs="Arial"/>
          <w:sz w:val="24"/>
          <w:szCs w:val="24"/>
        </w:rPr>
        <w:t>requiring</w:t>
      </w:r>
      <w:r>
        <w:rPr>
          <w:rFonts w:ascii="Arial" w:hAnsi="Arial" w:cs="Arial"/>
          <w:sz w:val="24"/>
          <w:szCs w:val="24"/>
        </w:rPr>
        <w:t xml:space="preserve"> supplies from Carthaginian ports leave within five days</w:t>
      </w:r>
      <w:r>
        <w:rPr>
          <w:rStyle w:val="FootnoteReference"/>
          <w:rFonts w:ascii="Arial" w:hAnsi="Arial" w:cs="Arial"/>
          <w:sz w:val="24"/>
          <w:szCs w:val="24"/>
        </w:rPr>
        <w:footnoteReference w:id="250"/>
      </w:r>
      <w:r>
        <w:rPr>
          <w:rFonts w:ascii="Arial" w:hAnsi="Arial" w:cs="Arial"/>
          <w:sz w:val="24"/>
          <w:szCs w:val="24"/>
        </w:rPr>
        <w:t xml:space="preserve">. Carthage was prepared to ensure the protection and exclusivity of commercial interests. For Rome, the important points from the treaty concern Carthaginian pledges not to establish forts in Latium, or to attack townships in Latium, even if they were not subjugated to Rome. </w:t>
      </w:r>
    </w:p>
    <w:p w14:paraId="3C88D398" w14:textId="0A918497" w:rsidR="00F21624" w:rsidRDefault="00F21624" w:rsidP="008B745A">
      <w:pPr>
        <w:spacing w:line="480" w:lineRule="auto"/>
        <w:rPr>
          <w:rFonts w:ascii="Arial" w:hAnsi="Arial" w:cs="Arial"/>
          <w:sz w:val="24"/>
          <w:szCs w:val="24"/>
        </w:rPr>
      </w:pPr>
      <w:r>
        <w:rPr>
          <w:rFonts w:ascii="Arial" w:hAnsi="Arial" w:cs="Arial"/>
          <w:sz w:val="24"/>
          <w:szCs w:val="24"/>
        </w:rPr>
        <w:lastRenderedPageBreak/>
        <w:t>The treaty’s validity can be proven</w:t>
      </w:r>
      <w:r w:rsidR="00055FB2">
        <w:rPr>
          <w:rFonts w:ascii="Arial" w:hAnsi="Arial" w:cs="Arial"/>
          <w:sz w:val="24"/>
          <w:szCs w:val="24"/>
        </w:rPr>
        <w:t xml:space="preserve">. </w:t>
      </w:r>
      <w:r>
        <w:rPr>
          <w:rFonts w:ascii="Arial" w:hAnsi="Arial" w:cs="Arial"/>
          <w:sz w:val="24"/>
          <w:szCs w:val="24"/>
        </w:rPr>
        <w:t xml:space="preserve">Serrati cites inscriptions in the city of </w:t>
      </w:r>
      <w:proofErr w:type="spellStart"/>
      <w:r>
        <w:rPr>
          <w:rFonts w:ascii="Arial" w:hAnsi="Arial" w:cs="Arial"/>
          <w:sz w:val="24"/>
          <w:szCs w:val="24"/>
        </w:rPr>
        <w:t>Pygri</w:t>
      </w:r>
      <w:proofErr w:type="spellEnd"/>
      <w:r>
        <w:rPr>
          <w:rFonts w:ascii="Arial" w:hAnsi="Arial" w:cs="Arial"/>
          <w:sz w:val="24"/>
          <w:szCs w:val="24"/>
        </w:rPr>
        <w:t xml:space="preserve"> in Etruscan and Phoenician which date to 500 B.C. – matching the Treaty</w:t>
      </w:r>
      <w:r>
        <w:rPr>
          <w:rStyle w:val="FootnoteReference"/>
          <w:rFonts w:ascii="Arial" w:hAnsi="Arial" w:cs="Arial"/>
          <w:sz w:val="24"/>
          <w:szCs w:val="24"/>
        </w:rPr>
        <w:footnoteReference w:id="251"/>
      </w:r>
      <w:r>
        <w:rPr>
          <w:rFonts w:ascii="Arial" w:hAnsi="Arial" w:cs="Arial"/>
          <w:sz w:val="24"/>
          <w:szCs w:val="24"/>
        </w:rPr>
        <w:t>. The likelihood of this treaty existing is that Rome would have wanted a treaty with Carthage, gaining access to grain markets would have helped alleviate a famine that broke out in 508</w:t>
      </w:r>
      <w:r>
        <w:rPr>
          <w:rStyle w:val="FootnoteReference"/>
          <w:rFonts w:ascii="Arial" w:hAnsi="Arial" w:cs="Arial"/>
          <w:sz w:val="24"/>
          <w:szCs w:val="24"/>
        </w:rPr>
        <w:footnoteReference w:id="252"/>
      </w:r>
      <w:r>
        <w:rPr>
          <w:rFonts w:ascii="Arial" w:hAnsi="Arial" w:cs="Arial"/>
          <w:sz w:val="24"/>
          <w:szCs w:val="24"/>
        </w:rPr>
        <w:t>. Again, in the famine of 492</w:t>
      </w:r>
      <w:r w:rsidR="007308E5">
        <w:rPr>
          <w:rFonts w:ascii="Arial" w:hAnsi="Arial" w:cs="Arial"/>
          <w:sz w:val="24"/>
          <w:szCs w:val="24"/>
        </w:rPr>
        <w:t>,</w:t>
      </w:r>
      <w:r>
        <w:rPr>
          <w:rFonts w:ascii="Arial" w:hAnsi="Arial" w:cs="Arial"/>
          <w:sz w:val="24"/>
          <w:szCs w:val="24"/>
        </w:rPr>
        <w:t xml:space="preserve"> Livy explicitly mentions grain from Sicily imported in and both Dionysus of Halicarnassus and Livy explain</w:t>
      </w:r>
      <w:r w:rsidR="007308E5">
        <w:rPr>
          <w:rFonts w:ascii="Arial" w:hAnsi="Arial" w:cs="Arial"/>
          <w:sz w:val="24"/>
          <w:szCs w:val="24"/>
        </w:rPr>
        <w:t>s</w:t>
      </w:r>
      <w:r>
        <w:rPr>
          <w:rFonts w:ascii="Arial" w:hAnsi="Arial" w:cs="Arial"/>
          <w:sz w:val="24"/>
          <w:szCs w:val="24"/>
        </w:rPr>
        <w:t xml:space="preserve"> how the </w:t>
      </w:r>
      <w:r w:rsidR="007308E5">
        <w:rPr>
          <w:rFonts w:ascii="Arial" w:hAnsi="Arial" w:cs="Arial"/>
          <w:sz w:val="24"/>
          <w:szCs w:val="24"/>
        </w:rPr>
        <w:t>S</w:t>
      </w:r>
      <w:r>
        <w:rPr>
          <w:rFonts w:ascii="Arial" w:hAnsi="Arial" w:cs="Arial"/>
          <w:sz w:val="24"/>
          <w:szCs w:val="24"/>
        </w:rPr>
        <w:t>enate had to look far and wide to alleviate the famine of 440-439</w:t>
      </w:r>
      <w:r>
        <w:rPr>
          <w:rStyle w:val="FootnoteReference"/>
          <w:rFonts w:ascii="Arial" w:hAnsi="Arial" w:cs="Arial"/>
          <w:sz w:val="24"/>
          <w:szCs w:val="24"/>
        </w:rPr>
        <w:footnoteReference w:id="253"/>
      </w:r>
      <w:r>
        <w:rPr>
          <w:rFonts w:ascii="Arial" w:hAnsi="Arial" w:cs="Arial"/>
          <w:sz w:val="24"/>
          <w:szCs w:val="24"/>
        </w:rPr>
        <w:t xml:space="preserve">. Furthermore, Rome would not have wanted additional powers active in Italy whilst she was in such as delicate state. It is doubtful that Carthage had territorial designs in Italy and certainly was in no position to engage in warfare. A treaty with a small power in which Carthage could dictate terms, </w:t>
      </w:r>
      <w:proofErr w:type="gramStart"/>
      <w:r>
        <w:rPr>
          <w:rFonts w:ascii="Arial" w:hAnsi="Arial" w:cs="Arial"/>
          <w:sz w:val="24"/>
          <w:szCs w:val="24"/>
        </w:rPr>
        <w:t>opening up</w:t>
      </w:r>
      <w:proofErr w:type="gramEnd"/>
      <w:r>
        <w:rPr>
          <w:rFonts w:ascii="Arial" w:hAnsi="Arial" w:cs="Arial"/>
          <w:sz w:val="24"/>
          <w:szCs w:val="24"/>
        </w:rPr>
        <w:t xml:space="preserve"> new markets to states unable to refuse, </w:t>
      </w:r>
      <w:r w:rsidR="008A3487">
        <w:rPr>
          <w:rFonts w:ascii="Arial" w:hAnsi="Arial" w:cs="Arial"/>
          <w:sz w:val="24"/>
          <w:szCs w:val="24"/>
        </w:rPr>
        <w:t>was</w:t>
      </w:r>
      <w:r>
        <w:rPr>
          <w:rFonts w:ascii="Arial" w:hAnsi="Arial" w:cs="Arial"/>
          <w:sz w:val="24"/>
          <w:szCs w:val="24"/>
        </w:rPr>
        <w:t xml:space="preserve"> exactly the behaviour Carthage would </w:t>
      </w:r>
      <w:r w:rsidR="007308E5">
        <w:rPr>
          <w:rFonts w:ascii="Arial" w:hAnsi="Arial" w:cs="Arial"/>
          <w:sz w:val="24"/>
          <w:szCs w:val="24"/>
        </w:rPr>
        <w:t>promote</w:t>
      </w:r>
      <w:r>
        <w:rPr>
          <w:rStyle w:val="FootnoteReference"/>
          <w:rFonts w:ascii="Arial" w:hAnsi="Arial" w:cs="Arial"/>
          <w:sz w:val="24"/>
          <w:szCs w:val="24"/>
        </w:rPr>
        <w:footnoteReference w:id="254"/>
      </w:r>
      <w:r>
        <w:rPr>
          <w:rFonts w:ascii="Arial" w:hAnsi="Arial" w:cs="Arial"/>
          <w:sz w:val="24"/>
          <w:szCs w:val="24"/>
        </w:rPr>
        <w:t xml:space="preserve">. Importantly, Sicily </w:t>
      </w:r>
      <w:r w:rsidR="008A3487">
        <w:rPr>
          <w:rFonts w:ascii="Arial" w:hAnsi="Arial" w:cs="Arial"/>
          <w:sz w:val="24"/>
          <w:szCs w:val="24"/>
        </w:rPr>
        <w:t>was</w:t>
      </w:r>
      <w:r>
        <w:rPr>
          <w:rFonts w:ascii="Arial" w:hAnsi="Arial" w:cs="Arial"/>
          <w:sz w:val="24"/>
          <w:szCs w:val="24"/>
        </w:rPr>
        <w:t xml:space="preserve"> not part of </w:t>
      </w:r>
      <w:r w:rsidR="007308E5">
        <w:rPr>
          <w:rFonts w:ascii="Arial" w:hAnsi="Arial" w:cs="Arial"/>
          <w:sz w:val="24"/>
          <w:szCs w:val="24"/>
        </w:rPr>
        <w:t xml:space="preserve">the </w:t>
      </w:r>
      <w:r>
        <w:rPr>
          <w:rFonts w:ascii="Arial" w:hAnsi="Arial" w:cs="Arial"/>
          <w:sz w:val="24"/>
          <w:szCs w:val="24"/>
        </w:rPr>
        <w:t xml:space="preserve">Carthaginian territory Rome was barred from – it only stated Romans were to be treated on equal terms on the island. At this point, Carthage had not spent centuries trying to secure influence on the island and therefore Sicily was not a prime consideration. </w:t>
      </w:r>
    </w:p>
    <w:p w14:paraId="682A4E0D" w14:textId="4C5DEF7D" w:rsidR="00F21624" w:rsidRDefault="00F21624" w:rsidP="008B745A">
      <w:pPr>
        <w:spacing w:line="480" w:lineRule="auto"/>
        <w:rPr>
          <w:rFonts w:ascii="Arial" w:hAnsi="Arial" w:cs="Arial"/>
          <w:sz w:val="24"/>
          <w:szCs w:val="24"/>
        </w:rPr>
      </w:pPr>
      <w:r>
        <w:rPr>
          <w:rFonts w:ascii="Arial" w:hAnsi="Arial" w:cs="Arial"/>
          <w:sz w:val="24"/>
          <w:szCs w:val="24"/>
        </w:rPr>
        <w:t>The second treaty was signed in 348</w:t>
      </w:r>
      <w:r w:rsidR="007308E5">
        <w:rPr>
          <w:rFonts w:ascii="Arial" w:hAnsi="Arial" w:cs="Arial"/>
          <w:sz w:val="24"/>
          <w:szCs w:val="24"/>
        </w:rPr>
        <w:t xml:space="preserve">, </w:t>
      </w:r>
      <w:r>
        <w:rPr>
          <w:rFonts w:ascii="Arial" w:hAnsi="Arial" w:cs="Arial"/>
          <w:sz w:val="24"/>
          <w:szCs w:val="24"/>
        </w:rPr>
        <w:t>considered the second by Polybius, Orosius and Diodorus</w:t>
      </w:r>
      <w:r w:rsidR="007308E5">
        <w:rPr>
          <w:rFonts w:ascii="Arial" w:hAnsi="Arial" w:cs="Arial"/>
          <w:sz w:val="24"/>
          <w:szCs w:val="24"/>
        </w:rPr>
        <w:t>,</w:t>
      </w:r>
      <w:r>
        <w:rPr>
          <w:rFonts w:ascii="Arial" w:hAnsi="Arial" w:cs="Arial"/>
          <w:sz w:val="24"/>
          <w:szCs w:val="24"/>
        </w:rPr>
        <w:t xml:space="preserve"> is especially important</w:t>
      </w:r>
      <w:r>
        <w:rPr>
          <w:rStyle w:val="FootnoteReference"/>
          <w:rFonts w:ascii="Arial" w:hAnsi="Arial" w:cs="Arial"/>
          <w:sz w:val="24"/>
          <w:szCs w:val="24"/>
        </w:rPr>
        <w:footnoteReference w:id="255"/>
      </w:r>
      <w:r>
        <w:rPr>
          <w:rFonts w:ascii="Arial" w:hAnsi="Arial" w:cs="Arial"/>
          <w:sz w:val="24"/>
          <w:szCs w:val="24"/>
        </w:rPr>
        <w:t xml:space="preserve">. A visit from Carthaginian ambassadors to Rome make this treaty </w:t>
      </w:r>
      <w:r w:rsidR="007308E5">
        <w:rPr>
          <w:rFonts w:ascii="Arial" w:hAnsi="Arial" w:cs="Arial"/>
          <w:sz w:val="24"/>
          <w:szCs w:val="24"/>
        </w:rPr>
        <w:t>a likelihood</w:t>
      </w:r>
      <w:r>
        <w:rPr>
          <w:rStyle w:val="FootnoteReference"/>
          <w:rFonts w:ascii="Arial" w:hAnsi="Arial" w:cs="Arial"/>
          <w:sz w:val="24"/>
          <w:szCs w:val="24"/>
        </w:rPr>
        <w:footnoteReference w:id="256"/>
      </w:r>
      <w:r>
        <w:rPr>
          <w:rFonts w:ascii="Arial" w:hAnsi="Arial" w:cs="Arial"/>
          <w:sz w:val="24"/>
          <w:szCs w:val="24"/>
        </w:rPr>
        <w:t>. Certainly, positive relations were sought with Romans, as evidenced by Carthage’s sending of a gold crown to Rome in celebration of their victory over the Samnites in 348</w:t>
      </w:r>
      <w:r>
        <w:rPr>
          <w:rStyle w:val="FootnoteReference"/>
          <w:rFonts w:ascii="Arial" w:hAnsi="Arial" w:cs="Arial"/>
          <w:sz w:val="24"/>
          <w:szCs w:val="24"/>
        </w:rPr>
        <w:footnoteReference w:id="257"/>
      </w:r>
      <w:r>
        <w:rPr>
          <w:rFonts w:ascii="Arial" w:hAnsi="Arial" w:cs="Arial"/>
          <w:sz w:val="24"/>
          <w:szCs w:val="24"/>
        </w:rPr>
        <w:t xml:space="preserve">. This treaty may well have </w:t>
      </w:r>
      <w:r>
        <w:rPr>
          <w:rFonts w:ascii="Arial" w:hAnsi="Arial" w:cs="Arial"/>
          <w:sz w:val="24"/>
          <w:szCs w:val="24"/>
        </w:rPr>
        <w:lastRenderedPageBreak/>
        <w:t xml:space="preserve">been instigated by Rome, as clauses </w:t>
      </w:r>
      <w:r w:rsidR="007308E5">
        <w:rPr>
          <w:rFonts w:ascii="Arial" w:hAnsi="Arial" w:cs="Arial"/>
          <w:sz w:val="24"/>
          <w:szCs w:val="24"/>
        </w:rPr>
        <w:t>in</w:t>
      </w:r>
      <w:r>
        <w:rPr>
          <w:rFonts w:ascii="Arial" w:hAnsi="Arial" w:cs="Arial"/>
          <w:sz w:val="24"/>
          <w:szCs w:val="24"/>
        </w:rPr>
        <w:t xml:space="preserve"> it deal with the capture of its citizens at sea – Sicilian pirates had blockaded the mouth of the Tiber in 349</w:t>
      </w:r>
      <w:r>
        <w:rPr>
          <w:rStyle w:val="FootnoteReference"/>
          <w:rFonts w:ascii="Arial" w:hAnsi="Arial" w:cs="Arial"/>
          <w:sz w:val="24"/>
          <w:szCs w:val="24"/>
        </w:rPr>
        <w:footnoteReference w:id="258"/>
      </w:r>
      <w:r>
        <w:rPr>
          <w:rFonts w:ascii="Arial" w:hAnsi="Arial" w:cs="Arial"/>
          <w:sz w:val="24"/>
          <w:szCs w:val="24"/>
        </w:rPr>
        <w:t xml:space="preserve">. Furthermore, fighting in Italy </w:t>
      </w:r>
      <w:r w:rsidR="007308E5">
        <w:rPr>
          <w:rFonts w:ascii="Arial" w:hAnsi="Arial" w:cs="Arial"/>
          <w:sz w:val="24"/>
          <w:szCs w:val="24"/>
        </w:rPr>
        <w:t>probably</w:t>
      </w:r>
      <w:r>
        <w:rPr>
          <w:rFonts w:ascii="Arial" w:hAnsi="Arial" w:cs="Arial"/>
          <w:sz w:val="24"/>
          <w:szCs w:val="24"/>
        </w:rPr>
        <w:t xml:space="preserve"> meant Rome could not build a navy, and so would have welcomed a treaty with a naval power </w:t>
      </w:r>
      <w:r w:rsidR="007308E5">
        <w:rPr>
          <w:rFonts w:ascii="Arial" w:hAnsi="Arial" w:cs="Arial"/>
          <w:sz w:val="24"/>
          <w:szCs w:val="24"/>
        </w:rPr>
        <w:t xml:space="preserve">- </w:t>
      </w:r>
      <w:r>
        <w:rPr>
          <w:rFonts w:ascii="Arial" w:hAnsi="Arial" w:cs="Arial"/>
          <w:sz w:val="24"/>
          <w:szCs w:val="24"/>
        </w:rPr>
        <w:t xml:space="preserve">so </w:t>
      </w:r>
      <w:r w:rsidR="007308E5">
        <w:rPr>
          <w:rFonts w:ascii="Arial" w:hAnsi="Arial" w:cs="Arial"/>
          <w:sz w:val="24"/>
          <w:szCs w:val="24"/>
        </w:rPr>
        <w:t xml:space="preserve">that </w:t>
      </w:r>
      <w:r>
        <w:rPr>
          <w:rFonts w:ascii="Arial" w:hAnsi="Arial" w:cs="Arial"/>
          <w:sz w:val="24"/>
          <w:szCs w:val="24"/>
        </w:rPr>
        <w:t>she could concentrate on continental enemies</w:t>
      </w:r>
      <w:r>
        <w:rPr>
          <w:rStyle w:val="FootnoteReference"/>
          <w:rFonts w:ascii="Arial" w:hAnsi="Arial" w:cs="Arial"/>
          <w:sz w:val="24"/>
          <w:szCs w:val="24"/>
        </w:rPr>
        <w:footnoteReference w:id="259"/>
      </w:r>
      <w:r>
        <w:rPr>
          <w:rFonts w:ascii="Arial" w:hAnsi="Arial" w:cs="Arial"/>
          <w:sz w:val="24"/>
          <w:szCs w:val="24"/>
        </w:rPr>
        <w:t xml:space="preserve">.  </w:t>
      </w:r>
    </w:p>
    <w:p w14:paraId="3A012EC7" w14:textId="7246F568" w:rsidR="00F21624" w:rsidRDefault="00F21624" w:rsidP="008B745A">
      <w:pPr>
        <w:spacing w:line="480" w:lineRule="auto"/>
        <w:rPr>
          <w:rFonts w:ascii="Arial" w:hAnsi="Arial" w:cs="Arial"/>
          <w:sz w:val="24"/>
          <w:szCs w:val="24"/>
        </w:rPr>
      </w:pPr>
      <w:r>
        <w:rPr>
          <w:rFonts w:ascii="Arial" w:hAnsi="Arial" w:cs="Arial"/>
          <w:sz w:val="24"/>
          <w:szCs w:val="24"/>
        </w:rPr>
        <w:t xml:space="preserve">Polybius states that the treaties confirm that Romans in Sicily would have equal rights with others </w:t>
      </w:r>
      <w:r w:rsidR="00B54D86">
        <w:rPr>
          <w:rFonts w:ascii="Arial" w:hAnsi="Arial" w:cs="Arial"/>
          <w:sz w:val="24"/>
          <w:szCs w:val="24"/>
        </w:rPr>
        <w:t>they could</w:t>
      </w:r>
      <w:r>
        <w:rPr>
          <w:rFonts w:ascii="Arial" w:hAnsi="Arial" w:cs="Arial"/>
          <w:sz w:val="24"/>
          <w:szCs w:val="24"/>
        </w:rPr>
        <w:t xml:space="preserve"> trade, although they </w:t>
      </w:r>
      <w:r w:rsidR="00B54D86">
        <w:rPr>
          <w:rFonts w:ascii="Arial" w:hAnsi="Arial" w:cs="Arial"/>
          <w:sz w:val="24"/>
          <w:szCs w:val="24"/>
        </w:rPr>
        <w:t>were n</w:t>
      </w:r>
      <w:r>
        <w:rPr>
          <w:rFonts w:ascii="Arial" w:hAnsi="Arial" w:cs="Arial"/>
          <w:sz w:val="24"/>
          <w:szCs w:val="24"/>
        </w:rPr>
        <w:t xml:space="preserve">ot </w:t>
      </w:r>
      <w:r w:rsidR="008A3487">
        <w:rPr>
          <w:rFonts w:ascii="Arial" w:hAnsi="Arial" w:cs="Arial"/>
          <w:sz w:val="24"/>
          <w:szCs w:val="24"/>
        </w:rPr>
        <w:t>travel</w:t>
      </w:r>
      <w:r>
        <w:rPr>
          <w:rFonts w:ascii="Arial" w:hAnsi="Arial" w:cs="Arial"/>
          <w:sz w:val="24"/>
          <w:szCs w:val="24"/>
        </w:rPr>
        <w:t xml:space="preserve"> beyond the Fair Promontory</w:t>
      </w:r>
      <w:r>
        <w:rPr>
          <w:rStyle w:val="FootnoteReference"/>
          <w:rFonts w:ascii="Arial" w:hAnsi="Arial" w:cs="Arial"/>
          <w:sz w:val="24"/>
          <w:szCs w:val="24"/>
        </w:rPr>
        <w:footnoteReference w:id="260"/>
      </w:r>
      <w:r>
        <w:rPr>
          <w:rFonts w:ascii="Arial" w:hAnsi="Arial" w:cs="Arial"/>
          <w:sz w:val="24"/>
          <w:szCs w:val="24"/>
        </w:rPr>
        <w:t>. Again, provisions for the restrictions of Roman access to Africa and Sardinia highlight growing Carthaginian anxieties – there are reports of Roman attempts to colonise Sardinia herself in 378</w:t>
      </w:r>
      <w:r>
        <w:rPr>
          <w:rStyle w:val="FootnoteReference"/>
          <w:rFonts w:ascii="Arial" w:hAnsi="Arial" w:cs="Arial"/>
          <w:sz w:val="24"/>
          <w:szCs w:val="24"/>
        </w:rPr>
        <w:footnoteReference w:id="261"/>
      </w:r>
      <w:r>
        <w:rPr>
          <w:rFonts w:ascii="Arial" w:hAnsi="Arial" w:cs="Arial"/>
          <w:sz w:val="24"/>
          <w:szCs w:val="24"/>
        </w:rPr>
        <w:t xml:space="preserve">. </w:t>
      </w:r>
      <w:r w:rsidR="002C5119">
        <w:rPr>
          <w:rFonts w:ascii="Arial" w:hAnsi="Arial" w:cs="Arial"/>
          <w:sz w:val="24"/>
          <w:szCs w:val="24"/>
        </w:rPr>
        <w:t>N</w:t>
      </w:r>
      <w:r>
        <w:rPr>
          <w:rFonts w:ascii="Arial" w:hAnsi="Arial" w:cs="Arial"/>
          <w:sz w:val="24"/>
          <w:szCs w:val="24"/>
        </w:rPr>
        <w:t>ew restrictions were placed denying Rome the right to found towns</w:t>
      </w:r>
      <w:r>
        <w:rPr>
          <w:rStyle w:val="FootnoteReference"/>
          <w:rFonts w:ascii="Arial" w:hAnsi="Arial" w:cs="Arial"/>
          <w:sz w:val="24"/>
          <w:szCs w:val="24"/>
        </w:rPr>
        <w:footnoteReference w:id="262"/>
      </w:r>
      <w:r w:rsidR="002C5119">
        <w:rPr>
          <w:rFonts w:ascii="Arial" w:hAnsi="Arial" w:cs="Arial"/>
          <w:sz w:val="24"/>
          <w:szCs w:val="24"/>
        </w:rPr>
        <w:t>, as</w:t>
      </w:r>
      <w:r>
        <w:rPr>
          <w:rFonts w:ascii="Arial" w:hAnsi="Arial" w:cs="Arial"/>
          <w:sz w:val="24"/>
          <w:szCs w:val="24"/>
        </w:rPr>
        <w:t xml:space="preserve"> they may have realised Rome’s methods for establishing control </w:t>
      </w:r>
      <w:r w:rsidR="00B54D86">
        <w:rPr>
          <w:rFonts w:ascii="Arial" w:hAnsi="Arial" w:cs="Arial"/>
          <w:sz w:val="24"/>
          <w:szCs w:val="24"/>
        </w:rPr>
        <w:t>included</w:t>
      </w:r>
      <w:r>
        <w:rPr>
          <w:rFonts w:ascii="Arial" w:hAnsi="Arial" w:cs="Arial"/>
          <w:sz w:val="24"/>
          <w:szCs w:val="24"/>
        </w:rPr>
        <w:t xml:space="preserve"> the construction of strategic colonies. For Carthage, Roman stipulations that any towns captured had to be handed over matched previous Roman concerns for additional powers becoming involved in Italy. It must be remembered</w:t>
      </w:r>
      <w:r w:rsidR="00D7216F">
        <w:rPr>
          <w:rFonts w:ascii="Arial" w:hAnsi="Arial" w:cs="Arial"/>
          <w:sz w:val="24"/>
          <w:szCs w:val="24"/>
        </w:rPr>
        <w:t xml:space="preserve"> </w:t>
      </w:r>
      <w:r>
        <w:rPr>
          <w:rFonts w:ascii="Arial" w:hAnsi="Arial" w:cs="Arial"/>
          <w:sz w:val="24"/>
          <w:szCs w:val="24"/>
        </w:rPr>
        <w:t xml:space="preserve">that Carthaginian involvement in Italy </w:t>
      </w:r>
      <w:r w:rsidR="00B54D86">
        <w:rPr>
          <w:rFonts w:ascii="Arial" w:hAnsi="Arial" w:cs="Arial"/>
          <w:sz w:val="24"/>
          <w:szCs w:val="24"/>
        </w:rPr>
        <w:t>had</w:t>
      </w:r>
      <w:r>
        <w:rPr>
          <w:rFonts w:ascii="Arial" w:hAnsi="Arial" w:cs="Arial"/>
          <w:sz w:val="24"/>
          <w:szCs w:val="24"/>
        </w:rPr>
        <w:t xml:space="preserve"> encourage</w:t>
      </w:r>
      <w:r w:rsidR="00B54D86">
        <w:rPr>
          <w:rFonts w:ascii="Arial" w:hAnsi="Arial" w:cs="Arial"/>
          <w:sz w:val="24"/>
          <w:szCs w:val="24"/>
        </w:rPr>
        <w:t>d</w:t>
      </w:r>
      <w:r>
        <w:rPr>
          <w:rFonts w:ascii="Arial" w:hAnsi="Arial" w:cs="Arial"/>
          <w:sz w:val="24"/>
          <w:szCs w:val="24"/>
        </w:rPr>
        <w:t xml:space="preserve"> smaller polities to begin to appeal to her, creating a dangerous situation in Italy. This fear was eventually to be realised after Pyrrhus’ invasion (see </w:t>
      </w:r>
      <w:r w:rsidR="00B54D86">
        <w:rPr>
          <w:rFonts w:ascii="Arial" w:hAnsi="Arial" w:cs="Arial"/>
          <w:sz w:val="24"/>
          <w:szCs w:val="24"/>
        </w:rPr>
        <w:t>C</w:t>
      </w:r>
      <w:r>
        <w:rPr>
          <w:rFonts w:ascii="Arial" w:hAnsi="Arial" w:cs="Arial"/>
          <w:sz w:val="24"/>
          <w:szCs w:val="24"/>
        </w:rPr>
        <w:t xml:space="preserve">hapter 6). </w:t>
      </w:r>
    </w:p>
    <w:p w14:paraId="5A6C4AE7" w14:textId="7946CD68" w:rsidR="00F21624" w:rsidRDefault="00F21624" w:rsidP="008B745A">
      <w:pPr>
        <w:spacing w:line="480" w:lineRule="auto"/>
        <w:rPr>
          <w:rFonts w:ascii="Arial" w:hAnsi="Arial" w:cs="Arial"/>
          <w:sz w:val="24"/>
          <w:szCs w:val="24"/>
        </w:rPr>
      </w:pPr>
      <w:r>
        <w:rPr>
          <w:rFonts w:ascii="Arial" w:hAnsi="Arial" w:cs="Arial"/>
          <w:sz w:val="24"/>
          <w:szCs w:val="24"/>
        </w:rPr>
        <w:t>The Romans were excluded from the southern parts of the Mediterranean, whilst Rome received assurances that Carthage would not interfere in Latium, especially surrounding the issue of piracy</w:t>
      </w:r>
      <w:r>
        <w:rPr>
          <w:rStyle w:val="FootnoteReference"/>
          <w:rFonts w:ascii="Arial" w:hAnsi="Arial" w:cs="Arial"/>
          <w:sz w:val="24"/>
          <w:szCs w:val="24"/>
        </w:rPr>
        <w:footnoteReference w:id="263"/>
      </w:r>
      <w:r>
        <w:rPr>
          <w:rFonts w:ascii="Arial" w:hAnsi="Arial" w:cs="Arial"/>
          <w:sz w:val="24"/>
          <w:szCs w:val="24"/>
        </w:rPr>
        <w:t>. Importantly, Scullard’s assessment that the First Treaty was also part of Carthage’s desire to find a potential ally to counter Syracuse is likely to be correct</w:t>
      </w:r>
      <w:r>
        <w:rPr>
          <w:rStyle w:val="FootnoteReference"/>
          <w:rFonts w:ascii="Arial" w:hAnsi="Arial" w:cs="Arial"/>
          <w:sz w:val="24"/>
          <w:szCs w:val="24"/>
        </w:rPr>
        <w:footnoteReference w:id="264"/>
      </w:r>
      <w:r>
        <w:rPr>
          <w:rFonts w:ascii="Arial" w:hAnsi="Arial" w:cs="Arial"/>
          <w:sz w:val="24"/>
          <w:szCs w:val="24"/>
        </w:rPr>
        <w:t xml:space="preserve">. Carthage was not strong enough to take the whole island </w:t>
      </w:r>
      <w:r>
        <w:rPr>
          <w:rFonts w:ascii="Arial" w:hAnsi="Arial" w:cs="Arial"/>
          <w:sz w:val="24"/>
          <w:szCs w:val="24"/>
        </w:rPr>
        <w:lastRenderedPageBreak/>
        <w:t>and indeed several times struggled to hold back the Greeks. For the Romans, who had recently been sacked by the Gauls, they were desperate for as little confrontation as possible, especially when considering their immediate troubles afterwards. These treaties therefore highlight Carthage’s strength relative to Rome’s. For Rome</w:t>
      </w:r>
      <w:r w:rsidR="00140256">
        <w:rPr>
          <w:rFonts w:ascii="Arial" w:hAnsi="Arial" w:cs="Arial"/>
          <w:sz w:val="24"/>
          <w:szCs w:val="24"/>
        </w:rPr>
        <w:t>,</w:t>
      </w:r>
      <w:r>
        <w:rPr>
          <w:rFonts w:ascii="Arial" w:hAnsi="Arial" w:cs="Arial"/>
          <w:sz w:val="24"/>
          <w:szCs w:val="24"/>
        </w:rPr>
        <w:t xml:space="preserve"> they had managed to secure an agreement giving it a degree of protection from one of the Western Mediterranean’s major naval powers</w:t>
      </w:r>
      <w:r>
        <w:rPr>
          <w:rStyle w:val="FootnoteReference"/>
          <w:rFonts w:ascii="Arial" w:hAnsi="Arial" w:cs="Arial"/>
          <w:sz w:val="24"/>
          <w:szCs w:val="24"/>
        </w:rPr>
        <w:footnoteReference w:id="265"/>
      </w:r>
      <w:r>
        <w:rPr>
          <w:rFonts w:ascii="Arial" w:hAnsi="Arial" w:cs="Arial"/>
          <w:sz w:val="24"/>
          <w:szCs w:val="24"/>
        </w:rPr>
        <w:t>.</w:t>
      </w:r>
      <w:r w:rsidR="00140256">
        <w:rPr>
          <w:rFonts w:ascii="Arial" w:hAnsi="Arial" w:cs="Arial"/>
          <w:sz w:val="24"/>
          <w:szCs w:val="24"/>
        </w:rPr>
        <w:t xml:space="preserve"> </w:t>
      </w:r>
      <w:r>
        <w:rPr>
          <w:rFonts w:ascii="Arial" w:hAnsi="Arial" w:cs="Arial"/>
          <w:sz w:val="24"/>
          <w:szCs w:val="24"/>
        </w:rPr>
        <w:t>The strength of the Carthaginian position can be seen when she forbade Rome from travelling further than Cape Bon, whilst Sardinia and Libya also remained closed</w:t>
      </w:r>
      <w:r>
        <w:rPr>
          <w:rStyle w:val="FootnoteReference"/>
          <w:rFonts w:ascii="Arial" w:hAnsi="Arial" w:cs="Arial"/>
          <w:sz w:val="24"/>
          <w:szCs w:val="24"/>
        </w:rPr>
        <w:footnoteReference w:id="266"/>
      </w:r>
      <w:r>
        <w:rPr>
          <w:rFonts w:ascii="Arial" w:hAnsi="Arial" w:cs="Arial"/>
          <w:sz w:val="24"/>
          <w:szCs w:val="24"/>
        </w:rPr>
        <w:t xml:space="preserve">. Lazenby’s assessment of the first two treaties </w:t>
      </w:r>
      <w:r w:rsidR="00140256">
        <w:rPr>
          <w:rFonts w:ascii="Arial" w:hAnsi="Arial" w:cs="Arial"/>
          <w:sz w:val="24"/>
          <w:szCs w:val="24"/>
        </w:rPr>
        <w:t>between</w:t>
      </w:r>
      <w:r>
        <w:rPr>
          <w:rFonts w:ascii="Arial" w:hAnsi="Arial" w:cs="Arial"/>
          <w:sz w:val="24"/>
          <w:szCs w:val="24"/>
        </w:rPr>
        <w:t xml:space="preserve"> Rome and Carthage ‘safeguarding’ their </w:t>
      </w:r>
      <w:r w:rsidR="00140256">
        <w:rPr>
          <w:rFonts w:ascii="Arial" w:hAnsi="Arial" w:cs="Arial"/>
          <w:sz w:val="24"/>
          <w:szCs w:val="24"/>
        </w:rPr>
        <w:t xml:space="preserve">recent </w:t>
      </w:r>
      <w:r>
        <w:rPr>
          <w:rFonts w:ascii="Arial" w:hAnsi="Arial" w:cs="Arial"/>
          <w:sz w:val="24"/>
          <w:szCs w:val="24"/>
        </w:rPr>
        <w:t>interests is correct</w:t>
      </w:r>
      <w:r>
        <w:rPr>
          <w:rStyle w:val="FootnoteReference"/>
          <w:rFonts w:ascii="Arial" w:hAnsi="Arial" w:cs="Arial"/>
          <w:sz w:val="24"/>
          <w:szCs w:val="24"/>
        </w:rPr>
        <w:footnoteReference w:id="267"/>
      </w:r>
      <w:r>
        <w:rPr>
          <w:rFonts w:ascii="Arial" w:hAnsi="Arial" w:cs="Arial"/>
          <w:sz w:val="24"/>
          <w:szCs w:val="24"/>
        </w:rPr>
        <w:t>.</w:t>
      </w:r>
    </w:p>
    <w:p w14:paraId="42929768" w14:textId="4466C456" w:rsidR="00F21624" w:rsidRDefault="00F21624" w:rsidP="008B745A">
      <w:pPr>
        <w:spacing w:line="480" w:lineRule="auto"/>
        <w:rPr>
          <w:rFonts w:ascii="Arial" w:hAnsi="Arial" w:cs="Arial"/>
          <w:sz w:val="24"/>
          <w:szCs w:val="24"/>
        </w:rPr>
      </w:pPr>
      <w:r>
        <w:rPr>
          <w:rFonts w:ascii="Arial" w:hAnsi="Arial" w:cs="Arial"/>
          <w:sz w:val="24"/>
          <w:szCs w:val="24"/>
        </w:rPr>
        <w:t xml:space="preserve">There was a third treaty in 306 </w:t>
      </w:r>
      <w:r w:rsidR="002C5119">
        <w:rPr>
          <w:rFonts w:ascii="Arial" w:hAnsi="Arial" w:cs="Arial"/>
          <w:sz w:val="24"/>
          <w:szCs w:val="24"/>
        </w:rPr>
        <w:t>-</w:t>
      </w:r>
      <w:r>
        <w:rPr>
          <w:rFonts w:ascii="Arial" w:hAnsi="Arial" w:cs="Arial"/>
          <w:sz w:val="24"/>
          <w:szCs w:val="24"/>
        </w:rPr>
        <w:t xml:space="preserve"> the Philinus Treaty</w:t>
      </w:r>
      <w:r w:rsidR="002C5119">
        <w:rPr>
          <w:rFonts w:ascii="Arial" w:hAnsi="Arial" w:cs="Arial"/>
          <w:sz w:val="24"/>
          <w:szCs w:val="24"/>
        </w:rPr>
        <w:t xml:space="preserve"> -</w:t>
      </w:r>
      <w:r>
        <w:rPr>
          <w:rFonts w:ascii="Arial" w:hAnsi="Arial" w:cs="Arial"/>
          <w:sz w:val="24"/>
          <w:szCs w:val="24"/>
        </w:rPr>
        <w:t xml:space="preserve"> which has proved controversial to historians. Some believe in its existence</w:t>
      </w:r>
      <w:r>
        <w:rPr>
          <w:rStyle w:val="FootnoteReference"/>
          <w:rFonts w:ascii="Arial" w:hAnsi="Arial" w:cs="Arial"/>
          <w:sz w:val="24"/>
          <w:szCs w:val="24"/>
        </w:rPr>
        <w:footnoteReference w:id="268"/>
      </w:r>
      <w:r>
        <w:rPr>
          <w:rFonts w:ascii="Arial" w:hAnsi="Arial" w:cs="Arial"/>
          <w:sz w:val="24"/>
          <w:szCs w:val="24"/>
        </w:rPr>
        <w:t>, with Lancel explicitly calling it the ‘ancient version of the Monroe doctrine’</w:t>
      </w:r>
      <w:r>
        <w:rPr>
          <w:rStyle w:val="FootnoteReference"/>
          <w:rFonts w:ascii="Arial" w:hAnsi="Arial" w:cs="Arial"/>
          <w:sz w:val="24"/>
          <w:szCs w:val="24"/>
        </w:rPr>
        <w:footnoteReference w:id="269"/>
      </w:r>
      <w:r>
        <w:rPr>
          <w:rFonts w:ascii="Arial" w:hAnsi="Arial" w:cs="Arial"/>
          <w:sz w:val="24"/>
          <w:szCs w:val="24"/>
        </w:rPr>
        <w:t>. These supporters doubt Polybius’ claims of its non-existence, whilst others view his denials as correct</w:t>
      </w:r>
      <w:r>
        <w:rPr>
          <w:rStyle w:val="FootnoteReference"/>
          <w:rFonts w:ascii="Arial" w:hAnsi="Arial" w:cs="Arial"/>
          <w:sz w:val="24"/>
          <w:szCs w:val="24"/>
        </w:rPr>
        <w:footnoteReference w:id="270"/>
      </w:r>
      <w:r>
        <w:rPr>
          <w:rFonts w:ascii="Arial" w:hAnsi="Arial" w:cs="Arial"/>
          <w:sz w:val="24"/>
          <w:szCs w:val="24"/>
        </w:rPr>
        <w:t>.</w:t>
      </w:r>
      <w:r w:rsidR="00140256">
        <w:rPr>
          <w:rFonts w:ascii="Arial" w:hAnsi="Arial" w:cs="Arial"/>
          <w:sz w:val="24"/>
          <w:szCs w:val="24"/>
        </w:rPr>
        <w:t xml:space="preserve"> </w:t>
      </w:r>
      <w:r>
        <w:rPr>
          <w:rFonts w:ascii="Arial" w:hAnsi="Arial" w:cs="Arial"/>
          <w:sz w:val="24"/>
          <w:szCs w:val="24"/>
        </w:rPr>
        <w:t>Eckstein states that Polybius was making these allegations that Romans did not know about the treaties to a contemporary audience – he would not have wanted to lie</w:t>
      </w:r>
      <w:r>
        <w:rPr>
          <w:rStyle w:val="FootnoteReference"/>
          <w:rFonts w:ascii="Arial" w:hAnsi="Arial" w:cs="Arial"/>
          <w:sz w:val="24"/>
          <w:szCs w:val="24"/>
        </w:rPr>
        <w:footnoteReference w:id="271"/>
      </w:r>
      <w:r>
        <w:rPr>
          <w:rFonts w:ascii="Arial" w:hAnsi="Arial" w:cs="Arial"/>
          <w:sz w:val="24"/>
          <w:szCs w:val="24"/>
        </w:rPr>
        <w:t xml:space="preserve"> - and therefore must have been telling the truth. </w:t>
      </w:r>
      <w:r w:rsidR="00C01C84">
        <w:rPr>
          <w:rFonts w:ascii="Arial" w:hAnsi="Arial" w:cs="Arial"/>
          <w:sz w:val="24"/>
          <w:szCs w:val="24"/>
        </w:rPr>
        <w:t>He</w:t>
      </w:r>
      <w:r>
        <w:rPr>
          <w:rFonts w:ascii="Arial" w:hAnsi="Arial" w:cs="Arial"/>
          <w:sz w:val="24"/>
          <w:szCs w:val="24"/>
        </w:rPr>
        <w:t xml:space="preserve"> argues that Polybius would not have risked ridicule with Romans who would have known the situation and known the treaty did not exist</w:t>
      </w:r>
      <w:r>
        <w:rPr>
          <w:rStyle w:val="FootnoteReference"/>
          <w:rFonts w:ascii="Arial" w:hAnsi="Arial" w:cs="Arial"/>
          <w:sz w:val="24"/>
          <w:szCs w:val="24"/>
        </w:rPr>
        <w:footnoteReference w:id="272"/>
      </w:r>
      <w:r>
        <w:rPr>
          <w:rFonts w:ascii="Arial" w:hAnsi="Arial" w:cs="Arial"/>
          <w:sz w:val="24"/>
          <w:szCs w:val="24"/>
        </w:rPr>
        <w:t>. For Hoyos, Philinus’ allegations may have been known, but Polybius’ scepticism of these allegations was not</w:t>
      </w:r>
      <w:r>
        <w:rPr>
          <w:rStyle w:val="FootnoteReference"/>
          <w:rFonts w:ascii="Arial" w:hAnsi="Arial" w:cs="Arial"/>
          <w:sz w:val="24"/>
          <w:szCs w:val="24"/>
        </w:rPr>
        <w:footnoteReference w:id="273"/>
      </w:r>
      <w:r>
        <w:rPr>
          <w:rFonts w:ascii="Arial" w:hAnsi="Arial" w:cs="Arial"/>
          <w:sz w:val="24"/>
          <w:szCs w:val="24"/>
        </w:rPr>
        <w:t xml:space="preserve">. Hoyos states that Philinus’ allegations of </w:t>
      </w:r>
      <w:r>
        <w:rPr>
          <w:rFonts w:ascii="Arial" w:hAnsi="Arial" w:cs="Arial"/>
          <w:sz w:val="24"/>
          <w:szCs w:val="24"/>
        </w:rPr>
        <w:lastRenderedPageBreak/>
        <w:t>a treaty are too unbelievable, especially as Philinus had no knowledge of the previous treaties yet regards the treaty of 306 as fact</w:t>
      </w:r>
      <w:r>
        <w:rPr>
          <w:rStyle w:val="FootnoteReference"/>
          <w:rFonts w:ascii="Arial" w:hAnsi="Arial" w:cs="Arial"/>
          <w:sz w:val="24"/>
          <w:szCs w:val="24"/>
        </w:rPr>
        <w:footnoteReference w:id="274"/>
      </w:r>
      <w:r>
        <w:rPr>
          <w:rFonts w:ascii="Arial" w:hAnsi="Arial" w:cs="Arial"/>
          <w:sz w:val="24"/>
          <w:szCs w:val="24"/>
        </w:rPr>
        <w:t xml:space="preserve">. </w:t>
      </w:r>
    </w:p>
    <w:p w14:paraId="0CC74E12" w14:textId="6C00D187" w:rsidR="00F21624" w:rsidRDefault="00F21624" w:rsidP="008B745A">
      <w:pPr>
        <w:spacing w:line="480" w:lineRule="auto"/>
        <w:rPr>
          <w:rFonts w:ascii="Arial" w:hAnsi="Arial" w:cs="Arial"/>
          <w:sz w:val="24"/>
          <w:szCs w:val="24"/>
        </w:rPr>
      </w:pPr>
      <w:r>
        <w:rPr>
          <w:rFonts w:ascii="Arial" w:hAnsi="Arial" w:cs="Arial"/>
          <w:sz w:val="24"/>
          <w:szCs w:val="24"/>
        </w:rPr>
        <w:t>This would put Rome squarely in the wrong – although Polybius denies this treaty existed</w:t>
      </w:r>
      <w:r>
        <w:rPr>
          <w:rStyle w:val="FootnoteReference"/>
          <w:rFonts w:ascii="Arial" w:hAnsi="Arial" w:cs="Arial"/>
          <w:sz w:val="24"/>
          <w:szCs w:val="24"/>
        </w:rPr>
        <w:footnoteReference w:id="275"/>
      </w:r>
      <w:r>
        <w:rPr>
          <w:rFonts w:ascii="Arial" w:hAnsi="Arial" w:cs="Arial"/>
          <w:sz w:val="24"/>
          <w:szCs w:val="24"/>
        </w:rPr>
        <w:t xml:space="preserve">.  However, Polybius viewed the First Punic War as mere build up to the Second – of which Hannibal was to blame – so needed to cast Carthaginians in </w:t>
      </w:r>
      <w:r w:rsidR="00140256">
        <w:rPr>
          <w:rFonts w:ascii="Arial" w:hAnsi="Arial" w:cs="Arial"/>
          <w:sz w:val="24"/>
          <w:szCs w:val="24"/>
        </w:rPr>
        <w:t xml:space="preserve">a </w:t>
      </w:r>
      <w:r>
        <w:rPr>
          <w:rFonts w:ascii="Arial" w:hAnsi="Arial" w:cs="Arial"/>
          <w:sz w:val="24"/>
          <w:szCs w:val="24"/>
        </w:rPr>
        <w:t>negative light to fit his narrative frame</w:t>
      </w:r>
      <w:r w:rsidR="00140256">
        <w:rPr>
          <w:rFonts w:ascii="Arial" w:hAnsi="Arial" w:cs="Arial"/>
          <w:sz w:val="24"/>
          <w:szCs w:val="24"/>
        </w:rPr>
        <w:t>. It was</w:t>
      </w:r>
      <w:r>
        <w:rPr>
          <w:rFonts w:ascii="Arial" w:hAnsi="Arial" w:cs="Arial"/>
          <w:sz w:val="24"/>
          <w:szCs w:val="24"/>
        </w:rPr>
        <w:t xml:space="preserve"> easy for him to state the treaty did</w:t>
      </w:r>
      <w:r w:rsidR="00140256">
        <w:rPr>
          <w:rFonts w:ascii="Arial" w:hAnsi="Arial" w:cs="Arial"/>
          <w:sz w:val="24"/>
          <w:szCs w:val="24"/>
        </w:rPr>
        <w:t xml:space="preserve"> not</w:t>
      </w:r>
      <w:r>
        <w:rPr>
          <w:rFonts w:ascii="Arial" w:hAnsi="Arial" w:cs="Arial"/>
          <w:sz w:val="24"/>
          <w:szCs w:val="24"/>
        </w:rPr>
        <w:t xml:space="preserve"> exist</w:t>
      </w:r>
      <w:r>
        <w:rPr>
          <w:rStyle w:val="FootnoteReference"/>
          <w:rFonts w:ascii="Arial" w:hAnsi="Arial" w:cs="Arial"/>
          <w:sz w:val="24"/>
          <w:szCs w:val="24"/>
        </w:rPr>
        <w:footnoteReference w:id="276"/>
      </w:r>
      <w:r>
        <w:rPr>
          <w:rFonts w:ascii="Arial" w:hAnsi="Arial" w:cs="Arial"/>
          <w:sz w:val="24"/>
          <w:szCs w:val="24"/>
        </w:rPr>
        <w:t xml:space="preserve">.  </w:t>
      </w:r>
    </w:p>
    <w:p w14:paraId="550AC17C" w14:textId="789DC208" w:rsidR="00F21624" w:rsidRDefault="00F21624" w:rsidP="008B745A">
      <w:pPr>
        <w:spacing w:line="480" w:lineRule="auto"/>
        <w:rPr>
          <w:rFonts w:ascii="Arial" w:hAnsi="Arial" w:cs="Arial"/>
          <w:sz w:val="24"/>
          <w:szCs w:val="24"/>
        </w:rPr>
      </w:pPr>
      <w:r>
        <w:rPr>
          <w:rFonts w:ascii="Arial" w:hAnsi="Arial" w:cs="Arial"/>
          <w:sz w:val="24"/>
          <w:szCs w:val="24"/>
        </w:rPr>
        <w:t xml:space="preserve">This paper will argue the case for the treaty of 306. Firstly, Livy reports that the treaty was renewed for ‘a third time’ in 306 </w:t>
      </w:r>
      <w:r w:rsidR="00140256">
        <w:rPr>
          <w:rFonts w:ascii="Arial" w:hAnsi="Arial" w:cs="Arial"/>
          <w:sz w:val="24"/>
          <w:szCs w:val="24"/>
        </w:rPr>
        <w:t xml:space="preserve">and, </w:t>
      </w:r>
      <w:r>
        <w:rPr>
          <w:rFonts w:ascii="Arial" w:hAnsi="Arial" w:cs="Arial"/>
          <w:sz w:val="24"/>
          <w:szCs w:val="24"/>
        </w:rPr>
        <w:t>if the treaty of 509 is included</w:t>
      </w:r>
      <w:r w:rsidR="00140256">
        <w:rPr>
          <w:rFonts w:ascii="Arial" w:hAnsi="Arial" w:cs="Arial"/>
          <w:sz w:val="24"/>
          <w:szCs w:val="24"/>
        </w:rPr>
        <w:t>,</w:t>
      </w:r>
      <w:r>
        <w:rPr>
          <w:rFonts w:ascii="Arial" w:hAnsi="Arial" w:cs="Arial"/>
          <w:sz w:val="24"/>
          <w:szCs w:val="24"/>
        </w:rPr>
        <w:t xml:space="preserve"> this makes sense</w:t>
      </w:r>
      <w:r>
        <w:rPr>
          <w:rStyle w:val="FootnoteReference"/>
          <w:rFonts w:ascii="Arial" w:hAnsi="Arial" w:cs="Arial"/>
          <w:sz w:val="24"/>
          <w:szCs w:val="24"/>
        </w:rPr>
        <w:footnoteReference w:id="277"/>
      </w:r>
      <w:r>
        <w:rPr>
          <w:rFonts w:ascii="Arial" w:hAnsi="Arial" w:cs="Arial"/>
          <w:sz w:val="24"/>
          <w:szCs w:val="24"/>
        </w:rPr>
        <w:t xml:space="preserve"> . Eckstein makes much of Polybius’ inability to find the treaty in the state archives, whilst finding other Punic-Carthaginian treaties</w:t>
      </w:r>
      <w:r>
        <w:rPr>
          <w:rStyle w:val="FootnoteReference"/>
          <w:rFonts w:ascii="Arial" w:hAnsi="Arial" w:cs="Arial"/>
          <w:sz w:val="24"/>
          <w:szCs w:val="24"/>
        </w:rPr>
        <w:footnoteReference w:id="278"/>
      </w:r>
      <w:r>
        <w:rPr>
          <w:rFonts w:ascii="Arial" w:hAnsi="Arial" w:cs="Arial"/>
          <w:sz w:val="24"/>
          <w:szCs w:val="24"/>
        </w:rPr>
        <w:t xml:space="preserve">. Polybius is clear about what is in the archives: a treaty from the earliest days of the </w:t>
      </w:r>
      <w:r w:rsidR="00140256">
        <w:rPr>
          <w:rFonts w:ascii="Arial" w:hAnsi="Arial" w:cs="Arial"/>
          <w:sz w:val="24"/>
          <w:szCs w:val="24"/>
        </w:rPr>
        <w:t>R</w:t>
      </w:r>
      <w:r>
        <w:rPr>
          <w:rFonts w:ascii="Arial" w:hAnsi="Arial" w:cs="Arial"/>
          <w:sz w:val="24"/>
          <w:szCs w:val="24"/>
        </w:rPr>
        <w:t>epublic</w:t>
      </w:r>
      <w:r>
        <w:rPr>
          <w:rStyle w:val="FootnoteReference"/>
          <w:rFonts w:ascii="Arial" w:hAnsi="Arial" w:cs="Arial"/>
          <w:sz w:val="24"/>
          <w:szCs w:val="24"/>
        </w:rPr>
        <w:footnoteReference w:id="279"/>
      </w:r>
      <w:r>
        <w:rPr>
          <w:rFonts w:ascii="Arial" w:hAnsi="Arial" w:cs="Arial"/>
          <w:sz w:val="24"/>
          <w:szCs w:val="24"/>
        </w:rPr>
        <w:t>, a treaty sometime later</w:t>
      </w:r>
      <w:r>
        <w:rPr>
          <w:rStyle w:val="FootnoteReference"/>
          <w:rFonts w:ascii="Arial" w:hAnsi="Arial" w:cs="Arial"/>
          <w:sz w:val="24"/>
          <w:szCs w:val="24"/>
        </w:rPr>
        <w:footnoteReference w:id="280"/>
      </w:r>
      <w:r>
        <w:rPr>
          <w:rFonts w:ascii="Arial" w:hAnsi="Arial" w:cs="Arial"/>
          <w:sz w:val="24"/>
          <w:szCs w:val="24"/>
        </w:rPr>
        <w:t xml:space="preserve"> - that Eckstein claims is from the mid-4</w:t>
      </w:r>
      <w:r>
        <w:rPr>
          <w:rFonts w:ascii="Arial" w:hAnsi="Arial" w:cs="Arial"/>
          <w:sz w:val="24"/>
          <w:szCs w:val="24"/>
          <w:vertAlign w:val="superscript"/>
        </w:rPr>
        <w:t>th</w:t>
      </w:r>
      <w:r>
        <w:rPr>
          <w:rFonts w:ascii="Arial" w:hAnsi="Arial" w:cs="Arial"/>
          <w:sz w:val="24"/>
          <w:szCs w:val="24"/>
        </w:rPr>
        <w:t xml:space="preserve"> century</w:t>
      </w:r>
      <w:r>
        <w:rPr>
          <w:rStyle w:val="FootnoteReference"/>
          <w:rFonts w:ascii="Arial" w:hAnsi="Arial" w:cs="Arial"/>
          <w:sz w:val="24"/>
          <w:szCs w:val="24"/>
        </w:rPr>
        <w:footnoteReference w:id="281"/>
      </w:r>
      <w:r>
        <w:rPr>
          <w:rFonts w:ascii="Arial" w:hAnsi="Arial" w:cs="Arial"/>
          <w:sz w:val="24"/>
          <w:szCs w:val="24"/>
        </w:rPr>
        <w:t>- and the agreement about Pyrrhus</w:t>
      </w:r>
      <w:r>
        <w:rPr>
          <w:rStyle w:val="FootnoteReference"/>
          <w:rFonts w:ascii="Arial" w:hAnsi="Arial" w:cs="Arial"/>
          <w:sz w:val="24"/>
          <w:szCs w:val="24"/>
        </w:rPr>
        <w:footnoteReference w:id="282"/>
      </w:r>
      <w:r>
        <w:rPr>
          <w:rFonts w:ascii="Arial" w:hAnsi="Arial" w:cs="Arial"/>
          <w:sz w:val="24"/>
          <w:szCs w:val="24"/>
        </w:rPr>
        <w:t>. The fourth document was the peace treaty of 241</w:t>
      </w:r>
      <w:r>
        <w:rPr>
          <w:rStyle w:val="FootnoteReference"/>
          <w:rFonts w:ascii="Arial" w:hAnsi="Arial" w:cs="Arial"/>
          <w:sz w:val="24"/>
          <w:szCs w:val="24"/>
        </w:rPr>
        <w:footnoteReference w:id="283"/>
      </w:r>
      <w:r>
        <w:rPr>
          <w:rFonts w:ascii="Arial" w:hAnsi="Arial" w:cs="Arial"/>
          <w:sz w:val="24"/>
          <w:szCs w:val="24"/>
        </w:rPr>
        <w:t xml:space="preserve">. Eckstein claims </w:t>
      </w:r>
      <w:r w:rsidR="00140256">
        <w:rPr>
          <w:rFonts w:ascii="Arial" w:hAnsi="Arial" w:cs="Arial"/>
          <w:sz w:val="24"/>
          <w:szCs w:val="24"/>
        </w:rPr>
        <w:t>to</w:t>
      </w:r>
      <w:r>
        <w:rPr>
          <w:rFonts w:ascii="Arial" w:hAnsi="Arial" w:cs="Arial"/>
          <w:sz w:val="24"/>
          <w:szCs w:val="24"/>
        </w:rPr>
        <w:t xml:space="preserve"> prove these treaties were there show the archives were not disorganised</w:t>
      </w:r>
      <w:r>
        <w:rPr>
          <w:rStyle w:val="FootnoteReference"/>
          <w:rFonts w:ascii="Arial" w:hAnsi="Arial" w:cs="Arial"/>
          <w:sz w:val="24"/>
          <w:szCs w:val="24"/>
        </w:rPr>
        <w:footnoteReference w:id="284"/>
      </w:r>
      <w:r>
        <w:rPr>
          <w:rFonts w:ascii="Arial" w:hAnsi="Arial" w:cs="Arial"/>
          <w:sz w:val="24"/>
          <w:szCs w:val="24"/>
        </w:rPr>
        <w:t>. However, Polybius’ inability to find the treaty cannot guarantee that it did not exist, especially considering a range of other factors that may have contributed to this</w:t>
      </w:r>
      <w:r w:rsidR="00140256">
        <w:rPr>
          <w:rFonts w:ascii="Arial" w:hAnsi="Arial" w:cs="Arial"/>
          <w:sz w:val="24"/>
          <w:szCs w:val="24"/>
        </w:rPr>
        <w:t xml:space="preserve"> state of affairs</w:t>
      </w:r>
      <w:r>
        <w:rPr>
          <w:rStyle w:val="FootnoteReference"/>
          <w:rFonts w:ascii="Arial" w:hAnsi="Arial" w:cs="Arial"/>
          <w:sz w:val="24"/>
          <w:szCs w:val="24"/>
        </w:rPr>
        <w:footnoteReference w:id="285"/>
      </w:r>
      <w:r>
        <w:rPr>
          <w:rFonts w:ascii="Arial" w:hAnsi="Arial" w:cs="Arial"/>
          <w:sz w:val="24"/>
          <w:szCs w:val="24"/>
        </w:rPr>
        <w:t xml:space="preserve">. For example, </w:t>
      </w:r>
      <w:r w:rsidR="00140256">
        <w:rPr>
          <w:rFonts w:ascii="Arial" w:hAnsi="Arial" w:cs="Arial"/>
          <w:sz w:val="24"/>
          <w:szCs w:val="24"/>
        </w:rPr>
        <w:t xml:space="preserve">the </w:t>
      </w:r>
      <w:r>
        <w:rPr>
          <w:rFonts w:ascii="Arial" w:hAnsi="Arial" w:cs="Arial"/>
          <w:sz w:val="24"/>
          <w:szCs w:val="24"/>
        </w:rPr>
        <w:t xml:space="preserve">records were in a poor state </w:t>
      </w:r>
      <w:r>
        <w:rPr>
          <w:rFonts w:ascii="Arial" w:hAnsi="Arial" w:cs="Arial"/>
          <w:sz w:val="24"/>
          <w:szCs w:val="24"/>
        </w:rPr>
        <w:lastRenderedPageBreak/>
        <w:t>as Cicero states</w:t>
      </w:r>
      <w:r>
        <w:rPr>
          <w:rStyle w:val="FootnoteReference"/>
          <w:rFonts w:ascii="Arial" w:hAnsi="Arial" w:cs="Arial"/>
          <w:sz w:val="24"/>
          <w:szCs w:val="24"/>
        </w:rPr>
        <w:footnoteReference w:id="286"/>
      </w:r>
      <w:r>
        <w:rPr>
          <w:rFonts w:ascii="Arial" w:hAnsi="Arial" w:cs="Arial"/>
          <w:sz w:val="24"/>
          <w:szCs w:val="24"/>
        </w:rPr>
        <w:t xml:space="preserve"> - Polybius’ ability to find five treaties out of hundreds does not necessarily mean </w:t>
      </w:r>
      <w:r w:rsidR="00140256">
        <w:rPr>
          <w:rFonts w:ascii="Arial" w:hAnsi="Arial" w:cs="Arial"/>
          <w:sz w:val="24"/>
          <w:szCs w:val="24"/>
        </w:rPr>
        <w:t>that the records were</w:t>
      </w:r>
      <w:r>
        <w:rPr>
          <w:rFonts w:ascii="Arial" w:hAnsi="Arial" w:cs="Arial"/>
          <w:sz w:val="24"/>
          <w:szCs w:val="24"/>
        </w:rPr>
        <w:t xml:space="preserve"> organised. Not only that</w:t>
      </w:r>
      <w:r w:rsidR="00140256">
        <w:rPr>
          <w:rFonts w:ascii="Arial" w:hAnsi="Arial" w:cs="Arial"/>
          <w:sz w:val="24"/>
          <w:szCs w:val="24"/>
        </w:rPr>
        <w:t>,</w:t>
      </w:r>
      <w:r>
        <w:rPr>
          <w:rFonts w:ascii="Arial" w:hAnsi="Arial" w:cs="Arial"/>
          <w:sz w:val="24"/>
          <w:szCs w:val="24"/>
        </w:rPr>
        <w:t xml:space="preserve"> it could have been destroyed in a fire, such as the ones in 214 or 172</w:t>
      </w:r>
      <w:r>
        <w:rPr>
          <w:rStyle w:val="FootnoteReference"/>
          <w:rFonts w:ascii="Arial" w:hAnsi="Arial" w:cs="Arial"/>
          <w:sz w:val="24"/>
          <w:szCs w:val="24"/>
        </w:rPr>
        <w:footnoteReference w:id="287"/>
      </w:r>
      <w:r>
        <w:rPr>
          <w:rFonts w:ascii="Arial" w:hAnsi="Arial" w:cs="Arial"/>
          <w:sz w:val="24"/>
          <w:szCs w:val="24"/>
        </w:rPr>
        <w:t xml:space="preserve">. </w:t>
      </w:r>
    </w:p>
    <w:p w14:paraId="18AD8DB0" w14:textId="3C277C5C" w:rsidR="00F21624" w:rsidRDefault="00F21624" w:rsidP="008B745A">
      <w:pPr>
        <w:spacing w:line="480" w:lineRule="auto"/>
        <w:rPr>
          <w:rFonts w:ascii="Arial" w:hAnsi="Arial" w:cs="Arial"/>
          <w:sz w:val="24"/>
          <w:szCs w:val="24"/>
        </w:rPr>
      </w:pPr>
      <w:r>
        <w:rPr>
          <w:rFonts w:ascii="Arial" w:hAnsi="Arial" w:cs="Arial"/>
          <w:sz w:val="24"/>
          <w:szCs w:val="24"/>
        </w:rPr>
        <w:t>More likely</w:t>
      </w:r>
      <w:r w:rsidR="002C5119">
        <w:rPr>
          <w:rFonts w:ascii="Arial" w:hAnsi="Arial" w:cs="Arial"/>
          <w:sz w:val="24"/>
          <w:szCs w:val="24"/>
        </w:rPr>
        <w:t>,</w:t>
      </w:r>
      <w:r w:rsidR="00F460C7">
        <w:rPr>
          <w:rFonts w:ascii="Arial" w:hAnsi="Arial" w:cs="Arial"/>
          <w:sz w:val="24"/>
          <w:szCs w:val="24"/>
        </w:rPr>
        <w:t xml:space="preserve"> the</w:t>
      </w:r>
      <w:r w:rsidR="002C5119">
        <w:rPr>
          <w:rFonts w:ascii="Arial" w:hAnsi="Arial" w:cs="Arial"/>
          <w:sz w:val="24"/>
          <w:szCs w:val="24"/>
        </w:rPr>
        <w:t xml:space="preserve"> </w:t>
      </w:r>
      <w:r>
        <w:rPr>
          <w:rFonts w:ascii="Arial" w:hAnsi="Arial" w:cs="Arial"/>
          <w:sz w:val="24"/>
          <w:szCs w:val="24"/>
        </w:rPr>
        <w:t>treaties were</w:t>
      </w:r>
      <w:r w:rsidR="002C5119">
        <w:rPr>
          <w:rFonts w:ascii="Arial" w:hAnsi="Arial" w:cs="Arial"/>
          <w:sz w:val="24"/>
          <w:szCs w:val="24"/>
        </w:rPr>
        <w:t xml:space="preserve"> kept</w:t>
      </w:r>
      <w:r>
        <w:rPr>
          <w:rFonts w:ascii="Arial" w:hAnsi="Arial" w:cs="Arial"/>
          <w:sz w:val="24"/>
          <w:szCs w:val="24"/>
        </w:rPr>
        <w:t xml:space="preserve"> in the treasury but not on public display</w:t>
      </w:r>
      <w:r w:rsidR="008A3487">
        <w:rPr>
          <w:rFonts w:ascii="Arial" w:hAnsi="Arial" w:cs="Arial"/>
          <w:sz w:val="24"/>
          <w:szCs w:val="24"/>
        </w:rPr>
        <w:t xml:space="preserve"> - </w:t>
      </w:r>
      <w:r>
        <w:rPr>
          <w:rFonts w:ascii="Arial" w:hAnsi="Arial" w:cs="Arial"/>
          <w:sz w:val="24"/>
          <w:szCs w:val="24"/>
        </w:rPr>
        <w:t>Polybius states the treaties were not known by most people at the time</w:t>
      </w:r>
      <w:r>
        <w:rPr>
          <w:rStyle w:val="FootnoteReference"/>
          <w:rFonts w:ascii="Arial" w:hAnsi="Arial" w:cs="Arial"/>
          <w:sz w:val="24"/>
          <w:szCs w:val="24"/>
        </w:rPr>
        <w:footnoteReference w:id="288"/>
      </w:r>
      <w:r>
        <w:rPr>
          <w:rFonts w:ascii="Arial" w:hAnsi="Arial" w:cs="Arial"/>
          <w:sz w:val="24"/>
          <w:szCs w:val="24"/>
        </w:rPr>
        <w:t xml:space="preserve"> </w:t>
      </w:r>
      <w:r w:rsidR="008A3487">
        <w:rPr>
          <w:rFonts w:ascii="Arial" w:hAnsi="Arial" w:cs="Arial"/>
          <w:sz w:val="24"/>
          <w:szCs w:val="24"/>
        </w:rPr>
        <w:t xml:space="preserve">- </w:t>
      </w:r>
      <w:r>
        <w:rPr>
          <w:rFonts w:ascii="Arial" w:hAnsi="Arial" w:cs="Arial"/>
          <w:sz w:val="24"/>
          <w:szCs w:val="24"/>
        </w:rPr>
        <w:t>and as there would have been hundreds of treaties</w:t>
      </w:r>
      <w:r w:rsidR="00140256">
        <w:rPr>
          <w:rFonts w:ascii="Arial" w:hAnsi="Arial" w:cs="Arial"/>
          <w:sz w:val="24"/>
          <w:szCs w:val="24"/>
        </w:rPr>
        <w:t>,</w:t>
      </w:r>
      <w:r>
        <w:rPr>
          <w:rFonts w:ascii="Arial" w:hAnsi="Arial" w:cs="Arial"/>
          <w:sz w:val="24"/>
          <w:szCs w:val="24"/>
        </w:rPr>
        <w:t xml:space="preserve"> it is not </w:t>
      </w:r>
      <w:r w:rsidR="00F460C7">
        <w:rPr>
          <w:rFonts w:ascii="Arial" w:hAnsi="Arial" w:cs="Arial"/>
          <w:sz w:val="24"/>
          <w:szCs w:val="24"/>
        </w:rPr>
        <w:t>surprising</w:t>
      </w:r>
      <w:r>
        <w:rPr>
          <w:rFonts w:ascii="Arial" w:hAnsi="Arial" w:cs="Arial"/>
          <w:sz w:val="24"/>
          <w:szCs w:val="24"/>
        </w:rPr>
        <w:t xml:space="preserve"> they were not on display. Furthermore, </w:t>
      </w:r>
      <w:r w:rsidR="008A3487">
        <w:rPr>
          <w:rFonts w:ascii="Arial" w:hAnsi="Arial" w:cs="Arial"/>
          <w:sz w:val="24"/>
          <w:szCs w:val="24"/>
        </w:rPr>
        <w:t xml:space="preserve">Cato, </w:t>
      </w:r>
      <w:r>
        <w:rPr>
          <w:rFonts w:ascii="Arial" w:hAnsi="Arial" w:cs="Arial"/>
          <w:sz w:val="24"/>
          <w:szCs w:val="24"/>
        </w:rPr>
        <w:t>the man who had the strongest revulsion for the Carthaginians</w:t>
      </w:r>
      <w:r w:rsidR="008A3487">
        <w:rPr>
          <w:rFonts w:ascii="Arial" w:hAnsi="Arial" w:cs="Arial"/>
          <w:sz w:val="24"/>
          <w:szCs w:val="24"/>
        </w:rPr>
        <w:t>,</w:t>
      </w:r>
      <w:r>
        <w:rPr>
          <w:rFonts w:ascii="Arial" w:hAnsi="Arial" w:cs="Arial"/>
          <w:sz w:val="24"/>
          <w:szCs w:val="24"/>
        </w:rPr>
        <w:t xml:space="preserve"> believed the treaty existed</w:t>
      </w:r>
      <w:r>
        <w:rPr>
          <w:rStyle w:val="FootnoteReference"/>
          <w:rFonts w:ascii="Arial" w:hAnsi="Arial" w:cs="Arial"/>
          <w:sz w:val="24"/>
          <w:szCs w:val="24"/>
        </w:rPr>
        <w:footnoteReference w:id="289"/>
      </w:r>
      <w:r>
        <w:rPr>
          <w:rFonts w:ascii="Arial" w:hAnsi="Arial" w:cs="Arial"/>
          <w:sz w:val="24"/>
          <w:szCs w:val="24"/>
        </w:rPr>
        <w:t xml:space="preserve">. </w:t>
      </w:r>
    </w:p>
    <w:p w14:paraId="55215208" w14:textId="5598B47E" w:rsidR="00F21624" w:rsidRDefault="00F21624" w:rsidP="008B745A">
      <w:pPr>
        <w:spacing w:line="480" w:lineRule="auto"/>
        <w:rPr>
          <w:rFonts w:ascii="Arial" w:hAnsi="Arial" w:cs="Arial"/>
          <w:sz w:val="24"/>
          <w:szCs w:val="24"/>
        </w:rPr>
      </w:pPr>
      <w:r>
        <w:rPr>
          <w:rFonts w:ascii="Arial" w:hAnsi="Arial" w:cs="Arial"/>
          <w:sz w:val="24"/>
          <w:szCs w:val="24"/>
        </w:rPr>
        <w:t>In addition, circumstantial evidence points to the existence of the treaty. Renegotiations must have been likely as both powers were negotiating from a position of strength. Carthage had defeated Agathocles in Africa and Rome was on the verge of victory in the Second Samnite War</w:t>
      </w:r>
      <w:r>
        <w:rPr>
          <w:rStyle w:val="FootnoteReference"/>
          <w:rFonts w:ascii="Arial" w:hAnsi="Arial" w:cs="Arial"/>
          <w:sz w:val="24"/>
          <w:szCs w:val="24"/>
        </w:rPr>
        <w:footnoteReference w:id="290"/>
      </w:r>
      <w:r>
        <w:rPr>
          <w:rFonts w:ascii="Arial" w:hAnsi="Arial" w:cs="Arial"/>
          <w:sz w:val="24"/>
          <w:szCs w:val="24"/>
        </w:rPr>
        <w:t xml:space="preserve">. </w:t>
      </w:r>
      <w:r w:rsidR="00140256">
        <w:rPr>
          <w:rFonts w:ascii="Arial" w:hAnsi="Arial" w:cs="Arial"/>
          <w:sz w:val="24"/>
          <w:szCs w:val="24"/>
        </w:rPr>
        <w:t>That t</w:t>
      </w:r>
      <w:r>
        <w:rPr>
          <w:rFonts w:ascii="Arial" w:hAnsi="Arial" w:cs="Arial"/>
          <w:sz w:val="24"/>
          <w:szCs w:val="24"/>
        </w:rPr>
        <w:t xml:space="preserve">he political situation had changed so much since 348 </w:t>
      </w:r>
      <w:r w:rsidR="00140256">
        <w:rPr>
          <w:rFonts w:ascii="Arial" w:hAnsi="Arial" w:cs="Arial"/>
          <w:sz w:val="24"/>
          <w:szCs w:val="24"/>
        </w:rPr>
        <w:t xml:space="preserve">it is very likely </w:t>
      </w:r>
      <w:r>
        <w:rPr>
          <w:rFonts w:ascii="Arial" w:hAnsi="Arial" w:cs="Arial"/>
          <w:sz w:val="24"/>
          <w:szCs w:val="24"/>
        </w:rPr>
        <w:t>a new accord</w:t>
      </w:r>
      <w:r w:rsidR="00140256">
        <w:rPr>
          <w:rFonts w:ascii="Arial" w:hAnsi="Arial" w:cs="Arial"/>
          <w:sz w:val="24"/>
          <w:szCs w:val="24"/>
        </w:rPr>
        <w:t xml:space="preserve"> would have had to have been reached</w:t>
      </w:r>
      <w:r>
        <w:rPr>
          <w:rStyle w:val="FootnoteReference"/>
          <w:rFonts w:ascii="Arial" w:hAnsi="Arial" w:cs="Arial"/>
          <w:sz w:val="24"/>
          <w:szCs w:val="24"/>
        </w:rPr>
        <w:footnoteReference w:id="291"/>
      </w:r>
      <w:r>
        <w:rPr>
          <w:rFonts w:ascii="Arial" w:hAnsi="Arial" w:cs="Arial"/>
          <w:sz w:val="24"/>
          <w:szCs w:val="24"/>
        </w:rPr>
        <w:t xml:space="preserve">. </w:t>
      </w:r>
    </w:p>
    <w:p w14:paraId="7A54E67A" w14:textId="60B54D7D" w:rsidR="00F21624" w:rsidRDefault="00F21624" w:rsidP="008B745A">
      <w:pPr>
        <w:spacing w:line="480" w:lineRule="auto"/>
        <w:rPr>
          <w:rFonts w:ascii="Arial" w:hAnsi="Arial" w:cs="Arial"/>
          <w:sz w:val="24"/>
          <w:szCs w:val="24"/>
        </w:rPr>
      </w:pPr>
      <w:r>
        <w:rPr>
          <w:rFonts w:ascii="Arial" w:hAnsi="Arial" w:cs="Arial"/>
          <w:sz w:val="24"/>
          <w:szCs w:val="24"/>
        </w:rPr>
        <w:t xml:space="preserve">Furthermore, Rome was fighting Etruscans in the </w:t>
      </w:r>
      <w:r w:rsidR="008123F9">
        <w:rPr>
          <w:rFonts w:ascii="Arial" w:hAnsi="Arial" w:cs="Arial"/>
          <w:sz w:val="24"/>
          <w:szCs w:val="24"/>
        </w:rPr>
        <w:t>n</w:t>
      </w:r>
      <w:r>
        <w:rPr>
          <w:rFonts w:ascii="Arial" w:hAnsi="Arial" w:cs="Arial"/>
          <w:sz w:val="24"/>
          <w:szCs w:val="24"/>
        </w:rPr>
        <w:t>orth alongside</w:t>
      </w:r>
      <w:r w:rsidR="00E770A9">
        <w:rPr>
          <w:rFonts w:ascii="Arial" w:hAnsi="Arial" w:cs="Arial"/>
          <w:sz w:val="24"/>
          <w:szCs w:val="24"/>
        </w:rPr>
        <w:t xml:space="preserve"> the</w:t>
      </w:r>
      <w:r>
        <w:rPr>
          <w:rFonts w:ascii="Arial" w:hAnsi="Arial" w:cs="Arial"/>
          <w:sz w:val="24"/>
          <w:szCs w:val="24"/>
        </w:rPr>
        <w:t xml:space="preserve"> Samnites</w:t>
      </w:r>
      <w:r>
        <w:rPr>
          <w:rStyle w:val="FootnoteReference"/>
          <w:rFonts w:ascii="Arial" w:hAnsi="Arial" w:cs="Arial"/>
          <w:sz w:val="24"/>
          <w:szCs w:val="24"/>
        </w:rPr>
        <w:footnoteReference w:id="292"/>
      </w:r>
      <w:r>
        <w:rPr>
          <w:rFonts w:ascii="Arial" w:hAnsi="Arial" w:cs="Arial"/>
          <w:sz w:val="24"/>
          <w:szCs w:val="24"/>
        </w:rPr>
        <w:t xml:space="preserve">. </w:t>
      </w:r>
      <w:r w:rsidR="00E770A9">
        <w:rPr>
          <w:rFonts w:ascii="Arial" w:hAnsi="Arial" w:cs="Arial"/>
          <w:sz w:val="24"/>
          <w:szCs w:val="24"/>
        </w:rPr>
        <w:t xml:space="preserve">The </w:t>
      </w:r>
      <w:r>
        <w:rPr>
          <w:rFonts w:ascii="Arial" w:hAnsi="Arial" w:cs="Arial"/>
          <w:sz w:val="24"/>
          <w:szCs w:val="24"/>
        </w:rPr>
        <w:t>Etruscans had allied with Syracuse and sent a fleet to aid Syracuse against Carthage</w:t>
      </w:r>
      <w:r>
        <w:rPr>
          <w:rStyle w:val="FootnoteReference"/>
          <w:rFonts w:ascii="Arial" w:hAnsi="Arial" w:cs="Arial"/>
          <w:sz w:val="24"/>
          <w:szCs w:val="24"/>
        </w:rPr>
        <w:footnoteReference w:id="293"/>
      </w:r>
      <w:r>
        <w:rPr>
          <w:rFonts w:ascii="Arial" w:hAnsi="Arial" w:cs="Arial"/>
          <w:sz w:val="24"/>
          <w:szCs w:val="24"/>
        </w:rPr>
        <w:t xml:space="preserve">. Rome and Carthage now had a common enemy. Polybius states the later treaty of 279 was an exact renewal of </w:t>
      </w:r>
      <w:r w:rsidR="00140256">
        <w:rPr>
          <w:rFonts w:ascii="Arial" w:hAnsi="Arial" w:cs="Arial"/>
          <w:sz w:val="24"/>
          <w:szCs w:val="24"/>
        </w:rPr>
        <w:t xml:space="preserve">the </w:t>
      </w:r>
      <w:r>
        <w:rPr>
          <w:rFonts w:ascii="Arial" w:hAnsi="Arial" w:cs="Arial"/>
          <w:sz w:val="24"/>
          <w:szCs w:val="24"/>
        </w:rPr>
        <w:t>348 treaty, except for new clauses against Pyrrhus</w:t>
      </w:r>
      <w:r>
        <w:rPr>
          <w:rStyle w:val="FootnoteReference"/>
          <w:rFonts w:ascii="Arial" w:hAnsi="Arial" w:cs="Arial"/>
          <w:sz w:val="24"/>
          <w:szCs w:val="24"/>
        </w:rPr>
        <w:footnoteReference w:id="294"/>
      </w:r>
      <w:r>
        <w:rPr>
          <w:rFonts w:ascii="Arial" w:hAnsi="Arial" w:cs="Arial"/>
          <w:sz w:val="24"/>
          <w:szCs w:val="24"/>
        </w:rPr>
        <w:t xml:space="preserve">. </w:t>
      </w:r>
      <w:r w:rsidR="00140256">
        <w:rPr>
          <w:rFonts w:ascii="Arial" w:hAnsi="Arial" w:cs="Arial"/>
          <w:sz w:val="24"/>
          <w:szCs w:val="24"/>
        </w:rPr>
        <w:t>It</w:t>
      </w:r>
      <w:r>
        <w:rPr>
          <w:rFonts w:ascii="Arial" w:hAnsi="Arial" w:cs="Arial"/>
          <w:sz w:val="24"/>
          <w:szCs w:val="24"/>
        </w:rPr>
        <w:t xml:space="preserve"> seems inconceivable that Rome would accept such a marginal </w:t>
      </w:r>
      <w:r>
        <w:rPr>
          <w:rFonts w:ascii="Arial" w:hAnsi="Arial" w:cs="Arial"/>
          <w:sz w:val="24"/>
          <w:szCs w:val="24"/>
        </w:rPr>
        <w:lastRenderedPageBreak/>
        <w:t>role when her strength and position on the Italian peninsula had changed so drastically.</w:t>
      </w:r>
    </w:p>
    <w:p w14:paraId="261AD3E7" w14:textId="4C6D361A" w:rsidR="00F21624" w:rsidRDefault="00F21624" w:rsidP="008B745A">
      <w:pPr>
        <w:spacing w:line="480" w:lineRule="auto"/>
        <w:rPr>
          <w:rFonts w:ascii="Arial" w:hAnsi="Arial" w:cs="Arial"/>
          <w:b/>
          <w:bCs/>
          <w:sz w:val="24"/>
          <w:szCs w:val="24"/>
        </w:rPr>
      </w:pPr>
      <w:r>
        <w:rPr>
          <w:rFonts w:ascii="Arial" w:hAnsi="Arial" w:cs="Arial"/>
          <w:sz w:val="24"/>
          <w:szCs w:val="24"/>
        </w:rPr>
        <w:t>Livy’s mention that in 272 Carthaginian ships appear off Tarentum violating the Treaty confirm it exists</w:t>
      </w:r>
      <w:r>
        <w:rPr>
          <w:rStyle w:val="FootnoteReference"/>
          <w:rFonts w:ascii="Arial" w:hAnsi="Arial" w:cs="Arial"/>
          <w:sz w:val="24"/>
          <w:szCs w:val="24"/>
        </w:rPr>
        <w:footnoteReference w:id="295"/>
      </w:r>
      <w:r>
        <w:rPr>
          <w:rFonts w:ascii="Arial" w:hAnsi="Arial" w:cs="Arial"/>
          <w:sz w:val="24"/>
          <w:szCs w:val="24"/>
        </w:rPr>
        <w:t>. Hanno talks about the treaty and being denied access to Tarentum corresponds exactly with Philinus’ Treaty</w:t>
      </w:r>
      <w:r>
        <w:rPr>
          <w:rStyle w:val="FootnoteReference"/>
          <w:rFonts w:ascii="Arial" w:hAnsi="Arial" w:cs="Arial"/>
          <w:sz w:val="24"/>
          <w:szCs w:val="24"/>
        </w:rPr>
        <w:footnoteReference w:id="296"/>
      </w:r>
      <w:r>
        <w:rPr>
          <w:rFonts w:ascii="Arial" w:hAnsi="Arial" w:cs="Arial"/>
          <w:sz w:val="24"/>
          <w:szCs w:val="24"/>
        </w:rPr>
        <w:t>.</w:t>
      </w:r>
      <w:r>
        <w:rPr>
          <w:rFonts w:ascii="Arial" w:hAnsi="Arial" w:cs="Arial"/>
          <w:b/>
          <w:bCs/>
          <w:sz w:val="24"/>
          <w:szCs w:val="24"/>
        </w:rPr>
        <w:t xml:space="preserve"> </w:t>
      </w:r>
      <w:r>
        <w:rPr>
          <w:rFonts w:ascii="Arial" w:hAnsi="Arial" w:cs="Arial"/>
          <w:sz w:val="24"/>
          <w:szCs w:val="24"/>
        </w:rPr>
        <w:t>The treaty of 279/8 makes no sense without the treaty of 306</w:t>
      </w:r>
      <w:r>
        <w:rPr>
          <w:rStyle w:val="FootnoteReference"/>
          <w:rFonts w:ascii="Arial" w:hAnsi="Arial" w:cs="Arial"/>
          <w:sz w:val="24"/>
          <w:szCs w:val="24"/>
        </w:rPr>
        <w:footnoteReference w:id="297"/>
      </w:r>
      <w:r>
        <w:rPr>
          <w:rFonts w:ascii="Arial" w:hAnsi="Arial" w:cs="Arial"/>
          <w:sz w:val="24"/>
          <w:szCs w:val="24"/>
        </w:rPr>
        <w:t>. If the Carthaginians broke the treaty first, as alleged after the war with Pyrrhus</w:t>
      </w:r>
      <w:r>
        <w:rPr>
          <w:rStyle w:val="FootnoteReference"/>
          <w:rFonts w:ascii="Arial" w:hAnsi="Arial" w:cs="Arial"/>
          <w:sz w:val="24"/>
          <w:szCs w:val="24"/>
        </w:rPr>
        <w:footnoteReference w:id="298"/>
      </w:r>
      <w:r>
        <w:rPr>
          <w:rFonts w:ascii="Arial" w:hAnsi="Arial" w:cs="Arial"/>
          <w:sz w:val="24"/>
          <w:szCs w:val="24"/>
        </w:rPr>
        <w:t xml:space="preserve">, then Rome would have no </w:t>
      </w:r>
      <w:r w:rsidR="00140256">
        <w:rPr>
          <w:rFonts w:ascii="Arial" w:hAnsi="Arial" w:cs="Arial"/>
          <w:sz w:val="24"/>
          <w:szCs w:val="24"/>
        </w:rPr>
        <w:t>concern</w:t>
      </w:r>
      <w:r>
        <w:rPr>
          <w:rFonts w:ascii="Arial" w:hAnsi="Arial" w:cs="Arial"/>
          <w:sz w:val="24"/>
          <w:szCs w:val="24"/>
        </w:rPr>
        <w:t xml:space="preserve"> about showing the treaty</w:t>
      </w:r>
      <w:r>
        <w:rPr>
          <w:rStyle w:val="FootnoteReference"/>
          <w:rFonts w:ascii="Arial" w:hAnsi="Arial" w:cs="Arial"/>
          <w:sz w:val="24"/>
          <w:szCs w:val="24"/>
        </w:rPr>
        <w:footnoteReference w:id="299"/>
      </w:r>
      <w:r>
        <w:rPr>
          <w:rFonts w:ascii="Arial" w:hAnsi="Arial" w:cs="Arial"/>
          <w:sz w:val="24"/>
          <w:szCs w:val="24"/>
        </w:rPr>
        <w:t xml:space="preserve">. </w:t>
      </w:r>
    </w:p>
    <w:p w14:paraId="6E4008E0" w14:textId="3A5B2DB6" w:rsidR="00F21624" w:rsidRDefault="00F21624" w:rsidP="008B745A">
      <w:pPr>
        <w:spacing w:line="480" w:lineRule="auto"/>
        <w:rPr>
          <w:rFonts w:ascii="Arial" w:hAnsi="Arial" w:cs="Arial"/>
          <w:sz w:val="24"/>
          <w:szCs w:val="24"/>
        </w:rPr>
      </w:pPr>
      <w:r>
        <w:rPr>
          <w:rFonts w:ascii="Arial" w:hAnsi="Arial" w:cs="Arial"/>
          <w:sz w:val="24"/>
          <w:szCs w:val="24"/>
        </w:rPr>
        <w:t>The results of the treaty of 306 highlight that Rome was keen to see their new status acknowledge</w:t>
      </w:r>
      <w:r w:rsidR="00140256">
        <w:rPr>
          <w:rFonts w:ascii="Arial" w:hAnsi="Arial" w:cs="Arial"/>
          <w:sz w:val="24"/>
          <w:szCs w:val="24"/>
        </w:rPr>
        <w:t>d</w:t>
      </w:r>
      <w:r>
        <w:rPr>
          <w:rFonts w:ascii="Arial" w:hAnsi="Arial" w:cs="Arial"/>
          <w:sz w:val="24"/>
          <w:szCs w:val="24"/>
        </w:rPr>
        <w:t>, whilst for Carthage</w:t>
      </w:r>
      <w:r w:rsidR="00CD387E">
        <w:rPr>
          <w:rFonts w:ascii="Arial" w:hAnsi="Arial" w:cs="Arial"/>
          <w:sz w:val="24"/>
          <w:szCs w:val="24"/>
        </w:rPr>
        <w:t>,</w:t>
      </w:r>
      <w:r>
        <w:rPr>
          <w:rFonts w:ascii="Arial" w:hAnsi="Arial" w:cs="Arial"/>
          <w:sz w:val="24"/>
          <w:szCs w:val="24"/>
        </w:rPr>
        <w:t xml:space="preserve"> they wanted to see Campanian market reopened now they were in Roman control</w:t>
      </w:r>
      <w:r>
        <w:rPr>
          <w:rStyle w:val="FootnoteReference"/>
          <w:rFonts w:ascii="Arial" w:hAnsi="Arial" w:cs="Arial"/>
          <w:sz w:val="24"/>
          <w:szCs w:val="24"/>
        </w:rPr>
        <w:footnoteReference w:id="300"/>
      </w:r>
      <w:r>
        <w:rPr>
          <w:rFonts w:ascii="Arial" w:hAnsi="Arial" w:cs="Arial"/>
          <w:sz w:val="24"/>
          <w:szCs w:val="24"/>
        </w:rPr>
        <w:t xml:space="preserve">. Carthage finally </w:t>
      </w:r>
      <w:r w:rsidR="00CD387E">
        <w:rPr>
          <w:rFonts w:ascii="Arial" w:hAnsi="Arial" w:cs="Arial"/>
          <w:sz w:val="24"/>
          <w:szCs w:val="24"/>
        </w:rPr>
        <w:t>recognised</w:t>
      </w:r>
      <w:r>
        <w:rPr>
          <w:rFonts w:ascii="Arial" w:hAnsi="Arial" w:cs="Arial"/>
          <w:sz w:val="24"/>
          <w:szCs w:val="24"/>
        </w:rPr>
        <w:t xml:space="preserve"> Roman equality after 200 years</w:t>
      </w:r>
      <w:r>
        <w:rPr>
          <w:rStyle w:val="FootnoteReference"/>
          <w:rFonts w:ascii="Arial" w:hAnsi="Arial" w:cs="Arial"/>
          <w:sz w:val="24"/>
          <w:szCs w:val="24"/>
        </w:rPr>
        <w:footnoteReference w:id="301"/>
      </w:r>
      <w:r>
        <w:rPr>
          <w:rFonts w:ascii="Arial" w:hAnsi="Arial" w:cs="Arial"/>
          <w:sz w:val="24"/>
          <w:szCs w:val="24"/>
        </w:rPr>
        <w:t>. Importantly, the treaty shows that Carthage had taken notice of Rome’s growing power, hence Rome’s stronger position in the treaty</w:t>
      </w:r>
      <w:r>
        <w:rPr>
          <w:rStyle w:val="FootnoteReference"/>
          <w:rFonts w:ascii="Arial" w:hAnsi="Arial" w:cs="Arial"/>
          <w:sz w:val="24"/>
          <w:szCs w:val="24"/>
        </w:rPr>
        <w:footnoteReference w:id="302"/>
      </w:r>
      <w:r>
        <w:rPr>
          <w:rFonts w:ascii="Arial" w:hAnsi="Arial" w:cs="Arial"/>
          <w:sz w:val="24"/>
          <w:szCs w:val="24"/>
        </w:rPr>
        <w:t xml:space="preserve">. For the Carthaginians, trade </w:t>
      </w:r>
      <w:r w:rsidR="00CD387E">
        <w:rPr>
          <w:rFonts w:ascii="Arial" w:hAnsi="Arial" w:cs="Arial"/>
          <w:sz w:val="24"/>
          <w:szCs w:val="24"/>
        </w:rPr>
        <w:t>was</w:t>
      </w:r>
      <w:r>
        <w:rPr>
          <w:rFonts w:ascii="Arial" w:hAnsi="Arial" w:cs="Arial"/>
          <w:sz w:val="24"/>
          <w:szCs w:val="24"/>
        </w:rPr>
        <w:t xml:space="preserve"> still the priority, with exclusive trading rights agreed in Sardinia, Spain and North Africa. The Romans were able to trade in Sicily and resupply themselves with water, although they were forbidden to plunder – the same went for Carthaginians in Latium</w:t>
      </w:r>
      <w:r>
        <w:rPr>
          <w:rStyle w:val="FootnoteReference"/>
          <w:rFonts w:ascii="Arial" w:hAnsi="Arial" w:cs="Arial"/>
          <w:sz w:val="24"/>
          <w:szCs w:val="24"/>
        </w:rPr>
        <w:footnoteReference w:id="303"/>
      </w:r>
      <w:r>
        <w:rPr>
          <w:rFonts w:ascii="Arial" w:hAnsi="Arial" w:cs="Arial"/>
          <w:sz w:val="24"/>
          <w:szCs w:val="24"/>
        </w:rPr>
        <w:t>. The envoys sent to Rome speak of “friendship and alliance”, something not considered in the first treaty</w:t>
      </w:r>
      <w:r>
        <w:rPr>
          <w:rStyle w:val="FootnoteReference"/>
          <w:rFonts w:ascii="Arial" w:hAnsi="Arial" w:cs="Arial"/>
          <w:sz w:val="24"/>
          <w:szCs w:val="24"/>
        </w:rPr>
        <w:footnoteReference w:id="304"/>
      </w:r>
      <w:r>
        <w:rPr>
          <w:rFonts w:ascii="Arial" w:hAnsi="Arial" w:cs="Arial"/>
          <w:sz w:val="24"/>
          <w:szCs w:val="24"/>
        </w:rPr>
        <w:t>. For the Romans</w:t>
      </w:r>
      <w:r w:rsidR="002C5119">
        <w:rPr>
          <w:rFonts w:ascii="Arial" w:hAnsi="Arial" w:cs="Arial"/>
          <w:sz w:val="24"/>
          <w:szCs w:val="24"/>
        </w:rPr>
        <w:t>,</w:t>
      </w:r>
      <w:r>
        <w:rPr>
          <w:rFonts w:ascii="Arial" w:hAnsi="Arial" w:cs="Arial"/>
          <w:sz w:val="24"/>
          <w:szCs w:val="24"/>
        </w:rPr>
        <w:t xml:space="preserve"> it was still principally about defence, especially with a hostile Greek fleet operating with the </w:t>
      </w:r>
      <w:r>
        <w:rPr>
          <w:rFonts w:ascii="Arial" w:hAnsi="Arial" w:cs="Arial"/>
          <w:sz w:val="24"/>
          <w:szCs w:val="24"/>
        </w:rPr>
        <w:lastRenderedPageBreak/>
        <w:t>Gauls off the Latium coast</w:t>
      </w:r>
      <w:r>
        <w:rPr>
          <w:rStyle w:val="FootnoteReference"/>
          <w:rFonts w:ascii="Arial" w:hAnsi="Arial" w:cs="Arial"/>
          <w:sz w:val="24"/>
          <w:szCs w:val="24"/>
        </w:rPr>
        <w:footnoteReference w:id="305"/>
      </w:r>
      <w:r>
        <w:rPr>
          <w:rFonts w:ascii="Arial" w:hAnsi="Arial" w:cs="Arial"/>
          <w:sz w:val="24"/>
          <w:szCs w:val="24"/>
        </w:rPr>
        <w:t xml:space="preserve">. Another piece of evidence that this may have been the date for the treaty was the </w:t>
      </w:r>
      <w:r w:rsidR="00CD387E">
        <w:rPr>
          <w:rFonts w:ascii="Arial" w:hAnsi="Arial" w:cs="Arial"/>
          <w:sz w:val="24"/>
          <w:szCs w:val="24"/>
        </w:rPr>
        <w:t>R</w:t>
      </w:r>
      <w:r>
        <w:rPr>
          <w:rFonts w:ascii="Arial" w:hAnsi="Arial" w:cs="Arial"/>
          <w:sz w:val="24"/>
          <w:szCs w:val="24"/>
        </w:rPr>
        <w:t xml:space="preserve">oman attempt to take Corsica in 311 – the Carthaginians may have wanted guarantees actions like this </w:t>
      </w:r>
      <w:r w:rsidR="00CD387E">
        <w:rPr>
          <w:rFonts w:ascii="Arial" w:hAnsi="Arial" w:cs="Arial"/>
          <w:sz w:val="24"/>
          <w:szCs w:val="24"/>
        </w:rPr>
        <w:t>would</w:t>
      </w:r>
      <w:r>
        <w:rPr>
          <w:rFonts w:ascii="Arial" w:hAnsi="Arial" w:cs="Arial"/>
          <w:sz w:val="24"/>
          <w:szCs w:val="24"/>
        </w:rPr>
        <w:t xml:space="preserve"> stop</w:t>
      </w:r>
      <w:r>
        <w:rPr>
          <w:rStyle w:val="FootnoteReference"/>
          <w:rFonts w:ascii="Arial" w:hAnsi="Arial" w:cs="Arial"/>
          <w:sz w:val="24"/>
          <w:szCs w:val="24"/>
        </w:rPr>
        <w:footnoteReference w:id="306"/>
      </w:r>
      <w:r>
        <w:rPr>
          <w:rFonts w:ascii="Arial" w:hAnsi="Arial" w:cs="Arial"/>
          <w:sz w:val="24"/>
          <w:szCs w:val="24"/>
        </w:rPr>
        <w:t xml:space="preserve">. </w:t>
      </w:r>
      <w:proofErr w:type="spellStart"/>
      <w:r>
        <w:rPr>
          <w:rFonts w:ascii="Arial" w:hAnsi="Arial" w:cs="Arial"/>
          <w:sz w:val="24"/>
          <w:szCs w:val="24"/>
        </w:rPr>
        <w:t>Nedu</w:t>
      </w:r>
      <w:proofErr w:type="spellEnd"/>
      <w:r>
        <w:rPr>
          <w:rFonts w:ascii="Arial" w:hAnsi="Arial" w:cs="Arial"/>
          <w:sz w:val="24"/>
          <w:szCs w:val="24"/>
        </w:rPr>
        <w:t xml:space="preserve"> states that it was probably a Carthaginian response to prevent the beginnings of Roman maritime activity</w:t>
      </w:r>
      <w:r>
        <w:rPr>
          <w:rStyle w:val="FootnoteReference"/>
          <w:rFonts w:ascii="Arial" w:hAnsi="Arial" w:cs="Arial"/>
          <w:sz w:val="24"/>
          <w:szCs w:val="24"/>
        </w:rPr>
        <w:footnoteReference w:id="307"/>
      </w:r>
      <w:r>
        <w:rPr>
          <w:rFonts w:ascii="Arial" w:hAnsi="Arial" w:cs="Arial"/>
          <w:sz w:val="24"/>
          <w:szCs w:val="24"/>
        </w:rPr>
        <w:t xml:space="preserve">. Rome was now negotiating on an equal basis and probably </w:t>
      </w:r>
      <w:r w:rsidR="00CD387E">
        <w:rPr>
          <w:rFonts w:ascii="Arial" w:hAnsi="Arial" w:cs="Arial"/>
          <w:sz w:val="24"/>
          <w:szCs w:val="24"/>
        </w:rPr>
        <w:t>insisted on retaining</w:t>
      </w:r>
      <w:r>
        <w:rPr>
          <w:rFonts w:ascii="Arial" w:hAnsi="Arial" w:cs="Arial"/>
          <w:sz w:val="24"/>
          <w:szCs w:val="24"/>
        </w:rPr>
        <w:t xml:space="preserve"> the same economic guidelines as the 348 treaty</w:t>
      </w:r>
      <w:r>
        <w:rPr>
          <w:rStyle w:val="FootnoteReference"/>
          <w:rFonts w:ascii="Arial" w:hAnsi="Arial" w:cs="Arial"/>
          <w:sz w:val="24"/>
          <w:szCs w:val="24"/>
        </w:rPr>
        <w:footnoteReference w:id="308"/>
      </w:r>
      <w:r>
        <w:rPr>
          <w:rFonts w:ascii="Arial" w:hAnsi="Arial" w:cs="Arial"/>
          <w:sz w:val="24"/>
          <w:szCs w:val="24"/>
        </w:rPr>
        <w:t xml:space="preserve">. </w:t>
      </w:r>
    </w:p>
    <w:p w14:paraId="29A16FEA" w14:textId="4F0EFD19" w:rsidR="00F21624" w:rsidRDefault="00F21624" w:rsidP="008B745A">
      <w:pPr>
        <w:spacing w:line="480" w:lineRule="auto"/>
        <w:rPr>
          <w:rFonts w:ascii="Arial" w:hAnsi="Arial" w:cs="Arial"/>
          <w:sz w:val="24"/>
          <w:szCs w:val="24"/>
        </w:rPr>
      </w:pPr>
      <w:r>
        <w:rPr>
          <w:rFonts w:ascii="Arial" w:hAnsi="Arial" w:cs="Arial"/>
          <w:sz w:val="24"/>
          <w:szCs w:val="24"/>
        </w:rPr>
        <w:t>The final treaty was in 279 B.C. The terms highlight Carthag</w:t>
      </w:r>
      <w:r w:rsidR="00C53A9F">
        <w:rPr>
          <w:rFonts w:ascii="Arial" w:hAnsi="Arial" w:cs="Arial"/>
          <w:sz w:val="24"/>
          <w:szCs w:val="24"/>
        </w:rPr>
        <w:t xml:space="preserve">e’s recognition of the </w:t>
      </w:r>
      <w:r>
        <w:rPr>
          <w:rFonts w:ascii="Arial" w:hAnsi="Arial" w:cs="Arial"/>
          <w:sz w:val="24"/>
          <w:szCs w:val="24"/>
        </w:rPr>
        <w:t>growth of Roman power</w:t>
      </w:r>
      <w:r w:rsidR="00C53A9F">
        <w:rPr>
          <w:rFonts w:ascii="Arial" w:hAnsi="Arial" w:cs="Arial"/>
          <w:sz w:val="24"/>
          <w:szCs w:val="24"/>
        </w:rPr>
        <w:t xml:space="preserve"> and that relations were still mutually beneficial</w:t>
      </w:r>
      <w:r>
        <w:rPr>
          <w:rFonts w:ascii="Arial" w:hAnsi="Arial" w:cs="Arial"/>
          <w:sz w:val="24"/>
          <w:szCs w:val="24"/>
        </w:rPr>
        <w:t xml:space="preserve">. Rome and Carthage could give aid to each other if their territories were attacked; if either power </w:t>
      </w:r>
      <w:r w:rsidR="00C53A9F">
        <w:rPr>
          <w:rFonts w:ascii="Arial" w:hAnsi="Arial" w:cs="Arial"/>
          <w:sz w:val="24"/>
          <w:szCs w:val="24"/>
        </w:rPr>
        <w:t>needed</w:t>
      </w:r>
      <w:r>
        <w:rPr>
          <w:rFonts w:ascii="Arial" w:hAnsi="Arial" w:cs="Arial"/>
          <w:sz w:val="24"/>
          <w:szCs w:val="24"/>
        </w:rPr>
        <w:t xml:space="preserve"> help</w:t>
      </w:r>
      <w:r w:rsidR="00CD387E">
        <w:rPr>
          <w:rFonts w:ascii="Arial" w:hAnsi="Arial" w:cs="Arial"/>
          <w:sz w:val="24"/>
          <w:szCs w:val="24"/>
        </w:rPr>
        <w:t>,</w:t>
      </w:r>
      <w:r>
        <w:rPr>
          <w:rFonts w:ascii="Arial" w:hAnsi="Arial" w:cs="Arial"/>
          <w:sz w:val="24"/>
          <w:szCs w:val="24"/>
        </w:rPr>
        <w:t xml:space="preserve"> Carthage would supply ships and </w:t>
      </w:r>
      <w:r w:rsidR="00CD387E">
        <w:rPr>
          <w:rFonts w:ascii="Arial" w:hAnsi="Arial" w:cs="Arial"/>
          <w:sz w:val="24"/>
          <w:szCs w:val="24"/>
        </w:rPr>
        <w:t>transports,</w:t>
      </w:r>
      <w:r>
        <w:rPr>
          <w:rFonts w:ascii="Arial" w:hAnsi="Arial" w:cs="Arial"/>
          <w:sz w:val="24"/>
          <w:szCs w:val="24"/>
        </w:rPr>
        <w:t xml:space="preserve"> but each side had to pay their own troops</w:t>
      </w:r>
      <w:r w:rsidR="00C53A9F">
        <w:rPr>
          <w:rFonts w:ascii="Arial" w:hAnsi="Arial" w:cs="Arial"/>
          <w:sz w:val="24"/>
          <w:szCs w:val="24"/>
        </w:rPr>
        <w:t>.</w:t>
      </w:r>
      <w:r>
        <w:rPr>
          <w:rFonts w:ascii="Arial" w:hAnsi="Arial" w:cs="Arial"/>
          <w:sz w:val="24"/>
          <w:szCs w:val="24"/>
        </w:rPr>
        <w:t xml:space="preserve"> </w:t>
      </w:r>
      <w:r w:rsidR="00C53A9F">
        <w:rPr>
          <w:rFonts w:ascii="Arial" w:hAnsi="Arial" w:cs="Arial"/>
          <w:sz w:val="24"/>
          <w:szCs w:val="24"/>
        </w:rPr>
        <w:t>F</w:t>
      </w:r>
      <w:r>
        <w:rPr>
          <w:rFonts w:ascii="Arial" w:hAnsi="Arial" w:cs="Arial"/>
          <w:sz w:val="24"/>
          <w:szCs w:val="24"/>
        </w:rPr>
        <w:t>inally, Carthage was to support Rome with its fleet. During the war with Pyrrhus, a clause in the treaty also specified that the Carthaginians could not land in Tarentum, nor could the Romans land in Sicily</w:t>
      </w:r>
      <w:r>
        <w:rPr>
          <w:rStyle w:val="FootnoteReference"/>
          <w:rFonts w:ascii="Arial" w:hAnsi="Arial" w:cs="Arial"/>
          <w:sz w:val="24"/>
          <w:szCs w:val="24"/>
        </w:rPr>
        <w:footnoteReference w:id="309"/>
      </w:r>
      <w:r>
        <w:rPr>
          <w:rFonts w:ascii="Arial" w:hAnsi="Arial" w:cs="Arial"/>
          <w:sz w:val="24"/>
          <w:szCs w:val="24"/>
        </w:rPr>
        <w:t>.</w:t>
      </w:r>
    </w:p>
    <w:p w14:paraId="314F2546" w14:textId="62110032" w:rsidR="00F21624" w:rsidRDefault="00F21624" w:rsidP="008B745A">
      <w:pPr>
        <w:spacing w:line="480" w:lineRule="auto"/>
        <w:rPr>
          <w:rFonts w:ascii="Arial" w:hAnsi="Arial" w:cs="Arial"/>
          <w:color w:val="222222"/>
          <w:sz w:val="24"/>
          <w:szCs w:val="24"/>
          <w:shd w:val="clear" w:color="auto" w:fill="FFFFFF"/>
        </w:rPr>
      </w:pPr>
      <w:r>
        <w:rPr>
          <w:rFonts w:ascii="Arial" w:hAnsi="Arial" w:cs="Arial"/>
          <w:sz w:val="24"/>
          <w:szCs w:val="24"/>
        </w:rPr>
        <w:t>For Carthage, these terms seem to favour Rome. However, they may have been offered as a means of keeping Rome away from an agreement with Pyrrhus</w:t>
      </w:r>
      <w:r>
        <w:rPr>
          <w:rStyle w:val="FootnoteReference"/>
          <w:rFonts w:ascii="Arial" w:hAnsi="Arial" w:cs="Arial"/>
          <w:sz w:val="24"/>
          <w:szCs w:val="24"/>
        </w:rPr>
        <w:footnoteReference w:id="310"/>
      </w:r>
      <w:r>
        <w:rPr>
          <w:rFonts w:ascii="Arial" w:hAnsi="Arial" w:cs="Arial"/>
          <w:sz w:val="24"/>
          <w:szCs w:val="24"/>
        </w:rPr>
        <w:t xml:space="preserve"> - he had ambitions about invading </w:t>
      </w:r>
      <w:r w:rsidR="00C64900">
        <w:rPr>
          <w:rFonts w:ascii="Arial" w:hAnsi="Arial" w:cs="Arial"/>
          <w:sz w:val="24"/>
          <w:szCs w:val="24"/>
        </w:rPr>
        <w:t>Africa,</w:t>
      </w:r>
      <w:r>
        <w:rPr>
          <w:rFonts w:ascii="Arial" w:hAnsi="Arial" w:cs="Arial"/>
          <w:sz w:val="24"/>
          <w:szCs w:val="24"/>
        </w:rPr>
        <w:t xml:space="preserve"> and they may have done anything to avoid this</w:t>
      </w:r>
      <w:r>
        <w:rPr>
          <w:rStyle w:val="FootnoteReference"/>
          <w:rFonts w:ascii="Arial" w:hAnsi="Arial" w:cs="Arial"/>
          <w:sz w:val="24"/>
          <w:szCs w:val="24"/>
        </w:rPr>
        <w:footnoteReference w:id="311"/>
      </w:r>
      <w:r>
        <w:rPr>
          <w:rFonts w:ascii="Arial" w:hAnsi="Arial" w:cs="Arial"/>
          <w:sz w:val="24"/>
          <w:szCs w:val="24"/>
        </w:rPr>
        <w:t>. In 289, Agathocles died</w:t>
      </w:r>
      <w:r w:rsidR="00CD387E">
        <w:rPr>
          <w:rFonts w:ascii="Arial" w:hAnsi="Arial" w:cs="Arial"/>
          <w:sz w:val="24"/>
          <w:szCs w:val="24"/>
        </w:rPr>
        <w:t>,</w:t>
      </w:r>
      <w:r>
        <w:rPr>
          <w:rFonts w:ascii="Arial" w:hAnsi="Arial" w:cs="Arial"/>
          <w:sz w:val="24"/>
          <w:szCs w:val="24"/>
        </w:rPr>
        <w:t xml:space="preserve"> creating disorder in Greek Sicily and the Carthaginians may </w:t>
      </w:r>
      <w:r w:rsidR="00CD387E">
        <w:rPr>
          <w:rFonts w:ascii="Arial" w:hAnsi="Arial" w:cs="Arial"/>
          <w:sz w:val="24"/>
          <w:szCs w:val="24"/>
        </w:rPr>
        <w:t>have used</w:t>
      </w:r>
      <w:r>
        <w:rPr>
          <w:rFonts w:ascii="Arial" w:hAnsi="Arial" w:cs="Arial"/>
          <w:sz w:val="24"/>
          <w:szCs w:val="24"/>
        </w:rPr>
        <w:t xml:space="preserve"> this strategic to keep it as </w:t>
      </w:r>
      <w:r w:rsidR="00CD387E">
        <w:rPr>
          <w:rFonts w:ascii="Arial" w:hAnsi="Arial" w:cs="Arial"/>
          <w:sz w:val="24"/>
          <w:szCs w:val="24"/>
        </w:rPr>
        <w:t>pacified</w:t>
      </w:r>
      <w:r>
        <w:rPr>
          <w:rFonts w:ascii="Arial" w:hAnsi="Arial" w:cs="Arial"/>
          <w:sz w:val="24"/>
          <w:szCs w:val="24"/>
        </w:rPr>
        <w:t xml:space="preserve"> as possible</w:t>
      </w:r>
      <w:r>
        <w:rPr>
          <w:rStyle w:val="FootnoteReference"/>
          <w:rFonts w:ascii="Arial" w:hAnsi="Arial" w:cs="Arial"/>
          <w:sz w:val="24"/>
          <w:szCs w:val="24"/>
        </w:rPr>
        <w:footnoteReference w:id="312"/>
      </w:r>
      <w:r>
        <w:rPr>
          <w:rFonts w:ascii="Arial" w:hAnsi="Arial" w:cs="Arial"/>
          <w:sz w:val="24"/>
          <w:szCs w:val="24"/>
        </w:rPr>
        <w:t xml:space="preserve">. Furthermore, the Carthaginians may have wanted to keep Rome out of Sicily in the event of Pyrrhus invading the island. </w:t>
      </w:r>
    </w:p>
    <w:p w14:paraId="5AF0A86D" w14:textId="0DC240E3" w:rsidR="00F21624" w:rsidRPr="0041384A" w:rsidRDefault="00F21624" w:rsidP="008B745A">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The treaty, on the other hand, betrayed Carthage's relative weakness in conceding that Rome was an equal, which was probably a result of its difficulties in Sicily</w:t>
      </w:r>
      <w:r>
        <w:rPr>
          <w:rStyle w:val="FootnoteReference"/>
          <w:rFonts w:ascii="Arial" w:hAnsi="Arial" w:cs="Arial"/>
          <w:color w:val="222222"/>
          <w:sz w:val="24"/>
          <w:szCs w:val="24"/>
          <w:shd w:val="clear" w:color="auto" w:fill="FFFFFF"/>
        </w:rPr>
        <w:footnoteReference w:id="313"/>
      </w:r>
      <w:r>
        <w:rPr>
          <w:rFonts w:ascii="Arial" w:hAnsi="Arial" w:cs="Arial"/>
          <w:color w:val="222222"/>
          <w:sz w:val="24"/>
          <w:szCs w:val="24"/>
          <w:shd w:val="clear" w:color="auto" w:fill="FFFFFF"/>
        </w:rPr>
        <w:t xml:space="preserve">. It may also have been this treaty that led the Romans to appreciate the growing importance and power of their Republic and the limits of </w:t>
      </w:r>
      <w:r w:rsidR="00CD387E">
        <w:rPr>
          <w:rFonts w:ascii="Arial" w:hAnsi="Arial" w:cs="Arial"/>
          <w:color w:val="222222"/>
          <w:sz w:val="24"/>
          <w:szCs w:val="24"/>
          <w:shd w:val="clear" w:color="auto" w:fill="FFFFFF"/>
        </w:rPr>
        <w:t>Carthaginian power</w:t>
      </w:r>
      <w:r>
        <w:rPr>
          <w:rFonts w:ascii="Arial" w:hAnsi="Arial" w:cs="Arial"/>
          <w:color w:val="222222"/>
          <w:sz w:val="24"/>
          <w:szCs w:val="24"/>
          <w:shd w:val="clear" w:color="auto" w:fill="FFFFFF"/>
        </w:rPr>
        <w:t>. Rome would subsequently defeat Pyrrhus, who by then had defeated the Carthaginians, and needed only to extend its reach to conquer rich Sicily, with its grain reserves.</w:t>
      </w:r>
    </w:p>
    <w:p w14:paraId="5D7A5435" w14:textId="2F597F08" w:rsidR="00F21624" w:rsidRDefault="00F21624" w:rsidP="008B745A">
      <w:pPr>
        <w:spacing w:line="480" w:lineRule="auto"/>
        <w:rPr>
          <w:rFonts w:ascii="Arial" w:hAnsi="Arial" w:cs="Arial"/>
          <w:sz w:val="24"/>
          <w:szCs w:val="24"/>
        </w:rPr>
      </w:pPr>
      <w:r>
        <w:rPr>
          <w:rFonts w:ascii="Arial" w:hAnsi="Arial" w:cs="Arial"/>
          <w:sz w:val="24"/>
          <w:szCs w:val="24"/>
        </w:rPr>
        <w:t xml:space="preserve">Importantly, for a power in which trade was all important, good relations with Rome were vital. For Rome, peace with Carthage </w:t>
      </w:r>
      <w:r w:rsidR="008E2244">
        <w:rPr>
          <w:rFonts w:ascii="Arial" w:hAnsi="Arial" w:cs="Arial"/>
          <w:sz w:val="24"/>
          <w:szCs w:val="24"/>
        </w:rPr>
        <w:t>was</w:t>
      </w:r>
      <w:r>
        <w:rPr>
          <w:rFonts w:ascii="Arial" w:hAnsi="Arial" w:cs="Arial"/>
          <w:sz w:val="24"/>
          <w:szCs w:val="24"/>
        </w:rPr>
        <w:t xml:space="preserve"> important as she had to deal with endless</w:t>
      </w:r>
      <w:r w:rsidR="008E2244">
        <w:rPr>
          <w:rFonts w:ascii="Arial" w:hAnsi="Arial" w:cs="Arial"/>
          <w:sz w:val="24"/>
          <w:szCs w:val="24"/>
        </w:rPr>
        <w:t xml:space="preserve"> </w:t>
      </w:r>
      <w:r>
        <w:rPr>
          <w:rFonts w:ascii="Arial" w:hAnsi="Arial" w:cs="Arial"/>
          <w:sz w:val="24"/>
          <w:szCs w:val="24"/>
        </w:rPr>
        <w:t xml:space="preserve">conflicts on the peninsula. Knowing that the waters around the Italian mainland were safer because of the treaties – and indeed knowing that another large power would not interfere in Italy – allowed Rome to consolidate its position to ensure its security. </w:t>
      </w:r>
    </w:p>
    <w:p w14:paraId="38FD63B3" w14:textId="39032A11" w:rsidR="00F21624" w:rsidRDefault="00CD387E" w:rsidP="008B745A">
      <w:pPr>
        <w:spacing w:line="480" w:lineRule="auto"/>
        <w:rPr>
          <w:rFonts w:ascii="Arial" w:hAnsi="Arial" w:cs="Arial"/>
          <w:sz w:val="24"/>
          <w:szCs w:val="24"/>
        </w:rPr>
      </w:pPr>
      <w:r>
        <w:rPr>
          <w:rFonts w:ascii="Arial" w:hAnsi="Arial" w:cs="Arial"/>
          <w:sz w:val="24"/>
          <w:szCs w:val="24"/>
        </w:rPr>
        <w:t>In summary</w:t>
      </w:r>
      <w:r w:rsidR="00F21624">
        <w:rPr>
          <w:rFonts w:ascii="Arial" w:hAnsi="Arial" w:cs="Arial"/>
          <w:sz w:val="24"/>
          <w:szCs w:val="24"/>
        </w:rPr>
        <w:t>, war was not inevitable and probably not even considered. What changed all this was Pyrrhus’ intervention in both Sicily and southern Italy and the anxieties and subsequent behaviour of both powers</w:t>
      </w:r>
      <w:r>
        <w:rPr>
          <w:rFonts w:ascii="Arial" w:hAnsi="Arial" w:cs="Arial"/>
          <w:sz w:val="24"/>
          <w:szCs w:val="24"/>
        </w:rPr>
        <w:t>. C</w:t>
      </w:r>
      <w:r w:rsidR="00F21624">
        <w:rPr>
          <w:rFonts w:ascii="Arial" w:hAnsi="Arial" w:cs="Arial"/>
          <w:sz w:val="24"/>
          <w:szCs w:val="24"/>
        </w:rPr>
        <w:t xml:space="preserve">o-existence and co-operation </w:t>
      </w:r>
      <w:r>
        <w:rPr>
          <w:rFonts w:ascii="Arial" w:hAnsi="Arial" w:cs="Arial"/>
          <w:sz w:val="24"/>
          <w:szCs w:val="24"/>
        </w:rPr>
        <w:t>changed in</w:t>
      </w:r>
      <w:r w:rsidR="00F21624">
        <w:rPr>
          <w:rFonts w:ascii="Arial" w:hAnsi="Arial" w:cs="Arial"/>
          <w:sz w:val="24"/>
          <w:szCs w:val="24"/>
        </w:rPr>
        <w:t xml:space="preserve">to one of suspicion and hostility. Carthage’s realisation that Rome lacked the naval resources to invade Sicily may have been reassuring, but this also explains her behaviour when sailing ships into Tarentum in 272: she may have wanted to ensure Tarentine ships did not fall into Roman hands. Crucially, the various treaties highlight Carthage’s determination to protect Sicily and her commercial interests, and whilst Rome was not yet </w:t>
      </w:r>
      <w:r w:rsidR="00D13CF2">
        <w:rPr>
          <w:rFonts w:ascii="Arial" w:hAnsi="Arial" w:cs="Arial"/>
          <w:sz w:val="24"/>
          <w:szCs w:val="24"/>
        </w:rPr>
        <w:t>able</w:t>
      </w:r>
      <w:r w:rsidR="00F21624">
        <w:rPr>
          <w:rFonts w:ascii="Arial" w:hAnsi="Arial" w:cs="Arial"/>
          <w:sz w:val="24"/>
          <w:szCs w:val="24"/>
        </w:rPr>
        <w:t xml:space="preserve"> to do this, it was clear that Rome’s influence was spreading. </w:t>
      </w:r>
    </w:p>
    <w:p w14:paraId="6BE699D3" w14:textId="03A3D81B" w:rsidR="00F21624" w:rsidRDefault="00F21624" w:rsidP="008B745A">
      <w:pPr>
        <w:spacing w:line="480" w:lineRule="auto"/>
        <w:rPr>
          <w:rFonts w:ascii="Arial" w:hAnsi="Arial" w:cs="Arial"/>
          <w:sz w:val="24"/>
          <w:szCs w:val="24"/>
        </w:rPr>
      </w:pPr>
      <w:r>
        <w:rPr>
          <w:rFonts w:ascii="Arial" w:hAnsi="Arial" w:cs="Arial"/>
          <w:sz w:val="24"/>
          <w:szCs w:val="24"/>
        </w:rPr>
        <w:lastRenderedPageBreak/>
        <w:t>Ultimately, the academic debates surrounding whether the Philinus Treaty exists does not detract from the argument of this paper in analysing the outbreak of the First Punic War. Whilst it superficia</w:t>
      </w:r>
      <w:r w:rsidR="00CD387E">
        <w:rPr>
          <w:rFonts w:ascii="Arial" w:hAnsi="Arial" w:cs="Arial"/>
          <w:sz w:val="24"/>
          <w:szCs w:val="24"/>
        </w:rPr>
        <w:t>l</w:t>
      </w:r>
      <w:r>
        <w:rPr>
          <w:rFonts w:ascii="Arial" w:hAnsi="Arial" w:cs="Arial"/>
          <w:sz w:val="24"/>
          <w:szCs w:val="24"/>
        </w:rPr>
        <w:t>l</w:t>
      </w:r>
      <w:r w:rsidR="00CD387E">
        <w:rPr>
          <w:rFonts w:ascii="Arial" w:hAnsi="Arial" w:cs="Arial"/>
          <w:sz w:val="24"/>
          <w:szCs w:val="24"/>
        </w:rPr>
        <w:t>y</w:t>
      </w:r>
      <w:r>
        <w:rPr>
          <w:rFonts w:ascii="Arial" w:hAnsi="Arial" w:cs="Arial"/>
          <w:sz w:val="24"/>
          <w:szCs w:val="24"/>
        </w:rPr>
        <w:t xml:space="preserve"> appoints blame – Rome’s landing troops in Sicily violated the treat of 307 – it does not examine more deep-rooted causes. For example, the reason Carthage reacted the way she did was because of her prior history – this also explains Rome’s behaviour in the Mamertine crisis. </w:t>
      </w:r>
    </w:p>
    <w:p w14:paraId="34ACAED5" w14:textId="15A80515" w:rsidR="00F21624" w:rsidRDefault="00F21624" w:rsidP="008B745A">
      <w:pPr>
        <w:spacing w:line="480" w:lineRule="auto"/>
        <w:rPr>
          <w:rFonts w:ascii="Arial" w:hAnsi="Arial" w:cs="Arial"/>
          <w:sz w:val="24"/>
          <w:szCs w:val="24"/>
        </w:rPr>
      </w:pPr>
      <w:r>
        <w:rPr>
          <w:rFonts w:ascii="Arial" w:hAnsi="Arial" w:cs="Arial"/>
          <w:sz w:val="24"/>
          <w:szCs w:val="24"/>
        </w:rPr>
        <w:t xml:space="preserve">Rainey’s suggestion that relations were amicable is naïve, particularly </w:t>
      </w:r>
      <w:r w:rsidR="00CD387E">
        <w:rPr>
          <w:rFonts w:ascii="Arial" w:hAnsi="Arial" w:cs="Arial"/>
          <w:sz w:val="24"/>
          <w:szCs w:val="24"/>
        </w:rPr>
        <w:t>regardin</w:t>
      </w:r>
      <w:r w:rsidR="00C64900">
        <w:rPr>
          <w:rFonts w:ascii="Arial" w:hAnsi="Arial" w:cs="Arial"/>
          <w:sz w:val="24"/>
          <w:szCs w:val="24"/>
        </w:rPr>
        <w:t>g</w:t>
      </w:r>
      <w:r>
        <w:rPr>
          <w:rFonts w:ascii="Arial" w:hAnsi="Arial" w:cs="Arial"/>
          <w:sz w:val="24"/>
          <w:szCs w:val="24"/>
        </w:rPr>
        <w:t xml:space="preserve"> the later treaties</w:t>
      </w:r>
      <w:r>
        <w:rPr>
          <w:rStyle w:val="FootnoteReference"/>
          <w:rFonts w:ascii="Arial" w:hAnsi="Arial" w:cs="Arial"/>
          <w:sz w:val="24"/>
          <w:szCs w:val="24"/>
        </w:rPr>
        <w:footnoteReference w:id="314"/>
      </w:r>
      <w:r>
        <w:rPr>
          <w:rFonts w:ascii="Arial" w:hAnsi="Arial" w:cs="Arial"/>
          <w:sz w:val="24"/>
          <w:szCs w:val="24"/>
        </w:rPr>
        <w:t xml:space="preserve">. </w:t>
      </w:r>
      <w:r w:rsidR="008719E4">
        <w:rPr>
          <w:rFonts w:ascii="Arial" w:hAnsi="Arial" w:cs="Arial"/>
          <w:sz w:val="24"/>
          <w:szCs w:val="24"/>
        </w:rPr>
        <w:t>R</w:t>
      </w:r>
      <w:r>
        <w:rPr>
          <w:rFonts w:ascii="Arial" w:hAnsi="Arial" w:cs="Arial"/>
          <w:sz w:val="24"/>
          <w:szCs w:val="24"/>
        </w:rPr>
        <w:t xml:space="preserve">elations were cordial whilst their interests did not </w:t>
      </w:r>
      <w:r w:rsidR="00CD387E">
        <w:rPr>
          <w:rFonts w:ascii="Arial" w:hAnsi="Arial" w:cs="Arial"/>
          <w:sz w:val="24"/>
          <w:szCs w:val="24"/>
        </w:rPr>
        <w:t>over</w:t>
      </w:r>
      <w:r>
        <w:rPr>
          <w:rFonts w:ascii="Arial" w:hAnsi="Arial" w:cs="Arial"/>
          <w:sz w:val="24"/>
          <w:szCs w:val="24"/>
        </w:rPr>
        <w:t xml:space="preserve">lap; that each side used the other for ‘Short term’ gains as long term plans </w:t>
      </w:r>
      <w:r w:rsidR="00CD387E">
        <w:rPr>
          <w:rFonts w:ascii="Arial" w:hAnsi="Arial" w:cs="Arial"/>
          <w:sz w:val="24"/>
          <w:szCs w:val="24"/>
        </w:rPr>
        <w:t xml:space="preserve">were </w:t>
      </w:r>
      <w:r>
        <w:rPr>
          <w:rFonts w:ascii="Arial" w:hAnsi="Arial" w:cs="Arial"/>
          <w:sz w:val="24"/>
          <w:szCs w:val="24"/>
        </w:rPr>
        <w:t>pointless</w:t>
      </w:r>
      <w:r>
        <w:rPr>
          <w:rStyle w:val="FootnoteReference"/>
          <w:rFonts w:ascii="Arial" w:hAnsi="Arial" w:cs="Arial"/>
          <w:sz w:val="24"/>
          <w:szCs w:val="24"/>
        </w:rPr>
        <w:footnoteReference w:id="315"/>
      </w:r>
      <w:r>
        <w:rPr>
          <w:rFonts w:ascii="Arial" w:hAnsi="Arial" w:cs="Arial"/>
          <w:sz w:val="24"/>
          <w:szCs w:val="24"/>
        </w:rPr>
        <w:t>. This matches the arguments set out in the previous chapters that it was fear and the desire for security that dominated the actions of most states</w:t>
      </w:r>
      <w:r>
        <w:rPr>
          <w:rStyle w:val="FootnoteReference"/>
          <w:rFonts w:ascii="Arial" w:hAnsi="Arial" w:cs="Arial"/>
          <w:sz w:val="24"/>
          <w:szCs w:val="24"/>
        </w:rPr>
        <w:footnoteReference w:id="316"/>
      </w:r>
      <w:r>
        <w:rPr>
          <w:rFonts w:ascii="Arial" w:hAnsi="Arial" w:cs="Arial"/>
          <w:sz w:val="24"/>
          <w:szCs w:val="24"/>
        </w:rPr>
        <w:t>.</w:t>
      </w:r>
    </w:p>
    <w:p w14:paraId="19E8B8F0" w14:textId="77777777" w:rsidR="0041384A" w:rsidRDefault="0041384A" w:rsidP="00C64900">
      <w:pPr>
        <w:spacing w:line="480" w:lineRule="auto"/>
        <w:rPr>
          <w:rFonts w:ascii="Arial" w:hAnsi="Arial" w:cs="Arial"/>
          <w:b/>
          <w:bCs/>
          <w:sz w:val="24"/>
          <w:szCs w:val="24"/>
        </w:rPr>
      </w:pPr>
    </w:p>
    <w:p w14:paraId="2CD62B0A" w14:textId="48164884" w:rsidR="00F21624" w:rsidRPr="0041384A" w:rsidRDefault="00F21624" w:rsidP="008B745A">
      <w:pPr>
        <w:spacing w:line="480" w:lineRule="auto"/>
        <w:jc w:val="center"/>
        <w:rPr>
          <w:rFonts w:ascii="Arial" w:hAnsi="Arial" w:cs="Arial"/>
          <w:b/>
          <w:bCs/>
          <w:sz w:val="24"/>
          <w:szCs w:val="24"/>
          <w:u w:val="single"/>
        </w:rPr>
      </w:pPr>
      <w:r w:rsidRPr="0041384A">
        <w:rPr>
          <w:rFonts w:ascii="Arial" w:hAnsi="Arial" w:cs="Arial"/>
          <w:b/>
          <w:bCs/>
          <w:sz w:val="24"/>
          <w:szCs w:val="24"/>
          <w:u w:val="single"/>
        </w:rPr>
        <w:t>Pyrrhus</w:t>
      </w:r>
    </w:p>
    <w:p w14:paraId="2F3DDDF3" w14:textId="59F92164" w:rsidR="00F21624" w:rsidRDefault="008719E4" w:rsidP="008B745A">
      <w:pPr>
        <w:spacing w:line="480" w:lineRule="auto"/>
        <w:rPr>
          <w:rFonts w:ascii="Arial" w:hAnsi="Arial" w:cs="Arial"/>
          <w:sz w:val="24"/>
          <w:szCs w:val="24"/>
        </w:rPr>
      </w:pPr>
      <w:r>
        <w:rPr>
          <w:rFonts w:ascii="Arial" w:hAnsi="Arial" w:cs="Arial"/>
          <w:sz w:val="24"/>
          <w:szCs w:val="24"/>
        </w:rPr>
        <w:t xml:space="preserve">Rome’s </w:t>
      </w:r>
      <w:r w:rsidR="00F21624">
        <w:rPr>
          <w:rFonts w:ascii="Arial" w:hAnsi="Arial" w:cs="Arial"/>
          <w:sz w:val="24"/>
          <w:szCs w:val="24"/>
        </w:rPr>
        <w:t>history led her to accepting aggressive action to protect her interests and frontiers, whilst projecting an image of power and prestige to ensure other states would not gravitate to rival powers. Carthage’s history demonstrated a desire to protect her commercial empire, of which Sicily was the lynchpin, often proactively. What has also been demonstrated is that relations between Rome and Carthage did not suggest war was inevitable, or even that the two powers were by 282 B.C. gearing up for a conflict, although Rome’s increase in power had not gone unnoticed – as the later treaties attest</w:t>
      </w:r>
      <w:r w:rsidR="00C64900">
        <w:rPr>
          <w:rFonts w:ascii="Arial" w:hAnsi="Arial" w:cs="Arial"/>
          <w:sz w:val="24"/>
          <w:szCs w:val="24"/>
        </w:rPr>
        <w:t xml:space="preserve">. </w:t>
      </w:r>
      <w:r w:rsidR="00F21624">
        <w:rPr>
          <w:rFonts w:ascii="Arial" w:hAnsi="Arial" w:cs="Arial"/>
          <w:sz w:val="24"/>
          <w:szCs w:val="24"/>
        </w:rPr>
        <w:t xml:space="preserve">Pyrrhus’ invasion of Italy would change all that, highlighting to both powers the vulnerability to invasion of southern Italy and Sicily, </w:t>
      </w:r>
      <w:r w:rsidR="00F21624">
        <w:rPr>
          <w:rFonts w:ascii="Arial" w:hAnsi="Arial" w:cs="Arial"/>
          <w:sz w:val="24"/>
          <w:szCs w:val="24"/>
        </w:rPr>
        <w:lastRenderedPageBreak/>
        <w:t xml:space="preserve">whilst increasing anxiety and suspicion between the two powers. When examining the origins of the First Punic War, Pyrrhus’ importance cannot be overstated. For the first time, both powers would be geographically </w:t>
      </w:r>
      <w:r>
        <w:rPr>
          <w:rFonts w:ascii="Arial" w:hAnsi="Arial" w:cs="Arial"/>
          <w:sz w:val="24"/>
          <w:szCs w:val="24"/>
        </w:rPr>
        <w:t>proximate</w:t>
      </w:r>
      <w:r w:rsidR="00F21624">
        <w:rPr>
          <w:rFonts w:ascii="Arial" w:hAnsi="Arial" w:cs="Arial"/>
          <w:sz w:val="24"/>
          <w:szCs w:val="24"/>
        </w:rPr>
        <w:t xml:space="preserve"> to each other and in the immediate aftermath began to see each other as rival powers for influence in </w:t>
      </w:r>
      <w:r w:rsidR="00D00B34">
        <w:rPr>
          <w:rFonts w:ascii="Arial" w:hAnsi="Arial" w:cs="Arial"/>
          <w:sz w:val="24"/>
          <w:szCs w:val="24"/>
        </w:rPr>
        <w:t>s</w:t>
      </w:r>
      <w:r w:rsidR="00F21624">
        <w:rPr>
          <w:rFonts w:ascii="Arial" w:hAnsi="Arial" w:cs="Arial"/>
          <w:sz w:val="24"/>
          <w:szCs w:val="24"/>
        </w:rPr>
        <w:t xml:space="preserve">outhern Italy and </w:t>
      </w:r>
      <w:r w:rsidR="00D00B34">
        <w:rPr>
          <w:rFonts w:ascii="Arial" w:hAnsi="Arial" w:cs="Arial"/>
          <w:sz w:val="24"/>
          <w:szCs w:val="24"/>
        </w:rPr>
        <w:t>n</w:t>
      </w:r>
      <w:r w:rsidR="00F21624">
        <w:rPr>
          <w:rFonts w:ascii="Arial" w:hAnsi="Arial" w:cs="Arial"/>
          <w:sz w:val="24"/>
          <w:szCs w:val="24"/>
        </w:rPr>
        <w:t xml:space="preserve">orthern Sicily.  </w:t>
      </w:r>
    </w:p>
    <w:p w14:paraId="73787968" w14:textId="77777777" w:rsidR="00F21624" w:rsidRDefault="00F21624" w:rsidP="008B745A">
      <w:pPr>
        <w:spacing w:line="480" w:lineRule="auto"/>
        <w:rPr>
          <w:rFonts w:ascii="Arial" w:hAnsi="Arial" w:cs="Arial"/>
          <w:sz w:val="24"/>
          <w:szCs w:val="24"/>
        </w:rPr>
      </w:pPr>
      <w:r>
        <w:rPr>
          <w:rFonts w:ascii="Arial" w:hAnsi="Arial" w:cs="Arial"/>
          <w:sz w:val="24"/>
          <w:szCs w:val="24"/>
        </w:rPr>
        <w:t xml:space="preserve">Pyrrhus’ intervention in Italy originated with the city of Thurii, who were attacking the Lucanians. As a response, they appealed to Rome for help, who, in turn, defeated the Thurii and brought over other smaller states like Croton into her orbit. </w:t>
      </w:r>
    </w:p>
    <w:p w14:paraId="496306E2" w14:textId="77777777" w:rsidR="00590014" w:rsidRDefault="00F21624" w:rsidP="008B745A">
      <w:pPr>
        <w:spacing w:line="480" w:lineRule="auto"/>
        <w:rPr>
          <w:rFonts w:ascii="Arial" w:hAnsi="Arial" w:cs="Arial"/>
          <w:sz w:val="24"/>
          <w:szCs w:val="24"/>
        </w:rPr>
      </w:pPr>
      <w:r>
        <w:rPr>
          <w:rFonts w:ascii="Arial" w:hAnsi="Arial" w:cs="Arial"/>
          <w:sz w:val="24"/>
          <w:szCs w:val="24"/>
        </w:rPr>
        <w:t>This was something the city of Tarentum could not accept. As a response, the Tarentines – along with other southern Italian Greek states - invited Pyrrhus over in 280, even going so far as to make him leader with the intention of driving the Romans back</w:t>
      </w:r>
      <w:r>
        <w:rPr>
          <w:rStyle w:val="FootnoteReference"/>
          <w:rFonts w:ascii="Arial" w:hAnsi="Arial" w:cs="Arial"/>
          <w:sz w:val="24"/>
          <w:szCs w:val="24"/>
        </w:rPr>
        <w:footnoteReference w:id="317"/>
      </w:r>
      <w:r>
        <w:rPr>
          <w:rFonts w:ascii="Arial" w:hAnsi="Arial" w:cs="Arial"/>
          <w:sz w:val="24"/>
          <w:szCs w:val="24"/>
        </w:rPr>
        <w:t>.</w:t>
      </w:r>
    </w:p>
    <w:p w14:paraId="6FD68B95" w14:textId="770BDB73" w:rsidR="00F21624" w:rsidRDefault="00F21624" w:rsidP="008B745A">
      <w:pPr>
        <w:spacing w:line="480" w:lineRule="auto"/>
        <w:rPr>
          <w:rFonts w:ascii="Arial" w:hAnsi="Arial" w:cs="Arial"/>
          <w:sz w:val="24"/>
          <w:szCs w:val="24"/>
        </w:rPr>
      </w:pPr>
      <w:r>
        <w:rPr>
          <w:rFonts w:ascii="Arial" w:hAnsi="Arial" w:cs="Arial"/>
          <w:sz w:val="24"/>
          <w:szCs w:val="24"/>
        </w:rPr>
        <w:t xml:space="preserve"> It must be noted that the Tarentines had already become suspicious of Rome</w:t>
      </w:r>
      <w:r w:rsidR="00CD387E">
        <w:rPr>
          <w:rFonts w:ascii="Arial" w:hAnsi="Arial" w:cs="Arial"/>
          <w:sz w:val="24"/>
          <w:szCs w:val="24"/>
        </w:rPr>
        <w:t>. I</w:t>
      </w:r>
      <w:r>
        <w:rPr>
          <w:rFonts w:ascii="Arial" w:hAnsi="Arial" w:cs="Arial"/>
          <w:sz w:val="24"/>
          <w:szCs w:val="24"/>
        </w:rPr>
        <w:t>n 282</w:t>
      </w:r>
      <w:r w:rsidR="00CD387E">
        <w:rPr>
          <w:rFonts w:ascii="Arial" w:hAnsi="Arial" w:cs="Arial"/>
          <w:sz w:val="24"/>
          <w:szCs w:val="24"/>
        </w:rPr>
        <w:t xml:space="preserve"> </w:t>
      </w:r>
      <w:r>
        <w:rPr>
          <w:rFonts w:ascii="Arial" w:hAnsi="Arial" w:cs="Arial"/>
          <w:sz w:val="24"/>
          <w:szCs w:val="24"/>
        </w:rPr>
        <w:t>B.C.</w:t>
      </w:r>
      <w:r w:rsidR="00CD387E">
        <w:rPr>
          <w:rFonts w:ascii="Arial" w:hAnsi="Arial" w:cs="Arial"/>
          <w:sz w:val="24"/>
          <w:szCs w:val="24"/>
        </w:rPr>
        <w:t>,</w:t>
      </w:r>
      <w:r>
        <w:rPr>
          <w:rFonts w:ascii="Arial" w:hAnsi="Arial" w:cs="Arial"/>
          <w:sz w:val="24"/>
          <w:szCs w:val="24"/>
        </w:rPr>
        <w:t xml:space="preserve"> Rome sent ships to survey Magna Grecia, contrary to prior treaty obligations that stipulated Rome could not sail further than Croton</w:t>
      </w:r>
      <w:r>
        <w:rPr>
          <w:rStyle w:val="FootnoteReference"/>
          <w:rFonts w:ascii="Arial" w:hAnsi="Arial" w:cs="Arial"/>
          <w:sz w:val="24"/>
          <w:szCs w:val="24"/>
        </w:rPr>
        <w:footnoteReference w:id="318"/>
      </w:r>
      <w:r>
        <w:rPr>
          <w:rFonts w:ascii="Arial" w:hAnsi="Arial" w:cs="Arial"/>
          <w:sz w:val="24"/>
          <w:szCs w:val="24"/>
        </w:rPr>
        <w:t>. The ships were sunk</w:t>
      </w:r>
      <w:r>
        <w:rPr>
          <w:rStyle w:val="FootnoteReference"/>
          <w:rFonts w:ascii="Arial" w:hAnsi="Arial" w:cs="Arial"/>
          <w:sz w:val="24"/>
          <w:szCs w:val="24"/>
        </w:rPr>
        <w:footnoteReference w:id="319"/>
      </w:r>
      <w:r>
        <w:rPr>
          <w:rFonts w:ascii="Arial" w:hAnsi="Arial" w:cs="Arial"/>
          <w:sz w:val="24"/>
          <w:szCs w:val="24"/>
        </w:rPr>
        <w:t xml:space="preserve">. For historians who argue that Rome often looked for a pretext to declare war, the sinking of Roman shipping makes a much more convenient one, </w:t>
      </w:r>
      <w:r w:rsidR="00C64900">
        <w:rPr>
          <w:rFonts w:ascii="Arial" w:hAnsi="Arial" w:cs="Arial"/>
          <w:sz w:val="24"/>
          <w:szCs w:val="24"/>
        </w:rPr>
        <w:t xml:space="preserve">rather </w:t>
      </w:r>
      <w:r>
        <w:rPr>
          <w:rFonts w:ascii="Arial" w:hAnsi="Arial" w:cs="Arial"/>
          <w:sz w:val="24"/>
          <w:szCs w:val="24"/>
        </w:rPr>
        <w:t>than the Lucanian appeal. Rather, the outbreak of the war matches arguments made in Chapter 3</w:t>
      </w:r>
      <w:r w:rsidR="00C64900">
        <w:rPr>
          <w:rFonts w:ascii="Arial" w:hAnsi="Arial" w:cs="Arial"/>
          <w:sz w:val="24"/>
          <w:szCs w:val="24"/>
        </w:rPr>
        <w:t>. I</w:t>
      </w:r>
      <w:r>
        <w:rPr>
          <w:rFonts w:ascii="Arial" w:hAnsi="Arial" w:cs="Arial"/>
          <w:sz w:val="24"/>
          <w:szCs w:val="24"/>
        </w:rPr>
        <w:t>f Rome did not accept, resources and strategic security would instead go to another power – what Eckstein calls, “the security dilemma” – efforts to increase one’s own security will usually undermine others</w:t>
      </w:r>
      <w:r>
        <w:rPr>
          <w:rStyle w:val="FootnoteReference"/>
          <w:rFonts w:ascii="Arial" w:hAnsi="Arial" w:cs="Arial"/>
          <w:sz w:val="24"/>
          <w:szCs w:val="24"/>
        </w:rPr>
        <w:footnoteReference w:id="320"/>
      </w:r>
      <w:r>
        <w:rPr>
          <w:rStyle w:val="FootnoteReference"/>
          <w:rFonts w:ascii="Arial" w:hAnsi="Arial" w:cs="Arial"/>
          <w:sz w:val="24"/>
          <w:szCs w:val="24"/>
        </w:rPr>
        <w:footnoteReference w:id="321"/>
      </w:r>
      <w:r>
        <w:rPr>
          <w:rFonts w:ascii="Arial" w:hAnsi="Arial" w:cs="Arial"/>
          <w:sz w:val="24"/>
          <w:szCs w:val="24"/>
        </w:rPr>
        <w:t xml:space="preserve"> </w:t>
      </w:r>
    </w:p>
    <w:p w14:paraId="14B5B643" w14:textId="473307F4" w:rsidR="00F21624" w:rsidRDefault="00F21624" w:rsidP="008B745A">
      <w:pPr>
        <w:spacing w:line="480" w:lineRule="auto"/>
        <w:rPr>
          <w:rFonts w:ascii="Arial" w:hAnsi="Arial" w:cs="Arial"/>
          <w:sz w:val="24"/>
          <w:szCs w:val="24"/>
        </w:rPr>
      </w:pPr>
      <w:r>
        <w:rPr>
          <w:rFonts w:ascii="Arial" w:hAnsi="Arial" w:cs="Arial"/>
          <w:sz w:val="24"/>
          <w:szCs w:val="24"/>
        </w:rPr>
        <w:lastRenderedPageBreak/>
        <w:t>Rome only had two choices: accept Thurii and Tarentine growth in southern Italy or respond and limit that growth. For the Lucanians, Rome may have not been particularly enviable to submit to, but small states, like the Capuans and Tarentines, often had to think of short-term preservation</w:t>
      </w:r>
      <w:r>
        <w:rPr>
          <w:rStyle w:val="FootnoteReference"/>
          <w:rFonts w:ascii="Arial" w:hAnsi="Arial" w:cs="Arial"/>
          <w:sz w:val="24"/>
          <w:szCs w:val="24"/>
        </w:rPr>
        <w:footnoteReference w:id="322"/>
      </w:r>
      <w:r>
        <w:rPr>
          <w:rFonts w:ascii="Arial" w:hAnsi="Arial" w:cs="Arial"/>
          <w:sz w:val="24"/>
          <w:szCs w:val="24"/>
        </w:rPr>
        <w:t>. This is clearly demonstrated by the fact that after appealing to Rome against the Tarentines, the Lucanians are to be found providing forces for Pyrrhus</w:t>
      </w:r>
      <w:r>
        <w:rPr>
          <w:rStyle w:val="FootnoteReference"/>
          <w:rFonts w:ascii="Arial" w:hAnsi="Arial" w:cs="Arial"/>
          <w:sz w:val="24"/>
          <w:szCs w:val="24"/>
        </w:rPr>
        <w:footnoteReference w:id="323"/>
      </w:r>
      <w:r>
        <w:rPr>
          <w:rFonts w:ascii="Arial" w:hAnsi="Arial" w:cs="Arial"/>
          <w:sz w:val="24"/>
          <w:szCs w:val="24"/>
        </w:rPr>
        <w:t xml:space="preserve">! </w:t>
      </w:r>
    </w:p>
    <w:p w14:paraId="1A1DE7CF" w14:textId="3FEFDED0" w:rsidR="00F21624" w:rsidRDefault="00F21624" w:rsidP="008B745A">
      <w:pPr>
        <w:spacing w:line="480" w:lineRule="auto"/>
        <w:rPr>
          <w:rFonts w:ascii="Arial" w:hAnsi="Arial" w:cs="Arial"/>
          <w:sz w:val="24"/>
          <w:szCs w:val="24"/>
        </w:rPr>
      </w:pPr>
      <w:r>
        <w:rPr>
          <w:rFonts w:ascii="Arial" w:hAnsi="Arial" w:cs="Arial"/>
          <w:sz w:val="24"/>
          <w:szCs w:val="24"/>
        </w:rPr>
        <w:t>Like much of Roman warfare, they had great difficulty in defeating Pyrrhus, suffering huge loses</w:t>
      </w:r>
      <w:r>
        <w:rPr>
          <w:rStyle w:val="FootnoteReference"/>
          <w:rFonts w:ascii="Arial" w:hAnsi="Arial" w:cs="Arial"/>
          <w:sz w:val="24"/>
          <w:szCs w:val="24"/>
        </w:rPr>
        <w:footnoteReference w:id="324"/>
      </w:r>
      <w:r>
        <w:rPr>
          <w:rFonts w:ascii="Arial" w:hAnsi="Arial" w:cs="Arial"/>
          <w:sz w:val="24"/>
          <w:szCs w:val="24"/>
        </w:rPr>
        <w:t xml:space="preserve">. Things were so desperate that Plutarch even notes that the Roman </w:t>
      </w:r>
      <w:r w:rsidR="007E3DCF">
        <w:rPr>
          <w:rFonts w:ascii="Arial" w:hAnsi="Arial" w:cs="Arial"/>
          <w:sz w:val="24"/>
          <w:szCs w:val="24"/>
        </w:rPr>
        <w:t>S</w:t>
      </w:r>
      <w:r>
        <w:rPr>
          <w:rFonts w:ascii="Arial" w:hAnsi="Arial" w:cs="Arial"/>
          <w:sz w:val="24"/>
          <w:szCs w:val="24"/>
        </w:rPr>
        <w:t>enate contemplated peace with Pyrrhus</w:t>
      </w:r>
      <w:r>
        <w:rPr>
          <w:rStyle w:val="FootnoteReference"/>
          <w:rFonts w:ascii="Arial" w:hAnsi="Arial" w:cs="Arial"/>
          <w:sz w:val="24"/>
          <w:szCs w:val="24"/>
        </w:rPr>
        <w:footnoteReference w:id="325"/>
      </w:r>
      <w:r>
        <w:rPr>
          <w:rFonts w:ascii="Arial" w:hAnsi="Arial" w:cs="Arial"/>
          <w:sz w:val="24"/>
          <w:szCs w:val="24"/>
        </w:rPr>
        <w:t xml:space="preserve">. The war with Pyrrhus would be devastating for both sides, another indication that these wars cannot have been </w:t>
      </w:r>
      <w:r w:rsidR="00EB3917">
        <w:rPr>
          <w:rFonts w:ascii="Arial" w:hAnsi="Arial" w:cs="Arial"/>
          <w:sz w:val="24"/>
          <w:szCs w:val="24"/>
        </w:rPr>
        <w:t>entered</w:t>
      </w:r>
      <w:r>
        <w:rPr>
          <w:rFonts w:ascii="Arial" w:hAnsi="Arial" w:cs="Arial"/>
          <w:sz w:val="24"/>
          <w:szCs w:val="24"/>
        </w:rPr>
        <w:t xml:space="preserve"> lightly</w:t>
      </w:r>
      <w:r w:rsidR="00522224">
        <w:rPr>
          <w:rFonts w:ascii="Arial" w:hAnsi="Arial" w:cs="Arial"/>
          <w:sz w:val="24"/>
          <w:szCs w:val="24"/>
        </w:rPr>
        <w:t>.</w:t>
      </w:r>
    </w:p>
    <w:p w14:paraId="08529DE9" w14:textId="77777777" w:rsidR="00F21624" w:rsidRDefault="00F21624" w:rsidP="008B745A">
      <w:pPr>
        <w:spacing w:line="480" w:lineRule="auto"/>
        <w:rPr>
          <w:rFonts w:ascii="Arial" w:hAnsi="Arial" w:cs="Arial"/>
          <w:sz w:val="24"/>
          <w:szCs w:val="24"/>
        </w:rPr>
      </w:pPr>
      <w:r>
        <w:rPr>
          <w:rFonts w:ascii="Arial" w:hAnsi="Arial" w:cs="Arial"/>
          <w:sz w:val="24"/>
          <w:szCs w:val="24"/>
        </w:rPr>
        <w:t>Another consideration which this paper has stressed throughout is that Rome’s behaviour in responding to appeals, projecting a show of strength and securing its frontiers matches other states. Pyrrhus, like Rome with the Lucanians, needed to show strength, and could not possibly reject Tarentine appeals – especially with the rampaging Lysimachus damaging his reputation in Epirus</w:t>
      </w:r>
      <w:r>
        <w:rPr>
          <w:rStyle w:val="FootnoteReference"/>
          <w:rFonts w:ascii="Arial" w:hAnsi="Arial" w:cs="Arial"/>
          <w:sz w:val="24"/>
          <w:szCs w:val="24"/>
        </w:rPr>
        <w:footnoteReference w:id="326"/>
      </w:r>
      <w:r>
        <w:rPr>
          <w:rFonts w:ascii="Arial" w:hAnsi="Arial" w:cs="Arial"/>
          <w:sz w:val="24"/>
          <w:szCs w:val="24"/>
        </w:rPr>
        <w:t>.  The idea that war with Tarentum was another case of plundering and land grabbing is negated further by the fact the Romans were currently fighting the Celts to the North and had the Samnites restive in the south</w:t>
      </w:r>
      <w:r>
        <w:rPr>
          <w:rStyle w:val="FootnoteReference"/>
          <w:rFonts w:ascii="Arial" w:hAnsi="Arial" w:cs="Arial"/>
          <w:sz w:val="24"/>
          <w:szCs w:val="24"/>
        </w:rPr>
        <w:footnoteReference w:id="327"/>
      </w:r>
      <w:r>
        <w:rPr>
          <w:rFonts w:ascii="Arial" w:hAnsi="Arial" w:cs="Arial"/>
          <w:sz w:val="24"/>
          <w:szCs w:val="24"/>
        </w:rPr>
        <w:t>. It certainly is not a case of the Romans simply picking another target to subjugate</w:t>
      </w:r>
      <w:r>
        <w:rPr>
          <w:rStyle w:val="FootnoteReference"/>
          <w:rFonts w:ascii="Arial" w:hAnsi="Arial" w:cs="Arial"/>
          <w:sz w:val="24"/>
          <w:szCs w:val="24"/>
        </w:rPr>
        <w:footnoteReference w:id="328"/>
      </w:r>
      <w:r>
        <w:rPr>
          <w:rFonts w:ascii="Arial" w:hAnsi="Arial" w:cs="Arial"/>
          <w:sz w:val="24"/>
          <w:szCs w:val="24"/>
        </w:rPr>
        <w:t xml:space="preserve">. </w:t>
      </w:r>
    </w:p>
    <w:p w14:paraId="64809F7A" w14:textId="6C11460F" w:rsidR="00F21624" w:rsidRDefault="00F21624" w:rsidP="008B745A">
      <w:pPr>
        <w:spacing w:line="480" w:lineRule="auto"/>
        <w:rPr>
          <w:rFonts w:ascii="Arial" w:hAnsi="Arial" w:cs="Arial"/>
          <w:sz w:val="24"/>
          <w:szCs w:val="24"/>
        </w:rPr>
      </w:pPr>
      <w:r>
        <w:rPr>
          <w:rFonts w:ascii="Arial" w:hAnsi="Arial" w:cs="Arial"/>
          <w:sz w:val="24"/>
          <w:szCs w:val="24"/>
        </w:rPr>
        <w:lastRenderedPageBreak/>
        <w:t>The Tarentines themselves are a case in point about the theory of multi-polar anarchy. They had fought for centuries against rival cities, such as the Messapians, who defeated them in the 470s</w:t>
      </w:r>
      <w:r>
        <w:rPr>
          <w:rStyle w:val="FootnoteReference"/>
          <w:rFonts w:ascii="Arial" w:hAnsi="Arial" w:cs="Arial"/>
          <w:sz w:val="24"/>
          <w:szCs w:val="24"/>
        </w:rPr>
        <w:footnoteReference w:id="329"/>
      </w:r>
      <w:r>
        <w:rPr>
          <w:rFonts w:ascii="Arial" w:hAnsi="Arial" w:cs="Arial"/>
          <w:sz w:val="24"/>
          <w:szCs w:val="24"/>
        </w:rPr>
        <w:t xml:space="preserve"> and were still a threat during the 340s</w:t>
      </w:r>
      <w:r>
        <w:rPr>
          <w:rStyle w:val="FootnoteReference"/>
          <w:rFonts w:ascii="Arial" w:hAnsi="Arial" w:cs="Arial"/>
          <w:sz w:val="24"/>
          <w:szCs w:val="24"/>
        </w:rPr>
        <w:footnoteReference w:id="330"/>
      </w:r>
      <w:r>
        <w:rPr>
          <w:rFonts w:ascii="Arial" w:hAnsi="Arial" w:cs="Arial"/>
          <w:sz w:val="24"/>
          <w:szCs w:val="24"/>
        </w:rPr>
        <w:t>. Like other states they were capable of great violence, like their destruction of the city of Carbina</w:t>
      </w:r>
      <w:r>
        <w:rPr>
          <w:rStyle w:val="FootnoteReference"/>
          <w:rFonts w:ascii="Arial" w:hAnsi="Arial" w:cs="Arial"/>
          <w:sz w:val="24"/>
          <w:szCs w:val="24"/>
        </w:rPr>
        <w:footnoteReference w:id="331"/>
      </w:r>
      <w:r>
        <w:rPr>
          <w:rFonts w:ascii="Arial" w:hAnsi="Arial" w:cs="Arial"/>
          <w:sz w:val="24"/>
          <w:szCs w:val="24"/>
        </w:rPr>
        <w:t>. They were militaristic, having raised statues to celebrate their victory over defeated groups</w:t>
      </w:r>
      <w:r>
        <w:rPr>
          <w:rStyle w:val="FootnoteReference"/>
          <w:rFonts w:ascii="Arial" w:hAnsi="Arial" w:cs="Arial"/>
          <w:sz w:val="24"/>
          <w:szCs w:val="24"/>
        </w:rPr>
        <w:footnoteReference w:id="332"/>
      </w:r>
      <w:r>
        <w:rPr>
          <w:rFonts w:ascii="Arial" w:hAnsi="Arial" w:cs="Arial"/>
          <w:sz w:val="24"/>
          <w:szCs w:val="24"/>
        </w:rPr>
        <w:t xml:space="preserve"> and, like the Romans, had the goddess Victory on their coins</w:t>
      </w:r>
      <w:r>
        <w:rPr>
          <w:rStyle w:val="FootnoteReference"/>
          <w:rFonts w:ascii="Arial" w:hAnsi="Arial" w:cs="Arial"/>
          <w:sz w:val="24"/>
          <w:szCs w:val="24"/>
        </w:rPr>
        <w:footnoteReference w:id="333"/>
      </w:r>
      <w:r>
        <w:rPr>
          <w:rFonts w:ascii="Arial" w:hAnsi="Arial" w:cs="Arial"/>
          <w:sz w:val="24"/>
          <w:szCs w:val="24"/>
        </w:rPr>
        <w:t xml:space="preserve">. They also placed colonies in strategic defensive points and archaeology shows huge fortifications around sites such as Elea and </w:t>
      </w:r>
      <w:proofErr w:type="spellStart"/>
      <w:r>
        <w:rPr>
          <w:rFonts w:ascii="Arial" w:hAnsi="Arial" w:cs="Arial"/>
          <w:sz w:val="24"/>
          <w:szCs w:val="24"/>
        </w:rPr>
        <w:t>Caulonia</w:t>
      </w:r>
      <w:proofErr w:type="spellEnd"/>
      <w:r w:rsidR="005F1C07">
        <w:rPr>
          <w:rFonts w:ascii="Arial" w:hAnsi="Arial" w:cs="Arial"/>
          <w:sz w:val="24"/>
          <w:szCs w:val="24"/>
        </w:rPr>
        <w:t xml:space="preserve">, which </w:t>
      </w:r>
      <w:r>
        <w:rPr>
          <w:rFonts w:ascii="Arial" w:hAnsi="Arial" w:cs="Arial"/>
          <w:sz w:val="24"/>
          <w:szCs w:val="24"/>
        </w:rPr>
        <w:t>borders Samnite territory</w:t>
      </w:r>
      <w:r>
        <w:rPr>
          <w:rStyle w:val="FootnoteReference"/>
          <w:rFonts w:ascii="Arial" w:hAnsi="Arial" w:cs="Arial"/>
          <w:sz w:val="24"/>
          <w:szCs w:val="24"/>
        </w:rPr>
        <w:footnoteReference w:id="334"/>
      </w:r>
      <w:r>
        <w:rPr>
          <w:rFonts w:ascii="Arial" w:hAnsi="Arial" w:cs="Arial"/>
          <w:sz w:val="24"/>
          <w:szCs w:val="24"/>
        </w:rPr>
        <w:t xml:space="preserve">. As previously mentioned in Chapter 3, the Samnites were active against powers, other than Rome. It suggests that these fortifications may have been built to protect Tarentum against incursions. </w:t>
      </w:r>
    </w:p>
    <w:p w14:paraId="154C765E" w14:textId="63FB5B21" w:rsidR="00F21624" w:rsidRDefault="00F21624" w:rsidP="008B745A">
      <w:pPr>
        <w:spacing w:line="480" w:lineRule="auto"/>
        <w:rPr>
          <w:rFonts w:ascii="Arial" w:hAnsi="Arial" w:cs="Arial"/>
          <w:sz w:val="24"/>
          <w:szCs w:val="24"/>
        </w:rPr>
      </w:pPr>
      <w:r>
        <w:rPr>
          <w:rFonts w:ascii="Arial" w:hAnsi="Arial" w:cs="Arial"/>
          <w:sz w:val="24"/>
          <w:szCs w:val="24"/>
        </w:rPr>
        <w:t>They were another city-state forced into the brutal politics of survival, as such developing a martial ethos – the statue groups at Delphi attesting to their victories of indigenous people confirms this</w:t>
      </w:r>
      <w:r>
        <w:rPr>
          <w:rStyle w:val="FootnoteReference"/>
          <w:rFonts w:ascii="Arial" w:hAnsi="Arial" w:cs="Arial"/>
          <w:sz w:val="24"/>
          <w:szCs w:val="24"/>
        </w:rPr>
        <w:footnoteReference w:id="335"/>
      </w:r>
      <w:r>
        <w:rPr>
          <w:rFonts w:ascii="Arial" w:hAnsi="Arial" w:cs="Arial"/>
          <w:sz w:val="24"/>
          <w:szCs w:val="24"/>
        </w:rPr>
        <w:t>. In terms of Tarentine strength, they were reported to have the best harbour in Italy and rich fertile lands – whilst the lands would indeed be expected after a hard-fought war, the harbour would undoubtably help Roman strategic interests, especially since Pyrrhus sailed into it with his army</w:t>
      </w:r>
      <w:r>
        <w:rPr>
          <w:rStyle w:val="FootnoteReference"/>
          <w:rFonts w:ascii="Arial" w:hAnsi="Arial" w:cs="Arial"/>
          <w:sz w:val="24"/>
          <w:szCs w:val="24"/>
        </w:rPr>
        <w:footnoteReference w:id="336"/>
      </w:r>
      <w:r>
        <w:rPr>
          <w:rFonts w:ascii="Arial" w:hAnsi="Arial" w:cs="Arial"/>
          <w:sz w:val="24"/>
          <w:szCs w:val="24"/>
        </w:rPr>
        <w:t>. When thinking about interstate relations</w:t>
      </w:r>
      <w:r w:rsidR="00F715D5">
        <w:rPr>
          <w:rFonts w:ascii="Arial" w:hAnsi="Arial" w:cs="Arial"/>
          <w:sz w:val="24"/>
          <w:szCs w:val="24"/>
        </w:rPr>
        <w:t xml:space="preserve">, </w:t>
      </w:r>
      <w:r>
        <w:rPr>
          <w:rFonts w:ascii="Arial" w:hAnsi="Arial" w:cs="Arial"/>
          <w:sz w:val="24"/>
          <w:szCs w:val="24"/>
        </w:rPr>
        <w:t xml:space="preserve">even powers like Tarentum had a tradition of inviting Greek powers to support them – Pyrrhus was not the first. In 332 B.C. they invited Alexander the king of Epirus to support them against Oscan </w:t>
      </w:r>
      <w:r>
        <w:rPr>
          <w:rFonts w:ascii="Arial" w:hAnsi="Arial" w:cs="Arial"/>
          <w:sz w:val="24"/>
          <w:szCs w:val="24"/>
        </w:rPr>
        <w:lastRenderedPageBreak/>
        <w:t>aggression</w:t>
      </w:r>
      <w:r>
        <w:rPr>
          <w:rStyle w:val="FootnoteReference"/>
          <w:rFonts w:ascii="Arial" w:hAnsi="Arial" w:cs="Arial"/>
          <w:sz w:val="24"/>
          <w:szCs w:val="24"/>
        </w:rPr>
        <w:footnoteReference w:id="337"/>
      </w:r>
      <w:r>
        <w:rPr>
          <w:rFonts w:ascii="Arial" w:hAnsi="Arial" w:cs="Arial"/>
          <w:sz w:val="24"/>
          <w:szCs w:val="24"/>
        </w:rPr>
        <w:t>.  Serrati’s argument that the case of Pyrrhus shows Rome to be atypically aggressive can be dismissed, as both Tarentum and Pyrrhus responded quickly to ensure their strategic interes</w:t>
      </w:r>
      <w:r w:rsidR="007E3DCF">
        <w:rPr>
          <w:rFonts w:ascii="Arial" w:hAnsi="Arial" w:cs="Arial"/>
          <w:sz w:val="24"/>
          <w:szCs w:val="24"/>
        </w:rPr>
        <w:t>ts</w:t>
      </w:r>
      <w:r>
        <w:rPr>
          <w:rFonts w:ascii="Arial" w:hAnsi="Arial" w:cs="Arial"/>
          <w:sz w:val="24"/>
          <w:szCs w:val="24"/>
        </w:rPr>
        <w:t xml:space="preserve"> were protected whilst projecting an image of strength for smaller states</w:t>
      </w:r>
      <w:r>
        <w:rPr>
          <w:rStyle w:val="FootnoteReference"/>
          <w:rFonts w:ascii="Arial" w:hAnsi="Arial" w:cs="Arial"/>
          <w:sz w:val="24"/>
          <w:szCs w:val="24"/>
        </w:rPr>
        <w:footnoteReference w:id="338"/>
      </w:r>
      <w:r>
        <w:rPr>
          <w:rFonts w:ascii="Arial" w:hAnsi="Arial" w:cs="Arial"/>
          <w:sz w:val="24"/>
          <w:szCs w:val="24"/>
        </w:rPr>
        <w:t xml:space="preserve"> - Lucania, </w:t>
      </w:r>
      <w:proofErr w:type="spellStart"/>
      <w:r>
        <w:rPr>
          <w:rFonts w:ascii="Arial" w:hAnsi="Arial" w:cs="Arial"/>
          <w:sz w:val="24"/>
          <w:szCs w:val="24"/>
        </w:rPr>
        <w:t>Messapia</w:t>
      </w:r>
      <w:proofErr w:type="spellEnd"/>
      <w:r>
        <w:rPr>
          <w:rFonts w:ascii="Arial" w:hAnsi="Arial" w:cs="Arial"/>
          <w:sz w:val="24"/>
          <w:szCs w:val="24"/>
        </w:rPr>
        <w:t>, Samnium all announced support for Pyrrhus when it was announced</w:t>
      </w:r>
      <w:r>
        <w:rPr>
          <w:rStyle w:val="FootnoteReference"/>
          <w:rFonts w:ascii="Arial" w:hAnsi="Arial" w:cs="Arial"/>
          <w:sz w:val="24"/>
          <w:szCs w:val="24"/>
        </w:rPr>
        <w:footnoteReference w:id="339"/>
      </w:r>
      <w:r>
        <w:rPr>
          <w:rFonts w:ascii="Arial" w:hAnsi="Arial" w:cs="Arial"/>
          <w:sz w:val="24"/>
          <w:szCs w:val="24"/>
        </w:rPr>
        <w:t>.</w:t>
      </w:r>
    </w:p>
    <w:p w14:paraId="3165C286" w14:textId="6506DD82" w:rsidR="00F21624" w:rsidRDefault="00F21624" w:rsidP="008B745A">
      <w:pPr>
        <w:spacing w:line="480" w:lineRule="auto"/>
        <w:rPr>
          <w:rFonts w:ascii="Arial" w:hAnsi="Arial" w:cs="Arial"/>
          <w:sz w:val="24"/>
          <w:szCs w:val="24"/>
        </w:rPr>
      </w:pPr>
      <w:r>
        <w:rPr>
          <w:rFonts w:ascii="Arial" w:hAnsi="Arial" w:cs="Arial"/>
          <w:sz w:val="24"/>
          <w:szCs w:val="24"/>
        </w:rPr>
        <w:t>The impact on Pyrrhus’ invasion cannot be overstated for the Romans or the Carthaginians. Firstly, the Romans had yet another searing experience of difficult warfare. Never had Rome experienced an overseas invasion into Italian territory, which may explain the construction new costal colonies of Paestum and Cosa after the war</w:t>
      </w:r>
      <w:r>
        <w:rPr>
          <w:rStyle w:val="FootnoteReference"/>
          <w:rFonts w:ascii="Arial" w:hAnsi="Arial" w:cs="Arial"/>
          <w:sz w:val="24"/>
          <w:szCs w:val="24"/>
        </w:rPr>
        <w:footnoteReference w:id="340"/>
      </w:r>
      <w:r>
        <w:rPr>
          <w:rFonts w:ascii="Arial" w:hAnsi="Arial" w:cs="Arial"/>
          <w:sz w:val="24"/>
          <w:szCs w:val="24"/>
        </w:rPr>
        <w:t>. Harris’ argument that these were built to prepare for an attack on Carthage</w:t>
      </w:r>
      <w:r w:rsidR="00BA5C93">
        <w:rPr>
          <w:rFonts w:ascii="Arial" w:hAnsi="Arial" w:cs="Arial"/>
          <w:sz w:val="24"/>
          <w:szCs w:val="24"/>
        </w:rPr>
        <w:t xml:space="preserve"> is flawed</w:t>
      </w:r>
      <w:r>
        <w:rPr>
          <w:rStyle w:val="FootnoteReference"/>
          <w:rFonts w:ascii="Arial" w:hAnsi="Arial" w:cs="Arial"/>
          <w:sz w:val="24"/>
          <w:szCs w:val="24"/>
        </w:rPr>
        <w:footnoteReference w:id="341"/>
      </w:r>
      <w:r>
        <w:rPr>
          <w:rFonts w:ascii="Arial" w:hAnsi="Arial" w:cs="Arial"/>
          <w:sz w:val="24"/>
          <w:szCs w:val="24"/>
        </w:rPr>
        <w:t>. Rome had just beaten back a Hellenistic warlord with an army reportedly numbering 300,000</w:t>
      </w:r>
      <w:r>
        <w:rPr>
          <w:rStyle w:val="FootnoteReference"/>
          <w:rFonts w:ascii="Arial" w:hAnsi="Arial" w:cs="Arial"/>
          <w:sz w:val="24"/>
          <w:szCs w:val="24"/>
        </w:rPr>
        <w:footnoteReference w:id="342"/>
      </w:r>
      <w:r>
        <w:rPr>
          <w:rFonts w:ascii="Arial" w:hAnsi="Arial" w:cs="Arial"/>
          <w:sz w:val="24"/>
          <w:szCs w:val="24"/>
        </w:rPr>
        <w:t xml:space="preserve">. Moreover, Pyrrhus had only left </w:t>
      </w:r>
      <w:r w:rsidR="0075210D">
        <w:rPr>
          <w:rFonts w:ascii="Arial" w:hAnsi="Arial" w:cs="Arial"/>
          <w:sz w:val="24"/>
          <w:szCs w:val="24"/>
        </w:rPr>
        <w:t xml:space="preserve">and </w:t>
      </w:r>
      <w:r>
        <w:rPr>
          <w:rFonts w:ascii="Arial" w:hAnsi="Arial" w:cs="Arial"/>
          <w:sz w:val="24"/>
          <w:szCs w:val="24"/>
        </w:rPr>
        <w:t xml:space="preserve">there was no guarantee he would not return, so defences would need to be raised. </w:t>
      </w:r>
    </w:p>
    <w:p w14:paraId="27E4685F" w14:textId="12384B7A" w:rsidR="00F21624" w:rsidRDefault="00F21624" w:rsidP="008B745A">
      <w:pPr>
        <w:spacing w:line="480" w:lineRule="auto"/>
        <w:rPr>
          <w:rFonts w:ascii="Arial" w:hAnsi="Arial" w:cs="Arial"/>
          <w:sz w:val="24"/>
          <w:szCs w:val="24"/>
        </w:rPr>
      </w:pPr>
      <w:r>
        <w:rPr>
          <w:rFonts w:ascii="Arial" w:hAnsi="Arial" w:cs="Arial"/>
          <w:sz w:val="24"/>
          <w:szCs w:val="24"/>
        </w:rPr>
        <w:t>Furthermore, during the wars Rome’s lack of navy became apparent – something she would have to rectify</w:t>
      </w:r>
      <w:r w:rsidR="007E3DCF">
        <w:rPr>
          <w:rFonts w:ascii="Arial" w:hAnsi="Arial" w:cs="Arial"/>
          <w:sz w:val="24"/>
          <w:szCs w:val="24"/>
        </w:rPr>
        <w:t xml:space="preserve"> if</w:t>
      </w:r>
      <w:r>
        <w:rPr>
          <w:rFonts w:ascii="Arial" w:hAnsi="Arial" w:cs="Arial"/>
          <w:sz w:val="24"/>
          <w:szCs w:val="24"/>
        </w:rPr>
        <w:t xml:space="preserve"> she was to consider war with Carthage. The fact that when war did break out in 264, Rome still did not have a navy confirms that these colonies were more likely for defensive purposes</w:t>
      </w:r>
      <w:r>
        <w:rPr>
          <w:rStyle w:val="FootnoteReference"/>
          <w:rFonts w:ascii="Arial" w:hAnsi="Arial" w:cs="Arial"/>
          <w:sz w:val="24"/>
          <w:szCs w:val="24"/>
        </w:rPr>
        <w:footnoteReference w:id="343"/>
      </w:r>
      <w:r>
        <w:rPr>
          <w:rFonts w:ascii="Arial" w:hAnsi="Arial" w:cs="Arial"/>
          <w:sz w:val="24"/>
          <w:szCs w:val="24"/>
        </w:rPr>
        <w:t>. This also helps refute Oakley’s claim that colonies were not about security</w:t>
      </w:r>
      <w:r>
        <w:rPr>
          <w:rStyle w:val="FootnoteReference"/>
          <w:rFonts w:ascii="Arial" w:hAnsi="Arial" w:cs="Arial"/>
          <w:sz w:val="24"/>
          <w:szCs w:val="24"/>
        </w:rPr>
        <w:footnoteReference w:id="344"/>
      </w:r>
      <w:r>
        <w:rPr>
          <w:rFonts w:ascii="Arial" w:hAnsi="Arial" w:cs="Arial"/>
          <w:sz w:val="24"/>
          <w:szCs w:val="24"/>
        </w:rPr>
        <w:t xml:space="preserve"> - the Lucanians appeal to Rome did not result in any slaves, nor did Rome’s defeat of Tarentum</w:t>
      </w:r>
      <w:r>
        <w:rPr>
          <w:rStyle w:val="FootnoteReference"/>
          <w:rFonts w:ascii="Arial" w:hAnsi="Arial" w:cs="Arial"/>
          <w:sz w:val="24"/>
          <w:szCs w:val="24"/>
        </w:rPr>
        <w:footnoteReference w:id="345"/>
      </w:r>
      <w:r>
        <w:rPr>
          <w:rFonts w:ascii="Arial" w:hAnsi="Arial" w:cs="Arial"/>
          <w:sz w:val="24"/>
          <w:szCs w:val="24"/>
        </w:rPr>
        <w:t xml:space="preserve">, contrary to Oakley’s claim that slaves were a </w:t>
      </w:r>
      <w:r>
        <w:rPr>
          <w:rFonts w:ascii="Arial" w:hAnsi="Arial" w:cs="Arial"/>
          <w:i/>
          <w:iCs/>
          <w:sz w:val="24"/>
          <w:szCs w:val="24"/>
        </w:rPr>
        <w:t>vital</w:t>
      </w:r>
      <w:r>
        <w:rPr>
          <w:rFonts w:ascii="Arial" w:hAnsi="Arial" w:cs="Arial"/>
          <w:sz w:val="24"/>
          <w:szCs w:val="24"/>
        </w:rPr>
        <w:t xml:space="preserve"> consideration in any conflict, or Harris’ that farmland </w:t>
      </w:r>
      <w:r>
        <w:rPr>
          <w:rFonts w:ascii="Arial" w:hAnsi="Arial" w:cs="Arial"/>
          <w:sz w:val="24"/>
          <w:szCs w:val="24"/>
        </w:rPr>
        <w:lastRenderedPageBreak/>
        <w:t>was the vital consideration</w:t>
      </w:r>
      <w:r>
        <w:rPr>
          <w:rStyle w:val="FootnoteReference"/>
          <w:rFonts w:ascii="Arial" w:hAnsi="Arial" w:cs="Arial"/>
          <w:sz w:val="24"/>
          <w:szCs w:val="24"/>
        </w:rPr>
        <w:footnoteReference w:id="346"/>
      </w:r>
      <w:r>
        <w:rPr>
          <w:rFonts w:ascii="Arial" w:hAnsi="Arial" w:cs="Arial"/>
          <w:sz w:val="24"/>
          <w:szCs w:val="24"/>
        </w:rPr>
        <w:t xml:space="preserve">. Moreover, it was an introduction to the idea that southern Italian states would appeal to powers overseas. As Rome struggled in her first encounter with a Hellenic power, she had to ensure that she would be able to defend herself if other states began appealing to overseas powers, as Tarentum’s later appeal to Carthage </w:t>
      </w:r>
      <w:r w:rsidR="007E3DCF">
        <w:rPr>
          <w:rFonts w:ascii="Arial" w:hAnsi="Arial" w:cs="Arial"/>
          <w:sz w:val="24"/>
          <w:szCs w:val="24"/>
        </w:rPr>
        <w:t>demonstrates</w:t>
      </w:r>
      <w:r>
        <w:rPr>
          <w:rStyle w:val="FootnoteReference"/>
          <w:rFonts w:ascii="Arial" w:hAnsi="Arial" w:cs="Arial"/>
          <w:sz w:val="24"/>
          <w:szCs w:val="24"/>
        </w:rPr>
        <w:footnoteReference w:id="347"/>
      </w:r>
      <w:r>
        <w:rPr>
          <w:rFonts w:ascii="Arial" w:hAnsi="Arial" w:cs="Arial"/>
          <w:sz w:val="24"/>
          <w:szCs w:val="24"/>
        </w:rPr>
        <w:t xml:space="preserve">. </w:t>
      </w:r>
    </w:p>
    <w:p w14:paraId="0084C840" w14:textId="43843DD5" w:rsidR="00F21624" w:rsidRDefault="00F21624" w:rsidP="008B745A">
      <w:pPr>
        <w:spacing w:line="480" w:lineRule="auto"/>
        <w:rPr>
          <w:rFonts w:ascii="Arial" w:hAnsi="Arial" w:cs="Arial"/>
          <w:sz w:val="24"/>
          <w:szCs w:val="24"/>
        </w:rPr>
      </w:pPr>
      <w:r>
        <w:rPr>
          <w:rFonts w:ascii="Arial" w:hAnsi="Arial" w:cs="Arial"/>
          <w:sz w:val="24"/>
          <w:szCs w:val="24"/>
        </w:rPr>
        <w:t xml:space="preserve">For the Carthaginians, </w:t>
      </w:r>
      <w:r w:rsidR="007E3DCF">
        <w:rPr>
          <w:rFonts w:ascii="Arial" w:hAnsi="Arial" w:cs="Arial"/>
          <w:sz w:val="24"/>
          <w:szCs w:val="24"/>
        </w:rPr>
        <w:t>i</w:t>
      </w:r>
      <w:r>
        <w:rPr>
          <w:rFonts w:ascii="Arial" w:hAnsi="Arial" w:cs="Arial"/>
          <w:sz w:val="24"/>
          <w:szCs w:val="24"/>
        </w:rPr>
        <w:t>mportantly, it also had a foretaste of what may potentially happen should Syracuse invite another power over to counter Carthaginian influence. Syracuse</w:t>
      </w:r>
      <w:r w:rsidR="0075210D">
        <w:rPr>
          <w:rFonts w:ascii="Arial" w:hAnsi="Arial" w:cs="Arial"/>
          <w:sz w:val="24"/>
          <w:szCs w:val="24"/>
        </w:rPr>
        <w:t xml:space="preserve"> </w:t>
      </w:r>
      <w:r>
        <w:rPr>
          <w:rFonts w:ascii="Arial" w:hAnsi="Arial" w:cs="Arial"/>
          <w:sz w:val="24"/>
          <w:szCs w:val="24"/>
        </w:rPr>
        <w:t>appealed to Pyrrhus and invited him to Sicily, imperilling Carthage’s position on the island</w:t>
      </w:r>
      <w:r>
        <w:rPr>
          <w:rStyle w:val="FootnoteReference"/>
          <w:rFonts w:ascii="Arial" w:hAnsi="Arial" w:cs="Arial"/>
          <w:sz w:val="24"/>
          <w:szCs w:val="24"/>
        </w:rPr>
        <w:footnoteReference w:id="348"/>
      </w:r>
      <w:r>
        <w:rPr>
          <w:rFonts w:ascii="Arial" w:hAnsi="Arial" w:cs="Arial"/>
          <w:sz w:val="24"/>
          <w:szCs w:val="24"/>
        </w:rPr>
        <w:t>. Pyrrhus may also have had ideas about conquering Carthage himself, which would have only reinforced their concerns – this coming after several threats, plans or attempts by Greeks to gain influence on the island</w:t>
      </w:r>
      <w:r>
        <w:rPr>
          <w:rStyle w:val="FootnoteReference"/>
          <w:rFonts w:ascii="Arial" w:hAnsi="Arial" w:cs="Arial"/>
          <w:sz w:val="24"/>
          <w:szCs w:val="24"/>
        </w:rPr>
        <w:footnoteReference w:id="349"/>
      </w:r>
      <w:r>
        <w:rPr>
          <w:rFonts w:ascii="Arial" w:hAnsi="Arial" w:cs="Arial"/>
          <w:sz w:val="24"/>
          <w:szCs w:val="24"/>
        </w:rPr>
        <w:t>. Rainey notes that the treaty with Rome and Carthage, with the stipulations regarding Pyrrhus, may have been done precisely to avoid Pyrrhus siding with Rome</w:t>
      </w:r>
      <w:r>
        <w:rPr>
          <w:rStyle w:val="FootnoteReference"/>
          <w:rFonts w:ascii="Arial" w:hAnsi="Arial" w:cs="Arial"/>
          <w:sz w:val="24"/>
          <w:szCs w:val="24"/>
        </w:rPr>
        <w:footnoteReference w:id="350"/>
      </w:r>
      <w:r>
        <w:rPr>
          <w:rFonts w:ascii="Arial" w:hAnsi="Arial" w:cs="Arial"/>
          <w:sz w:val="24"/>
          <w:szCs w:val="24"/>
        </w:rPr>
        <w:t>; it can be shown that the Carthage felt the pressure from Pyrrhus, as actions like human sacrifice attest</w:t>
      </w:r>
      <w:r>
        <w:rPr>
          <w:rStyle w:val="FootnoteReference"/>
          <w:rFonts w:ascii="Arial" w:hAnsi="Arial" w:cs="Arial"/>
          <w:sz w:val="24"/>
          <w:szCs w:val="24"/>
        </w:rPr>
        <w:footnoteReference w:id="351"/>
      </w:r>
      <w:r>
        <w:rPr>
          <w:rFonts w:ascii="Arial" w:hAnsi="Arial" w:cs="Arial"/>
          <w:sz w:val="24"/>
          <w:szCs w:val="24"/>
        </w:rPr>
        <w:t>.</w:t>
      </w:r>
    </w:p>
    <w:p w14:paraId="0102FA86" w14:textId="185BAA0F" w:rsidR="00F21624" w:rsidRDefault="00F21624" w:rsidP="008B745A">
      <w:pPr>
        <w:spacing w:line="480" w:lineRule="auto"/>
        <w:rPr>
          <w:rFonts w:ascii="Arial" w:hAnsi="Arial" w:cs="Arial"/>
          <w:sz w:val="24"/>
          <w:szCs w:val="24"/>
        </w:rPr>
      </w:pPr>
      <w:r>
        <w:rPr>
          <w:rFonts w:ascii="Arial" w:hAnsi="Arial" w:cs="Arial"/>
          <w:sz w:val="24"/>
          <w:szCs w:val="24"/>
        </w:rPr>
        <w:t>During Pyrrhus’ invasion of Sicily, Carthage would have realised that invasion from southern Italy was not difficult and that her resources were stretched when encountering an opponent different to traditional Syracusan confrontations. In 277, when the Carthaginians in Sicily were at their most desperate hour against Pyrrhus, they began peace talks and even offered him ships and money to leave</w:t>
      </w:r>
      <w:r>
        <w:rPr>
          <w:rStyle w:val="FootnoteReference"/>
          <w:rFonts w:ascii="Arial" w:hAnsi="Arial" w:cs="Arial"/>
          <w:sz w:val="24"/>
          <w:szCs w:val="24"/>
        </w:rPr>
        <w:footnoteReference w:id="352"/>
      </w:r>
      <w:r w:rsidR="00693F10">
        <w:rPr>
          <w:rFonts w:ascii="Arial" w:hAnsi="Arial" w:cs="Arial"/>
          <w:sz w:val="24"/>
          <w:szCs w:val="24"/>
        </w:rPr>
        <w:t>.</w:t>
      </w:r>
      <w:r>
        <w:rPr>
          <w:rFonts w:ascii="Arial" w:hAnsi="Arial" w:cs="Arial"/>
          <w:sz w:val="24"/>
          <w:szCs w:val="24"/>
        </w:rPr>
        <w:t xml:space="preserve"> </w:t>
      </w:r>
      <w:r w:rsidR="00693F10">
        <w:rPr>
          <w:rFonts w:ascii="Arial" w:hAnsi="Arial" w:cs="Arial"/>
          <w:sz w:val="24"/>
          <w:szCs w:val="24"/>
        </w:rPr>
        <w:t>I</w:t>
      </w:r>
      <w:r>
        <w:rPr>
          <w:rFonts w:ascii="Arial" w:hAnsi="Arial" w:cs="Arial"/>
          <w:sz w:val="24"/>
          <w:szCs w:val="24"/>
        </w:rPr>
        <w:t xml:space="preserve">t was </w:t>
      </w:r>
      <w:r>
        <w:rPr>
          <w:rFonts w:ascii="Arial" w:hAnsi="Arial" w:cs="Arial"/>
          <w:sz w:val="24"/>
          <w:szCs w:val="24"/>
        </w:rPr>
        <w:lastRenderedPageBreak/>
        <w:t xml:space="preserve">only their fortifications of Lilybaeum which thwarted </w:t>
      </w:r>
      <w:r w:rsidR="00693F10">
        <w:rPr>
          <w:rFonts w:ascii="Arial" w:hAnsi="Arial" w:cs="Arial"/>
          <w:sz w:val="24"/>
          <w:szCs w:val="24"/>
        </w:rPr>
        <w:t>him</w:t>
      </w:r>
      <w:r>
        <w:rPr>
          <w:rStyle w:val="FootnoteReference"/>
          <w:rFonts w:ascii="Arial" w:hAnsi="Arial" w:cs="Arial"/>
          <w:sz w:val="24"/>
          <w:szCs w:val="24"/>
        </w:rPr>
        <w:footnoteReference w:id="353"/>
      </w:r>
      <w:r>
        <w:rPr>
          <w:rFonts w:ascii="Arial" w:hAnsi="Arial" w:cs="Arial"/>
          <w:sz w:val="24"/>
          <w:szCs w:val="24"/>
        </w:rPr>
        <w:t xml:space="preserve">, further proof that strategically placed fortifications were a necessity for any power. </w:t>
      </w:r>
    </w:p>
    <w:p w14:paraId="6A518DCB" w14:textId="177EC38E" w:rsidR="00F21624" w:rsidRDefault="00F21624" w:rsidP="008B745A">
      <w:pPr>
        <w:spacing w:line="480" w:lineRule="auto"/>
        <w:rPr>
          <w:rFonts w:ascii="Arial" w:hAnsi="Arial" w:cs="Arial"/>
          <w:sz w:val="24"/>
          <w:szCs w:val="24"/>
        </w:rPr>
      </w:pPr>
      <w:r>
        <w:rPr>
          <w:rFonts w:ascii="Arial" w:hAnsi="Arial" w:cs="Arial"/>
          <w:sz w:val="24"/>
          <w:szCs w:val="24"/>
        </w:rPr>
        <w:t>Relations between Rome and Carthage continued to be amicable during the war, even beneficial</w:t>
      </w:r>
      <w:r w:rsidR="007E3DCF">
        <w:rPr>
          <w:rFonts w:ascii="Arial" w:hAnsi="Arial" w:cs="Arial"/>
          <w:sz w:val="24"/>
          <w:szCs w:val="24"/>
        </w:rPr>
        <w:t>.</w:t>
      </w:r>
      <w:r>
        <w:rPr>
          <w:rFonts w:ascii="Arial" w:hAnsi="Arial" w:cs="Arial"/>
          <w:sz w:val="24"/>
          <w:szCs w:val="24"/>
        </w:rPr>
        <w:t xml:space="preserve"> For example, Carthage’s fear that she would be invaded made her propose that she would transport Roman troops to help fight against Pyrrhus</w:t>
      </w:r>
      <w:r>
        <w:rPr>
          <w:rStyle w:val="FootnoteReference"/>
          <w:rFonts w:ascii="Arial" w:hAnsi="Arial" w:cs="Arial"/>
          <w:sz w:val="24"/>
          <w:szCs w:val="24"/>
        </w:rPr>
        <w:footnoteReference w:id="354"/>
      </w:r>
      <w:r>
        <w:rPr>
          <w:rFonts w:ascii="Arial" w:hAnsi="Arial" w:cs="Arial"/>
          <w:sz w:val="24"/>
          <w:szCs w:val="24"/>
        </w:rPr>
        <w:t xml:space="preserve"> and did transport 500 Roman troops to Rhegium, sacking it and destroying timber Pyrrhus was going to use for naval supplies</w:t>
      </w:r>
      <w:r>
        <w:rPr>
          <w:rStyle w:val="FootnoteReference"/>
          <w:rFonts w:ascii="Arial" w:hAnsi="Arial" w:cs="Arial"/>
          <w:sz w:val="24"/>
          <w:szCs w:val="24"/>
        </w:rPr>
        <w:footnoteReference w:id="355"/>
      </w:r>
      <w:r>
        <w:rPr>
          <w:rFonts w:ascii="Arial" w:hAnsi="Arial" w:cs="Arial"/>
          <w:sz w:val="24"/>
          <w:szCs w:val="24"/>
        </w:rPr>
        <w:t xml:space="preserve">. Furthermore, </w:t>
      </w:r>
      <w:proofErr w:type="spellStart"/>
      <w:r>
        <w:rPr>
          <w:rFonts w:ascii="Arial" w:hAnsi="Arial" w:cs="Arial"/>
          <w:sz w:val="24"/>
          <w:szCs w:val="24"/>
        </w:rPr>
        <w:t>Nedu</w:t>
      </w:r>
      <w:proofErr w:type="spellEnd"/>
      <w:r>
        <w:rPr>
          <w:rFonts w:ascii="Arial" w:hAnsi="Arial" w:cs="Arial"/>
          <w:sz w:val="24"/>
          <w:szCs w:val="24"/>
        </w:rPr>
        <w:t xml:space="preserve"> points out that the Romans, lacking a navy of her own, would have relied on the Carthaginians to block Pyrrhus’ communications with Greece</w:t>
      </w:r>
      <w:r>
        <w:rPr>
          <w:rStyle w:val="FootnoteReference"/>
          <w:rFonts w:ascii="Arial" w:hAnsi="Arial" w:cs="Arial"/>
          <w:sz w:val="24"/>
          <w:szCs w:val="24"/>
        </w:rPr>
        <w:footnoteReference w:id="356"/>
      </w:r>
      <w:r>
        <w:rPr>
          <w:rFonts w:ascii="Arial" w:hAnsi="Arial" w:cs="Arial"/>
          <w:sz w:val="24"/>
          <w:szCs w:val="24"/>
        </w:rPr>
        <w:t>. This began to change in the immediate aftermath. Pyrrhus’ intervention mark</w:t>
      </w:r>
      <w:r w:rsidR="00D83105">
        <w:rPr>
          <w:rFonts w:ascii="Arial" w:hAnsi="Arial" w:cs="Arial"/>
          <w:sz w:val="24"/>
          <w:szCs w:val="24"/>
        </w:rPr>
        <w:t>ed</w:t>
      </w:r>
      <w:r>
        <w:rPr>
          <w:rFonts w:ascii="Arial" w:hAnsi="Arial" w:cs="Arial"/>
          <w:sz w:val="24"/>
          <w:szCs w:val="24"/>
        </w:rPr>
        <w:t xml:space="preserve"> the end of the usefulness of the treaties between the two states. They had lasted so long as Carthage accepted limitations to commerce in certain areas and whilst Rome was primarily concerned with affairs in Italy</w:t>
      </w:r>
      <w:r>
        <w:rPr>
          <w:rStyle w:val="FootnoteReference"/>
          <w:rFonts w:ascii="Arial" w:hAnsi="Arial" w:cs="Arial"/>
          <w:sz w:val="24"/>
          <w:szCs w:val="24"/>
        </w:rPr>
        <w:footnoteReference w:id="357"/>
      </w:r>
      <w:r>
        <w:rPr>
          <w:rFonts w:ascii="Arial" w:hAnsi="Arial" w:cs="Arial"/>
          <w:sz w:val="24"/>
          <w:szCs w:val="24"/>
        </w:rPr>
        <w:t xml:space="preserve">. </w:t>
      </w:r>
    </w:p>
    <w:p w14:paraId="55B9830A" w14:textId="2A5F84C9" w:rsidR="00F21624" w:rsidRDefault="00F21624" w:rsidP="008B745A">
      <w:pPr>
        <w:spacing w:line="480" w:lineRule="auto"/>
        <w:rPr>
          <w:rFonts w:ascii="Arial" w:hAnsi="Arial" w:cs="Arial"/>
          <w:sz w:val="24"/>
          <w:szCs w:val="24"/>
        </w:rPr>
      </w:pPr>
      <w:r>
        <w:rPr>
          <w:rFonts w:ascii="Arial" w:hAnsi="Arial" w:cs="Arial"/>
          <w:sz w:val="24"/>
          <w:szCs w:val="24"/>
        </w:rPr>
        <w:t>After Pyrrhus had returned to Greece the Tarentines asked Carthage for help, who sent a fleet</w:t>
      </w:r>
      <w:r>
        <w:rPr>
          <w:rStyle w:val="FootnoteReference"/>
          <w:rFonts w:ascii="Arial" w:hAnsi="Arial" w:cs="Arial"/>
          <w:sz w:val="24"/>
          <w:szCs w:val="24"/>
        </w:rPr>
        <w:footnoteReference w:id="358"/>
      </w:r>
      <w:r>
        <w:rPr>
          <w:rFonts w:ascii="Arial" w:hAnsi="Arial" w:cs="Arial"/>
          <w:sz w:val="24"/>
          <w:szCs w:val="24"/>
        </w:rPr>
        <w:t xml:space="preserve">. </w:t>
      </w:r>
      <w:r>
        <w:rPr>
          <w:rFonts w:ascii="Arial" w:hAnsi="Arial" w:cs="Arial"/>
          <w:color w:val="000000"/>
          <w:sz w:val="24"/>
          <w:szCs w:val="24"/>
          <w:shd w:val="clear" w:color="auto" w:fill="FFFFFF"/>
        </w:rPr>
        <w:t xml:space="preserve">When the Romans moved back to continue the siege of Tarentum, the original purpose of Rome’s war, it may now also </w:t>
      </w:r>
      <w:r w:rsidR="00D83105">
        <w:rPr>
          <w:rFonts w:ascii="Arial" w:hAnsi="Arial" w:cs="Arial"/>
          <w:color w:val="000000"/>
          <w:sz w:val="24"/>
          <w:szCs w:val="24"/>
          <w:shd w:val="clear" w:color="auto" w:fill="FFFFFF"/>
        </w:rPr>
        <w:t>have been</w:t>
      </w:r>
      <w:r>
        <w:rPr>
          <w:rFonts w:ascii="Arial" w:hAnsi="Arial" w:cs="Arial"/>
          <w:color w:val="000000"/>
          <w:sz w:val="24"/>
          <w:szCs w:val="24"/>
          <w:shd w:val="clear" w:color="auto" w:fill="FFFFFF"/>
        </w:rPr>
        <w:t xml:space="preserve"> keen to acquire Tarentines ships which did indeed happen</w:t>
      </w:r>
      <w:r>
        <w:rPr>
          <w:rStyle w:val="FootnoteReference"/>
          <w:rFonts w:ascii="Arial" w:hAnsi="Arial" w:cs="Arial"/>
          <w:color w:val="000000"/>
          <w:sz w:val="24"/>
          <w:szCs w:val="24"/>
          <w:shd w:val="clear" w:color="auto" w:fill="FFFFFF"/>
        </w:rPr>
        <w:footnoteReference w:id="359"/>
      </w:r>
      <w:r w:rsidR="00D83105">
        <w:rPr>
          <w:rFonts w:ascii="Arial" w:hAnsi="Arial" w:cs="Arial"/>
          <w:color w:val="000000"/>
          <w:sz w:val="24"/>
          <w:szCs w:val="24"/>
          <w:shd w:val="clear" w:color="auto" w:fill="FFFFFF"/>
        </w:rPr>
        <w:t>. T</w:t>
      </w:r>
      <w:r>
        <w:rPr>
          <w:rFonts w:ascii="Arial" w:hAnsi="Arial" w:cs="Arial"/>
          <w:color w:val="000000"/>
          <w:sz w:val="24"/>
          <w:szCs w:val="24"/>
          <w:shd w:val="clear" w:color="auto" w:fill="FFFFFF"/>
        </w:rPr>
        <w:t>he Carthaginians sailed a fleet up to support the Tarentines</w:t>
      </w:r>
      <w:r>
        <w:rPr>
          <w:rStyle w:val="FootnoteReference"/>
          <w:rFonts w:ascii="Arial" w:hAnsi="Arial" w:cs="Arial"/>
          <w:color w:val="000000"/>
          <w:sz w:val="24"/>
          <w:szCs w:val="24"/>
          <w:shd w:val="clear" w:color="auto" w:fill="FFFFFF"/>
        </w:rPr>
        <w:footnoteReference w:id="360"/>
      </w:r>
      <w:r w:rsidR="00D83105">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D83105">
        <w:rPr>
          <w:rFonts w:ascii="Arial" w:hAnsi="Arial" w:cs="Arial"/>
          <w:color w:val="000000"/>
          <w:sz w:val="24"/>
          <w:szCs w:val="24"/>
          <w:shd w:val="clear" w:color="auto" w:fill="FFFFFF"/>
        </w:rPr>
        <w:t>A</w:t>
      </w:r>
      <w:r>
        <w:rPr>
          <w:rFonts w:ascii="Arial" w:hAnsi="Arial" w:cs="Arial"/>
          <w:color w:val="000000"/>
          <w:sz w:val="24"/>
          <w:szCs w:val="24"/>
          <w:shd w:val="clear" w:color="auto" w:fill="FFFFFF"/>
        </w:rPr>
        <w:t xml:space="preserve">lthough Lazenby maintains these ships may have been sent to help Rome in accordance with the treaty but Rome was too suspicious as </w:t>
      </w:r>
      <w:r>
        <w:rPr>
          <w:rFonts w:ascii="Arial" w:hAnsi="Arial" w:cs="Arial"/>
          <w:color w:val="000000"/>
          <w:sz w:val="24"/>
          <w:szCs w:val="24"/>
          <w:shd w:val="clear" w:color="auto" w:fill="FFFFFF"/>
        </w:rPr>
        <w:lastRenderedPageBreak/>
        <w:t>they had no requested help</w:t>
      </w:r>
      <w:r>
        <w:rPr>
          <w:rStyle w:val="FootnoteReference"/>
          <w:rFonts w:ascii="Arial" w:hAnsi="Arial" w:cs="Arial"/>
          <w:color w:val="000000"/>
          <w:sz w:val="24"/>
          <w:szCs w:val="24"/>
          <w:shd w:val="clear" w:color="auto" w:fill="FFFFFF"/>
        </w:rPr>
        <w:footnoteReference w:id="361"/>
      </w:r>
      <w:r>
        <w:rPr>
          <w:rFonts w:ascii="Arial" w:hAnsi="Arial" w:cs="Arial"/>
          <w:color w:val="000000"/>
          <w:sz w:val="24"/>
          <w:szCs w:val="24"/>
          <w:shd w:val="clear" w:color="auto" w:fill="FFFFFF"/>
        </w:rPr>
        <w:t>. This is plausible because Carthage may have been anxious to see what was happening in Sicily</w:t>
      </w:r>
      <w:r>
        <w:rPr>
          <w:rStyle w:val="FootnoteReference"/>
          <w:rFonts w:ascii="Arial" w:hAnsi="Arial" w:cs="Arial"/>
          <w:color w:val="000000"/>
          <w:sz w:val="24"/>
          <w:szCs w:val="24"/>
          <w:shd w:val="clear" w:color="auto" w:fill="FFFFFF"/>
        </w:rPr>
        <w:footnoteReference w:id="362"/>
      </w:r>
      <w:r>
        <w:rPr>
          <w:rFonts w:ascii="Arial" w:hAnsi="Arial" w:cs="Arial"/>
          <w:color w:val="000000"/>
          <w:sz w:val="24"/>
          <w:szCs w:val="24"/>
          <w:shd w:val="clear" w:color="auto" w:fill="FFFFFF"/>
        </w:rPr>
        <w:t xml:space="preserve">. </w:t>
      </w:r>
    </w:p>
    <w:p w14:paraId="48E50381" w14:textId="77777777" w:rsidR="00F21624" w:rsidRDefault="00F21624" w:rsidP="008B745A">
      <w:pPr>
        <w:spacing w:line="480" w:lineRule="auto"/>
        <w:rPr>
          <w:rFonts w:ascii="Arial" w:hAnsi="Arial" w:cs="Arial"/>
          <w:sz w:val="24"/>
          <w:szCs w:val="24"/>
        </w:rPr>
      </w:pPr>
      <w:r>
        <w:rPr>
          <w:rFonts w:ascii="Arial" w:hAnsi="Arial" w:cs="Arial"/>
          <w:sz w:val="24"/>
          <w:szCs w:val="24"/>
        </w:rPr>
        <w:t>Later, there was also a Punic attack on Rhegium, employing troops carried over from Sicily</w:t>
      </w:r>
      <w:r>
        <w:rPr>
          <w:rStyle w:val="FootnoteReference"/>
          <w:rFonts w:ascii="Arial" w:hAnsi="Arial" w:cs="Arial"/>
          <w:sz w:val="24"/>
          <w:szCs w:val="24"/>
        </w:rPr>
        <w:footnoteReference w:id="363"/>
      </w:r>
      <w:r>
        <w:rPr>
          <w:rFonts w:ascii="Arial" w:hAnsi="Arial" w:cs="Arial"/>
          <w:sz w:val="24"/>
          <w:szCs w:val="24"/>
        </w:rPr>
        <w:t>. During the war with Pyrrhus, a clause in the treaty also specified that the Carthaginians could not land in Tarentum, nor could the Romans land in Sicily</w:t>
      </w:r>
      <w:r>
        <w:rPr>
          <w:rStyle w:val="FootnoteReference"/>
          <w:rFonts w:ascii="Arial" w:hAnsi="Arial" w:cs="Arial"/>
          <w:sz w:val="24"/>
          <w:szCs w:val="24"/>
        </w:rPr>
        <w:footnoteReference w:id="364"/>
      </w:r>
      <w:r>
        <w:rPr>
          <w:rFonts w:ascii="Arial" w:hAnsi="Arial" w:cs="Arial"/>
          <w:sz w:val="24"/>
          <w:szCs w:val="24"/>
        </w:rPr>
        <w:t>. Carthaginians may well have come to help, but the Romans were left suspicious</w:t>
      </w:r>
      <w:r>
        <w:rPr>
          <w:rStyle w:val="FootnoteReference"/>
          <w:rFonts w:ascii="Arial" w:hAnsi="Arial" w:cs="Arial"/>
          <w:sz w:val="24"/>
          <w:szCs w:val="24"/>
        </w:rPr>
        <w:footnoteReference w:id="365"/>
      </w:r>
      <w:r>
        <w:rPr>
          <w:rFonts w:ascii="Arial" w:hAnsi="Arial" w:cs="Arial"/>
          <w:sz w:val="24"/>
          <w:szCs w:val="24"/>
        </w:rPr>
        <w:t>. They were more so when they sent ambassadors to Carthage over the allegations, but the Carthaginians denied it happened</w:t>
      </w:r>
      <w:r>
        <w:rPr>
          <w:rStyle w:val="FootnoteReference"/>
          <w:rFonts w:ascii="Arial" w:hAnsi="Arial" w:cs="Arial"/>
          <w:sz w:val="24"/>
          <w:szCs w:val="24"/>
        </w:rPr>
        <w:footnoteReference w:id="366"/>
      </w:r>
      <w:r>
        <w:rPr>
          <w:rFonts w:ascii="Arial" w:hAnsi="Arial" w:cs="Arial"/>
          <w:sz w:val="24"/>
          <w:szCs w:val="24"/>
        </w:rPr>
        <w:t>.</w:t>
      </w:r>
    </w:p>
    <w:p w14:paraId="14C442C8" w14:textId="77777777" w:rsidR="00F21624" w:rsidRDefault="00F21624" w:rsidP="008B745A">
      <w:pPr>
        <w:spacing w:line="480" w:lineRule="auto"/>
        <w:rPr>
          <w:rFonts w:ascii="Arial" w:hAnsi="Arial" w:cs="Arial"/>
          <w:sz w:val="24"/>
          <w:szCs w:val="24"/>
        </w:rPr>
      </w:pPr>
      <w:r>
        <w:rPr>
          <w:rFonts w:ascii="Arial" w:hAnsi="Arial" w:cs="Arial"/>
          <w:sz w:val="24"/>
          <w:szCs w:val="24"/>
        </w:rPr>
        <w:t xml:space="preserve">Several things need to be mentioned. Firstly, Rome’s continued attacks on Tarentum make sense – she had just fought Tarentum, who had been able to summon other Greek states to fight in Italy. Rome needed to neutralise this power and gain control of the southern Italian coastline – along with her ships. Tarentum’s appeal to Carthage provides further proof of the inherent instability of the Mediterranean world. Tarentum may not have had any love for Carthage – doubtful considering her aid to Rome – yet she feared Rome more. </w:t>
      </w:r>
    </w:p>
    <w:p w14:paraId="4842C11B" w14:textId="7FC5E277" w:rsidR="00F21624" w:rsidRDefault="00F21624" w:rsidP="008B745A">
      <w:pPr>
        <w:spacing w:line="480" w:lineRule="auto"/>
        <w:rPr>
          <w:rFonts w:ascii="Arial" w:hAnsi="Arial" w:cs="Arial"/>
          <w:color w:val="000000"/>
          <w:sz w:val="24"/>
          <w:szCs w:val="24"/>
          <w:shd w:val="clear" w:color="auto" w:fill="FFFFFF"/>
        </w:rPr>
      </w:pPr>
      <w:r>
        <w:rPr>
          <w:rFonts w:ascii="Arial" w:hAnsi="Arial" w:cs="Arial"/>
          <w:sz w:val="24"/>
          <w:szCs w:val="24"/>
        </w:rPr>
        <w:t>For Rome, it was further proof of the need to take control of Southern Italy – having beaten off Pyrrhus, she did not want the possibility of being threatened by another Mediterranean power. This also helps refute Harris’ argument that the founding of colonies was to prepare for the confrontation with Carthage</w:t>
      </w:r>
      <w:r>
        <w:rPr>
          <w:rStyle w:val="FootnoteReference"/>
          <w:rFonts w:ascii="Arial" w:hAnsi="Arial" w:cs="Arial"/>
          <w:sz w:val="24"/>
          <w:szCs w:val="24"/>
        </w:rPr>
        <w:footnoteReference w:id="367"/>
      </w:r>
      <w:r>
        <w:rPr>
          <w:rFonts w:ascii="Arial" w:hAnsi="Arial" w:cs="Arial"/>
          <w:sz w:val="24"/>
          <w:szCs w:val="24"/>
        </w:rPr>
        <w:t xml:space="preserve">. Rome was in no position to fight Carthage – her lack of navy to even transport troops makes that </w:t>
      </w:r>
      <w:r>
        <w:rPr>
          <w:rFonts w:ascii="Arial" w:hAnsi="Arial" w:cs="Arial"/>
          <w:sz w:val="24"/>
          <w:szCs w:val="24"/>
        </w:rPr>
        <w:lastRenderedPageBreak/>
        <w:t>clear</w:t>
      </w:r>
      <w:r>
        <w:rPr>
          <w:rStyle w:val="FootnoteReference"/>
          <w:rFonts w:ascii="Arial" w:hAnsi="Arial" w:cs="Arial"/>
          <w:sz w:val="24"/>
          <w:szCs w:val="24"/>
        </w:rPr>
        <w:footnoteReference w:id="368"/>
      </w:r>
      <w:r>
        <w:rPr>
          <w:rFonts w:ascii="Arial" w:hAnsi="Arial" w:cs="Arial"/>
          <w:sz w:val="24"/>
          <w:szCs w:val="24"/>
        </w:rPr>
        <w:t>. When Carthage sailed the fleet to Tarentum in 272 B.C., Rome could impotently watch – yet even this did not encourage her to build a navy. More likely, Rome now recognised that Carthage, another large power, could also be called upon by smaller states</w:t>
      </w:r>
      <w:r w:rsidR="00AB356D">
        <w:rPr>
          <w:rFonts w:ascii="Arial" w:hAnsi="Arial" w:cs="Arial"/>
          <w:sz w:val="24"/>
          <w:szCs w:val="24"/>
        </w:rPr>
        <w:t xml:space="preserve"> on the Italian peninsula</w:t>
      </w:r>
      <w:r>
        <w:rPr>
          <w:rFonts w:ascii="Arial" w:hAnsi="Arial" w:cs="Arial"/>
          <w:sz w:val="24"/>
          <w:szCs w:val="24"/>
        </w:rPr>
        <w:t xml:space="preserve">, increasing her chances of being considered a threat. Carthage’s intervention to Tarentum certainly would have focused the </w:t>
      </w:r>
      <w:r w:rsidR="00C918E2">
        <w:rPr>
          <w:rFonts w:ascii="Arial" w:hAnsi="Arial" w:cs="Arial"/>
          <w:sz w:val="24"/>
          <w:szCs w:val="24"/>
        </w:rPr>
        <w:t>S</w:t>
      </w:r>
      <w:r>
        <w:rPr>
          <w:rFonts w:ascii="Arial" w:hAnsi="Arial" w:cs="Arial"/>
          <w:sz w:val="24"/>
          <w:szCs w:val="24"/>
        </w:rPr>
        <w:t>enate’s mind on the possibility of future conflict with Carthage</w:t>
      </w:r>
      <w:r>
        <w:rPr>
          <w:rStyle w:val="FootnoteReference"/>
          <w:rFonts w:ascii="Arial" w:hAnsi="Arial" w:cs="Arial"/>
          <w:sz w:val="24"/>
          <w:szCs w:val="24"/>
        </w:rPr>
        <w:footnoteReference w:id="369"/>
      </w:r>
      <w:r>
        <w:rPr>
          <w:rFonts w:ascii="Arial" w:hAnsi="Arial" w:cs="Arial"/>
          <w:sz w:val="24"/>
          <w:szCs w:val="24"/>
        </w:rPr>
        <w:t xml:space="preserve">.    </w:t>
      </w:r>
    </w:p>
    <w:p w14:paraId="43F70977" w14:textId="67FA8548" w:rsidR="00F21624" w:rsidRDefault="00F21624" w:rsidP="008B745A">
      <w:pPr>
        <w:spacing w:line="480" w:lineRule="auto"/>
        <w:rPr>
          <w:rFonts w:ascii="Arial" w:hAnsi="Arial" w:cs="Arial"/>
          <w:sz w:val="24"/>
          <w:szCs w:val="24"/>
        </w:rPr>
      </w:pPr>
      <w:r>
        <w:rPr>
          <w:rFonts w:ascii="Arial" w:hAnsi="Arial" w:cs="Arial"/>
          <w:sz w:val="24"/>
          <w:szCs w:val="24"/>
        </w:rPr>
        <w:t>For the Carthaginians</w:t>
      </w:r>
      <w:r w:rsidR="00C918E2">
        <w:rPr>
          <w:rFonts w:ascii="Arial" w:hAnsi="Arial" w:cs="Arial"/>
          <w:sz w:val="24"/>
          <w:szCs w:val="24"/>
        </w:rPr>
        <w:t>,</w:t>
      </w:r>
      <w:r>
        <w:rPr>
          <w:rFonts w:ascii="Arial" w:hAnsi="Arial" w:cs="Arial"/>
          <w:sz w:val="24"/>
          <w:szCs w:val="24"/>
        </w:rPr>
        <w:t xml:space="preserve"> the</w:t>
      </w:r>
      <w:r w:rsidR="00C918E2">
        <w:rPr>
          <w:rFonts w:ascii="Arial" w:hAnsi="Arial" w:cs="Arial"/>
          <w:sz w:val="24"/>
          <w:szCs w:val="24"/>
        </w:rPr>
        <w:t>re</w:t>
      </w:r>
      <w:r>
        <w:rPr>
          <w:rFonts w:ascii="Arial" w:hAnsi="Arial" w:cs="Arial"/>
          <w:sz w:val="24"/>
          <w:szCs w:val="24"/>
        </w:rPr>
        <w:t xml:space="preserve"> were also additional worries. Rome established friendly relations with Hiero II of Syracuse after the war in 270 B.C. and this was followed by Hiero providing Rome with significant Syracusan aid against Campanians</w:t>
      </w:r>
      <w:r w:rsidR="005E4B5C">
        <w:rPr>
          <w:rFonts w:ascii="Arial" w:hAnsi="Arial" w:cs="Arial"/>
          <w:sz w:val="24"/>
          <w:szCs w:val="24"/>
        </w:rPr>
        <w:t>,</w:t>
      </w:r>
      <w:r>
        <w:rPr>
          <w:rFonts w:ascii="Arial" w:hAnsi="Arial" w:cs="Arial"/>
          <w:sz w:val="24"/>
          <w:szCs w:val="24"/>
        </w:rPr>
        <w:t xml:space="preserve"> who had seized Rhegium</w:t>
      </w:r>
      <w:r>
        <w:rPr>
          <w:rStyle w:val="FootnoteReference"/>
          <w:rFonts w:ascii="Arial" w:hAnsi="Arial" w:cs="Arial"/>
          <w:sz w:val="24"/>
          <w:szCs w:val="24"/>
        </w:rPr>
        <w:footnoteReference w:id="370"/>
      </w:r>
      <w:r>
        <w:rPr>
          <w:rFonts w:ascii="Arial" w:hAnsi="Arial" w:cs="Arial"/>
          <w:sz w:val="24"/>
          <w:szCs w:val="24"/>
        </w:rPr>
        <w:t>. There was also an agreement between Rome and the Mamertines, securing Mamertine neutrality if Rome dealt with Rhegium</w:t>
      </w:r>
      <w:r>
        <w:rPr>
          <w:rStyle w:val="FootnoteReference"/>
          <w:rFonts w:ascii="Arial" w:hAnsi="Arial" w:cs="Arial"/>
          <w:sz w:val="24"/>
          <w:szCs w:val="24"/>
        </w:rPr>
        <w:footnoteReference w:id="371"/>
      </w:r>
      <w:r>
        <w:rPr>
          <w:rFonts w:ascii="Arial" w:hAnsi="Arial" w:cs="Arial"/>
          <w:sz w:val="24"/>
          <w:szCs w:val="24"/>
        </w:rPr>
        <w:t>. The Carthaginians can hardly have welcomed any relations between a rival power on Sicily and the largest power on the Italian main</w:t>
      </w:r>
      <w:r w:rsidR="005E4B5C">
        <w:rPr>
          <w:rFonts w:ascii="Arial" w:hAnsi="Arial" w:cs="Arial"/>
          <w:sz w:val="24"/>
          <w:szCs w:val="24"/>
        </w:rPr>
        <w:t>land</w:t>
      </w:r>
      <w:r>
        <w:rPr>
          <w:rFonts w:ascii="Arial" w:hAnsi="Arial" w:cs="Arial"/>
          <w:sz w:val="24"/>
          <w:szCs w:val="24"/>
        </w:rPr>
        <w:t>. It would have been known to the Carthaginians just how narrow the Straits of Messana were and the fact that both powers were known to respond proactively to appeals from smaller states introduced the worrying possibility of Roman involvement in Sicilian affairs. Whether the Carthaginians were worried about the Mamertines being considered, ‘kindred spirits’ with the Romans at this point is unknown</w:t>
      </w:r>
      <w:r>
        <w:rPr>
          <w:rStyle w:val="FootnoteReference"/>
          <w:rFonts w:ascii="Arial" w:hAnsi="Arial" w:cs="Arial"/>
          <w:sz w:val="24"/>
          <w:szCs w:val="24"/>
        </w:rPr>
        <w:footnoteReference w:id="372"/>
      </w:r>
      <w:r>
        <w:rPr>
          <w:rFonts w:ascii="Arial" w:hAnsi="Arial" w:cs="Arial"/>
          <w:sz w:val="24"/>
          <w:szCs w:val="24"/>
        </w:rPr>
        <w:t xml:space="preserve">. </w:t>
      </w:r>
    </w:p>
    <w:p w14:paraId="77330034" w14:textId="58E2F85B" w:rsidR="00F21624" w:rsidRDefault="00F21624" w:rsidP="008B745A">
      <w:pPr>
        <w:spacing w:line="480" w:lineRule="auto"/>
        <w:rPr>
          <w:rFonts w:ascii="Arial" w:hAnsi="Arial" w:cs="Arial"/>
          <w:sz w:val="24"/>
          <w:szCs w:val="24"/>
        </w:rPr>
      </w:pPr>
      <w:r>
        <w:rPr>
          <w:rFonts w:ascii="Arial" w:hAnsi="Arial" w:cs="Arial"/>
          <w:sz w:val="24"/>
          <w:szCs w:val="24"/>
        </w:rPr>
        <w:t>However, care needs to be taken to avoid the conclusion that the two sides were now on a ‘collision course’</w:t>
      </w:r>
      <w:r>
        <w:rPr>
          <w:rStyle w:val="FootnoteReference"/>
          <w:rFonts w:ascii="Arial" w:hAnsi="Arial" w:cs="Arial"/>
          <w:sz w:val="24"/>
          <w:szCs w:val="24"/>
        </w:rPr>
        <w:footnoteReference w:id="373"/>
      </w:r>
      <w:r>
        <w:rPr>
          <w:rFonts w:ascii="Arial" w:hAnsi="Arial" w:cs="Arial"/>
          <w:sz w:val="24"/>
          <w:szCs w:val="24"/>
        </w:rPr>
        <w:t>.</w:t>
      </w:r>
      <w:r w:rsidR="0075210D">
        <w:rPr>
          <w:rFonts w:ascii="Arial" w:hAnsi="Arial" w:cs="Arial"/>
          <w:sz w:val="24"/>
          <w:szCs w:val="24"/>
        </w:rPr>
        <w:t xml:space="preserve"> </w:t>
      </w:r>
      <w:r>
        <w:rPr>
          <w:rFonts w:ascii="Arial" w:hAnsi="Arial" w:cs="Arial"/>
          <w:sz w:val="24"/>
          <w:szCs w:val="24"/>
        </w:rPr>
        <w:t>The fact that Rome was completely unprepared for war with Carthage or that even in 263</w:t>
      </w:r>
      <w:r w:rsidR="009E5516">
        <w:rPr>
          <w:rFonts w:ascii="Arial" w:hAnsi="Arial" w:cs="Arial"/>
          <w:sz w:val="24"/>
          <w:szCs w:val="24"/>
        </w:rPr>
        <w:t>,</w:t>
      </w:r>
      <w:r>
        <w:rPr>
          <w:rFonts w:ascii="Arial" w:hAnsi="Arial" w:cs="Arial"/>
          <w:sz w:val="24"/>
          <w:szCs w:val="24"/>
        </w:rPr>
        <w:t xml:space="preserve"> after the initial start</w:t>
      </w:r>
      <w:r w:rsidR="009E5516">
        <w:rPr>
          <w:rFonts w:ascii="Arial" w:hAnsi="Arial" w:cs="Arial"/>
          <w:sz w:val="24"/>
          <w:szCs w:val="24"/>
        </w:rPr>
        <w:t xml:space="preserve"> of the conflict</w:t>
      </w:r>
      <w:r>
        <w:rPr>
          <w:rFonts w:ascii="Arial" w:hAnsi="Arial" w:cs="Arial"/>
          <w:sz w:val="24"/>
          <w:szCs w:val="24"/>
        </w:rPr>
        <w:t xml:space="preserve"> the Roman </w:t>
      </w:r>
      <w:r>
        <w:rPr>
          <w:rFonts w:ascii="Arial" w:hAnsi="Arial" w:cs="Arial"/>
          <w:sz w:val="24"/>
          <w:szCs w:val="24"/>
        </w:rPr>
        <w:lastRenderedPageBreak/>
        <w:t>army was halved</w:t>
      </w:r>
      <w:r>
        <w:rPr>
          <w:rStyle w:val="FootnoteReference"/>
          <w:rFonts w:ascii="Arial" w:hAnsi="Arial" w:cs="Arial"/>
          <w:sz w:val="24"/>
          <w:szCs w:val="24"/>
        </w:rPr>
        <w:footnoteReference w:id="374"/>
      </w:r>
      <w:r w:rsidR="0075210D">
        <w:rPr>
          <w:rFonts w:ascii="Arial" w:hAnsi="Arial" w:cs="Arial"/>
          <w:sz w:val="24"/>
          <w:szCs w:val="24"/>
        </w:rPr>
        <w:t>,</w:t>
      </w:r>
      <w:r>
        <w:rPr>
          <w:rFonts w:ascii="Arial" w:hAnsi="Arial" w:cs="Arial"/>
          <w:sz w:val="24"/>
          <w:szCs w:val="24"/>
        </w:rPr>
        <w:t xml:space="preserve"> helps refute the charge that already at this stage she was gearing up for war with Carthage</w:t>
      </w:r>
      <w:r w:rsidR="009E5516">
        <w:rPr>
          <w:rFonts w:ascii="Arial" w:hAnsi="Arial" w:cs="Arial"/>
          <w:sz w:val="24"/>
          <w:szCs w:val="24"/>
        </w:rPr>
        <w:t>.</w:t>
      </w:r>
      <w:r>
        <w:rPr>
          <w:rFonts w:ascii="Arial" w:hAnsi="Arial" w:cs="Arial"/>
          <w:sz w:val="24"/>
          <w:szCs w:val="24"/>
        </w:rPr>
        <w:t xml:space="preserve"> </w:t>
      </w:r>
      <w:r w:rsidR="009E5516">
        <w:rPr>
          <w:rFonts w:ascii="Arial" w:hAnsi="Arial" w:cs="Arial"/>
          <w:sz w:val="24"/>
          <w:szCs w:val="24"/>
        </w:rPr>
        <w:t>T</w:t>
      </w:r>
      <w:r>
        <w:rPr>
          <w:rFonts w:ascii="Arial" w:hAnsi="Arial" w:cs="Arial"/>
          <w:sz w:val="24"/>
          <w:szCs w:val="24"/>
        </w:rPr>
        <w:t xml:space="preserve">he most that can be said is that </w:t>
      </w:r>
      <w:r>
        <w:rPr>
          <w:rFonts w:ascii="Arial" w:hAnsi="Arial" w:cs="Arial"/>
          <w:color w:val="000000"/>
          <w:sz w:val="24"/>
          <w:szCs w:val="24"/>
          <w:shd w:val="clear" w:color="auto" w:fill="FFFFFF"/>
        </w:rPr>
        <w:t xml:space="preserve">although Rome did not establish a navy, the seizure of forest land from the </w:t>
      </w:r>
      <w:proofErr w:type="spellStart"/>
      <w:r>
        <w:rPr>
          <w:rFonts w:ascii="Arial" w:hAnsi="Arial" w:cs="Arial"/>
          <w:color w:val="000000"/>
          <w:sz w:val="24"/>
          <w:szCs w:val="24"/>
          <w:shd w:val="clear" w:color="auto" w:fill="FFFFFF"/>
        </w:rPr>
        <w:t>Bruttians</w:t>
      </w:r>
      <w:proofErr w:type="spellEnd"/>
      <w:r>
        <w:rPr>
          <w:rFonts w:ascii="Arial" w:hAnsi="Arial" w:cs="Arial"/>
          <w:color w:val="000000"/>
          <w:sz w:val="24"/>
          <w:szCs w:val="24"/>
          <w:shd w:val="clear" w:color="auto" w:fill="FFFFFF"/>
        </w:rPr>
        <w:t xml:space="preserve"> was with ship building in mind, not farmland - a key indicator of her change of stance</w:t>
      </w:r>
      <w:r w:rsidR="009E5516">
        <w:rPr>
          <w:rStyle w:val="FootnoteReference"/>
          <w:rFonts w:ascii="Arial" w:hAnsi="Arial" w:cs="Arial"/>
          <w:color w:val="000000"/>
          <w:sz w:val="24"/>
          <w:szCs w:val="24"/>
          <w:shd w:val="clear" w:color="auto" w:fill="FFFFFF"/>
        </w:rPr>
        <w:footnoteReference w:id="375"/>
      </w:r>
      <w:r>
        <w:rPr>
          <w:rFonts w:ascii="Arial" w:hAnsi="Arial" w:cs="Arial"/>
          <w:color w:val="000000"/>
          <w:sz w:val="24"/>
          <w:szCs w:val="24"/>
          <w:shd w:val="clear" w:color="auto" w:fill="FFFFFF"/>
        </w:rPr>
        <w:t>.</w:t>
      </w:r>
      <w:r>
        <w:rPr>
          <w:rFonts w:ascii="Arial" w:hAnsi="Arial" w:cs="Arial"/>
          <w:sz w:val="24"/>
          <w:szCs w:val="24"/>
        </w:rPr>
        <w:t xml:space="preserve"> However, it should be noted that this could be for ships to defend against mainland Greece as </w:t>
      </w:r>
      <w:r w:rsidR="009E5516">
        <w:rPr>
          <w:rFonts w:ascii="Arial" w:hAnsi="Arial" w:cs="Arial"/>
          <w:sz w:val="24"/>
          <w:szCs w:val="24"/>
        </w:rPr>
        <w:t>well as from</w:t>
      </w:r>
      <w:r>
        <w:rPr>
          <w:rFonts w:ascii="Arial" w:hAnsi="Arial" w:cs="Arial"/>
          <w:sz w:val="24"/>
          <w:szCs w:val="24"/>
        </w:rPr>
        <w:t xml:space="preserve"> Carthage. </w:t>
      </w:r>
    </w:p>
    <w:p w14:paraId="7A9BD342" w14:textId="695B0323" w:rsidR="00F21624" w:rsidRDefault="00F21624" w:rsidP="008B745A">
      <w:pPr>
        <w:spacing w:line="480" w:lineRule="auto"/>
        <w:rPr>
          <w:rFonts w:ascii="Arial" w:hAnsi="Arial" w:cs="Arial"/>
          <w:sz w:val="24"/>
          <w:szCs w:val="24"/>
        </w:rPr>
      </w:pPr>
      <w:r>
        <w:rPr>
          <w:rFonts w:ascii="Arial" w:hAnsi="Arial" w:cs="Arial"/>
          <w:sz w:val="24"/>
          <w:szCs w:val="24"/>
        </w:rPr>
        <w:t>Instead, the role of Pyrrhus in analysing the outbreak of the First Punic War is of vital importance, primarily because it heightened anxieties for both the Romans and Carthaginians – one historian has even gone so far as to describe Pyrrhus’ invasion as a ‘trauma’ for the Romans, much like the Gallic sack of 390</w:t>
      </w:r>
      <w:r>
        <w:rPr>
          <w:rStyle w:val="FootnoteReference"/>
          <w:rFonts w:ascii="Arial" w:hAnsi="Arial" w:cs="Arial"/>
          <w:sz w:val="24"/>
          <w:szCs w:val="24"/>
        </w:rPr>
        <w:footnoteReference w:id="376"/>
      </w:r>
      <w:r>
        <w:rPr>
          <w:rFonts w:ascii="Arial" w:hAnsi="Arial" w:cs="Arial"/>
          <w:sz w:val="24"/>
          <w:szCs w:val="24"/>
        </w:rPr>
        <w:t xml:space="preserve">. Pyrrhus’ expedition to Italy proved that </w:t>
      </w:r>
      <w:r>
        <w:rPr>
          <w:rFonts w:ascii="Arial" w:hAnsi="Arial" w:cs="Arial"/>
          <w:color w:val="000000"/>
          <w:sz w:val="24"/>
          <w:szCs w:val="24"/>
          <w:shd w:val="clear" w:color="auto" w:fill="FFFFFF"/>
        </w:rPr>
        <w:t>“overseas” was a lot closer than previous generations of Romans might have believed</w:t>
      </w:r>
      <w:r>
        <w:rPr>
          <w:rStyle w:val="FootnoteReference"/>
          <w:rFonts w:ascii="Arial" w:hAnsi="Arial" w:cs="Arial"/>
          <w:color w:val="000000"/>
          <w:sz w:val="24"/>
          <w:szCs w:val="24"/>
          <w:shd w:val="clear" w:color="auto" w:fill="FFFFFF"/>
        </w:rPr>
        <w:footnoteReference w:id="377"/>
      </w:r>
      <w:r>
        <w:rPr>
          <w:rFonts w:ascii="Arial" w:hAnsi="Arial" w:cs="Arial"/>
          <w:color w:val="000000"/>
          <w:sz w:val="24"/>
          <w:szCs w:val="24"/>
          <w:shd w:val="clear" w:color="auto" w:fill="FFFFFF"/>
        </w:rPr>
        <w:t xml:space="preserve">, whilst </w:t>
      </w:r>
      <w:r>
        <w:rPr>
          <w:rFonts w:ascii="Arial" w:hAnsi="Arial" w:cs="Arial"/>
          <w:sz w:val="24"/>
          <w:szCs w:val="24"/>
        </w:rPr>
        <w:t xml:space="preserve">Pyrrhus </w:t>
      </w:r>
      <w:r w:rsidR="009E5516">
        <w:rPr>
          <w:rFonts w:ascii="Arial" w:hAnsi="Arial" w:cs="Arial"/>
          <w:sz w:val="24"/>
          <w:szCs w:val="24"/>
        </w:rPr>
        <w:t>strengthened</w:t>
      </w:r>
      <w:r>
        <w:rPr>
          <w:rFonts w:ascii="Arial" w:hAnsi="Arial" w:cs="Arial"/>
          <w:sz w:val="24"/>
          <w:szCs w:val="24"/>
        </w:rPr>
        <w:t xml:space="preserve"> the Carthaginians</w:t>
      </w:r>
      <w:r w:rsidR="009E5516">
        <w:rPr>
          <w:rFonts w:ascii="Arial" w:hAnsi="Arial" w:cs="Arial"/>
          <w:sz w:val="24"/>
          <w:szCs w:val="24"/>
        </w:rPr>
        <w:t xml:space="preserve"> resolve</w:t>
      </w:r>
      <w:r>
        <w:rPr>
          <w:rFonts w:ascii="Arial" w:hAnsi="Arial" w:cs="Arial"/>
          <w:sz w:val="24"/>
          <w:szCs w:val="24"/>
        </w:rPr>
        <w:t xml:space="preserve"> to ensure other powers stayed out of Sicily</w:t>
      </w:r>
      <w:r>
        <w:rPr>
          <w:rStyle w:val="FootnoteReference"/>
          <w:rFonts w:ascii="Arial" w:hAnsi="Arial" w:cs="Arial"/>
          <w:sz w:val="24"/>
          <w:szCs w:val="24"/>
        </w:rPr>
        <w:footnoteReference w:id="378"/>
      </w:r>
      <w:r>
        <w:rPr>
          <w:rFonts w:ascii="Arial" w:hAnsi="Arial" w:cs="Arial"/>
          <w:sz w:val="24"/>
          <w:szCs w:val="24"/>
        </w:rPr>
        <w:t>.</w:t>
      </w:r>
    </w:p>
    <w:p w14:paraId="47047B4B" w14:textId="69AE0458" w:rsidR="00F21624" w:rsidRDefault="00F21624" w:rsidP="008B745A">
      <w:pPr>
        <w:spacing w:line="480" w:lineRule="auto"/>
        <w:rPr>
          <w:rFonts w:ascii="Arial" w:hAnsi="Arial" w:cs="Arial"/>
          <w:sz w:val="24"/>
          <w:szCs w:val="24"/>
        </w:rPr>
      </w:pPr>
      <w:r>
        <w:rPr>
          <w:rFonts w:ascii="Arial" w:hAnsi="Arial" w:cs="Arial"/>
          <w:sz w:val="24"/>
          <w:szCs w:val="24"/>
        </w:rPr>
        <w:t>This history would not have been forgotten overnight and the Romans</w:t>
      </w:r>
      <w:r w:rsidR="009E5516">
        <w:rPr>
          <w:rFonts w:ascii="Arial" w:hAnsi="Arial" w:cs="Arial"/>
          <w:sz w:val="24"/>
          <w:szCs w:val="24"/>
        </w:rPr>
        <w:t xml:space="preserve"> </w:t>
      </w:r>
      <w:r>
        <w:rPr>
          <w:rFonts w:ascii="Arial" w:hAnsi="Arial" w:cs="Arial"/>
          <w:sz w:val="24"/>
          <w:szCs w:val="24"/>
        </w:rPr>
        <w:t xml:space="preserve">would have been acutely aware of how </w:t>
      </w:r>
      <w:r w:rsidR="009E5516">
        <w:rPr>
          <w:rFonts w:ascii="Arial" w:hAnsi="Arial" w:cs="Arial"/>
          <w:sz w:val="24"/>
          <w:szCs w:val="24"/>
        </w:rPr>
        <w:t>exposed</w:t>
      </w:r>
      <w:r>
        <w:rPr>
          <w:rFonts w:ascii="Arial" w:hAnsi="Arial" w:cs="Arial"/>
          <w:sz w:val="24"/>
          <w:szCs w:val="24"/>
        </w:rPr>
        <w:t xml:space="preserve"> southern Italy </w:t>
      </w:r>
      <w:r w:rsidR="009E5516">
        <w:rPr>
          <w:rFonts w:ascii="Arial" w:hAnsi="Arial" w:cs="Arial"/>
          <w:sz w:val="24"/>
          <w:szCs w:val="24"/>
        </w:rPr>
        <w:t>was</w:t>
      </w:r>
      <w:r>
        <w:rPr>
          <w:rFonts w:ascii="Arial" w:hAnsi="Arial" w:cs="Arial"/>
          <w:sz w:val="24"/>
          <w:szCs w:val="24"/>
        </w:rPr>
        <w:t xml:space="preserve"> to attack, as well as recognising that Carthage was</w:t>
      </w:r>
      <w:r w:rsidR="009E5516">
        <w:rPr>
          <w:rFonts w:ascii="Arial" w:hAnsi="Arial" w:cs="Arial"/>
          <w:sz w:val="24"/>
          <w:szCs w:val="24"/>
        </w:rPr>
        <w:t xml:space="preserve"> a</w:t>
      </w:r>
      <w:r>
        <w:rPr>
          <w:rFonts w:ascii="Arial" w:hAnsi="Arial" w:cs="Arial"/>
          <w:sz w:val="24"/>
          <w:szCs w:val="24"/>
        </w:rPr>
        <w:t xml:space="preserve"> </w:t>
      </w:r>
      <w:r w:rsidR="009E5516">
        <w:rPr>
          <w:rFonts w:ascii="Arial" w:hAnsi="Arial" w:cs="Arial"/>
          <w:sz w:val="24"/>
          <w:szCs w:val="24"/>
        </w:rPr>
        <w:t>power</w:t>
      </w:r>
      <w:r>
        <w:rPr>
          <w:rFonts w:ascii="Arial" w:hAnsi="Arial" w:cs="Arial"/>
          <w:sz w:val="24"/>
          <w:szCs w:val="24"/>
        </w:rPr>
        <w:t xml:space="preserve"> who wo</w:t>
      </w:r>
      <w:r w:rsidR="007E0A2B">
        <w:rPr>
          <w:rFonts w:ascii="Arial" w:hAnsi="Arial" w:cs="Arial"/>
          <w:sz w:val="24"/>
          <w:szCs w:val="24"/>
        </w:rPr>
        <w:t>u</w:t>
      </w:r>
      <w:r>
        <w:rPr>
          <w:rFonts w:ascii="Arial" w:hAnsi="Arial" w:cs="Arial"/>
          <w:sz w:val="24"/>
          <w:szCs w:val="24"/>
        </w:rPr>
        <w:t xml:space="preserve">ld respond to appeals </w:t>
      </w:r>
      <w:r w:rsidR="007E0A2B">
        <w:rPr>
          <w:rFonts w:ascii="Arial" w:hAnsi="Arial" w:cs="Arial"/>
          <w:sz w:val="24"/>
          <w:szCs w:val="24"/>
        </w:rPr>
        <w:t>from</w:t>
      </w:r>
      <w:r>
        <w:rPr>
          <w:rFonts w:ascii="Arial" w:hAnsi="Arial" w:cs="Arial"/>
          <w:sz w:val="24"/>
          <w:szCs w:val="24"/>
        </w:rPr>
        <w:t xml:space="preserve"> </w:t>
      </w:r>
      <w:r w:rsidR="007E0A2B">
        <w:rPr>
          <w:rFonts w:ascii="Arial" w:hAnsi="Arial" w:cs="Arial"/>
          <w:sz w:val="24"/>
          <w:szCs w:val="24"/>
        </w:rPr>
        <w:t xml:space="preserve">smaller powers in </w:t>
      </w:r>
      <w:r>
        <w:rPr>
          <w:rFonts w:ascii="Arial" w:hAnsi="Arial" w:cs="Arial"/>
          <w:sz w:val="24"/>
          <w:szCs w:val="24"/>
        </w:rPr>
        <w:t>mainland Italy. They would have been acutely aware of how easy it would be for the Carthaginians to cross</w:t>
      </w:r>
      <w:r w:rsidR="007E0A2B">
        <w:rPr>
          <w:rFonts w:ascii="Arial" w:hAnsi="Arial" w:cs="Arial"/>
          <w:sz w:val="24"/>
          <w:szCs w:val="24"/>
        </w:rPr>
        <w:t xml:space="preserve"> into mainland Italy</w:t>
      </w:r>
      <w:r>
        <w:rPr>
          <w:rFonts w:ascii="Arial" w:hAnsi="Arial" w:cs="Arial"/>
          <w:sz w:val="24"/>
          <w:szCs w:val="24"/>
        </w:rPr>
        <w:t xml:space="preserve"> – they would not have seen Punic efforts in Sicily in terms of defensive imperialism on their part but of another power encroaching ever closer. Carthage would have realised the same thing, with Pyrrhus’ intervention hardening attitudes about the need to protect Sicily from outside interfere</w:t>
      </w:r>
      <w:r w:rsidR="007E0A2B">
        <w:rPr>
          <w:rFonts w:ascii="Arial" w:hAnsi="Arial" w:cs="Arial"/>
          <w:sz w:val="24"/>
          <w:szCs w:val="24"/>
        </w:rPr>
        <w:t>nce</w:t>
      </w:r>
      <w:r>
        <w:rPr>
          <w:rFonts w:ascii="Arial" w:hAnsi="Arial" w:cs="Arial"/>
          <w:sz w:val="24"/>
          <w:szCs w:val="24"/>
        </w:rPr>
        <w:t xml:space="preserve">, whilst nervously realising how easy it was to interfere on the </w:t>
      </w:r>
      <w:r>
        <w:rPr>
          <w:rFonts w:ascii="Arial" w:hAnsi="Arial" w:cs="Arial"/>
          <w:sz w:val="24"/>
          <w:szCs w:val="24"/>
        </w:rPr>
        <w:lastRenderedPageBreak/>
        <w:t>island. Most dangerously, Rome’s relationship to Syracuse was something no Carthaginian would have been keen to see. Both Rome and Carthage also saw how easy smaller cities would flip support from one power to another, increasing the likelihood of confrontation</w:t>
      </w:r>
      <w:r>
        <w:rPr>
          <w:rStyle w:val="FootnoteReference"/>
          <w:rFonts w:ascii="Arial" w:hAnsi="Arial" w:cs="Arial"/>
          <w:sz w:val="24"/>
          <w:szCs w:val="24"/>
        </w:rPr>
        <w:footnoteReference w:id="379"/>
      </w:r>
      <w:r>
        <w:rPr>
          <w:rFonts w:ascii="Arial" w:hAnsi="Arial" w:cs="Arial"/>
          <w:sz w:val="24"/>
          <w:szCs w:val="24"/>
        </w:rPr>
        <w:t xml:space="preserve">. Rainey’s suggestion that relations were amicable up until 364 </w:t>
      </w:r>
      <w:r w:rsidR="009C7B39">
        <w:rPr>
          <w:rFonts w:ascii="Arial" w:hAnsi="Arial" w:cs="Arial"/>
          <w:sz w:val="24"/>
          <w:szCs w:val="24"/>
        </w:rPr>
        <w:t>appear</w:t>
      </w:r>
      <w:r>
        <w:rPr>
          <w:rFonts w:ascii="Arial" w:hAnsi="Arial" w:cs="Arial"/>
          <w:sz w:val="24"/>
          <w:szCs w:val="24"/>
        </w:rPr>
        <w:t xml:space="preserve"> incorrect</w:t>
      </w:r>
      <w:r>
        <w:rPr>
          <w:rStyle w:val="FootnoteReference"/>
          <w:rFonts w:ascii="Arial" w:hAnsi="Arial" w:cs="Arial"/>
          <w:sz w:val="24"/>
          <w:szCs w:val="24"/>
        </w:rPr>
        <w:footnoteReference w:id="380"/>
      </w:r>
      <w:r>
        <w:rPr>
          <w:rFonts w:ascii="Arial" w:hAnsi="Arial" w:cs="Arial"/>
          <w:sz w:val="24"/>
          <w:szCs w:val="24"/>
        </w:rPr>
        <w:t xml:space="preserve">. </w:t>
      </w:r>
    </w:p>
    <w:p w14:paraId="11FAD0E1" w14:textId="0FE80323" w:rsidR="00F21624" w:rsidRDefault="009C7B39" w:rsidP="008B745A">
      <w:pPr>
        <w:spacing w:line="480" w:lineRule="auto"/>
        <w:rPr>
          <w:rFonts w:ascii="Arial" w:hAnsi="Arial" w:cs="Arial"/>
          <w:sz w:val="24"/>
          <w:szCs w:val="24"/>
        </w:rPr>
      </w:pPr>
      <w:r>
        <w:rPr>
          <w:rFonts w:ascii="Arial" w:hAnsi="Arial" w:cs="Arial"/>
          <w:sz w:val="24"/>
          <w:szCs w:val="24"/>
        </w:rPr>
        <w:t>The problem for Harris is that</w:t>
      </w:r>
      <w:r w:rsidR="00F21624">
        <w:rPr>
          <w:rFonts w:ascii="Arial" w:hAnsi="Arial" w:cs="Arial"/>
          <w:sz w:val="24"/>
          <w:szCs w:val="24"/>
        </w:rPr>
        <w:t xml:space="preserve"> he ignores Carthaginian attitudes</w:t>
      </w:r>
      <w:r>
        <w:rPr>
          <w:rFonts w:ascii="Arial" w:hAnsi="Arial" w:cs="Arial"/>
          <w:sz w:val="24"/>
          <w:szCs w:val="24"/>
        </w:rPr>
        <w:t>. Instead he views Rome</w:t>
      </w:r>
      <w:r w:rsidR="00F21624">
        <w:rPr>
          <w:rFonts w:ascii="Arial" w:hAnsi="Arial" w:cs="Arial"/>
          <w:sz w:val="24"/>
          <w:szCs w:val="24"/>
        </w:rPr>
        <w:t xml:space="preserve"> eagerly eyeing up where to attack next</w:t>
      </w:r>
      <w:r w:rsidR="00F21624">
        <w:rPr>
          <w:rStyle w:val="FootnoteReference"/>
          <w:rFonts w:ascii="Arial" w:hAnsi="Arial" w:cs="Arial"/>
          <w:sz w:val="24"/>
          <w:szCs w:val="24"/>
        </w:rPr>
        <w:footnoteReference w:id="381"/>
      </w:r>
      <w:r>
        <w:rPr>
          <w:rFonts w:ascii="Arial" w:hAnsi="Arial" w:cs="Arial"/>
          <w:sz w:val="24"/>
          <w:szCs w:val="24"/>
        </w:rPr>
        <w:t xml:space="preserve">. Instead, </w:t>
      </w:r>
      <w:r w:rsidR="00F21624">
        <w:rPr>
          <w:rFonts w:ascii="Arial" w:hAnsi="Arial" w:cs="Arial"/>
          <w:sz w:val="24"/>
          <w:szCs w:val="24"/>
        </w:rPr>
        <w:t>both Rome and Carthage were nervously adjusting to the new realities of the post-Pyrrhus world</w:t>
      </w:r>
      <w:r>
        <w:rPr>
          <w:rFonts w:ascii="Arial" w:hAnsi="Arial" w:cs="Arial"/>
          <w:sz w:val="24"/>
          <w:szCs w:val="24"/>
        </w:rPr>
        <w:t>.</w:t>
      </w:r>
    </w:p>
    <w:p w14:paraId="5E2BF90A" w14:textId="77777777" w:rsidR="00F21624" w:rsidRDefault="00F21624" w:rsidP="008B745A">
      <w:pPr>
        <w:spacing w:line="480" w:lineRule="auto"/>
        <w:rPr>
          <w:rFonts w:ascii="Arial" w:hAnsi="Arial" w:cs="Arial"/>
          <w:sz w:val="24"/>
          <w:szCs w:val="24"/>
        </w:rPr>
      </w:pPr>
    </w:p>
    <w:p w14:paraId="13283746" w14:textId="77777777" w:rsidR="00B6559E" w:rsidRDefault="00B6559E" w:rsidP="001113E7">
      <w:pPr>
        <w:spacing w:line="480" w:lineRule="auto"/>
        <w:rPr>
          <w:rFonts w:ascii="Arial" w:hAnsi="Arial" w:cs="Arial"/>
          <w:b/>
          <w:bCs/>
          <w:sz w:val="24"/>
          <w:szCs w:val="24"/>
          <w:u w:val="single"/>
        </w:rPr>
      </w:pPr>
    </w:p>
    <w:p w14:paraId="46818229" w14:textId="37B76EF3" w:rsidR="00F21624" w:rsidRPr="0041384A" w:rsidRDefault="00F21624" w:rsidP="008B745A">
      <w:pPr>
        <w:spacing w:line="480" w:lineRule="auto"/>
        <w:jc w:val="center"/>
        <w:rPr>
          <w:rFonts w:ascii="Arial" w:hAnsi="Arial" w:cs="Arial"/>
          <w:b/>
          <w:bCs/>
          <w:sz w:val="24"/>
          <w:szCs w:val="24"/>
          <w:u w:val="single"/>
        </w:rPr>
      </w:pPr>
      <w:r w:rsidRPr="0041384A">
        <w:rPr>
          <w:rFonts w:ascii="Arial" w:hAnsi="Arial" w:cs="Arial"/>
          <w:b/>
          <w:bCs/>
          <w:sz w:val="24"/>
          <w:szCs w:val="24"/>
          <w:u w:val="single"/>
        </w:rPr>
        <w:t>The Mamertine Appeal</w:t>
      </w:r>
    </w:p>
    <w:p w14:paraId="716B4266" w14:textId="28939591" w:rsidR="00F21624" w:rsidRDefault="00F21624" w:rsidP="008B745A">
      <w:pPr>
        <w:spacing w:line="480" w:lineRule="auto"/>
        <w:rPr>
          <w:rFonts w:ascii="Arial" w:hAnsi="Arial" w:cs="Arial"/>
          <w:sz w:val="24"/>
          <w:szCs w:val="24"/>
        </w:rPr>
      </w:pPr>
      <w:r>
        <w:rPr>
          <w:rFonts w:ascii="Arial" w:hAnsi="Arial" w:cs="Arial"/>
          <w:sz w:val="24"/>
          <w:szCs w:val="24"/>
        </w:rPr>
        <w:t xml:space="preserve">The flashpoint for the conflict occurred with Hiero II’s defeat of the Mamertines in 264 B.C. at the </w:t>
      </w:r>
      <w:proofErr w:type="spellStart"/>
      <w:r>
        <w:rPr>
          <w:rFonts w:ascii="Arial" w:hAnsi="Arial" w:cs="Arial"/>
          <w:sz w:val="24"/>
          <w:szCs w:val="24"/>
        </w:rPr>
        <w:t>Longanus</w:t>
      </w:r>
      <w:proofErr w:type="spellEnd"/>
      <w:r>
        <w:rPr>
          <w:rFonts w:ascii="Arial" w:hAnsi="Arial" w:cs="Arial"/>
          <w:sz w:val="24"/>
          <w:szCs w:val="24"/>
        </w:rPr>
        <w:t xml:space="preserve"> River</w:t>
      </w:r>
      <w:r>
        <w:rPr>
          <w:rStyle w:val="FootnoteReference"/>
          <w:rFonts w:ascii="Arial" w:hAnsi="Arial" w:cs="Arial"/>
          <w:sz w:val="24"/>
          <w:szCs w:val="24"/>
        </w:rPr>
        <w:footnoteReference w:id="382"/>
      </w:r>
      <w:r>
        <w:rPr>
          <w:rFonts w:ascii="Arial" w:hAnsi="Arial" w:cs="Arial"/>
          <w:sz w:val="24"/>
          <w:szCs w:val="24"/>
        </w:rPr>
        <w:t>. After, Hiero returned to besiege Messana, prompting the Mamertines to appeal to Carthage and Rome for help</w:t>
      </w:r>
      <w:r>
        <w:rPr>
          <w:rStyle w:val="FootnoteReference"/>
          <w:rFonts w:ascii="Arial" w:hAnsi="Arial" w:cs="Arial"/>
          <w:sz w:val="24"/>
          <w:szCs w:val="24"/>
        </w:rPr>
        <w:footnoteReference w:id="383"/>
      </w:r>
      <w:r>
        <w:rPr>
          <w:rFonts w:ascii="Arial" w:hAnsi="Arial" w:cs="Arial"/>
          <w:sz w:val="24"/>
          <w:szCs w:val="24"/>
        </w:rPr>
        <w:t>. The Carthaginians were watching events off the cost and sent Hannibal and a fleet to Messana install</w:t>
      </w:r>
      <w:r w:rsidR="00B6559E">
        <w:rPr>
          <w:rFonts w:ascii="Arial" w:hAnsi="Arial" w:cs="Arial"/>
          <w:sz w:val="24"/>
          <w:szCs w:val="24"/>
        </w:rPr>
        <w:t>ing</w:t>
      </w:r>
      <w:r>
        <w:rPr>
          <w:rFonts w:ascii="Arial" w:hAnsi="Arial" w:cs="Arial"/>
          <w:sz w:val="24"/>
          <w:szCs w:val="24"/>
        </w:rPr>
        <w:t xml:space="preserve"> a garrison in the town</w:t>
      </w:r>
      <w:r>
        <w:rPr>
          <w:rStyle w:val="FootnoteReference"/>
          <w:rFonts w:ascii="Arial" w:hAnsi="Arial" w:cs="Arial"/>
          <w:sz w:val="24"/>
          <w:szCs w:val="24"/>
        </w:rPr>
        <w:footnoteReference w:id="384"/>
      </w:r>
      <w:r>
        <w:rPr>
          <w:rFonts w:ascii="Arial" w:hAnsi="Arial" w:cs="Arial"/>
          <w:sz w:val="24"/>
          <w:szCs w:val="24"/>
        </w:rPr>
        <w:t>. However, the Mamertines sent appeals to Rome, and when hearing of the Roman decision to intervene the Mamertines promptly removed the Punic garrison at Messana</w:t>
      </w:r>
      <w:r>
        <w:rPr>
          <w:rStyle w:val="FootnoteReference"/>
          <w:rFonts w:ascii="Arial" w:hAnsi="Arial" w:cs="Arial"/>
          <w:sz w:val="24"/>
          <w:szCs w:val="24"/>
        </w:rPr>
        <w:footnoteReference w:id="385"/>
      </w:r>
      <w:r>
        <w:rPr>
          <w:rFonts w:ascii="Arial" w:hAnsi="Arial" w:cs="Arial"/>
          <w:sz w:val="24"/>
          <w:szCs w:val="24"/>
        </w:rPr>
        <w:t xml:space="preserve"> - one argument states that the Mamertines saw the Romans as a ‘kindred people’</w:t>
      </w:r>
      <w:r>
        <w:rPr>
          <w:rStyle w:val="FootnoteReference"/>
          <w:rFonts w:ascii="Arial" w:hAnsi="Arial" w:cs="Arial"/>
          <w:sz w:val="24"/>
          <w:szCs w:val="24"/>
        </w:rPr>
        <w:footnoteReference w:id="386"/>
      </w:r>
      <w:r>
        <w:rPr>
          <w:rFonts w:ascii="Arial" w:hAnsi="Arial" w:cs="Arial"/>
          <w:sz w:val="24"/>
          <w:szCs w:val="24"/>
        </w:rPr>
        <w:t>.</w:t>
      </w:r>
      <w:r w:rsidR="00CB107C">
        <w:rPr>
          <w:rFonts w:ascii="Arial" w:hAnsi="Arial" w:cs="Arial"/>
          <w:sz w:val="24"/>
          <w:szCs w:val="24"/>
        </w:rPr>
        <w:t xml:space="preserve"> </w:t>
      </w:r>
      <w:r>
        <w:rPr>
          <w:rFonts w:ascii="Arial" w:hAnsi="Arial" w:cs="Arial"/>
          <w:sz w:val="24"/>
          <w:szCs w:val="24"/>
        </w:rPr>
        <w:t>However</w:t>
      </w:r>
      <w:r w:rsidR="00CB107C">
        <w:rPr>
          <w:rFonts w:ascii="Arial" w:hAnsi="Arial" w:cs="Arial"/>
          <w:sz w:val="24"/>
          <w:szCs w:val="24"/>
        </w:rPr>
        <w:t>,</w:t>
      </w:r>
      <w:r>
        <w:rPr>
          <w:rFonts w:ascii="Arial" w:hAnsi="Arial" w:cs="Arial"/>
          <w:sz w:val="24"/>
          <w:szCs w:val="24"/>
        </w:rPr>
        <w:t xml:space="preserve"> the events leading to the presence of </w:t>
      </w:r>
      <w:r>
        <w:rPr>
          <w:rFonts w:ascii="Arial" w:hAnsi="Arial" w:cs="Arial"/>
          <w:sz w:val="24"/>
          <w:szCs w:val="24"/>
        </w:rPr>
        <w:lastRenderedPageBreak/>
        <w:t xml:space="preserve">both Romans and Carthaginians in northern Sicily ensured that Rome and Carthage would have to fight. </w:t>
      </w:r>
    </w:p>
    <w:p w14:paraId="3ADF3C4A" w14:textId="52F95A77" w:rsidR="00F21624" w:rsidRDefault="00F21624" w:rsidP="008B745A">
      <w:pPr>
        <w:spacing w:line="480" w:lineRule="auto"/>
        <w:rPr>
          <w:rFonts w:ascii="Arial" w:hAnsi="Arial" w:cs="Arial"/>
          <w:sz w:val="24"/>
          <w:szCs w:val="24"/>
        </w:rPr>
      </w:pPr>
      <w:r>
        <w:rPr>
          <w:rFonts w:ascii="Arial" w:hAnsi="Arial" w:cs="Arial"/>
          <w:sz w:val="24"/>
          <w:szCs w:val="24"/>
        </w:rPr>
        <w:t>As has been demonstrated</w:t>
      </w:r>
      <w:r w:rsidR="00CB107C">
        <w:rPr>
          <w:rFonts w:ascii="Arial" w:hAnsi="Arial" w:cs="Arial"/>
          <w:sz w:val="24"/>
          <w:szCs w:val="24"/>
        </w:rPr>
        <w:t xml:space="preserve"> repeatedly</w:t>
      </w:r>
      <w:r>
        <w:rPr>
          <w:rFonts w:ascii="Arial" w:hAnsi="Arial" w:cs="Arial"/>
          <w:sz w:val="24"/>
          <w:szCs w:val="24"/>
        </w:rPr>
        <w:t>, Carthage had shown concern over Roman expansion in southern Italy</w:t>
      </w:r>
      <w:r>
        <w:rPr>
          <w:rStyle w:val="FootnoteReference"/>
          <w:rFonts w:ascii="Arial" w:hAnsi="Arial" w:cs="Arial"/>
          <w:sz w:val="24"/>
          <w:szCs w:val="24"/>
        </w:rPr>
        <w:footnoteReference w:id="387"/>
      </w:r>
      <w:r>
        <w:rPr>
          <w:rFonts w:ascii="Arial" w:hAnsi="Arial" w:cs="Arial"/>
          <w:sz w:val="24"/>
          <w:szCs w:val="24"/>
        </w:rPr>
        <w:t>. The end of Pyrrhus’ intervention on the island restored the power balance between Carthage and Syracuse</w:t>
      </w:r>
      <w:r w:rsidR="00B6559E">
        <w:rPr>
          <w:rFonts w:ascii="Arial" w:hAnsi="Arial" w:cs="Arial"/>
          <w:sz w:val="24"/>
          <w:szCs w:val="24"/>
        </w:rPr>
        <w:t>.</w:t>
      </w:r>
    </w:p>
    <w:p w14:paraId="2118B8D4" w14:textId="2548933C" w:rsidR="00F21624" w:rsidRDefault="00F21624" w:rsidP="008B745A">
      <w:pPr>
        <w:spacing w:line="480" w:lineRule="auto"/>
        <w:rPr>
          <w:rFonts w:ascii="Arial" w:hAnsi="Arial" w:cs="Arial"/>
          <w:sz w:val="24"/>
          <w:szCs w:val="24"/>
        </w:rPr>
      </w:pPr>
      <w:r>
        <w:rPr>
          <w:rFonts w:ascii="Arial" w:hAnsi="Arial" w:cs="Arial"/>
          <w:sz w:val="24"/>
          <w:szCs w:val="24"/>
        </w:rPr>
        <w:t>Furthermore, they worried about ties between Rome and Syracuse – Romans recovered Rhegium with the help of Hiero II</w:t>
      </w:r>
      <w:r>
        <w:rPr>
          <w:rStyle w:val="FootnoteReference"/>
          <w:rFonts w:ascii="Arial" w:hAnsi="Arial" w:cs="Arial"/>
          <w:sz w:val="24"/>
          <w:szCs w:val="24"/>
        </w:rPr>
        <w:footnoteReference w:id="388"/>
      </w:r>
      <w:r>
        <w:rPr>
          <w:rFonts w:ascii="Arial" w:hAnsi="Arial" w:cs="Arial"/>
          <w:sz w:val="24"/>
          <w:szCs w:val="24"/>
        </w:rPr>
        <w:t>. Having spent centuries trying to secure the island and trying to limit Syracusan influence, Carthage was now able to gain control over Messana. With Syracuse’s defeat by the Romans, Carthage was now the only major power in Sicily. What ensured her decision to fight was that Carthage was not prepared to exchange Syracusan influence with the infinitely more dangerous Rome. Rome’s strength and the numbers she could field militarily would have been noticed by Carthage – particularly during Pyrrhus’ invasion. With Roman influence on the island</w:t>
      </w:r>
      <w:r w:rsidR="006A0E93">
        <w:rPr>
          <w:rFonts w:ascii="Arial" w:hAnsi="Arial" w:cs="Arial"/>
          <w:sz w:val="24"/>
          <w:szCs w:val="24"/>
        </w:rPr>
        <w:t>,</w:t>
      </w:r>
      <w:r>
        <w:rPr>
          <w:rFonts w:ascii="Arial" w:hAnsi="Arial" w:cs="Arial"/>
          <w:sz w:val="24"/>
          <w:szCs w:val="24"/>
        </w:rPr>
        <w:t xml:space="preserve"> smaller state</w:t>
      </w:r>
      <w:r w:rsidR="006A0E93">
        <w:rPr>
          <w:rFonts w:ascii="Arial" w:hAnsi="Arial" w:cs="Arial"/>
          <w:sz w:val="24"/>
          <w:szCs w:val="24"/>
        </w:rPr>
        <w:t>s</w:t>
      </w:r>
      <w:r>
        <w:rPr>
          <w:rFonts w:ascii="Arial" w:hAnsi="Arial" w:cs="Arial"/>
          <w:sz w:val="24"/>
          <w:szCs w:val="24"/>
        </w:rPr>
        <w:t xml:space="preserve"> would have another power to gravitate towards should they wish to loosen Carthaginian influence: the Mamertine</w:t>
      </w:r>
      <w:r w:rsidR="009F3C77">
        <w:rPr>
          <w:rFonts w:ascii="Arial" w:hAnsi="Arial" w:cs="Arial"/>
          <w:sz w:val="24"/>
          <w:szCs w:val="24"/>
        </w:rPr>
        <w:t>’</w:t>
      </w:r>
      <w:r>
        <w:rPr>
          <w:rFonts w:ascii="Arial" w:hAnsi="Arial" w:cs="Arial"/>
          <w:sz w:val="24"/>
          <w:szCs w:val="24"/>
        </w:rPr>
        <w:t>s appeal is another perfect example of how small states would appeal to powers for short</w:t>
      </w:r>
      <w:r w:rsidR="009F3C77">
        <w:rPr>
          <w:rFonts w:ascii="Arial" w:hAnsi="Arial" w:cs="Arial"/>
          <w:sz w:val="24"/>
          <w:szCs w:val="24"/>
        </w:rPr>
        <w:t>-</w:t>
      </w:r>
      <w:r>
        <w:rPr>
          <w:rFonts w:ascii="Arial" w:hAnsi="Arial" w:cs="Arial"/>
          <w:sz w:val="24"/>
          <w:szCs w:val="24"/>
        </w:rPr>
        <w:t>term gain</w:t>
      </w:r>
      <w:r>
        <w:rPr>
          <w:rStyle w:val="FootnoteReference"/>
          <w:rFonts w:ascii="Arial" w:hAnsi="Arial" w:cs="Arial"/>
          <w:sz w:val="24"/>
          <w:szCs w:val="24"/>
        </w:rPr>
        <w:footnoteReference w:id="389"/>
      </w:r>
      <w:r>
        <w:rPr>
          <w:rFonts w:ascii="Arial" w:hAnsi="Arial" w:cs="Arial"/>
          <w:sz w:val="24"/>
          <w:szCs w:val="24"/>
        </w:rPr>
        <w:t>. Rome’s geographical distance from the island would ensure that forces could be moved quickly. Carthage had two options: resist or accept Roman influence in Sicily.</w:t>
      </w:r>
    </w:p>
    <w:p w14:paraId="4C775D9A" w14:textId="6B2A9C97" w:rsidR="00F21624" w:rsidRDefault="00F21624" w:rsidP="008B745A">
      <w:pPr>
        <w:spacing w:line="480" w:lineRule="auto"/>
        <w:rPr>
          <w:rFonts w:ascii="Arial" w:hAnsi="Arial" w:cs="Arial"/>
          <w:sz w:val="24"/>
          <w:szCs w:val="24"/>
        </w:rPr>
      </w:pPr>
      <w:r>
        <w:rPr>
          <w:rFonts w:ascii="Arial" w:hAnsi="Arial" w:cs="Arial"/>
          <w:sz w:val="24"/>
          <w:szCs w:val="24"/>
        </w:rPr>
        <w:t>For the Romans, Hiero II’s build up would not have been welcomed by Rome – his army numbered 11,500 men</w:t>
      </w:r>
      <w:r>
        <w:rPr>
          <w:rStyle w:val="FootnoteReference"/>
          <w:rFonts w:ascii="Arial" w:hAnsi="Arial" w:cs="Arial"/>
          <w:sz w:val="24"/>
          <w:szCs w:val="24"/>
        </w:rPr>
        <w:footnoteReference w:id="390"/>
      </w:r>
      <w:r>
        <w:rPr>
          <w:rFonts w:ascii="Arial" w:hAnsi="Arial" w:cs="Arial"/>
          <w:sz w:val="24"/>
          <w:szCs w:val="24"/>
        </w:rPr>
        <w:t xml:space="preserve"> - despite co</w:t>
      </w:r>
      <w:r w:rsidR="00B6559E">
        <w:rPr>
          <w:rFonts w:ascii="Arial" w:hAnsi="Arial" w:cs="Arial"/>
          <w:sz w:val="24"/>
          <w:szCs w:val="24"/>
        </w:rPr>
        <w:t>-</w:t>
      </w:r>
      <w:r>
        <w:rPr>
          <w:rFonts w:ascii="Arial" w:hAnsi="Arial" w:cs="Arial"/>
          <w:sz w:val="24"/>
          <w:szCs w:val="24"/>
        </w:rPr>
        <w:t xml:space="preserve">operation when dealing with Rhegium. The Romans must have been anxious about the potential of Syracusan involvement </w:t>
      </w:r>
      <w:r>
        <w:rPr>
          <w:rFonts w:ascii="Arial" w:hAnsi="Arial" w:cs="Arial"/>
          <w:sz w:val="24"/>
          <w:szCs w:val="24"/>
        </w:rPr>
        <w:lastRenderedPageBreak/>
        <w:t>in southern Italy. However, with Carthage’s installation in Messana</w:t>
      </w:r>
      <w:r w:rsidR="0077114D">
        <w:rPr>
          <w:rFonts w:ascii="Arial" w:hAnsi="Arial" w:cs="Arial"/>
          <w:sz w:val="24"/>
          <w:szCs w:val="24"/>
        </w:rPr>
        <w:t>,</w:t>
      </w:r>
      <w:r>
        <w:rPr>
          <w:rFonts w:ascii="Arial" w:hAnsi="Arial" w:cs="Arial"/>
          <w:sz w:val="24"/>
          <w:szCs w:val="24"/>
        </w:rPr>
        <w:t xml:space="preserve"> Rome would have been anxious to counter the perceived threat of Carthaginian influence close to Italy – her involvement with Tarentine would only have heightened these anxieties. Roman willingness may have been because they were now aware of how close Carthage </w:t>
      </w:r>
      <w:r w:rsidR="009F3C77">
        <w:rPr>
          <w:rFonts w:ascii="Arial" w:hAnsi="Arial" w:cs="Arial"/>
          <w:sz w:val="24"/>
          <w:szCs w:val="24"/>
        </w:rPr>
        <w:t>could</w:t>
      </w:r>
      <w:r>
        <w:rPr>
          <w:rFonts w:ascii="Arial" w:hAnsi="Arial" w:cs="Arial"/>
          <w:sz w:val="24"/>
          <w:szCs w:val="24"/>
        </w:rPr>
        <w:t xml:space="preserve"> get to mainland Italy if they took Messana</w:t>
      </w:r>
      <w:r>
        <w:rPr>
          <w:rStyle w:val="FootnoteReference"/>
          <w:rFonts w:ascii="Arial" w:hAnsi="Arial" w:cs="Arial"/>
          <w:sz w:val="24"/>
          <w:szCs w:val="24"/>
        </w:rPr>
        <w:footnoteReference w:id="391"/>
      </w:r>
      <w:r>
        <w:rPr>
          <w:rFonts w:ascii="Arial" w:hAnsi="Arial" w:cs="Arial"/>
          <w:sz w:val="24"/>
          <w:szCs w:val="24"/>
        </w:rPr>
        <w:t>. Carthage’s decision to send a fleet to Messana from the Lipari islands only increased their perception that Carthage would quickly be able to send forces</w:t>
      </w:r>
      <w:r w:rsidR="00B043C7">
        <w:rPr>
          <w:rFonts w:ascii="Arial" w:hAnsi="Arial" w:cs="Arial"/>
          <w:sz w:val="24"/>
          <w:szCs w:val="24"/>
        </w:rPr>
        <w:t>,</w:t>
      </w:r>
      <w:r>
        <w:rPr>
          <w:rFonts w:ascii="Arial" w:hAnsi="Arial" w:cs="Arial"/>
          <w:sz w:val="24"/>
          <w:szCs w:val="24"/>
        </w:rPr>
        <w:t xml:space="preserve"> if requested. </w:t>
      </w:r>
    </w:p>
    <w:p w14:paraId="1A4ECCD1" w14:textId="77777777" w:rsidR="00F21624" w:rsidRDefault="00F21624" w:rsidP="008B745A">
      <w:pPr>
        <w:spacing w:line="480" w:lineRule="auto"/>
        <w:rPr>
          <w:rFonts w:ascii="Arial" w:hAnsi="Arial" w:cs="Arial"/>
          <w:sz w:val="24"/>
          <w:szCs w:val="24"/>
        </w:rPr>
      </w:pPr>
      <w:r>
        <w:rPr>
          <w:rFonts w:ascii="Arial" w:hAnsi="Arial" w:cs="Arial"/>
          <w:sz w:val="24"/>
          <w:szCs w:val="24"/>
        </w:rPr>
        <w:t>The Carthaginians taking of Messana would not have been reassuring. The fact that the Mamertines had crossed to interfere in Rhegium proved how easy access was</w:t>
      </w:r>
      <w:r>
        <w:rPr>
          <w:rStyle w:val="FootnoteReference"/>
          <w:rFonts w:ascii="Arial" w:hAnsi="Arial" w:cs="Arial"/>
          <w:sz w:val="24"/>
          <w:szCs w:val="24"/>
        </w:rPr>
        <w:footnoteReference w:id="392"/>
      </w:r>
      <w:r>
        <w:rPr>
          <w:rFonts w:ascii="Arial" w:hAnsi="Arial" w:cs="Arial"/>
          <w:sz w:val="24"/>
          <w:szCs w:val="24"/>
        </w:rPr>
        <w:t xml:space="preserve">. Roman concern can be seen with the construction in 264 of the colony of Castrum </w:t>
      </w:r>
      <w:proofErr w:type="spellStart"/>
      <w:r>
        <w:rPr>
          <w:rFonts w:ascii="Arial" w:hAnsi="Arial" w:cs="Arial"/>
          <w:sz w:val="24"/>
          <w:szCs w:val="24"/>
        </w:rPr>
        <w:t>Novem</w:t>
      </w:r>
      <w:proofErr w:type="spellEnd"/>
      <w:r>
        <w:rPr>
          <w:rStyle w:val="FootnoteReference"/>
          <w:rFonts w:ascii="Arial" w:hAnsi="Arial" w:cs="Arial"/>
          <w:sz w:val="24"/>
          <w:szCs w:val="24"/>
        </w:rPr>
        <w:footnoteReference w:id="393"/>
      </w:r>
      <w:r>
        <w:rPr>
          <w:rFonts w:ascii="Arial" w:hAnsi="Arial" w:cs="Arial"/>
          <w:sz w:val="24"/>
          <w:szCs w:val="24"/>
        </w:rPr>
        <w:t>. As Rome had no navy, it must have been designed to prevent raids</w:t>
      </w:r>
      <w:r>
        <w:rPr>
          <w:rStyle w:val="FootnoteReference"/>
          <w:rFonts w:ascii="Arial" w:hAnsi="Arial" w:cs="Arial"/>
          <w:sz w:val="24"/>
          <w:szCs w:val="24"/>
        </w:rPr>
        <w:footnoteReference w:id="394"/>
      </w:r>
      <w:r>
        <w:rPr>
          <w:rFonts w:ascii="Arial" w:hAnsi="Arial" w:cs="Arial"/>
          <w:sz w:val="24"/>
          <w:szCs w:val="24"/>
        </w:rPr>
        <w:t>. It provides further proof that Rome was concerned about Carthaginian power, rather than Harris’ bold claim that the Roman concerns about Carthage were a myth</w:t>
      </w:r>
      <w:r>
        <w:rPr>
          <w:rStyle w:val="FootnoteReference"/>
          <w:rFonts w:ascii="Arial" w:hAnsi="Arial" w:cs="Arial"/>
          <w:sz w:val="24"/>
          <w:szCs w:val="24"/>
        </w:rPr>
        <w:footnoteReference w:id="395"/>
      </w:r>
      <w:r>
        <w:rPr>
          <w:rFonts w:ascii="Arial" w:hAnsi="Arial" w:cs="Arial"/>
          <w:sz w:val="24"/>
          <w:szCs w:val="24"/>
        </w:rPr>
        <w:t xml:space="preserve">. </w:t>
      </w:r>
    </w:p>
    <w:p w14:paraId="5C1428AB" w14:textId="68E6E480" w:rsidR="00F21624" w:rsidRDefault="00F21624" w:rsidP="008B745A">
      <w:pPr>
        <w:spacing w:line="480" w:lineRule="auto"/>
        <w:rPr>
          <w:rFonts w:ascii="Arial" w:hAnsi="Arial" w:cs="Arial"/>
          <w:sz w:val="24"/>
          <w:szCs w:val="24"/>
        </w:rPr>
      </w:pPr>
      <w:r>
        <w:rPr>
          <w:rFonts w:ascii="Arial" w:hAnsi="Arial" w:cs="Arial"/>
          <w:sz w:val="24"/>
          <w:szCs w:val="24"/>
        </w:rPr>
        <w:t>One of the main arguments used by those favouring Roman aggressiveness as the prime cause is that the senate went to the masses and pitched plunder</w:t>
      </w:r>
      <w:r w:rsidR="00E67F72">
        <w:rPr>
          <w:rFonts w:ascii="Arial" w:hAnsi="Arial" w:cs="Arial"/>
          <w:sz w:val="24"/>
          <w:szCs w:val="24"/>
        </w:rPr>
        <w:t xml:space="preserve"> as a justification to go to war</w:t>
      </w:r>
      <w:r>
        <w:rPr>
          <w:rStyle w:val="FootnoteReference"/>
          <w:rFonts w:ascii="Arial" w:hAnsi="Arial" w:cs="Arial"/>
          <w:sz w:val="24"/>
          <w:szCs w:val="24"/>
        </w:rPr>
        <w:footnoteReference w:id="396"/>
      </w:r>
      <w:r>
        <w:rPr>
          <w:rFonts w:ascii="Arial" w:hAnsi="Arial" w:cs="Arial"/>
          <w:sz w:val="24"/>
          <w:szCs w:val="24"/>
        </w:rPr>
        <w:t>. As has been shown, the motive of greed had always been present for both sides - war had to pay for itself</w:t>
      </w:r>
      <w:r>
        <w:rPr>
          <w:rStyle w:val="FootnoteReference"/>
          <w:rFonts w:ascii="Arial" w:hAnsi="Arial" w:cs="Arial"/>
          <w:sz w:val="24"/>
          <w:szCs w:val="24"/>
        </w:rPr>
        <w:footnoteReference w:id="397"/>
      </w:r>
      <w:r>
        <w:rPr>
          <w:rFonts w:ascii="Arial" w:hAnsi="Arial" w:cs="Arial"/>
          <w:sz w:val="24"/>
          <w:szCs w:val="24"/>
        </w:rPr>
        <w:t xml:space="preserve">. However, as fighting was to be overseas, which entailed a longer duration of service, and having just fought a </w:t>
      </w:r>
      <w:r>
        <w:rPr>
          <w:rFonts w:ascii="Arial" w:hAnsi="Arial" w:cs="Arial"/>
          <w:sz w:val="24"/>
          <w:szCs w:val="24"/>
        </w:rPr>
        <w:lastRenderedPageBreak/>
        <w:t>brutal war against Pyrrhus</w:t>
      </w:r>
      <w:r w:rsidR="00E46144">
        <w:rPr>
          <w:rFonts w:ascii="Arial" w:hAnsi="Arial" w:cs="Arial"/>
          <w:sz w:val="24"/>
          <w:szCs w:val="24"/>
        </w:rPr>
        <w:t>,</w:t>
      </w:r>
      <w:r>
        <w:rPr>
          <w:rFonts w:ascii="Arial" w:hAnsi="Arial" w:cs="Arial"/>
          <w:sz w:val="24"/>
          <w:szCs w:val="24"/>
        </w:rPr>
        <w:t xml:space="preserve"> the population would have been tired of war. Booty was a factor to encourage the population, but clearly not the prime factor. </w:t>
      </w:r>
    </w:p>
    <w:p w14:paraId="0C69118C" w14:textId="77777777" w:rsidR="00F21624" w:rsidRDefault="00F21624" w:rsidP="008B745A">
      <w:pPr>
        <w:spacing w:line="480" w:lineRule="auto"/>
        <w:rPr>
          <w:rFonts w:ascii="Arial" w:hAnsi="Arial" w:cs="Arial"/>
          <w:sz w:val="24"/>
          <w:szCs w:val="24"/>
        </w:rPr>
      </w:pPr>
      <w:r>
        <w:rPr>
          <w:rFonts w:ascii="Arial" w:hAnsi="Arial" w:cs="Arial"/>
          <w:sz w:val="24"/>
          <w:szCs w:val="24"/>
        </w:rPr>
        <w:t>This can also be seen by the reactions of both powers, which highlight the fact they were unprepared for conflict and were certainly not aiming their sights at each other, gearing up for their next conflict. It certainly helps refute the idea of that conflict had been inevitable for some time</w:t>
      </w:r>
      <w:r w:rsidRPr="00FA3DC2">
        <w:rPr>
          <w:rFonts w:ascii="Arial" w:hAnsi="Arial" w:cs="Arial"/>
          <w:sz w:val="24"/>
          <w:szCs w:val="24"/>
        </w:rPr>
        <w:t xml:space="preserve"> </w:t>
      </w:r>
      <w:r>
        <w:rPr>
          <w:rFonts w:ascii="Arial" w:hAnsi="Arial" w:cs="Arial"/>
          <w:sz w:val="24"/>
          <w:szCs w:val="24"/>
        </w:rPr>
        <w:t>or that the Romans already had Carthage in their sights before the Mamertines</w:t>
      </w:r>
      <w:r>
        <w:rPr>
          <w:rStyle w:val="FootnoteReference"/>
          <w:rFonts w:ascii="Arial" w:hAnsi="Arial" w:cs="Arial"/>
          <w:sz w:val="24"/>
          <w:szCs w:val="24"/>
        </w:rPr>
        <w:footnoteReference w:id="398"/>
      </w:r>
      <w:r>
        <w:rPr>
          <w:rFonts w:ascii="Arial" w:hAnsi="Arial" w:cs="Arial"/>
          <w:sz w:val="24"/>
          <w:szCs w:val="24"/>
        </w:rPr>
        <w:t xml:space="preserve">. </w:t>
      </w:r>
    </w:p>
    <w:p w14:paraId="35D2F124" w14:textId="2B5405D3" w:rsidR="00F21624" w:rsidRDefault="006F67FA" w:rsidP="008B745A">
      <w:pPr>
        <w:spacing w:line="480" w:lineRule="auto"/>
        <w:rPr>
          <w:rFonts w:ascii="Arial" w:hAnsi="Arial" w:cs="Arial"/>
          <w:sz w:val="24"/>
          <w:szCs w:val="24"/>
        </w:rPr>
      </w:pPr>
      <w:r>
        <w:rPr>
          <w:rFonts w:ascii="Arial" w:hAnsi="Arial" w:cs="Arial"/>
          <w:sz w:val="24"/>
          <w:szCs w:val="24"/>
        </w:rPr>
        <w:t>I</w:t>
      </w:r>
      <w:r w:rsidR="00F21624">
        <w:rPr>
          <w:rFonts w:ascii="Arial" w:hAnsi="Arial" w:cs="Arial"/>
          <w:sz w:val="24"/>
          <w:szCs w:val="24"/>
        </w:rPr>
        <w:t>f this was the case</w:t>
      </w:r>
      <w:r w:rsidR="0075552E">
        <w:rPr>
          <w:rFonts w:ascii="Arial" w:hAnsi="Arial" w:cs="Arial"/>
          <w:sz w:val="24"/>
          <w:szCs w:val="24"/>
        </w:rPr>
        <w:t>,</w:t>
      </w:r>
      <w:r w:rsidR="00F21624">
        <w:rPr>
          <w:rFonts w:ascii="Arial" w:hAnsi="Arial" w:cs="Arial"/>
          <w:sz w:val="24"/>
          <w:szCs w:val="24"/>
        </w:rPr>
        <w:t xml:space="preserve"> military build-up by either side would be necessary</w:t>
      </w:r>
      <w:r w:rsidR="00D25284">
        <w:rPr>
          <w:rFonts w:ascii="Arial" w:hAnsi="Arial" w:cs="Arial"/>
          <w:sz w:val="24"/>
          <w:szCs w:val="24"/>
        </w:rPr>
        <w:t>, whereas</w:t>
      </w:r>
      <w:r w:rsidR="00F21624">
        <w:rPr>
          <w:rFonts w:ascii="Arial" w:hAnsi="Arial" w:cs="Arial"/>
          <w:sz w:val="24"/>
          <w:szCs w:val="24"/>
        </w:rPr>
        <w:t xml:space="preserve"> no such build up occurred for either side, even though Pyrrhus’ intervention highlighted the strengths and weaknesses of both sides. In fact, after landing in Sicily one of the consuls took his two legions back to Italy, halving the size of the Roman army</w:t>
      </w:r>
      <w:r w:rsidR="00F21624">
        <w:rPr>
          <w:rStyle w:val="FootnoteReference"/>
          <w:rFonts w:ascii="Arial" w:hAnsi="Arial" w:cs="Arial"/>
          <w:sz w:val="24"/>
          <w:szCs w:val="24"/>
        </w:rPr>
        <w:footnoteReference w:id="399"/>
      </w:r>
      <w:r w:rsidR="00F21624">
        <w:rPr>
          <w:rFonts w:ascii="Arial" w:hAnsi="Arial" w:cs="Arial"/>
          <w:sz w:val="24"/>
          <w:szCs w:val="24"/>
        </w:rPr>
        <w:t>. Even after Pyrrhus’ intervention the Romans did not begin to construct a navy until well after hostilities with Carthage began – certainly a prerequisite for any success against a naval power. Rome had initially trialled a navy but that was destroyed in 282 in the Ionian Sea</w:t>
      </w:r>
      <w:r w:rsidR="00F21624">
        <w:rPr>
          <w:rStyle w:val="FootnoteReference"/>
          <w:rFonts w:ascii="Arial" w:hAnsi="Arial" w:cs="Arial"/>
          <w:sz w:val="24"/>
          <w:szCs w:val="24"/>
        </w:rPr>
        <w:footnoteReference w:id="400"/>
      </w:r>
      <w:r w:rsidR="00F21624">
        <w:rPr>
          <w:rFonts w:ascii="Arial" w:hAnsi="Arial" w:cs="Arial"/>
          <w:sz w:val="24"/>
          <w:szCs w:val="24"/>
        </w:rPr>
        <w:t>. Carthage had the Lipari islands which would be perfect to support their fleet</w:t>
      </w:r>
      <w:r w:rsidR="00F21624">
        <w:rPr>
          <w:rStyle w:val="FootnoteReference"/>
          <w:rFonts w:ascii="Arial" w:hAnsi="Arial" w:cs="Arial"/>
          <w:sz w:val="24"/>
          <w:szCs w:val="24"/>
        </w:rPr>
        <w:footnoteReference w:id="401"/>
      </w:r>
      <w:r w:rsidR="00F21624">
        <w:rPr>
          <w:rFonts w:ascii="Arial" w:hAnsi="Arial" w:cs="Arial"/>
          <w:sz w:val="24"/>
          <w:szCs w:val="24"/>
        </w:rPr>
        <w:t>. When thinking about Roman unpreparedness there were other targets which would not tax them so thoroughly, principally the Celts</w:t>
      </w:r>
      <w:r w:rsidR="00B6559E">
        <w:rPr>
          <w:rFonts w:ascii="Arial" w:hAnsi="Arial" w:cs="Arial"/>
          <w:sz w:val="24"/>
          <w:szCs w:val="24"/>
        </w:rPr>
        <w:t xml:space="preserve"> to the </w:t>
      </w:r>
      <w:r w:rsidR="0075552E">
        <w:rPr>
          <w:rFonts w:ascii="Arial" w:hAnsi="Arial" w:cs="Arial"/>
          <w:sz w:val="24"/>
          <w:szCs w:val="24"/>
        </w:rPr>
        <w:t>n</w:t>
      </w:r>
      <w:r w:rsidR="00B6559E">
        <w:rPr>
          <w:rFonts w:ascii="Arial" w:hAnsi="Arial" w:cs="Arial"/>
          <w:sz w:val="24"/>
          <w:szCs w:val="24"/>
        </w:rPr>
        <w:t>orth, who only 20 years prior to 264 and invaded Roman territory</w:t>
      </w:r>
      <w:r w:rsidR="00B6559E">
        <w:rPr>
          <w:rStyle w:val="FootnoteReference"/>
          <w:rFonts w:ascii="Arial" w:hAnsi="Arial" w:cs="Arial"/>
          <w:sz w:val="24"/>
          <w:szCs w:val="24"/>
        </w:rPr>
        <w:footnoteReference w:id="402"/>
      </w:r>
      <w:r w:rsidR="00B6559E">
        <w:rPr>
          <w:rFonts w:ascii="Arial" w:hAnsi="Arial" w:cs="Arial"/>
          <w:sz w:val="24"/>
          <w:szCs w:val="24"/>
        </w:rPr>
        <w:t>.</w:t>
      </w:r>
    </w:p>
    <w:p w14:paraId="7879BE47" w14:textId="77777777" w:rsidR="00F21624" w:rsidRDefault="00F21624" w:rsidP="008B745A">
      <w:pPr>
        <w:spacing w:line="480" w:lineRule="auto"/>
        <w:rPr>
          <w:rFonts w:ascii="Arial" w:hAnsi="Arial" w:cs="Arial"/>
          <w:sz w:val="24"/>
          <w:szCs w:val="24"/>
        </w:rPr>
      </w:pPr>
      <w:r>
        <w:rPr>
          <w:rFonts w:ascii="Arial" w:hAnsi="Arial" w:cs="Arial"/>
          <w:sz w:val="24"/>
          <w:szCs w:val="24"/>
        </w:rPr>
        <w:t xml:space="preserve">What it shows is that whilst the Mamertine Appeal was unexpected, for both sides, neither side would let the decision pass them by, as it would allow the other to gain strategic ascendency. It certainly does not match Harris’ claims that Rome was </w:t>
      </w:r>
      <w:r>
        <w:rPr>
          <w:rFonts w:ascii="Arial" w:hAnsi="Arial" w:cs="Arial"/>
          <w:sz w:val="24"/>
          <w:szCs w:val="24"/>
        </w:rPr>
        <w:lastRenderedPageBreak/>
        <w:t>already struggling for world power before the outbreak of war, as their actions – such as the withdrawing of troops – seem to suggest that they were not preparing for large scale conflict</w:t>
      </w:r>
      <w:r>
        <w:rPr>
          <w:rStyle w:val="FootnoteReference"/>
          <w:rFonts w:ascii="Arial" w:hAnsi="Arial" w:cs="Arial"/>
          <w:sz w:val="24"/>
          <w:szCs w:val="24"/>
        </w:rPr>
        <w:footnoteReference w:id="403"/>
      </w:r>
      <w:r>
        <w:rPr>
          <w:rFonts w:ascii="Arial" w:hAnsi="Arial" w:cs="Arial"/>
          <w:sz w:val="24"/>
          <w:szCs w:val="24"/>
        </w:rPr>
        <w:t xml:space="preserve">. </w:t>
      </w:r>
    </w:p>
    <w:p w14:paraId="71859F94" w14:textId="6CEE9E6F" w:rsidR="00F21624" w:rsidRDefault="00F21624" w:rsidP="008B745A">
      <w:pPr>
        <w:spacing w:line="480" w:lineRule="auto"/>
        <w:rPr>
          <w:rFonts w:ascii="Arial" w:hAnsi="Arial" w:cs="Arial"/>
          <w:sz w:val="24"/>
          <w:szCs w:val="24"/>
        </w:rPr>
      </w:pPr>
      <w:r>
        <w:rPr>
          <w:rFonts w:ascii="Arial" w:hAnsi="Arial" w:cs="Arial"/>
          <w:sz w:val="24"/>
          <w:szCs w:val="24"/>
        </w:rPr>
        <w:t>On the other hand, Hoyos’ argument that the small garrison in Messana did not constitute a threat to Rome ignores the anxieties that had been building over the last 40 years. Whilst it is true Carthage’s current garrison was small, Rome’s prior relations with Carthage emphasis the concern about each other’s potential influence in Italy and Sicily. Rome would not have seen the garrison size and been relieved. Instead</w:t>
      </w:r>
      <w:r w:rsidR="00D25284">
        <w:rPr>
          <w:rFonts w:ascii="Arial" w:hAnsi="Arial" w:cs="Arial"/>
          <w:sz w:val="24"/>
          <w:szCs w:val="24"/>
        </w:rPr>
        <w:t>,</w:t>
      </w:r>
      <w:r>
        <w:rPr>
          <w:rFonts w:ascii="Arial" w:hAnsi="Arial" w:cs="Arial"/>
          <w:sz w:val="24"/>
          <w:szCs w:val="24"/>
        </w:rPr>
        <w:t xml:space="preserve"> they would have been concerned that Carthage had finally taken a strategic city that controlled the Straits. For as long as relations between the two had existed, this had not happened. Whilst Hoyos can argue that the Mamertines appeal to Rome was about repelling Syracusan aggression, Rome’s response must have been about trying to reduce Carthaginian and Syracusan influence, if necessary, by increasing their own</w:t>
      </w:r>
      <w:r>
        <w:rPr>
          <w:rStyle w:val="FootnoteReference"/>
          <w:rFonts w:ascii="Arial" w:hAnsi="Arial" w:cs="Arial"/>
          <w:sz w:val="24"/>
          <w:szCs w:val="24"/>
        </w:rPr>
        <w:footnoteReference w:id="404"/>
      </w:r>
      <w:r>
        <w:rPr>
          <w:rFonts w:ascii="Arial" w:hAnsi="Arial" w:cs="Arial"/>
          <w:sz w:val="24"/>
          <w:szCs w:val="24"/>
        </w:rPr>
        <w:t xml:space="preserve">. As has been shown in Chapter 3, this is not the first time Rome reacted proactively to perceived threats. Whoever controlled Sicily would control the Mediterranean – </w:t>
      </w:r>
      <w:r w:rsidR="00D25284">
        <w:rPr>
          <w:rFonts w:ascii="Arial" w:hAnsi="Arial" w:cs="Arial"/>
          <w:sz w:val="24"/>
          <w:szCs w:val="24"/>
        </w:rPr>
        <w:t xml:space="preserve">this was </w:t>
      </w:r>
      <w:r>
        <w:rPr>
          <w:rFonts w:ascii="Arial" w:hAnsi="Arial" w:cs="Arial"/>
          <w:sz w:val="24"/>
          <w:szCs w:val="24"/>
        </w:rPr>
        <w:t>well understood by Rome</w:t>
      </w:r>
      <w:r>
        <w:rPr>
          <w:rStyle w:val="FootnoteReference"/>
          <w:rFonts w:ascii="Arial" w:hAnsi="Arial" w:cs="Arial"/>
          <w:sz w:val="24"/>
          <w:szCs w:val="24"/>
        </w:rPr>
        <w:footnoteReference w:id="405"/>
      </w:r>
      <w:r>
        <w:rPr>
          <w:rFonts w:ascii="Arial" w:hAnsi="Arial" w:cs="Arial"/>
          <w:sz w:val="24"/>
          <w:szCs w:val="24"/>
        </w:rPr>
        <w:t>.</w:t>
      </w:r>
    </w:p>
    <w:p w14:paraId="2E47DF49" w14:textId="745943F3" w:rsidR="00F21624" w:rsidRPr="00EA180B" w:rsidRDefault="00F21624" w:rsidP="008B745A">
      <w:pPr>
        <w:spacing w:line="480" w:lineRule="auto"/>
        <w:rPr>
          <w:rFonts w:ascii="Arial" w:hAnsi="Arial" w:cs="Arial"/>
          <w:sz w:val="24"/>
          <w:szCs w:val="24"/>
        </w:rPr>
      </w:pPr>
      <w:r>
        <w:rPr>
          <w:rFonts w:ascii="Arial" w:hAnsi="Arial" w:cs="Arial"/>
          <w:sz w:val="24"/>
          <w:szCs w:val="24"/>
        </w:rPr>
        <w:t>Roman forces met Carthaginian forces outside Messana to try to negotiate a settlement and diffuse the situation</w:t>
      </w:r>
      <w:r>
        <w:rPr>
          <w:rStyle w:val="FootnoteReference"/>
          <w:rFonts w:ascii="Arial" w:hAnsi="Arial" w:cs="Arial"/>
          <w:sz w:val="24"/>
          <w:szCs w:val="24"/>
        </w:rPr>
        <w:footnoteReference w:id="406"/>
      </w:r>
      <w:r>
        <w:rPr>
          <w:rFonts w:ascii="Arial" w:hAnsi="Arial" w:cs="Arial"/>
          <w:sz w:val="24"/>
          <w:szCs w:val="24"/>
        </w:rPr>
        <w:t>. Hoyos states that this was to see if an accommodation could be reached – it must be remembered Hoyos claims the Romans were principally interested in Syracuse</w:t>
      </w:r>
      <w:r>
        <w:rPr>
          <w:rStyle w:val="FootnoteReference"/>
          <w:rFonts w:ascii="Arial" w:hAnsi="Arial" w:cs="Arial"/>
          <w:sz w:val="24"/>
          <w:szCs w:val="24"/>
        </w:rPr>
        <w:footnoteReference w:id="407"/>
      </w:r>
      <w:r>
        <w:rPr>
          <w:rFonts w:ascii="Arial" w:hAnsi="Arial" w:cs="Arial"/>
          <w:sz w:val="24"/>
          <w:szCs w:val="24"/>
        </w:rPr>
        <w:t xml:space="preserve">. </w:t>
      </w:r>
      <w:r w:rsidR="004F0ED8">
        <w:rPr>
          <w:rFonts w:ascii="Arial" w:hAnsi="Arial" w:cs="Arial"/>
          <w:sz w:val="24"/>
          <w:szCs w:val="24"/>
        </w:rPr>
        <w:t>That said</w:t>
      </w:r>
      <w:r>
        <w:rPr>
          <w:rFonts w:ascii="Arial" w:hAnsi="Arial" w:cs="Arial"/>
          <w:sz w:val="24"/>
          <w:szCs w:val="24"/>
        </w:rPr>
        <w:t xml:space="preserve">, neither side would have been willing to concede and back down, giving influence and control of north Sicily to the other. Importantly, Carthage could not have let the Romans become </w:t>
      </w:r>
      <w:r>
        <w:rPr>
          <w:rFonts w:ascii="Arial" w:hAnsi="Arial" w:cs="Arial"/>
          <w:sz w:val="24"/>
          <w:szCs w:val="24"/>
        </w:rPr>
        <w:lastRenderedPageBreak/>
        <w:t>close to Syracuse, not after centuries of warfare. The central flaw in Hoyos theory is that he does not attach enough importance to the prior histories of Rome and Carthage.</w:t>
      </w:r>
      <w:r w:rsidR="00B6559E">
        <w:rPr>
          <w:rFonts w:ascii="Arial" w:hAnsi="Arial" w:cs="Arial"/>
          <w:sz w:val="24"/>
          <w:szCs w:val="24"/>
        </w:rPr>
        <w:t xml:space="preserve"> As has been shown, neither side had ever allowed strategic territory to be taken by a rival</w:t>
      </w:r>
      <w:r w:rsidR="008B5BB1">
        <w:rPr>
          <w:rFonts w:ascii="Arial" w:hAnsi="Arial" w:cs="Arial"/>
          <w:sz w:val="24"/>
          <w:szCs w:val="24"/>
        </w:rPr>
        <w:t xml:space="preserve"> permanently. </w:t>
      </w:r>
    </w:p>
    <w:p w14:paraId="164DCA5D" w14:textId="1940ED41" w:rsidR="00F21624" w:rsidRDefault="00F21624" w:rsidP="008B745A">
      <w:pPr>
        <w:spacing w:line="480" w:lineRule="auto"/>
        <w:rPr>
          <w:rFonts w:ascii="Arial" w:hAnsi="Arial" w:cs="Arial"/>
          <w:sz w:val="24"/>
          <w:szCs w:val="24"/>
        </w:rPr>
      </w:pPr>
      <w:r>
        <w:rPr>
          <w:rFonts w:ascii="Arial" w:hAnsi="Arial" w:cs="Arial"/>
          <w:sz w:val="24"/>
          <w:szCs w:val="24"/>
        </w:rPr>
        <w:t xml:space="preserve">The final issue that needs to be considered is the claim that the war was started by a faction of Campanian aristocracy. It is alleged that families of Campanian origin became predominant in Rome – like the </w:t>
      </w:r>
      <w:proofErr w:type="spellStart"/>
      <w:r>
        <w:rPr>
          <w:rFonts w:ascii="Arial" w:hAnsi="Arial" w:cs="Arial"/>
          <w:sz w:val="24"/>
          <w:szCs w:val="24"/>
        </w:rPr>
        <w:t>Atilii</w:t>
      </w:r>
      <w:proofErr w:type="spellEnd"/>
      <w:r>
        <w:rPr>
          <w:rFonts w:ascii="Arial" w:hAnsi="Arial" w:cs="Arial"/>
          <w:sz w:val="24"/>
          <w:szCs w:val="24"/>
        </w:rPr>
        <w:t xml:space="preserve"> who held seven consulships between 267 and 245</w:t>
      </w:r>
      <w:r>
        <w:rPr>
          <w:rStyle w:val="FootnoteReference"/>
          <w:rFonts w:ascii="Arial" w:hAnsi="Arial" w:cs="Arial"/>
          <w:sz w:val="24"/>
          <w:szCs w:val="24"/>
        </w:rPr>
        <w:footnoteReference w:id="408"/>
      </w:r>
      <w:r>
        <w:rPr>
          <w:rFonts w:ascii="Arial" w:hAnsi="Arial" w:cs="Arial"/>
          <w:sz w:val="24"/>
          <w:szCs w:val="24"/>
        </w:rPr>
        <w:t>. As Campanian agriculture had been growing, they wanted to defend their interests</w:t>
      </w:r>
      <w:r>
        <w:rPr>
          <w:rStyle w:val="FootnoteReference"/>
          <w:rFonts w:ascii="Arial" w:hAnsi="Arial" w:cs="Arial"/>
          <w:sz w:val="24"/>
          <w:szCs w:val="24"/>
        </w:rPr>
        <w:footnoteReference w:id="409"/>
      </w:r>
      <w:r>
        <w:rPr>
          <w:rFonts w:ascii="Arial" w:hAnsi="Arial" w:cs="Arial"/>
          <w:sz w:val="24"/>
          <w:szCs w:val="24"/>
        </w:rPr>
        <w:t>. Further proof is provided by the fact that as the war effort could no longer be sustained from public funds, they turned to private Romans</w:t>
      </w:r>
      <w:r w:rsidR="00CA1876">
        <w:rPr>
          <w:rFonts w:ascii="Arial" w:hAnsi="Arial" w:cs="Arial"/>
          <w:sz w:val="24"/>
          <w:szCs w:val="24"/>
        </w:rPr>
        <w:t xml:space="preserve">. </w:t>
      </w:r>
      <w:r>
        <w:rPr>
          <w:rFonts w:ascii="Arial" w:hAnsi="Arial" w:cs="Arial"/>
          <w:sz w:val="24"/>
          <w:szCs w:val="24"/>
        </w:rPr>
        <w:t>Campanian aristocrats paid for a fleet</w:t>
      </w:r>
      <w:r>
        <w:rPr>
          <w:rStyle w:val="FootnoteReference"/>
          <w:rFonts w:ascii="Arial" w:hAnsi="Arial" w:cs="Arial"/>
          <w:sz w:val="24"/>
          <w:szCs w:val="24"/>
        </w:rPr>
        <w:footnoteReference w:id="410"/>
      </w:r>
      <w:r>
        <w:rPr>
          <w:rFonts w:ascii="Arial" w:hAnsi="Arial" w:cs="Arial"/>
          <w:sz w:val="24"/>
          <w:szCs w:val="24"/>
        </w:rPr>
        <w:t>. However, the evidence for these ties is speculative at best. The whole argument is based on the cognomen of the consuls (</w:t>
      </w:r>
      <w:proofErr w:type="spellStart"/>
      <w:r>
        <w:rPr>
          <w:rFonts w:ascii="Arial" w:hAnsi="Arial" w:cs="Arial"/>
          <w:sz w:val="24"/>
          <w:szCs w:val="24"/>
        </w:rPr>
        <w:t>Caiatinus</w:t>
      </w:r>
      <w:proofErr w:type="spellEnd"/>
      <w:r>
        <w:rPr>
          <w:rFonts w:ascii="Arial" w:hAnsi="Arial" w:cs="Arial"/>
          <w:sz w:val="24"/>
          <w:szCs w:val="24"/>
        </w:rPr>
        <w:t xml:space="preserve"> and </w:t>
      </w:r>
      <w:proofErr w:type="spellStart"/>
      <w:r>
        <w:rPr>
          <w:rFonts w:ascii="Arial" w:hAnsi="Arial" w:cs="Arial"/>
          <w:sz w:val="24"/>
          <w:szCs w:val="24"/>
        </w:rPr>
        <w:t>Calenus</w:t>
      </w:r>
      <w:proofErr w:type="spellEnd"/>
      <w:r>
        <w:rPr>
          <w:rFonts w:ascii="Arial" w:hAnsi="Arial" w:cs="Arial"/>
          <w:sz w:val="24"/>
          <w:szCs w:val="24"/>
        </w:rPr>
        <w:t xml:space="preserve">) as references of the Campanian towns of </w:t>
      </w:r>
      <w:proofErr w:type="spellStart"/>
      <w:r>
        <w:rPr>
          <w:rFonts w:ascii="Arial" w:hAnsi="Arial" w:cs="Arial"/>
          <w:sz w:val="24"/>
          <w:szCs w:val="24"/>
        </w:rPr>
        <w:t>Cales</w:t>
      </w:r>
      <w:proofErr w:type="spellEnd"/>
      <w:r>
        <w:rPr>
          <w:rFonts w:ascii="Arial" w:hAnsi="Arial" w:cs="Arial"/>
          <w:sz w:val="24"/>
          <w:szCs w:val="24"/>
        </w:rPr>
        <w:t xml:space="preserve"> and </w:t>
      </w:r>
      <w:proofErr w:type="spellStart"/>
      <w:r>
        <w:rPr>
          <w:rFonts w:ascii="Arial" w:hAnsi="Arial" w:cs="Arial"/>
          <w:sz w:val="24"/>
          <w:szCs w:val="24"/>
        </w:rPr>
        <w:t>Caiatia</w:t>
      </w:r>
      <w:proofErr w:type="spellEnd"/>
      <w:r>
        <w:rPr>
          <w:rStyle w:val="FootnoteReference"/>
          <w:rFonts w:ascii="Arial" w:hAnsi="Arial" w:cs="Arial"/>
          <w:sz w:val="24"/>
          <w:szCs w:val="24"/>
        </w:rPr>
        <w:footnoteReference w:id="411"/>
      </w:r>
      <w:r>
        <w:rPr>
          <w:rFonts w:ascii="Arial" w:hAnsi="Arial" w:cs="Arial"/>
          <w:sz w:val="24"/>
          <w:szCs w:val="24"/>
        </w:rPr>
        <w:t>. This evidence scarcely provides any justification of political scheming. Not only that, whilst Campanian families paid for ships, it was southern Italy that had ports with which to finance fleets – it should be remember</w:t>
      </w:r>
      <w:r w:rsidR="00CA1876">
        <w:rPr>
          <w:rFonts w:ascii="Arial" w:hAnsi="Arial" w:cs="Arial"/>
          <w:sz w:val="24"/>
          <w:szCs w:val="24"/>
        </w:rPr>
        <w:t>ed</w:t>
      </w:r>
      <w:r>
        <w:rPr>
          <w:rFonts w:ascii="Arial" w:hAnsi="Arial" w:cs="Arial"/>
          <w:sz w:val="24"/>
          <w:szCs w:val="24"/>
        </w:rPr>
        <w:t xml:space="preserve"> that prior to the construction of their own fleets the Romans used their allies, from the same region. It should also be remembered that whilst Campanians paid for ships, rather than doing that to secure Sicily</w:t>
      </w:r>
      <w:r w:rsidR="00350652">
        <w:rPr>
          <w:rFonts w:ascii="Arial" w:hAnsi="Arial" w:cs="Arial"/>
          <w:sz w:val="24"/>
          <w:szCs w:val="24"/>
        </w:rPr>
        <w:t>,</w:t>
      </w:r>
      <w:r>
        <w:rPr>
          <w:rFonts w:ascii="Arial" w:hAnsi="Arial" w:cs="Arial"/>
          <w:sz w:val="24"/>
          <w:szCs w:val="24"/>
        </w:rPr>
        <w:t xml:space="preserve"> it may also have been about self-preservation: southern Italy was easy to invade, as Pyrrhus highlighted. </w:t>
      </w:r>
    </w:p>
    <w:p w14:paraId="3F63ADD4" w14:textId="77777777" w:rsidR="0041384A" w:rsidRDefault="0041384A" w:rsidP="008B745A">
      <w:pPr>
        <w:spacing w:line="480" w:lineRule="auto"/>
        <w:jc w:val="center"/>
        <w:rPr>
          <w:rFonts w:ascii="Arial" w:hAnsi="Arial" w:cs="Arial"/>
          <w:b/>
          <w:bCs/>
          <w:sz w:val="24"/>
          <w:szCs w:val="24"/>
          <w:u w:val="single"/>
        </w:rPr>
      </w:pPr>
    </w:p>
    <w:p w14:paraId="0AE9862E" w14:textId="77777777" w:rsidR="0041384A" w:rsidRDefault="0041384A" w:rsidP="008B745A">
      <w:pPr>
        <w:spacing w:line="480" w:lineRule="auto"/>
        <w:jc w:val="center"/>
        <w:rPr>
          <w:rFonts w:ascii="Arial" w:hAnsi="Arial" w:cs="Arial"/>
          <w:b/>
          <w:bCs/>
          <w:sz w:val="24"/>
          <w:szCs w:val="24"/>
          <w:u w:val="single"/>
        </w:rPr>
      </w:pPr>
    </w:p>
    <w:p w14:paraId="4D15F097" w14:textId="77777777" w:rsidR="0041384A" w:rsidRDefault="0041384A" w:rsidP="008B745A">
      <w:pPr>
        <w:spacing w:line="480" w:lineRule="auto"/>
        <w:jc w:val="center"/>
        <w:rPr>
          <w:rFonts w:ascii="Arial" w:hAnsi="Arial" w:cs="Arial"/>
          <w:b/>
          <w:bCs/>
          <w:sz w:val="24"/>
          <w:szCs w:val="24"/>
          <w:u w:val="single"/>
        </w:rPr>
      </w:pPr>
    </w:p>
    <w:p w14:paraId="3B29F042" w14:textId="69A7A271" w:rsidR="0041384A" w:rsidRDefault="0041384A" w:rsidP="00350652">
      <w:pPr>
        <w:spacing w:line="480" w:lineRule="auto"/>
        <w:rPr>
          <w:rFonts w:ascii="Arial" w:hAnsi="Arial" w:cs="Arial"/>
          <w:b/>
          <w:bCs/>
          <w:sz w:val="24"/>
          <w:szCs w:val="24"/>
          <w:u w:val="single"/>
        </w:rPr>
      </w:pPr>
    </w:p>
    <w:p w14:paraId="5F0FB03A" w14:textId="77E8967B" w:rsidR="00B6559E" w:rsidRDefault="00B6559E" w:rsidP="00350652">
      <w:pPr>
        <w:spacing w:line="480" w:lineRule="auto"/>
        <w:rPr>
          <w:rFonts w:ascii="Arial" w:hAnsi="Arial" w:cs="Arial"/>
          <w:b/>
          <w:bCs/>
          <w:sz w:val="24"/>
          <w:szCs w:val="24"/>
          <w:u w:val="single"/>
        </w:rPr>
      </w:pPr>
    </w:p>
    <w:p w14:paraId="30E1DEBA" w14:textId="642A4ABA" w:rsidR="00B6559E" w:rsidRDefault="00B6559E" w:rsidP="00350652">
      <w:pPr>
        <w:spacing w:line="480" w:lineRule="auto"/>
        <w:rPr>
          <w:rFonts w:ascii="Arial" w:hAnsi="Arial" w:cs="Arial"/>
          <w:b/>
          <w:bCs/>
          <w:sz w:val="24"/>
          <w:szCs w:val="24"/>
          <w:u w:val="single"/>
        </w:rPr>
      </w:pPr>
    </w:p>
    <w:p w14:paraId="4581B483" w14:textId="1BF6D17F" w:rsidR="00B6559E" w:rsidRDefault="00B6559E" w:rsidP="00350652">
      <w:pPr>
        <w:spacing w:line="480" w:lineRule="auto"/>
        <w:rPr>
          <w:rFonts w:ascii="Arial" w:hAnsi="Arial" w:cs="Arial"/>
          <w:b/>
          <w:bCs/>
          <w:sz w:val="24"/>
          <w:szCs w:val="24"/>
          <w:u w:val="single"/>
        </w:rPr>
      </w:pPr>
    </w:p>
    <w:p w14:paraId="66CFA8AF" w14:textId="042C0F1B" w:rsidR="00B6559E" w:rsidRDefault="00B6559E" w:rsidP="00350652">
      <w:pPr>
        <w:spacing w:line="480" w:lineRule="auto"/>
        <w:rPr>
          <w:rFonts w:ascii="Arial" w:hAnsi="Arial" w:cs="Arial"/>
          <w:b/>
          <w:bCs/>
          <w:sz w:val="24"/>
          <w:szCs w:val="24"/>
          <w:u w:val="single"/>
        </w:rPr>
      </w:pPr>
    </w:p>
    <w:p w14:paraId="294C28C5" w14:textId="69C4DC9D" w:rsidR="00061BC8" w:rsidRDefault="00061BC8" w:rsidP="00350652">
      <w:pPr>
        <w:spacing w:line="480" w:lineRule="auto"/>
        <w:rPr>
          <w:rFonts w:ascii="Arial" w:hAnsi="Arial" w:cs="Arial"/>
          <w:b/>
          <w:bCs/>
          <w:sz w:val="24"/>
          <w:szCs w:val="24"/>
          <w:u w:val="single"/>
        </w:rPr>
      </w:pPr>
    </w:p>
    <w:p w14:paraId="40506514" w14:textId="77777777" w:rsidR="00061BC8" w:rsidRDefault="00061BC8" w:rsidP="00350652">
      <w:pPr>
        <w:spacing w:line="480" w:lineRule="auto"/>
        <w:rPr>
          <w:rFonts w:ascii="Arial" w:hAnsi="Arial" w:cs="Arial"/>
          <w:b/>
          <w:bCs/>
          <w:sz w:val="24"/>
          <w:szCs w:val="24"/>
          <w:u w:val="single"/>
        </w:rPr>
      </w:pPr>
    </w:p>
    <w:p w14:paraId="2AC54309" w14:textId="77777777" w:rsidR="00B6559E" w:rsidRDefault="00B6559E" w:rsidP="00350652">
      <w:pPr>
        <w:spacing w:line="480" w:lineRule="auto"/>
        <w:rPr>
          <w:rFonts w:ascii="Arial" w:hAnsi="Arial" w:cs="Arial"/>
          <w:b/>
          <w:bCs/>
          <w:sz w:val="24"/>
          <w:szCs w:val="24"/>
          <w:u w:val="single"/>
        </w:rPr>
      </w:pPr>
    </w:p>
    <w:p w14:paraId="59101011" w14:textId="3A3FC309" w:rsidR="00F21624" w:rsidRDefault="00F21624" w:rsidP="008B745A">
      <w:pPr>
        <w:spacing w:line="480" w:lineRule="auto"/>
        <w:jc w:val="center"/>
        <w:rPr>
          <w:rFonts w:ascii="Arial" w:hAnsi="Arial" w:cs="Arial"/>
          <w:b/>
          <w:bCs/>
          <w:sz w:val="24"/>
          <w:szCs w:val="24"/>
          <w:u w:val="single"/>
        </w:rPr>
      </w:pPr>
      <w:r>
        <w:rPr>
          <w:rFonts w:ascii="Arial" w:hAnsi="Arial" w:cs="Arial"/>
          <w:b/>
          <w:bCs/>
          <w:sz w:val="24"/>
          <w:szCs w:val="24"/>
          <w:u w:val="single"/>
        </w:rPr>
        <w:t>Conclusion</w:t>
      </w:r>
    </w:p>
    <w:p w14:paraId="58453DA8" w14:textId="7BDF4201" w:rsidR="00F21624" w:rsidRDefault="00350652" w:rsidP="008B745A">
      <w:pPr>
        <w:spacing w:line="480" w:lineRule="auto"/>
        <w:rPr>
          <w:rFonts w:ascii="Arial" w:hAnsi="Arial" w:cs="Arial"/>
          <w:sz w:val="24"/>
          <w:szCs w:val="24"/>
        </w:rPr>
      </w:pPr>
      <w:r>
        <w:rPr>
          <w:rFonts w:ascii="Arial" w:hAnsi="Arial" w:cs="Arial"/>
          <w:sz w:val="24"/>
          <w:szCs w:val="24"/>
        </w:rPr>
        <w:t>T</w:t>
      </w:r>
      <w:r w:rsidR="00F21624">
        <w:rPr>
          <w:rFonts w:ascii="Arial" w:hAnsi="Arial" w:cs="Arial"/>
          <w:sz w:val="24"/>
          <w:szCs w:val="24"/>
        </w:rPr>
        <w:t xml:space="preserve">he First Punic War broke out because Carthage was not prepared to accept Roman influence on the island of Sicily. Carthage had fought long and hard to secure </w:t>
      </w:r>
      <w:r w:rsidR="00B659C0">
        <w:rPr>
          <w:rFonts w:ascii="Arial" w:hAnsi="Arial" w:cs="Arial"/>
          <w:sz w:val="24"/>
          <w:szCs w:val="24"/>
        </w:rPr>
        <w:t>hegemony</w:t>
      </w:r>
      <w:r w:rsidR="00F21624">
        <w:rPr>
          <w:rFonts w:ascii="Arial" w:hAnsi="Arial" w:cs="Arial"/>
          <w:sz w:val="24"/>
          <w:szCs w:val="24"/>
        </w:rPr>
        <w:t xml:space="preserve"> on the island and expended huge amounts of money and manpower to defend it. Whilst Carthage employed different strategies</w:t>
      </w:r>
      <w:r w:rsidR="00B659C0">
        <w:rPr>
          <w:rFonts w:ascii="Arial" w:hAnsi="Arial" w:cs="Arial"/>
          <w:sz w:val="24"/>
          <w:szCs w:val="24"/>
        </w:rPr>
        <w:t xml:space="preserve">, </w:t>
      </w:r>
      <w:r w:rsidR="00F21624">
        <w:rPr>
          <w:rFonts w:ascii="Arial" w:hAnsi="Arial" w:cs="Arial"/>
          <w:sz w:val="24"/>
          <w:szCs w:val="24"/>
        </w:rPr>
        <w:t xml:space="preserve">proactive measures to maintain strategic security had also been employed. Pyrrhus’ invasion, along with Agathocles, heightened anxieties that Sicily was not only vulnerable but could also be used as a launchpad for attacks into the Carthaginian mainland. </w:t>
      </w:r>
    </w:p>
    <w:p w14:paraId="735B3BEE" w14:textId="297828DA" w:rsidR="00F21624" w:rsidRDefault="00EA6087" w:rsidP="008B745A">
      <w:pPr>
        <w:spacing w:line="480" w:lineRule="auto"/>
        <w:rPr>
          <w:rFonts w:ascii="Arial" w:hAnsi="Arial" w:cs="Arial"/>
          <w:sz w:val="24"/>
          <w:szCs w:val="24"/>
        </w:rPr>
      </w:pPr>
      <w:r>
        <w:rPr>
          <w:rFonts w:ascii="Arial" w:hAnsi="Arial" w:cs="Arial"/>
          <w:sz w:val="24"/>
          <w:szCs w:val="24"/>
        </w:rPr>
        <w:t>Also,</w:t>
      </w:r>
      <w:r w:rsidR="00F21624">
        <w:rPr>
          <w:rFonts w:ascii="Arial" w:hAnsi="Arial" w:cs="Arial"/>
          <w:sz w:val="24"/>
          <w:szCs w:val="24"/>
        </w:rPr>
        <w:t xml:space="preserve"> Rome was not prepared to tolerate Carthaginian ascendency on the island, particularly gaining control over the Straits of Messana. For Rome, Pyrrhus’ intervention and the Tarentine aftermath furthered concerns that Carthage would be able to become increasingly involved in the Italian </w:t>
      </w:r>
      <w:r w:rsidR="007C45FF">
        <w:rPr>
          <w:rFonts w:ascii="Arial" w:hAnsi="Arial" w:cs="Arial"/>
          <w:sz w:val="24"/>
          <w:szCs w:val="24"/>
        </w:rPr>
        <w:t>Peninsula</w:t>
      </w:r>
      <w:r w:rsidR="00F21624">
        <w:rPr>
          <w:rFonts w:ascii="Arial" w:hAnsi="Arial" w:cs="Arial"/>
          <w:sz w:val="24"/>
          <w:szCs w:val="24"/>
        </w:rPr>
        <w:t xml:space="preserve">. Rome’s own history </w:t>
      </w:r>
      <w:r w:rsidR="00F21624">
        <w:rPr>
          <w:rFonts w:ascii="Arial" w:hAnsi="Arial" w:cs="Arial"/>
          <w:sz w:val="24"/>
          <w:szCs w:val="24"/>
        </w:rPr>
        <w:lastRenderedPageBreak/>
        <w:t xml:space="preserve">highlights that she would, like Carthage, take proactive steps to ensure strategic protection and the elimination of perceived threats – fostered after centuries of horrific warfare, at appalling cost. Events like the sack of Rome only encouraged such thinking. </w:t>
      </w:r>
      <w:proofErr w:type="spellStart"/>
      <w:r w:rsidR="00F97D56">
        <w:rPr>
          <w:rFonts w:ascii="Arial" w:hAnsi="Arial" w:cs="Arial"/>
          <w:sz w:val="24"/>
          <w:szCs w:val="24"/>
        </w:rPr>
        <w:t>Raaflaub’s</w:t>
      </w:r>
      <w:proofErr w:type="spellEnd"/>
      <w:r w:rsidR="007C45FF">
        <w:rPr>
          <w:rFonts w:ascii="Arial" w:hAnsi="Arial" w:cs="Arial"/>
          <w:sz w:val="24"/>
          <w:szCs w:val="24"/>
        </w:rPr>
        <w:t xml:space="preserve"> argument that Rome ‘took risks’ to seize land and wealth, is only half correct</w:t>
      </w:r>
      <w:r w:rsidR="007C45FF">
        <w:rPr>
          <w:rStyle w:val="FootnoteReference"/>
          <w:rFonts w:ascii="Arial" w:hAnsi="Arial" w:cs="Arial"/>
          <w:sz w:val="24"/>
          <w:szCs w:val="24"/>
        </w:rPr>
        <w:footnoteReference w:id="412"/>
      </w:r>
      <w:r w:rsidR="007C45FF">
        <w:rPr>
          <w:rFonts w:ascii="Arial" w:hAnsi="Arial" w:cs="Arial"/>
          <w:sz w:val="24"/>
          <w:szCs w:val="24"/>
        </w:rPr>
        <w:t>. Rome did take risks, as did every other power, to secure its strategic position – the alternative was to give the advantage to rivals.</w:t>
      </w:r>
    </w:p>
    <w:p w14:paraId="0E171ADE" w14:textId="0EB7D972" w:rsidR="00F21624" w:rsidRDefault="00E479E5" w:rsidP="008B745A">
      <w:pPr>
        <w:spacing w:line="480" w:lineRule="auto"/>
        <w:rPr>
          <w:rFonts w:ascii="Arial" w:hAnsi="Arial" w:cs="Arial"/>
          <w:sz w:val="24"/>
          <w:szCs w:val="24"/>
        </w:rPr>
      </w:pPr>
      <w:r>
        <w:rPr>
          <w:rFonts w:ascii="Arial" w:hAnsi="Arial" w:cs="Arial"/>
          <w:sz w:val="24"/>
          <w:szCs w:val="24"/>
        </w:rPr>
        <w:t>F</w:t>
      </w:r>
      <w:r w:rsidR="00F21624">
        <w:rPr>
          <w:rFonts w:ascii="Arial" w:hAnsi="Arial" w:cs="Arial"/>
          <w:sz w:val="24"/>
          <w:szCs w:val="24"/>
        </w:rPr>
        <w:t xml:space="preserve">ears </w:t>
      </w:r>
      <w:r>
        <w:rPr>
          <w:rFonts w:ascii="Arial" w:hAnsi="Arial" w:cs="Arial"/>
          <w:sz w:val="24"/>
          <w:szCs w:val="24"/>
        </w:rPr>
        <w:t xml:space="preserve">on </w:t>
      </w:r>
      <w:r w:rsidR="00F21624">
        <w:rPr>
          <w:rFonts w:ascii="Arial" w:hAnsi="Arial" w:cs="Arial"/>
          <w:sz w:val="24"/>
          <w:szCs w:val="24"/>
        </w:rPr>
        <w:t xml:space="preserve">both sides were heightened by the realities of interstate diplomacy and relations. </w:t>
      </w:r>
      <w:r>
        <w:rPr>
          <w:rFonts w:ascii="Arial" w:hAnsi="Arial" w:cs="Arial"/>
          <w:sz w:val="24"/>
          <w:szCs w:val="24"/>
        </w:rPr>
        <w:t>S</w:t>
      </w:r>
      <w:r w:rsidR="00F21624">
        <w:rPr>
          <w:rFonts w:ascii="Arial" w:hAnsi="Arial" w:cs="Arial"/>
          <w:sz w:val="24"/>
          <w:szCs w:val="24"/>
        </w:rPr>
        <w:t xml:space="preserve">mall states often gravitated to larger one, hoping to secure their own survival. In order to ensure the strategic advantage did not go to the other power, states often had to intervene, even though the result would be war. </w:t>
      </w:r>
    </w:p>
    <w:p w14:paraId="5029B379" w14:textId="37DA4A58" w:rsidR="00F21624" w:rsidRDefault="00F21624" w:rsidP="008B745A">
      <w:pPr>
        <w:spacing w:line="480" w:lineRule="auto"/>
        <w:rPr>
          <w:rFonts w:ascii="Arial" w:hAnsi="Arial" w:cs="Arial"/>
          <w:sz w:val="24"/>
          <w:szCs w:val="24"/>
        </w:rPr>
      </w:pPr>
      <w:r>
        <w:rPr>
          <w:rFonts w:ascii="Arial" w:hAnsi="Arial" w:cs="Arial"/>
          <w:sz w:val="24"/>
          <w:szCs w:val="24"/>
        </w:rPr>
        <w:t>The Mamertine appeal provides a perfect example of this. It was the flashpoint for conflict, but neither side was ready</w:t>
      </w:r>
      <w:r w:rsidR="000442D8">
        <w:rPr>
          <w:rFonts w:ascii="Arial" w:hAnsi="Arial" w:cs="Arial"/>
          <w:sz w:val="24"/>
          <w:szCs w:val="24"/>
        </w:rPr>
        <w:t>,</w:t>
      </w:r>
      <w:r>
        <w:rPr>
          <w:rFonts w:ascii="Arial" w:hAnsi="Arial" w:cs="Arial"/>
          <w:sz w:val="24"/>
          <w:szCs w:val="24"/>
        </w:rPr>
        <w:t xml:space="preserve"> nor prepared</w:t>
      </w:r>
      <w:r w:rsidR="000442D8">
        <w:rPr>
          <w:rFonts w:ascii="Arial" w:hAnsi="Arial" w:cs="Arial"/>
          <w:sz w:val="24"/>
          <w:szCs w:val="24"/>
        </w:rPr>
        <w:t>,</w:t>
      </w:r>
      <w:r>
        <w:rPr>
          <w:rFonts w:ascii="Arial" w:hAnsi="Arial" w:cs="Arial"/>
          <w:sz w:val="24"/>
          <w:szCs w:val="24"/>
        </w:rPr>
        <w:t xml:space="preserve"> for war. Having fought Syracuse for so long, its collapse created a vacuum that Carthage had to ensure would not be filled by Rome. Previous relations between Rome and Syracuse – despite the current war – deepened Carthaginian concern.</w:t>
      </w:r>
    </w:p>
    <w:p w14:paraId="6AD6F90E" w14:textId="1C912236" w:rsidR="00F21624" w:rsidRDefault="00B6559E" w:rsidP="008B745A">
      <w:pPr>
        <w:spacing w:line="480" w:lineRule="auto"/>
        <w:rPr>
          <w:rFonts w:ascii="Arial" w:hAnsi="Arial" w:cs="Arial"/>
          <w:sz w:val="24"/>
          <w:szCs w:val="24"/>
        </w:rPr>
      </w:pPr>
      <w:r>
        <w:rPr>
          <w:rFonts w:ascii="Arial" w:hAnsi="Arial" w:cs="Arial"/>
          <w:sz w:val="24"/>
          <w:szCs w:val="24"/>
        </w:rPr>
        <w:t>T</w:t>
      </w:r>
      <w:r w:rsidR="00F21624">
        <w:rPr>
          <w:rFonts w:ascii="Arial" w:hAnsi="Arial" w:cs="Arial"/>
          <w:sz w:val="24"/>
          <w:szCs w:val="24"/>
        </w:rPr>
        <w:t>he idea that Messana was just a pretext for both sides that coveted the wealth and power of the other is an incorrect assessment</w:t>
      </w:r>
      <w:r w:rsidR="00F21624">
        <w:rPr>
          <w:rStyle w:val="FootnoteReference"/>
          <w:rFonts w:ascii="Arial" w:hAnsi="Arial" w:cs="Arial"/>
          <w:sz w:val="24"/>
          <w:szCs w:val="24"/>
        </w:rPr>
        <w:footnoteReference w:id="413"/>
      </w:r>
      <w:r w:rsidR="00F21624">
        <w:rPr>
          <w:rFonts w:ascii="Arial" w:hAnsi="Arial" w:cs="Arial"/>
          <w:sz w:val="24"/>
          <w:szCs w:val="24"/>
        </w:rPr>
        <w:t xml:space="preserve">. Security concerns were the primary consideration, with plunder and land used as a means of securing </w:t>
      </w:r>
      <w:r w:rsidR="0041384A">
        <w:rPr>
          <w:rFonts w:ascii="Arial" w:hAnsi="Arial" w:cs="Arial"/>
          <w:sz w:val="24"/>
          <w:szCs w:val="24"/>
        </w:rPr>
        <w:t>acquiesce</w:t>
      </w:r>
      <w:r w:rsidR="00F21624">
        <w:rPr>
          <w:rFonts w:ascii="Arial" w:hAnsi="Arial" w:cs="Arial"/>
          <w:sz w:val="24"/>
          <w:szCs w:val="24"/>
        </w:rPr>
        <w:t xml:space="preserve"> from the Roman public. </w:t>
      </w:r>
    </w:p>
    <w:p w14:paraId="541D6E98" w14:textId="0718CAB1" w:rsidR="00F21624" w:rsidRDefault="00F21624" w:rsidP="008B745A">
      <w:pPr>
        <w:spacing w:line="480" w:lineRule="auto"/>
        <w:rPr>
          <w:rFonts w:ascii="Arial" w:hAnsi="Arial" w:cs="Arial"/>
          <w:sz w:val="24"/>
          <w:szCs w:val="24"/>
        </w:rPr>
      </w:pPr>
      <w:r>
        <w:rPr>
          <w:rFonts w:ascii="Arial" w:hAnsi="Arial" w:cs="Arial"/>
          <w:sz w:val="24"/>
          <w:szCs w:val="24"/>
        </w:rPr>
        <w:t xml:space="preserve">This paper </w:t>
      </w:r>
      <w:r w:rsidR="00E479E5">
        <w:rPr>
          <w:rFonts w:ascii="Arial" w:hAnsi="Arial" w:cs="Arial"/>
          <w:sz w:val="24"/>
          <w:szCs w:val="24"/>
        </w:rPr>
        <w:t>questions</w:t>
      </w:r>
      <w:r>
        <w:rPr>
          <w:rFonts w:ascii="Arial" w:hAnsi="Arial" w:cs="Arial"/>
          <w:sz w:val="24"/>
          <w:szCs w:val="24"/>
        </w:rPr>
        <w:t xml:space="preserve"> the idea that Carthage were victimised by Rome</w:t>
      </w:r>
      <w:r>
        <w:rPr>
          <w:rStyle w:val="FootnoteReference"/>
          <w:rFonts w:ascii="Arial" w:hAnsi="Arial" w:cs="Arial"/>
          <w:sz w:val="24"/>
          <w:szCs w:val="24"/>
        </w:rPr>
        <w:footnoteReference w:id="414"/>
      </w:r>
      <w:r>
        <w:rPr>
          <w:rFonts w:ascii="Arial" w:hAnsi="Arial" w:cs="Arial"/>
          <w:sz w:val="24"/>
          <w:szCs w:val="24"/>
        </w:rPr>
        <w:t xml:space="preserve">. On the contrary, an analysis of their relations prior to 264 show that Carthage often was the major power. When the flashpoint occurred, Carthage was not passive, watching </w:t>
      </w:r>
      <w:r>
        <w:rPr>
          <w:rFonts w:ascii="Arial" w:hAnsi="Arial" w:cs="Arial"/>
          <w:sz w:val="24"/>
          <w:szCs w:val="24"/>
        </w:rPr>
        <w:lastRenderedPageBreak/>
        <w:t>Rome encroach into her sphere of influence, but actively sought to neutralise the threat, even though Carthage must have been conscious the war would be bloody. Lazenby’s assessment that mutual enmity over Pyrrhus may have held things in check</w:t>
      </w:r>
      <w:r w:rsidR="00E479E5">
        <w:rPr>
          <w:rFonts w:ascii="Arial" w:hAnsi="Arial" w:cs="Arial"/>
          <w:sz w:val="24"/>
          <w:szCs w:val="24"/>
        </w:rPr>
        <w:t>,</w:t>
      </w:r>
      <w:r>
        <w:rPr>
          <w:rFonts w:ascii="Arial" w:hAnsi="Arial" w:cs="Arial"/>
          <w:sz w:val="24"/>
          <w:szCs w:val="24"/>
        </w:rPr>
        <w:t xml:space="preserve"> but after that a clash was inevitable is also only partially correct</w:t>
      </w:r>
      <w:r>
        <w:rPr>
          <w:rStyle w:val="FootnoteReference"/>
          <w:rFonts w:ascii="Arial" w:hAnsi="Arial" w:cs="Arial"/>
          <w:sz w:val="24"/>
          <w:szCs w:val="24"/>
        </w:rPr>
        <w:footnoteReference w:id="415"/>
      </w:r>
      <w:r>
        <w:rPr>
          <w:rFonts w:ascii="Arial" w:hAnsi="Arial" w:cs="Arial"/>
          <w:sz w:val="24"/>
          <w:szCs w:val="24"/>
        </w:rPr>
        <w:t xml:space="preserve">. Pyrrhus’ intervention heightened anxieties for both sides, but their lack of preparedness implies that Rome and Carthage did not view the conflict as inevitable. Moreover, it was only the </w:t>
      </w:r>
      <w:r w:rsidR="0041384A">
        <w:rPr>
          <w:rFonts w:ascii="Arial" w:hAnsi="Arial" w:cs="Arial"/>
          <w:sz w:val="24"/>
          <w:szCs w:val="24"/>
        </w:rPr>
        <w:t>collapse</w:t>
      </w:r>
      <w:r>
        <w:rPr>
          <w:rFonts w:ascii="Arial" w:hAnsi="Arial" w:cs="Arial"/>
          <w:sz w:val="24"/>
          <w:szCs w:val="24"/>
        </w:rPr>
        <w:t xml:space="preserve"> of Syracuse and their aggressions against the Mamertine’s that brought Rome and Carthage to war</w:t>
      </w:r>
      <w:r w:rsidR="00E479E5">
        <w:rPr>
          <w:rFonts w:ascii="Arial" w:hAnsi="Arial" w:cs="Arial"/>
          <w:sz w:val="24"/>
          <w:szCs w:val="24"/>
        </w:rPr>
        <w:t>. T</w:t>
      </w:r>
      <w:r>
        <w:rPr>
          <w:rFonts w:ascii="Arial" w:hAnsi="Arial" w:cs="Arial"/>
          <w:sz w:val="24"/>
          <w:szCs w:val="24"/>
        </w:rPr>
        <w:t xml:space="preserve">his was not something that had been developing for years. </w:t>
      </w:r>
    </w:p>
    <w:p w14:paraId="08289543" w14:textId="32BA4F15" w:rsidR="00F21624" w:rsidRDefault="00F21624" w:rsidP="008B745A">
      <w:pPr>
        <w:spacing w:line="480" w:lineRule="auto"/>
        <w:rPr>
          <w:rFonts w:ascii="Arial" w:hAnsi="Arial" w:cs="Arial"/>
          <w:sz w:val="24"/>
          <w:szCs w:val="24"/>
        </w:rPr>
      </w:pPr>
      <w:r>
        <w:rPr>
          <w:rFonts w:ascii="Arial" w:hAnsi="Arial" w:cs="Arial"/>
          <w:sz w:val="24"/>
          <w:szCs w:val="24"/>
        </w:rPr>
        <w:t>This is where Hoyos and Lazenby disagree. For Lazenby, Rome knew Carthage was the real problem</w:t>
      </w:r>
      <w:r>
        <w:rPr>
          <w:rStyle w:val="FootnoteReference"/>
          <w:rFonts w:ascii="Arial" w:hAnsi="Arial" w:cs="Arial"/>
          <w:sz w:val="24"/>
          <w:szCs w:val="24"/>
        </w:rPr>
        <w:footnoteReference w:id="416"/>
      </w:r>
      <w:r>
        <w:rPr>
          <w:rFonts w:ascii="Arial" w:hAnsi="Arial" w:cs="Arial"/>
          <w:sz w:val="24"/>
          <w:szCs w:val="24"/>
        </w:rPr>
        <w:t>. For Hoyos</w:t>
      </w:r>
      <w:r w:rsidR="00E479E5">
        <w:rPr>
          <w:rFonts w:ascii="Arial" w:hAnsi="Arial" w:cs="Arial"/>
          <w:sz w:val="24"/>
          <w:szCs w:val="24"/>
        </w:rPr>
        <w:t>,</w:t>
      </w:r>
      <w:r>
        <w:rPr>
          <w:rFonts w:ascii="Arial" w:hAnsi="Arial" w:cs="Arial"/>
          <w:sz w:val="24"/>
          <w:szCs w:val="24"/>
        </w:rPr>
        <w:t xml:space="preserve"> it was Syracuse</w:t>
      </w:r>
      <w:r w:rsidR="00401408">
        <w:rPr>
          <w:rStyle w:val="FootnoteReference"/>
          <w:rFonts w:ascii="Arial" w:hAnsi="Arial" w:cs="Arial"/>
          <w:sz w:val="24"/>
          <w:szCs w:val="24"/>
        </w:rPr>
        <w:footnoteReference w:id="417"/>
      </w:r>
      <w:r>
        <w:rPr>
          <w:rFonts w:ascii="Arial" w:hAnsi="Arial" w:cs="Arial"/>
          <w:sz w:val="24"/>
          <w:szCs w:val="24"/>
        </w:rPr>
        <w:t xml:space="preserve">. From the evidence presented Rome would have understood that Carthage would not accept a Roman presence on </w:t>
      </w:r>
      <w:r w:rsidR="00E479E5">
        <w:rPr>
          <w:rFonts w:ascii="Arial" w:hAnsi="Arial" w:cs="Arial"/>
          <w:sz w:val="24"/>
          <w:szCs w:val="24"/>
        </w:rPr>
        <w:t>Sicily</w:t>
      </w:r>
      <w:r>
        <w:rPr>
          <w:rFonts w:ascii="Arial" w:hAnsi="Arial" w:cs="Arial"/>
          <w:sz w:val="24"/>
          <w:szCs w:val="24"/>
        </w:rPr>
        <w:t xml:space="preserve">, just as Rome would not have accepted a Carthaginian presence in Italy. The treaties confirm just how important this was to each other. Rome was concerned simply by the movement of Carthaginian ships outside Tarentum. As such, the </w:t>
      </w:r>
      <w:r w:rsidR="003378D4">
        <w:rPr>
          <w:rFonts w:ascii="Arial" w:hAnsi="Arial" w:cs="Arial"/>
          <w:sz w:val="24"/>
          <w:szCs w:val="24"/>
        </w:rPr>
        <w:t>S</w:t>
      </w:r>
      <w:r>
        <w:rPr>
          <w:rFonts w:ascii="Arial" w:hAnsi="Arial" w:cs="Arial"/>
          <w:sz w:val="24"/>
          <w:szCs w:val="24"/>
        </w:rPr>
        <w:t>enate</w:t>
      </w:r>
      <w:r w:rsidR="003378D4">
        <w:rPr>
          <w:rFonts w:ascii="Arial" w:hAnsi="Arial" w:cs="Arial"/>
          <w:sz w:val="24"/>
          <w:szCs w:val="24"/>
        </w:rPr>
        <w:t>’</w:t>
      </w:r>
      <w:r>
        <w:rPr>
          <w:rFonts w:ascii="Arial" w:hAnsi="Arial" w:cs="Arial"/>
          <w:sz w:val="24"/>
          <w:szCs w:val="24"/>
        </w:rPr>
        <w:t>s ‘agony’ was probably genuine, for they knew – as interstate politics dictates – that if Rome did not intervene, they would have to accept Carthaginian hegemony over the entire island</w:t>
      </w:r>
      <w:r>
        <w:rPr>
          <w:rStyle w:val="FootnoteReference"/>
          <w:rFonts w:ascii="Arial" w:hAnsi="Arial" w:cs="Arial"/>
          <w:sz w:val="24"/>
          <w:szCs w:val="24"/>
        </w:rPr>
        <w:footnoteReference w:id="418"/>
      </w:r>
      <w:r>
        <w:rPr>
          <w:rFonts w:ascii="Arial" w:hAnsi="Arial" w:cs="Arial"/>
          <w:sz w:val="24"/>
          <w:szCs w:val="24"/>
        </w:rPr>
        <w:t xml:space="preserve">. </w:t>
      </w:r>
    </w:p>
    <w:p w14:paraId="17F2EF3A" w14:textId="09CBDAD7" w:rsidR="00F21624" w:rsidRDefault="00F21624" w:rsidP="008B745A">
      <w:pPr>
        <w:spacing w:line="480" w:lineRule="auto"/>
        <w:rPr>
          <w:rFonts w:ascii="Arial" w:hAnsi="Arial" w:cs="Arial"/>
          <w:sz w:val="24"/>
          <w:szCs w:val="24"/>
        </w:rPr>
      </w:pPr>
      <w:r>
        <w:rPr>
          <w:rFonts w:ascii="Arial" w:hAnsi="Arial" w:cs="Arial"/>
          <w:sz w:val="24"/>
          <w:szCs w:val="24"/>
        </w:rPr>
        <w:t xml:space="preserve">This paper has also demonstrated that whilst plunder, aristocratic glory and land </w:t>
      </w:r>
      <w:r w:rsidR="003378D4">
        <w:rPr>
          <w:rFonts w:ascii="Arial" w:hAnsi="Arial" w:cs="Arial"/>
          <w:sz w:val="24"/>
          <w:szCs w:val="24"/>
        </w:rPr>
        <w:t xml:space="preserve">acquisition </w:t>
      </w:r>
      <w:r>
        <w:rPr>
          <w:rFonts w:ascii="Arial" w:hAnsi="Arial" w:cs="Arial"/>
          <w:sz w:val="24"/>
          <w:szCs w:val="24"/>
        </w:rPr>
        <w:t xml:space="preserve">were factors, they were </w:t>
      </w:r>
      <w:r w:rsidR="003378D4">
        <w:rPr>
          <w:rFonts w:ascii="Arial" w:hAnsi="Arial" w:cs="Arial"/>
          <w:sz w:val="24"/>
          <w:szCs w:val="24"/>
        </w:rPr>
        <w:t>factors</w:t>
      </w:r>
      <w:r>
        <w:rPr>
          <w:rFonts w:ascii="Arial" w:hAnsi="Arial" w:cs="Arial"/>
          <w:sz w:val="24"/>
          <w:szCs w:val="24"/>
        </w:rPr>
        <w:t xml:space="preserve"> for all Mediterranean powers. Rome was </w:t>
      </w:r>
      <w:r w:rsidR="003378D4">
        <w:rPr>
          <w:rFonts w:ascii="Arial" w:hAnsi="Arial" w:cs="Arial"/>
          <w:sz w:val="24"/>
          <w:szCs w:val="24"/>
        </w:rPr>
        <w:t xml:space="preserve">certainly </w:t>
      </w:r>
      <w:r>
        <w:rPr>
          <w:rFonts w:ascii="Arial" w:hAnsi="Arial" w:cs="Arial"/>
          <w:sz w:val="24"/>
          <w:szCs w:val="24"/>
        </w:rPr>
        <w:t xml:space="preserve">not unique. </w:t>
      </w:r>
      <w:r w:rsidR="003378D4">
        <w:rPr>
          <w:rFonts w:ascii="Arial" w:hAnsi="Arial" w:cs="Arial"/>
          <w:sz w:val="24"/>
          <w:szCs w:val="24"/>
        </w:rPr>
        <w:t>These</w:t>
      </w:r>
      <w:r>
        <w:rPr>
          <w:rFonts w:ascii="Arial" w:hAnsi="Arial" w:cs="Arial"/>
          <w:sz w:val="24"/>
          <w:szCs w:val="24"/>
        </w:rPr>
        <w:t xml:space="preserve"> were expected outcomes – the </w:t>
      </w:r>
      <w:r w:rsidR="003378D4">
        <w:rPr>
          <w:rFonts w:ascii="Arial" w:hAnsi="Arial" w:cs="Arial"/>
          <w:sz w:val="24"/>
          <w:szCs w:val="24"/>
        </w:rPr>
        <w:t>plebeians</w:t>
      </w:r>
      <w:r>
        <w:rPr>
          <w:rFonts w:ascii="Arial" w:hAnsi="Arial" w:cs="Arial"/>
          <w:sz w:val="24"/>
          <w:szCs w:val="24"/>
        </w:rPr>
        <w:t xml:space="preserve"> claim</w:t>
      </w:r>
      <w:r w:rsidR="003378D4">
        <w:rPr>
          <w:rFonts w:ascii="Arial" w:hAnsi="Arial" w:cs="Arial"/>
          <w:sz w:val="24"/>
          <w:szCs w:val="24"/>
        </w:rPr>
        <w:t>ed</w:t>
      </w:r>
      <w:r>
        <w:rPr>
          <w:rFonts w:ascii="Arial" w:hAnsi="Arial" w:cs="Arial"/>
          <w:sz w:val="24"/>
          <w:szCs w:val="24"/>
        </w:rPr>
        <w:t xml:space="preserve"> that they were tired </w:t>
      </w:r>
      <w:r w:rsidR="003378D4">
        <w:rPr>
          <w:rFonts w:ascii="Arial" w:hAnsi="Arial" w:cs="Arial"/>
          <w:sz w:val="24"/>
          <w:szCs w:val="24"/>
        </w:rPr>
        <w:t xml:space="preserve">of war </w:t>
      </w:r>
      <w:r>
        <w:rPr>
          <w:rFonts w:ascii="Arial" w:hAnsi="Arial" w:cs="Arial"/>
          <w:sz w:val="24"/>
          <w:szCs w:val="24"/>
        </w:rPr>
        <w:t xml:space="preserve">and had to be </w:t>
      </w:r>
      <w:r w:rsidR="003378D4">
        <w:rPr>
          <w:rFonts w:ascii="Arial" w:hAnsi="Arial" w:cs="Arial"/>
          <w:sz w:val="24"/>
          <w:szCs w:val="24"/>
        </w:rPr>
        <w:t>assuaged</w:t>
      </w:r>
      <w:r>
        <w:rPr>
          <w:rFonts w:ascii="Arial" w:hAnsi="Arial" w:cs="Arial"/>
          <w:sz w:val="24"/>
          <w:szCs w:val="24"/>
        </w:rPr>
        <w:t xml:space="preserve"> with the prospect of booty. The </w:t>
      </w:r>
      <w:r w:rsidR="003378D4">
        <w:rPr>
          <w:rFonts w:ascii="Arial" w:hAnsi="Arial" w:cs="Arial"/>
          <w:sz w:val="24"/>
          <w:szCs w:val="24"/>
        </w:rPr>
        <w:lastRenderedPageBreak/>
        <w:t>S</w:t>
      </w:r>
      <w:r>
        <w:rPr>
          <w:rFonts w:ascii="Arial" w:hAnsi="Arial" w:cs="Arial"/>
          <w:sz w:val="24"/>
          <w:szCs w:val="24"/>
        </w:rPr>
        <w:t xml:space="preserve">enate knew that it had to act but needed to couch it in terms the people would accept. This highlights that plunder was not the prime cause, but a secondary motivation. Rome had plenty of conflicts in which plunder was not gained, only truces or admittance of other powers into the Roman system. </w:t>
      </w:r>
    </w:p>
    <w:p w14:paraId="0E1FAE82" w14:textId="709CFA59" w:rsidR="003F2794" w:rsidRDefault="00F21624" w:rsidP="008B745A">
      <w:pPr>
        <w:spacing w:line="480" w:lineRule="auto"/>
        <w:rPr>
          <w:rFonts w:ascii="Arial" w:hAnsi="Arial" w:cs="Arial"/>
          <w:sz w:val="24"/>
          <w:szCs w:val="24"/>
        </w:rPr>
      </w:pPr>
      <w:r>
        <w:rPr>
          <w:rFonts w:ascii="Arial" w:hAnsi="Arial" w:cs="Arial"/>
          <w:sz w:val="24"/>
          <w:szCs w:val="24"/>
        </w:rPr>
        <w:t>Ultimately, strategic considerations were paramount. Neither side could back down and both sides felt that there was no other choice</w:t>
      </w:r>
      <w:r>
        <w:rPr>
          <w:rStyle w:val="FootnoteReference"/>
          <w:rFonts w:ascii="Arial" w:hAnsi="Arial" w:cs="Arial"/>
          <w:sz w:val="24"/>
          <w:szCs w:val="24"/>
        </w:rPr>
        <w:footnoteReference w:id="419"/>
      </w:r>
      <w:r>
        <w:rPr>
          <w:rFonts w:ascii="Arial" w:hAnsi="Arial" w:cs="Arial"/>
          <w:sz w:val="24"/>
          <w:szCs w:val="24"/>
        </w:rPr>
        <w:t xml:space="preserve">. </w:t>
      </w:r>
      <w:r w:rsidR="003729A3">
        <w:rPr>
          <w:rFonts w:ascii="Arial" w:hAnsi="Arial" w:cs="Arial"/>
          <w:sz w:val="24"/>
          <w:szCs w:val="24"/>
        </w:rPr>
        <w:t xml:space="preserve">Fear </w:t>
      </w:r>
      <w:r>
        <w:rPr>
          <w:rFonts w:ascii="Arial" w:hAnsi="Arial" w:cs="Arial"/>
          <w:sz w:val="24"/>
          <w:szCs w:val="24"/>
        </w:rPr>
        <w:t>dominated the decision making of both powers</w:t>
      </w:r>
      <w:r>
        <w:rPr>
          <w:rStyle w:val="FootnoteReference"/>
          <w:rFonts w:ascii="Arial" w:hAnsi="Arial" w:cs="Arial"/>
          <w:sz w:val="24"/>
          <w:szCs w:val="24"/>
        </w:rPr>
        <w:footnoteReference w:id="420"/>
      </w:r>
      <w:r>
        <w:rPr>
          <w:rFonts w:ascii="Arial" w:hAnsi="Arial" w:cs="Arial"/>
          <w:sz w:val="24"/>
          <w:szCs w:val="24"/>
        </w:rPr>
        <w:t xml:space="preserve">. </w:t>
      </w:r>
    </w:p>
    <w:p w14:paraId="2E8D0FC9" w14:textId="77777777" w:rsidR="0041384A" w:rsidRDefault="0041384A" w:rsidP="0041384A">
      <w:pPr>
        <w:spacing w:line="480" w:lineRule="auto"/>
        <w:rPr>
          <w:rFonts w:ascii="Arial" w:hAnsi="Arial" w:cs="Arial"/>
          <w:sz w:val="24"/>
          <w:szCs w:val="24"/>
        </w:rPr>
      </w:pPr>
    </w:p>
    <w:p w14:paraId="779B1267" w14:textId="0F619B3C" w:rsidR="00F21624" w:rsidRPr="00BA30BC" w:rsidRDefault="00F21624" w:rsidP="0041384A">
      <w:pPr>
        <w:spacing w:line="480" w:lineRule="auto"/>
        <w:jc w:val="center"/>
        <w:rPr>
          <w:rFonts w:ascii="Arial" w:hAnsi="Arial" w:cs="Arial"/>
          <w:b/>
          <w:bCs/>
          <w:sz w:val="24"/>
          <w:szCs w:val="24"/>
          <w:u w:val="single"/>
        </w:rPr>
      </w:pPr>
      <w:r w:rsidRPr="00BA30BC">
        <w:rPr>
          <w:rFonts w:ascii="Arial" w:hAnsi="Arial" w:cs="Arial"/>
          <w:b/>
          <w:bCs/>
          <w:sz w:val="24"/>
          <w:szCs w:val="24"/>
          <w:u w:val="single"/>
        </w:rPr>
        <w:t>Bibliography</w:t>
      </w:r>
    </w:p>
    <w:p w14:paraId="131DE3AB" w14:textId="77777777" w:rsidR="00F21624" w:rsidRDefault="00F21624" w:rsidP="00F21624">
      <w:pPr>
        <w:spacing w:after="0" w:line="480" w:lineRule="auto"/>
        <w:rPr>
          <w:rFonts w:ascii="Arial" w:hAnsi="Arial" w:cs="Arial"/>
          <w:sz w:val="24"/>
          <w:szCs w:val="24"/>
        </w:rPr>
      </w:pPr>
      <w:proofErr w:type="spellStart"/>
      <w:r>
        <w:rPr>
          <w:rFonts w:ascii="Arial" w:hAnsi="Arial" w:cs="Arial"/>
          <w:sz w:val="24"/>
          <w:szCs w:val="24"/>
        </w:rPr>
        <w:t>Ameling</w:t>
      </w:r>
      <w:proofErr w:type="spellEnd"/>
      <w:r>
        <w:rPr>
          <w:rFonts w:ascii="Arial" w:hAnsi="Arial" w:cs="Arial"/>
          <w:sz w:val="24"/>
          <w:szCs w:val="24"/>
        </w:rPr>
        <w:t xml:space="preserve">, W. (2011) ‘The Rise of Carthage to 264’ in Hoyos, D. (ed.) </w:t>
      </w:r>
      <w:r w:rsidRPr="00C51ED7">
        <w:rPr>
          <w:rFonts w:ascii="Arial" w:hAnsi="Arial" w:cs="Arial"/>
          <w:i/>
          <w:iCs/>
          <w:sz w:val="24"/>
          <w:szCs w:val="24"/>
        </w:rPr>
        <w:t>A Companion to the Punic Wars</w:t>
      </w:r>
      <w:r>
        <w:rPr>
          <w:rFonts w:ascii="Arial" w:hAnsi="Arial" w:cs="Arial"/>
          <w:sz w:val="24"/>
          <w:szCs w:val="24"/>
        </w:rPr>
        <w:t xml:space="preserve">. Chichester: Blackwell Publishing. </w:t>
      </w:r>
    </w:p>
    <w:p w14:paraId="7CB3E079" w14:textId="77777777" w:rsidR="00F21624" w:rsidRDefault="00F21624" w:rsidP="00F21624">
      <w:pPr>
        <w:spacing w:after="0" w:line="480" w:lineRule="auto"/>
        <w:rPr>
          <w:rFonts w:ascii="Arial" w:hAnsi="Arial" w:cs="Arial"/>
          <w:sz w:val="24"/>
          <w:szCs w:val="24"/>
        </w:rPr>
      </w:pPr>
    </w:p>
    <w:p w14:paraId="1BB77B7E" w14:textId="77777777" w:rsidR="00F21624" w:rsidRDefault="00F21624" w:rsidP="00F21624">
      <w:pPr>
        <w:spacing w:after="0" w:line="480" w:lineRule="auto"/>
        <w:rPr>
          <w:rFonts w:ascii="Arial" w:hAnsi="Arial" w:cs="Arial"/>
          <w:sz w:val="24"/>
          <w:szCs w:val="24"/>
        </w:rPr>
      </w:pPr>
      <w:proofErr w:type="spellStart"/>
      <w:r w:rsidRPr="00651073">
        <w:rPr>
          <w:rFonts w:ascii="Arial" w:hAnsi="Arial" w:cs="Arial"/>
          <w:sz w:val="24"/>
          <w:szCs w:val="24"/>
        </w:rPr>
        <w:t>Baronowski</w:t>
      </w:r>
      <w:proofErr w:type="spellEnd"/>
      <w:r w:rsidRPr="00651073">
        <w:rPr>
          <w:rFonts w:ascii="Arial" w:hAnsi="Arial" w:cs="Arial"/>
          <w:sz w:val="24"/>
          <w:szCs w:val="24"/>
        </w:rPr>
        <w:t xml:space="preserve">, D.W. </w:t>
      </w:r>
      <w:r>
        <w:rPr>
          <w:rFonts w:ascii="Arial" w:hAnsi="Arial" w:cs="Arial"/>
          <w:sz w:val="24"/>
          <w:szCs w:val="24"/>
        </w:rPr>
        <w:t>(</w:t>
      </w:r>
      <w:r w:rsidRPr="00651073">
        <w:rPr>
          <w:rFonts w:ascii="Arial" w:hAnsi="Arial" w:cs="Arial"/>
          <w:sz w:val="24"/>
          <w:szCs w:val="24"/>
        </w:rPr>
        <w:t>2011</w:t>
      </w:r>
      <w:r>
        <w:rPr>
          <w:rFonts w:ascii="Arial" w:hAnsi="Arial" w:cs="Arial"/>
          <w:sz w:val="24"/>
          <w:szCs w:val="24"/>
        </w:rPr>
        <w:t>)</w:t>
      </w:r>
      <w:r w:rsidRPr="00651073">
        <w:rPr>
          <w:rFonts w:ascii="Arial" w:hAnsi="Arial" w:cs="Arial"/>
          <w:sz w:val="24"/>
          <w:szCs w:val="24"/>
        </w:rPr>
        <w:t xml:space="preserve"> </w:t>
      </w:r>
      <w:r w:rsidRPr="00651073">
        <w:rPr>
          <w:rFonts w:ascii="Arial" w:hAnsi="Arial" w:cs="Arial"/>
          <w:i/>
          <w:sz w:val="24"/>
          <w:szCs w:val="24"/>
        </w:rPr>
        <w:t>Polybius and Roman Imperialism</w:t>
      </w:r>
      <w:r w:rsidRPr="00651073">
        <w:rPr>
          <w:rFonts w:ascii="Arial" w:hAnsi="Arial" w:cs="Arial"/>
          <w:sz w:val="24"/>
          <w:szCs w:val="24"/>
        </w:rPr>
        <w:t xml:space="preserve">. London: Bristol Classical Press. </w:t>
      </w:r>
    </w:p>
    <w:p w14:paraId="69095C39" w14:textId="77777777" w:rsidR="00F21624" w:rsidRPr="00104DC6" w:rsidRDefault="00F21624" w:rsidP="00F21624">
      <w:pPr>
        <w:spacing w:after="0" w:line="480" w:lineRule="auto"/>
        <w:rPr>
          <w:rFonts w:ascii="Arial" w:hAnsi="Arial" w:cs="Arial"/>
          <w:sz w:val="24"/>
          <w:szCs w:val="24"/>
        </w:rPr>
      </w:pPr>
    </w:p>
    <w:p w14:paraId="2723F38A" w14:textId="77777777" w:rsidR="00F21624" w:rsidRDefault="00F21624" w:rsidP="00F21624">
      <w:pPr>
        <w:spacing w:after="0" w:line="480" w:lineRule="auto"/>
        <w:rPr>
          <w:rFonts w:ascii="Arial" w:hAnsi="Arial" w:cs="Arial"/>
          <w:sz w:val="24"/>
          <w:szCs w:val="24"/>
        </w:rPr>
      </w:pPr>
      <w:r w:rsidRPr="00104DC6">
        <w:rPr>
          <w:rFonts w:ascii="Arial" w:hAnsi="Arial" w:cs="Arial"/>
          <w:sz w:val="24"/>
          <w:szCs w:val="24"/>
        </w:rPr>
        <w:t>Barton, C.A</w:t>
      </w:r>
      <w:r>
        <w:rPr>
          <w:rFonts w:ascii="Arial" w:hAnsi="Arial" w:cs="Arial"/>
          <w:sz w:val="24"/>
          <w:szCs w:val="24"/>
        </w:rPr>
        <w:t>.</w:t>
      </w:r>
      <w:r w:rsidRPr="00104DC6">
        <w:rPr>
          <w:rFonts w:ascii="Arial" w:hAnsi="Arial" w:cs="Arial"/>
          <w:sz w:val="24"/>
          <w:szCs w:val="24"/>
        </w:rPr>
        <w:t xml:space="preserve"> (2007) ‘The Price of Peace in Ancient Rome’, in Raaflaub, K.A</w:t>
      </w:r>
      <w:r>
        <w:rPr>
          <w:rFonts w:ascii="Arial" w:hAnsi="Arial" w:cs="Arial"/>
          <w:sz w:val="24"/>
          <w:szCs w:val="24"/>
        </w:rPr>
        <w:t>.</w:t>
      </w:r>
      <w:r w:rsidRPr="00104DC6">
        <w:rPr>
          <w:rFonts w:ascii="Arial" w:hAnsi="Arial" w:cs="Arial"/>
          <w:sz w:val="24"/>
          <w:szCs w:val="24"/>
        </w:rPr>
        <w:t xml:space="preserve"> (ed.) </w:t>
      </w:r>
      <w:r w:rsidRPr="00104DC6">
        <w:rPr>
          <w:rFonts w:ascii="Arial" w:hAnsi="Arial" w:cs="Arial"/>
          <w:i/>
          <w:iCs/>
          <w:sz w:val="24"/>
          <w:szCs w:val="24"/>
        </w:rPr>
        <w:t>War and Peace in the Ancient World</w:t>
      </w:r>
      <w:r w:rsidRPr="00104DC6">
        <w:rPr>
          <w:rFonts w:ascii="Arial" w:hAnsi="Arial" w:cs="Arial"/>
          <w:sz w:val="24"/>
          <w:szCs w:val="24"/>
        </w:rPr>
        <w:t>. Oxford: Blackwell Publishing.</w:t>
      </w:r>
    </w:p>
    <w:p w14:paraId="2942C023" w14:textId="77777777" w:rsidR="00F21624" w:rsidRDefault="00F21624" w:rsidP="00F21624">
      <w:pPr>
        <w:spacing w:after="0" w:line="480" w:lineRule="auto"/>
        <w:rPr>
          <w:rFonts w:ascii="Arial" w:hAnsi="Arial" w:cs="Arial"/>
          <w:sz w:val="24"/>
          <w:szCs w:val="24"/>
        </w:rPr>
      </w:pPr>
    </w:p>
    <w:p w14:paraId="00D1D1BD"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Beck, H. (2011) ‘The Reasons for War’, in Hoyos, D. (ed.) </w:t>
      </w:r>
      <w:r w:rsidRPr="00C51ED7">
        <w:rPr>
          <w:rFonts w:ascii="Arial" w:hAnsi="Arial" w:cs="Arial"/>
          <w:i/>
          <w:iCs/>
          <w:sz w:val="24"/>
          <w:szCs w:val="24"/>
        </w:rPr>
        <w:t>A Companion to the Punic Wars</w:t>
      </w:r>
      <w:r>
        <w:rPr>
          <w:rFonts w:ascii="Arial" w:hAnsi="Arial" w:cs="Arial"/>
          <w:sz w:val="24"/>
          <w:szCs w:val="24"/>
        </w:rPr>
        <w:t>. Chichester: Blackwell Publishing.</w:t>
      </w:r>
    </w:p>
    <w:p w14:paraId="0C67FD08" w14:textId="77777777" w:rsidR="00F21624" w:rsidRPr="00104DC6" w:rsidRDefault="00F21624" w:rsidP="00F21624">
      <w:pPr>
        <w:spacing w:after="0" w:line="480" w:lineRule="auto"/>
        <w:rPr>
          <w:rFonts w:ascii="Arial" w:hAnsi="Arial" w:cs="Arial"/>
          <w:sz w:val="24"/>
          <w:szCs w:val="24"/>
        </w:rPr>
      </w:pPr>
    </w:p>
    <w:p w14:paraId="0C62C652" w14:textId="77777777" w:rsidR="00F21624" w:rsidRDefault="00F21624" w:rsidP="00F21624">
      <w:pPr>
        <w:spacing w:after="0" w:line="480" w:lineRule="auto"/>
        <w:rPr>
          <w:rFonts w:ascii="Arial" w:hAnsi="Arial" w:cs="Arial"/>
          <w:sz w:val="24"/>
          <w:szCs w:val="24"/>
        </w:rPr>
      </w:pPr>
      <w:r w:rsidRPr="00104DC6">
        <w:rPr>
          <w:rFonts w:ascii="Arial" w:hAnsi="Arial" w:cs="Arial"/>
          <w:sz w:val="24"/>
          <w:szCs w:val="24"/>
        </w:rPr>
        <w:lastRenderedPageBreak/>
        <w:t>Biggs, T</w:t>
      </w:r>
      <w:r>
        <w:rPr>
          <w:rFonts w:ascii="Arial" w:hAnsi="Arial" w:cs="Arial"/>
          <w:sz w:val="24"/>
          <w:szCs w:val="24"/>
        </w:rPr>
        <w:t>.</w:t>
      </w:r>
      <w:r w:rsidRPr="00104DC6">
        <w:rPr>
          <w:rFonts w:ascii="Arial" w:hAnsi="Arial" w:cs="Arial"/>
          <w:sz w:val="24"/>
          <w:szCs w:val="24"/>
        </w:rPr>
        <w:t xml:space="preserve"> (2017) ‘Primus Romanorum: Origin Stories, Fictions of Primacy and The First Punic War’, </w:t>
      </w:r>
      <w:r w:rsidRPr="00104DC6">
        <w:rPr>
          <w:rFonts w:ascii="Arial" w:hAnsi="Arial" w:cs="Arial"/>
          <w:i/>
          <w:iCs/>
          <w:sz w:val="24"/>
          <w:szCs w:val="24"/>
        </w:rPr>
        <w:t>Classical Philology</w:t>
      </w:r>
      <w:r w:rsidRPr="00104DC6">
        <w:rPr>
          <w:rFonts w:ascii="Arial" w:hAnsi="Arial" w:cs="Arial"/>
          <w:sz w:val="24"/>
          <w:szCs w:val="24"/>
        </w:rPr>
        <w:t xml:space="preserve">, 112(3), pp. 350-367. </w:t>
      </w:r>
    </w:p>
    <w:p w14:paraId="445EEF6C" w14:textId="77777777" w:rsidR="00F21624" w:rsidRDefault="00F21624" w:rsidP="00F21624">
      <w:pPr>
        <w:spacing w:after="0" w:line="480" w:lineRule="auto"/>
        <w:rPr>
          <w:rFonts w:ascii="Arial" w:hAnsi="Arial" w:cs="Arial"/>
          <w:sz w:val="24"/>
          <w:szCs w:val="24"/>
        </w:rPr>
      </w:pPr>
    </w:p>
    <w:p w14:paraId="0913EA33" w14:textId="77777777" w:rsidR="00F21624" w:rsidRDefault="00F21624" w:rsidP="00F21624">
      <w:pPr>
        <w:spacing w:after="0" w:line="480" w:lineRule="auto"/>
        <w:rPr>
          <w:rFonts w:ascii="Arial" w:hAnsi="Arial" w:cs="Arial"/>
          <w:sz w:val="24"/>
          <w:szCs w:val="24"/>
        </w:rPr>
      </w:pPr>
      <w:proofErr w:type="spellStart"/>
      <w:r>
        <w:rPr>
          <w:rFonts w:ascii="Arial" w:hAnsi="Arial" w:cs="Arial"/>
          <w:sz w:val="24"/>
          <w:szCs w:val="24"/>
        </w:rPr>
        <w:t>Bleckmann</w:t>
      </w:r>
      <w:proofErr w:type="spellEnd"/>
      <w:r>
        <w:rPr>
          <w:rFonts w:ascii="Arial" w:hAnsi="Arial" w:cs="Arial"/>
          <w:sz w:val="24"/>
          <w:szCs w:val="24"/>
        </w:rPr>
        <w:t xml:space="preserve">, B. (2011) ‘Roman Politics in the First Punic War’, in Hoyos, D. (ed.) </w:t>
      </w:r>
      <w:r w:rsidRPr="00C51ED7">
        <w:rPr>
          <w:rFonts w:ascii="Arial" w:hAnsi="Arial" w:cs="Arial"/>
          <w:i/>
          <w:iCs/>
          <w:sz w:val="24"/>
          <w:szCs w:val="24"/>
        </w:rPr>
        <w:t>A Companion to the Punic Wars</w:t>
      </w:r>
      <w:r>
        <w:rPr>
          <w:rFonts w:ascii="Arial" w:hAnsi="Arial" w:cs="Arial"/>
          <w:sz w:val="24"/>
          <w:szCs w:val="24"/>
        </w:rPr>
        <w:t>. Chichester: Blackwell Publishing.</w:t>
      </w:r>
    </w:p>
    <w:p w14:paraId="5C0C6E28" w14:textId="77777777" w:rsidR="00F21624" w:rsidRDefault="00F21624" w:rsidP="00F21624">
      <w:pPr>
        <w:spacing w:after="0" w:line="480" w:lineRule="auto"/>
        <w:rPr>
          <w:rFonts w:ascii="Arial" w:hAnsi="Arial" w:cs="Arial"/>
          <w:sz w:val="24"/>
          <w:szCs w:val="24"/>
        </w:rPr>
      </w:pPr>
    </w:p>
    <w:p w14:paraId="63EAE73F" w14:textId="77777777" w:rsidR="00F21624" w:rsidRPr="00651073" w:rsidRDefault="00F21624" w:rsidP="00F21624">
      <w:pPr>
        <w:spacing w:after="0" w:line="480" w:lineRule="auto"/>
        <w:rPr>
          <w:rFonts w:ascii="Arial" w:hAnsi="Arial" w:cs="Arial"/>
          <w:sz w:val="24"/>
          <w:szCs w:val="24"/>
        </w:rPr>
      </w:pPr>
      <w:r w:rsidRPr="00651073">
        <w:rPr>
          <w:rFonts w:ascii="Arial" w:hAnsi="Arial" w:cs="Arial"/>
          <w:sz w:val="24"/>
          <w:szCs w:val="24"/>
        </w:rPr>
        <w:t xml:space="preserve">Burton, P. J. </w:t>
      </w:r>
      <w:r>
        <w:rPr>
          <w:rFonts w:ascii="Arial" w:hAnsi="Arial" w:cs="Arial"/>
          <w:sz w:val="24"/>
          <w:szCs w:val="24"/>
        </w:rPr>
        <w:t>(</w:t>
      </w:r>
      <w:r w:rsidRPr="00651073">
        <w:rPr>
          <w:rFonts w:ascii="Arial" w:hAnsi="Arial" w:cs="Arial"/>
          <w:sz w:val="24"/>
          <w:szCs w:val="24"/>
        </w:rPr>
        <w:t>2011</w:t>
      </w:r>
      <w:r>
        <w:rPr>
          <w:rFonts w:ascii="Arial" w:hAnsi="Arial" w:cs="Arial"/>
          <w:sz w:val="24"/>
          <w:szCs w:val="24"/>
        </w:rPr>
        <w:t>)</w:t>
      </w:r>
      <w:r w:rsidRPr="00651073">
        <w:rPr>
          <w:rFonts w:ascii="Arial" w:hAnsi="Arial" w:cs="Arial"/>
          <w:sz w:val="24"/>
          <w:szCs w:val="24"/>
        </w:rPr>
        <w:t xml:space="preserve"> </w:t>
      </w:r>
      <w:r w:rsidRPr="00651073">
        <w:rPr>
          <w:rFonts w:ascii="Arial" w:hAnsi="Arial" w:cs="Arial"/>
          <w:i/>
          <w:sz w:val="24"/>
          <w:szCs w:val="24"/>
        </w:rPr>
        <w:t>Friendship and Empire: Roman Diplomacy and Imperialism in the Middle Republic (353-146 B.C.)</w:t>
      </w:r>
      <w:r w:rsidRPr="00651073">
        <w:rPr>
          <w:rFonts w:ascii="Arial" w:hAnsi="Arial" w:cs="Arial"/>
          <w:sz w:val="24"/>
          <w:szCs w:val="24"/>
        </w:rPr>
        <w:t xml:space="preserve">. Cambridge: Cambridge University Press. </w:t>
      </w:r>
    </w:p>
    <w:p w14:paraId="45B6393F" w14:textId="77777777" w:rsidR="00F21624" w:rsidRDefault="00F21624" w:rsidP="00F21624">
      <w:pPr>
        <w:spacing w:after="0" w:line="480" w:lineRule="auto"/>
        <w:rPr>
          <w:rFonts w:ascii="Arial" w:hAnsi="Arial" w:cs="Arial"/>
          <w:sz w:val="24"/>
          <w:szCs w:val="24"/>
        </w:rPr>
      </w:pPr>
    </w:p>
    <w:p w14:paraId="7ABF0C29"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Cary, M. (1919) ‘A Forgotten Treaty between Rome and Carthage’, </w:t>
      </w:r>
      <w:r w:rsidRPr="003C5349">
        <w:rPr>
          <w:rFonts w:ascii="Arial" w:hAnsi="Arial" w:cs="Arial"/>
          <w:i/>
          <w:iCs/>
          <w:sz w:val="24"/>
          <w:szCs w:val="24"/>
        </w:rPr>
        <w:t>The Journal of Roman Studies</w:t>
      </w:r>
      <w:r>
        <w:rPr>
          <w:rFonts w:ascii="Arial" w:hAnsi="Arial" w:cs="Arial"/>
          <w:sz w:val="24"/>
          <w:szCs w:val="24"/>
        </w:rPr>
        <w:t xml:space="preserve">, 9, pp. 67-77. </w:t>
      </w:r>
    </w:p>
    <w:p w14:paraId="0E427EC7" w14:textId="77777777" w:rsidR="00F21624" w:rsidRDefault="00F21624" w:rsidP="00F21624">
      <w:pPr>
        <w:spacing w:after="0" w:line="480" w:lineRule="auto"/>
        <w:rPr>
          <w:rFonts w:ascii="Arial" w:hAnsi="Arial" w:cs="Arial"/>
          <w:sz w:val="24"/>
          <w:szCs w:val="24"/>
        </w:rPr>
      </w:pPr>
    </w:p>
    <w:p w14:paraId="280651C4" w14:textId="77777777" w:rsidR="00F21624" w:rsidRDefault="00F21624" w:rsidP="00F21624">
      <w:pPr>
        <w:spacing w:after="0" w:line="480" w:lineRule="auto"/>
        <w:rPr>
          <w:rFonts w:ascii="Arial" w:hAnsi="Arial" w:cs="Arial"/>
          <w:sz w:val="24"/>
          <w:szCs w:val="24"/>
        </w:rPr>
      </w:pPr>
      <w:proofErr w:type="spellStart"/>
      <w:r>
        <w:rPr>
          <w:rFonts w:ascii="Arial" w:hAnsi="Arial" w:cs="Arial"/>
          <w:sz w:val="24"/>
          <w:szCs w:val="24"/>
        </w:rPr>
        <w:t>Caven</w:t>
      </w:r>
      <w:proofErr w:type="spellEnd"/>
      <w:r>
        <w:rPr>
          <w:rFonts w:ascii="Arial" w:hAnsi="Arial" w:cs="Arial"/>
          <w:sz w:val="24"/>
          <w:szCs w:val="24"/>
        </w:rPr>
        <w:t xml:space="preserve">, B. (1990) </w:t>
      </w:r>
      <w:r w:rsidRPr="006B389B">
        <w:rPr>
          <w:rFonts w:ascii="Arial" w:hAnsi="Arial" w:cs="Arial"/>
          <w:i/>
          <w:iCs/>
          <w:sz w:val="24"/>
          <w:szCs w:val="24"/>
        </w:rPr>
        <w:t>Dionysus I: Warlord of Sicily</w:t>
      </w:r>
      <w:r>
        <w:rPr>
          <w:rFonts w:ascii="Arial" w:hAnsi="Arial" w:cs="Arial"/>
          <w:sz w:val="24"/>
          <w:szCs w:val="24"/>
        </w:rPr>
        <w:t>. New Haven: Yale University Press.</w:t>
      </w:r>
    </w:p>
    <w:p w14:paraId="157B8BE5" w14:textId="77777777" w:rsidR="00F21624" w:rsidRDefault="00F21624" w:rsidP="00F21624">
      <w:pPr>
        <w:spacing w:after="0" w:line="480" w:lineRule="auto"/>
        <w:rPr>
          <w:rFonts w:ascii="Arial" w:hAnsi="Arial" w:cs="Arial"/>
          <w:sz w:val="24"/>
          <w:szCs w:val="24"/>
        </w:rPr>
      </w:pPr>
    </w:p>
    <w:p w14:paraId="3FB292CE"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Champion, C. B. (2011) ‘Polybius and the Punic Wars’, in Hoyos, D. (ed.) </w:t>
      </w:r>
      <w:r w:rsidRPr="00C51ED7">
        <w:rPr>
          <w:rFonts w:ascii="Arial" w:hAnsi="Arial" w:cs="Arial"/>
          <w:i/>
          <w:iCs/>
          <w:sz w:val="24"/>
          <w:szCs w:val="24"/>
        </w:rPr>
        <w:t>A Companion to the Punic Wars</w:t>
      </w:r>
      <w:r>
        <w:rPr>
          <w:rFonts w:ascii="Arial" w:hAnsi="Arial" w:cs="Arial"/>
          <w:sz w:val="24"/>
          <w:szCs w:val="24"/>
        </w:rPr>
        <w:t>. Chichester: Blackwell Publishing.</w:t>
      </w:r>
    </w:p>
    <w:p w14:paraId="40B6AEAB" w14:textId="77777777" w:rsidR="00F21624" w:rsidRDefault="00F21624" w:rsidP="00F21624">
      <w:pPr>
        <w:spacing w:after="0" w:line="480" w:lineRule="auto"/>
        <w:rPr>
          <w:rFonts w:ascii="Arial" w:hAnsi="Arial" w:cs="Arial"/>
          <w:sz w:val="24"/>
          <w:szCs w:val="24"/>
        </w:rPr>
      </w:pPr>
    </w:p>
    <w:p w14:paraId="3B57BB0D"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Cornell, T. (1990) ‘Rome and Latium to 390 B.C.’, in </w:t>
      </w:r>
      <w:proofErr w:type="spellStart"/>
      <w:r>
        <w:rPr>
          <w:rFonts w:ascii="Arial" w:hAnsi="Arial" w:cs="Arial"/>
          <w:sz w:val="24"/>
          <w:szCs w:val="24"/>
        </w:rPr>
        <w:t>Astin</w:t>
      </w:r>
      <w:proofErr w:type="spellEnd"/>
      <w:r>
        <w:rPr>
          <w:rFonts w:ascii="Arial" w:hAnsi="Arial" w:cs="Arial"/>
          <w:sz w:val="24"/>
          <w:szCs w:val="24"/>
        </w:rPr>
        <w:t xml:space="preserve">, A, Frederiksen, M, Ogilvie, R and </w:t>
      </w:r>
      <w:proofErr w:type="spellStart"/>
      <w:r>
        <w:rPr>
          <w:rFonts w:ascii="Arial" w:hAnsi="Arial" w:cs="Arial"/>
          <w:sz w:val="24"/>
          <w:szCs w:val="24"/>
        </w:rPr>
        <w:t>Walbank</w:t>
      </w:r>
      <w:proofErr w:type="spellEnd"/>
      <w:r>
        <w:rPr>
          <w:rFonts w:ascii="Arial" w:hAnsi="Arial" w:cs="Arial"/>
          <w:sz w:val="24"/>
          <w:szCs w:val="24"/>
        </w:rPr>
        <w:t xml:space="preserve">, W.F. (eds.) </w:t>
      </w:r>
      <w:r w:rsidRPr="00642986">
        <w:rPr>
          <w:rFonts w:ascii="Arial" w:hAnsi="Arial" w:cs="Arial"/>
          <w:i/>
          <w:iCs/>
          <w:sz w:val="24"/>
          <w:szCs w:val="24"/>
        </w:rPr>
        <w:t>The Cambridge Ancient History</w:t>
      </w:r>
      <w:r>
        <w:rPr>
          <w:rFonts w:ascii="Arial" w:hAnsi="Arial" w:cs="Arial"/>
          <w:sz w:val="24"/>
          <w:szCs w:val="24"/>
        </w:rPr>
        <w:t>. Cambridge: Cambridge University Press.</w:t>
      </w:r>
    </w:p>
    <w:p w14:paraId="2FAFAEE6" w14:textId="77777777" w:rsidR="00F21624" w:rsidRDefault="00F21624" w:rsidP="00F21624">
      <w:pPr>
        <w:spacing w:after="0" w:line="480" w:lineRule="auto"/>
        <w:rPr>
          <w:rFonts w:ascii="Arial" w:hAnsi="Arial" w:cs="Arial"/>
          <w:sz w:val="24"/>
          <w:szCs w:val="24"/>
        </w:rPr>
      </w:pPr>
    </w:p>
    <w:p w14:paraId="01D58AD8"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Cornell, T. (1990) ‘The Recovery of Rome’, in </w:t>
      </w:r>
      <w:proofErr w:type="spellStart"/>
      <w:r>
        <w:rPr>
          <w:rFonts w:ascii="Arial" w:hAnsi="Arial" w:cs="Arial"/>
          <w:sz w:val="24"/>
          <w:szCs w:val="24"/>
        </w:rPr>
        <w:t>Astin</w:t>
      </w:r>
      <w:proofErr w:type="spellEnd"/>
      <w:r>
        <w:rPr>
          <w:rFonts w:ascii="Arial" w:hAnsi="Arial" w:cs="Arial"/>
          <w:sz w:val="24"/>
          <w:szCs w:val="24"/>
        </w:rPr>
        <w:t xml:space="preserve">, A, Frederiksen, M, Ogilvie, R and </w:t>
      </w:r>
      <w:proofErr w:type="spellStart"/>
      <w:r>
        <w:rPr>
          <w:rFonts w:ascii="Arial" w:hAnsi="Arial" w:cs="Arial"/>
          <w:sz w:val="24"/>
          <w:szCs w:val="24"/>
        </w:rPr>
        <w:t>Walbank</w:t>
      </w:r>
      <w:proofErr w:type="spellEnd"/>
      <w:r>
        <w:rPr>
          <w:rFonts w:ascii="Arial" w:hAnsi="Arial" w:cs="Arial"/>
          <w:sz w:val="24"/>
          <w:szCs w:val="24"/>
        </w:rPr>
        <w:t xml:space="preserve">, W.F. (eds.) </w:t>
      </w:r>
      <w:r w:rsidRPr="00642986">
        <w:rPr>
          <w:rFonts w:ascii="Arial" w:hAnsi="Arial" w:cs="Arial"/>
          <w:i/>
          <w:iCs/>
          <w:sz w:val="24"/>
          <w:szCs w:val="24"/>
        </w:rPr>
        <w:t>The Cambridge Ancient History</w:t>
      </w:r>
      <w:r>
        <w:rPr>
          <w:rFonts w:ascii="Arial" w:hAnsi="Arial" w:cs="Arial"/>
          <w:sz w:val="24"/>
          <w:szCs w:val="24"/>
        </w:rPr>
        <w:t>. Cambridge: Cambridge University Press.</w:t>
      </w:r>
    </w:p>
    <w:p w14:paraId="783C3969" w14:textId="77777777" w:rsidR="00F21624" w:rsidRPr="000E4942" w:rsidRDefault="00F21624" w:rsidP="00F21624">
      <w:pPr>
        <w:spacing w:after="0" w:line="480" w:lineRule="auto"/>
        <w:rPr>
          <w:rFonts w:ascii="Arial" w:hAnsi="Arial" w:cs="Arial"/>
          <w:i/>
          <w:iCs/>
          <w:sz w:val="24"/>
          <w:szCs w:val="24"/>
        </w:rPr>
      </w:pPr>
    </w:p>
    <w:p w14:paraId="39737326" w14:textId="77777777" w:rsidR="00F21624" w:rsidRDefault="00F21624" w:rsidP="00F21624">
      <w:pPr>
        <w:spacing w:after="0" w:line="480" w:lineRule="auto"/>
        <w:rPr>
          <w:rFonts w:ascii="Arial" w:hAnsi="Arial" w:cs="Arial"/>
          <w:sz w:val="24"/>
          <w:szCs w:val="24"/>
        </w:rPr>
      </w:pPr>
      <w:r>
        <w:rPr>
          <w:rFonts w:ascii="Arial" w:hAnsi="Arial" w:cs="Arial"/>
          <w:sz w:val="24"/>
          <w:szCs w:val="24"/>
        </w:rPr>
        <w:lastRenderedPageBreak/>
        <w:t xml:space="preserve">Cornell, T. (1990) ‘The Conquest of Italy’, in </w:t>
      </w:r>
      <w:proofErr w:type="spellStart"/>
      <w:r>
        <w:rPr>
          <w:rFonts w:ascii="Arial" w:hAnsi="Arial" w:cs="Arial"/>
          <w:sz w:val="24"/>
          <w:szCs w:val="24"/>
        </w:rPr>
        <w:t>Astin</w:t>
      </w:r>
      <w:proofErr w:type="spellEnd"/>
      <w:r>
        <w:rPr>
          <w:rFonts w:ascii="Arial" w:hAnsi="Arial" w:cs="Arial"/>
          <w:sz w:val="24"/>
          <w:szCs w:val="24"/>
        </w:rPr>
        <w:t xml:space="preserve">, A, Frederiksen, M, Ogilvie, R and </w:t>
      </w:r>
      <w:proofErr w:type="spellStart"/>
      <w:r>
        <w:rPr>
          <w:rFonts w:ascii="Arial" w:hAnsi="Arial" w:cs="Arial"/>
          <w:sz w:val="24"/>
          <w:szCs w:val="24"/>
        </w:rPr>
        <w:t>Walbank</w:t>
      </w:r>
      <w:proofErr w:type="spellEnd"/>
      <w:r>
        <w:rPr>
          <w:rFonts w:ascii="Arial" w:hAnsi="Arial" w:cs="Arial"/>
          <w:sz w:val="24"/>
          <w:szCs w:val="24"/>
        </w:rPr>
        <w:t xml:space="preserve">, W.F. (eds.) </w:t>
      </w:r>
      <w:r w:rsidRPr="00642986">
        <w:rPr>
          <w:rFonts w:ascii="Arial" w:hAnsi="Arial" w:cs="Arial"/>
          <w:i/>
          <w:iCs/>
          <w:sz w:val="24"/>
          <w:szCs w:val="24"/>
        </w:rPr>
        <w:t>The Cambridge Ancient History</w:t>
      </w:r>
      <w:r>
        <w:rPr>
          <w:rFonts w:ascii="Arial" w:hAnsi="Arial" w:cs="Arial"/>
          <w:sz w:val="24"/>
          <w:szCs w:val="24"/>
        </w:rPr>
        <w:t>. Cambridge: Cambridge University Press.</w:t>
      </w:r>
    </w:p>
    <w:p w14:paraId="1D1548E8" w14:textId="77777777" w:rsidR="00F21624" w:rsidRDefault="00F21624" w:rsidP="00F21624">
      <w:pPr>
        <w:spacing w:after="0" w:line="480" w:lineRule="auto"/>
        <w:rPr>
          <w:rFonts w:ascii="Arial" w:hAnsi="Arial" w:cs="Arial"/>
          <w:sz w:val="24"/>
          <w:szCs w:val="24"/>
        </w:rPr>
      </w:pPr>
    </w:p>
    <w:p w14:paraId="549AA66D" w14:textId="77777777" w:rsidR="00F21624" w:rsidRDefault="00F21624" w:rsidP="00F21624">
      <w:pPr>
        <w:spacing w:after="0" w:line="480" w:lineRule="auto"/>
        <w:rPr>
          <w:rFonts w:ascii="Arial" w:hAnsi="Arial" w:cs="Arial"/>
          <w:sz w:val="24"/>
          <w:szCs w:val="24"/>
        </w:rPr>
      </w:pPr>
      <w:proofErr w:type="spellStart"/>
      <w:r>
        <w:rPr>
          <w:rFonts w:ascii="Arial" w:hAnsi="Arial" w:cs="Arial"/>
          <w:sz w:val="24"/>
          <w:szCs w:val="24"/>
        </w:rPr>
        <w:t>Dudziński</w:t>
      </w:r>
      <w:proofErr w:type="spellEnd"/>
      <w:r>
        <w:rPr>
          <w:rFonts w:ascii="Arial" w:hAnsi="Arial" w:cs="Arial"/>
          <w:sz w:val="24"/>
          <w:szCs w:val="24"/>
        </w:rPr>
        <w:t xml:space="preserve">, A. (2019) ‘The Treaty of 376/5 B.C. A New Interpretation’, </w:t>
      </w:r>
      <w:r w:rsidRPr="00104DC6">
        <w:rPr>
          <w:rFonts w:ascii="Arial" w:hAnsi="Arial" w:cs="Arial"/>
          <w:i/>
          <w:iCs/>
          <w:sz w:val="24"/>
          <w:szCs w:val="24"/>
        </w:rPr>
        <w:t xml:space="preserve">Historia: </w:t>
      </w:r>
      <w:proofErr w:type="spellStart"/>
      <w:r w:rsidRPr="00104DC6">
        <w:rPr>
          <w:rFonts w:ascii="Arial" w:hAnsi="Arial" w:cs="Arial"/>
          <w:i/>
          <w:iCs/>
          <w:sz w:val="24"/>
          <w:szCs w:val="24"/>
        </w:rPr>
        <w:t>Zeitschrift</w:t>
      </w:r>
      <w:proofErr w:type="spellEnd"/>
      <w:r w:rsidRPr="00104DC6">
        <w:rPr>
          <w:rFonts w:ascii="Arial" w:hAnsi="Arial" w:cs="Arial"/>
          <w:i/>
          <w:iCs/>
          <w:sz w:val="24"/>
          <w:szCs w:val="24"/>
        </w:rPr>
        <w:t xml:space="preserve"> </w:t>
      </w:r>
      <w:proofErr w:type="spellStart"/>
      <w:r w:rsidRPr="00104DC6">
        <w:rPr>
          <w:rFonts w:ascii="Arial" w:hAnsi="Arial" w:cs="Arial"/>
          <w:i/>
          <w:iCs/>
          <w:sz w:val="24"/>
          <w:szCs w:val="24"/>
        </w:rPr>
        <w:t>f</w:t>
      </w:r>
      <w:r>
        <w:rPr>
          <w:rFonts w:ascii="Arial" w:hAnsi="Arial" w:cs="Arial"/>
          <w:i/>
          <w:iCs/>
          <w:sz w:val="24"/>
          <w:szCs w:val="24"/>
        </w:rPr>
        <w:t>ü</w:t>
      </w:r>
      <w:r w:rsidRPr="00104DC6">
        <w:rPr>
          <w:rFonts w:ascii="Arial" w:hAnsi="Arial" w:cs="Arial"/>
          <w:i/>
          <w:iCs/>
          <w:sz w:val="24"/>
          <w:szCs w:val="24"/>
        </w:rPr>
        <w:t>r</w:t>
      </w:r>
      <w:proofErr w:type="spellEnd"/>
      <w:r w:rsidRPr="00104DC6">
        <w:rPr>
          <w:rFonts w:ascii="Arial" w:hAnsi="Arial" w:cs="Arial"/>
          <w:i/>
          <w:iCs/>
          <w:sz w:val="24"/>
          <w:szCs w:val="24"/>
        </w:rPr>
        <w:t xml:space="preserve"> </w:t>
      </w:r>
      <w:proofErr w:type="spellStart"/>
      <w:r w:rsidRPr="00104DC6">
        <w:rPr>
          <w:rFonts w:ascii="Arial" w:hAnsi="Arial" w:cs="Arial"/>
          <w:i/>
          <w:iCs/>
          <w:sz w:val="24"/>
          <w:szCs w:val="24"/>
        </w:rPr>
        <w:t>alte</w:t>
      </w:r>
      <w:proofErr w:type="spellEnd"/>
      <w:r w:rsidRPr="00104DC6">
        <w:rPr>
          <w:rFonts w:ascii="Arial" w:hAnsi="Arial" w:cs="Arial"/>
          <w:i/>
          <w:iCs/>
          <w:sz w:val="24"/>
          <w:szCs w:val="24"/>
        </w:rPr>
        <w:t xml:space="preserve"> </w:t>
      </w:r>
      <w:proofErr w:type="spellStart"/>
      <w:r w:rsidRPr="00104DC6">
        <w:rPr>
          <w:rFonts w:ascii="Arial" w:hAnsi="Arial" w:cs="Arial"/>
          <w:i/>
          <w:iCs/>
          <w:sz w:val="24"/>
          <w:szCs w:val="24"/>
        </w:rPr>
        <w:t>Geschichte</w:t>
      </w:r>
      <w:proofErr w:type="spellEnd"/>
      <w:r>
        <w:rPr>
          <w:rFonts w:ascii="Arial" w:hAnsi="Arial" w:cs="Arial"/>
          <w:sz w:val="24"/>
          <w:szCs w:val="24"/>
        </w:rPr>
        <w:t xml:space="preserve">, 68(2), pp. 188-199. </w:t>
      </w:r>
    </w:p>
    <w:p w14:paraId="4BEF7BA3" w14:textId="77777777" w:rsidR="00F21624" w:rsidRPr="00104DC6" w:rsidRDefault="00F21624" w:rsidP="00F21624">
      <w:pPr>
        <w:spacing w:after="0" w:line="480" w:lineRule="auto"/>
        <w:rPr>
          <w:rFonts w:ascii="Arial" w:hAnsi="Arial" w:cs="Arial"/>
          <w:sz w:val="24"/>
          <w:szCs w:val="24"/>
        </w:rPr>
      </w:pPr>
    </w:p>
    <w:p w14:paraId="3D670677" w14:textId="77777777" w:rsidR="00F21624" w:rsidRDefault="00F21624" w:rsidP="00F21624">
      <w:pPr>
        <w:spacing w:after="0" w:line="480" w:lineRule="auto"/>
        <w:rPr>
          <w:rFonts w:ascii="Arial" w:hAnsi="Arial" w:cs="Arial"/>
          <w:sz w:val="24"/>
          <w:szCs w:val="24"/>
        </w:rPr>
      </w:pPr>
      <w:r w:rsidRPr="00104DC6">
        <w:rPr>
          <w:rFonts w:ascii="Arial" w:hAnsi="Arial" w:cs="Arial"/>
          <w:sz w:val="24"/>
          <w:szCs w:val="24"/>
        </w:rPr>
        <w:t>Eckstein, A. M</w:t>
      </w:r>
      <w:r>
        <w:rPr>
          <w:rFonts w:ascii="Arial" w:hAnsi="Arial" w:cs="Arial"/>
          <w:sz w:val="24"/>
          <w:szCs w:val="24"/>
        </w:rPr>
        <w:t>.</w:t>
      </w:r>
      <w:r w:rsidRPr="00104DC6">
        <w:rPr>
          <w:rFonts w:ascii="Arial" w:hAnsi="Arial" w:cs="Arial"/>
          <w:sz w:val="24"/>
          <w:szCs w:val="24"/>
        </w:rPr>
        <w:t xml:space="preserve"> (2006) </w:t>
      </w:r>
      <w:r w:rsidRPr="00104DC6">
        <w:rPr>
          <w:rFonts w:ascii="Arial" w:hAnsi="Arial" w:cs="Arial"/>
          <w:i/>
          <w:iCs/>
          <w:sz w:val="24"/>
          <w:szCs w:val="24"/>
        </w:rPr>
        <w:t>Mediterranean Anarchy, Interstate War and the Rise of Rome</w:t>
      </w:r>
      <w:r w:rsidRPr="00104DC6">
        <w:rPr>
          <w:rFonts w:ascii="Arial" w:hAnsi="Arial" w:cs="Arial"/>
          <w:sz w:val="24"/>
          <w:szCs w:val="24"/>
        </w:rPr>
        <w:t xml:space="preserve">. Berkley: University of California Press. </w:t>
      </w:r>
    </w:p>
    <w:p w14:paraId="346FCC70" w14:textId="77777777" w:rsidR="00F21624" w:rsidRDefault="00F21624" w:rsidP="00F21624">
      <w:pPr>
        <w:spacing w:after="0" w:line="480" w:lineRule="auto"/>
        <w:rPr>
          <w:rFonts w:ascii="Arial" w:hAnsi="Arial" w:cs="Arial"/>
          <w:sz w:val="24"/>
          <w:szCs w:val="24"/>
        </w:rPr>
      </w:pPr>
    </w:p>
    <w:p w14:paraId="4002A9EC"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Eckstein, A.M. (2010) ‘Polybius, ‘The Treaty of Philinus’, and Roman Accusations Against Carthage’, </w:t>
      </w:r>
      <w:r w:rsidRPr="003C4FD6">
        <w:rPr>
          <w:rFonts w:ascii="Arial" w:hAnsi="Arial" w:cs="Arial"/>
          <w:i/>
          <w:iCs/>
          <w:sz w:val="24"/>
          <w:szCs w:val="24"/>
        </w:rPr>
        <w:t>The Classical Quarterly</w:t>
      </w:r>
      <w:r>
        <w:rPr>
          <w:rFonts w:ascii="Arial" w:hAnsi="Arial" w:cs="Arial"/>
          <w:sz w:val="24"/>
          <w:szCs w:val="24"/>
        </w:rPr>
        <w:t xml:space="preserve">, 60(2), pp. 406-426. </w:t>
      </w:r>
    </w:p>
    <w:p w14:paraId="413D9648" w14:textId="77777777" w:rsidR="00F21624" w:rsidRDefault="00F21624" w:rsidP="00F21624">
      <w:pPr>
        <w:spacing w:after="0" w:line="480" w:lineRule="auto"/>
        <w:rPr>
          <w:rFonts w:ascii="Arial" w:hAnsi="Arial" w:cs="Arial"/>
          <w:sz w:val="24"/>
          <w:szCs w:val="24"/>
        </w:rPr>
      </w:pPr>
    </w:p>
    <w:p w14:paraId="72BB0FEF" w14:textId="77777777" w:rsidR="00F21624" w:rsidRDefault="00F21624" w:rsidP="00F21624">
      <w:pPr>
        <w:spacing w:after="0" w:line="480" w:lineRule="auto"/>
        <w:rPr>
          <w:rFonts w:ascii="Arial" w:hAnsi="Arial" w:cs="Arial"/>
          <w:sz w:val="24"/>
          <w:szCs w:val="24"/>
        </w:rPr>
      </w:pPr>
      <w:proofErr w:type="spellStart"/>
      <w:r>
        <w:rPr>
          <w:rFonts w:ascii="Arial" w:hAnsi="Arial" w:cs="Arial"/>
          <w:sz w:val="24"/>
          <w:szCs w:val="24"/>
        </w:rPr>
        <w:t>Erdkamp</w:t>
      </w:r>
      <w:proofErr w:type="spellEnd"/>
      <w:r>
        <w:rPr>
          <w:rFonts w:ascii="Arial" w:hAnsi="Arial" w:cs="Arial"/>
          <w:sz w:val="24"/>
          <w:szCs w:val="24"/>
        </w:rPr>
        <w:t xml:space="preserve">, P. (2011) ‘Manpower and Food Supply in the First Punic and Second Punic Wars’, in Hoyos, D. (ed.) </w:t>
      </w:r>
      <w:r w:rsidRPr="00C51ED7">
        <w:rPr>
          <w:rFonts w:ascii="Arial" w:hAnsi="Arial" w:cs="Arial"/>
          <w:i/>
          <w:iCs/>
          <w:sz w:val="24"/>
          <w:szCs w:val="24"/>
        </w:rPr>
        <w:t>A Companion to the Punic Wars</w:t>
      </w:r>
      <w:r>
        <w:rPr>
          <w:rFonts w:ascii="Arial" w:hAnsi="Arial" w:cs="Arial"/>
          <w:sz w:val="24"/>
          <w:szCs w:val="24"/>
        </w:rPr>
        <w:t xml:space="preserve">. Chichester: Blackwell Publishing. </w:t>
      </w:r>
    </w:p>
    <w:p w14:paraId="0D5F447B" w14:textId="77777777" w:rsidR="00F21624" w:rsidRDefault="00F21624" w:rsidP="00F21624">
      <w:pPr>
        <w:spacing w:after="0" w:line="480" w:lineRule="auto"/>
        <w:rPr>
          <w:rFonts w:ascii="Arial" w:hAnsi="Arial" w:cs="Arial"/>
          <w:sz w:val="24"/>
          <w:szCs w:val="24"/>
        </w:rPr>
      </w:pPr>
    </w:p>
    <w:p w14:paraId="1AD2D184" w14:textId="77777777" w:rsidR="00F21624" w:rsidRPr="00784F3D" w:rsidRDefault="00F21624" w:rsidP="00F21624">
      <w:pPr>
        <w:spacing w:after="0" w:line="480" w:lineRule="auto"/>
        <w:rPr>
          <w:rFonts w:ascii="Arial" w:hAnsi="Arial" w:cs="Arial"/>
          <w:sz w:val="24"/>
          <w:szCs w:val="24"/>
        </w:rPr>
      </w:pPr>
      <w:r w:rsidRPr="00784F3D">
        <w:rPr>
          <w:rFonts w:ascii="Arial" w:hAnsi="Arial" w:cs="Arial"/>
          <w:sz w:val="24"/>
          <w:szCs w:val="24"/>
        </w:rPr>
        <w:t xml:space="preserve">Finley, M. I. </w:t>
      </w:r>
      <w:r>
        <w:rPr>
          <w:rFonts w:ascii="Arial" w:hAnsi="Arial" w:cs="Arial"/>
          <w:sz w:val="24"/>
          <w:szCs w:val="24"/>
        </w:rPr>
        <w:t>(</w:t>
      </w:r>
      <w:r w:rsidRPr="00784F3D">
        <w:rPr>
          <w:rFonts w:ascii="Arial" w:hAnsi="Arial" w:cs="Arial"/>
          <w:sz w:val="24"/>
          <w:szCs w:val="24"/>
        </w:rPr>
        <w:t>1991</w:t>
      </w:r>
      <w:r>
        <w:rPr>
          <w:rFonts w:ascii="Arial" w:hAnsi="Arial" w:cs="Arial"/>
          <w:sz w:val="24"/>
          <w:szCs w:val="24"/>
        </w:rPr>
        <w:t>)</w:t>
      </w:r>
      <w:r w:rsidRPr="00784F3D">
        <w:rPr>
          <w:rFonts w:ascii="Arial" w:hAnsi="Arial" w:cs="Arial"/>
          <w:sz w:val="24"/>
          <w:szCs w:val="24"/>
        </w:rPr>
        <w:t xml:space="preserve"> </w:t>
      </w:r>
      <w:r w:rsidRPr="00784F3D">
        <w:rPr>
          <w:rFonts w:ascii="Arial" w:hAnsi="Arial" w:cs="Arial"/>
          <w:i/>
          <w:sz w:val="24"/>
          <w:szCs w:val="24"/>
        </w:rPr>
        <w:t>Politics in the Ancient World</w:t>
      </w:r>
      <w:r w:rsidRPr="00784F3D">
        <w:rPr>
          <w:rFonts w:ascii="Arial" w:hAnsi="Arial" w:cs="Arial"/>
          <w:sz w:val="24"/>
          <w:szCs w:val="24"/>
        </w:rPr>
        <w:t xml:space="preserve">. Cambridge: Cambridge University Press. </w:t>
      </w:r>
    </w:p>
    <w:p w14:paraId="24BC7C96" w14:textId="77777777" w:rsidR="00F21624" w:rsidRPr="00104DC6" w:rsidRDefault="00F21624" w:rsidP="00F21624">
      <w:pPr>
        <w:spacing w:after="0" w:line="480" w:lineRule="auto"/>
        <w:rPr>
          <w:rFonts w:ascii="Arial" w:hAnsi="Arial" w:cs="Arial"/>
          <w:sz w:val="24"/>
          <w:szCs w:val="24"/>
        </w:rPr>
      </w:pPr>
    </w:p>
    <w:p w14:paraId="6E0452D7" w14:textId="77777777" w:rsidR="00F21624" w:rsidRDefault="00F21624" w:rsidP="00F21624">
      <w:pPr>
        <w:spacing w:after="0" w:line="480" w:lineRule="auto"/>
        <w:rPr>
          <w:rFonts w:ascii="Arial" w:hAnsi="Arial" w:cs="Arial"/>
          <w:sz w:val="24"/>
          <w:szCs w:val="24"/>
        </w:rPr>
      </w:pPr>
      <w:r w:rsidRPr="00104DC6">
        <w:rPr>
          <w:rFonts w:ascii="Arial" w:hAnsi="Arial" w:cs="Arial"/>
          <w:sz w:val="24"/>
          <w:szCs w:val="24"/>
        </w:rPr>
        <w:t xml:space="preserve">Forsythe, G. (2005) </w:t>
      </w:r>
      <w:r w:rsidRPr="00104DC6">
        <w:rPr>
          <w:rFonts w:ascii="Arial" w:hAnsi="Arial" w:cs="Arial"/>
          <w:i/>
          <w:iCs/>
          <w:sz w:val="24"/>
          <w:szCs w:val="24"/>
        </w:rPr>
        <w:t>From Prehistory to the First Punic War: A Critical History of Early Rome</w:t>
      </w:r>
      <w:r w:rsidRPr="00104DC6">
        <w:rPr>
          <w:rFonts w:ascii="Arial" w:hAnsi="Arial" w:cs="Arial"/>
          <w:sz w:val="24"/>
          <w:szCs w:val="24"/>
        </w:rPr>
        <w:t>. Berk</w:t>
      </w:r>
      <w:r>
        <w:rPr>
          <w:rFonts w:ascii="Arial" w:hAnsi="Arial" w:cs="Arial"/>
          <w:sz w:val="24"/>
          <w:szCs w:val="24"/>
        </w:rPr>
        <w:t>e</w:t>
      </w:r>
      <w:r w:rsidRPr="00104DC6">
        <w:rPr>
          <w:rFonts w:ascii="Arial" w:hAnsi="Arial" w:cs="Arial"/>
          <w:sz w:val="24"/>
          <w:szCs w:val="24"/>
        </w:rPr>
        <w:t xml:space="preserve">ley: University of California Press. </w:t>
      </w:r>
    </w:p>
    <w:p w14:paraId="36EB05D5" w14:textId="77777777" w:rsidR="00F21624" w:rsidRDefault="00F21624" w:rsidP="00F21624">
      <w:pPr>
        <w:spacing w:after="0" w:line="480" w:lineRule="auto"/>
        <w:rPr>
          <w:rFonts w:ascii="Arial" w:hAnsi="Arial" w:cs="Arial"/>
          <w:sz w:val="24"/>
          <w:szCs w:val="24"/>
        </w:rPr>
      </w:pPr>
    </w:p>
    <w:p w14:paraId="714B7C71" w14:textId="77777777" w:rsidR="00F21624" w:rsidRDefault="00F21624" w:rsidP="00F21624">
      <w:pPr>
        <w:spacing w:after="0" w:line="480" w:lineRule="auto"/>
        <w:rPr>
          <w:rFonts w:ascii="Arial" w:hAnsi="Arial" w:cs="Arial"/>
          <w:sz w:val="24"/>
          <w:szCs w:val="24"/>
        </w:rPr>
      </w:pPr>
      <w:r>
        <w:rPr>
          <w:rFonts w:ascii="Arial" w:hAnsi="Arial" w:cs="Arial"/>
          <w:sz w:val="24"/>
          <w:szCs w:val="24"/>
        </w:rPr>
        <w:lastRenderedPageBreak/>
        <w:t xml:space="preserve">Franke, P.R. (1990) ‘Pyrrhus’, in </w:t>
      </w:r>
      <w:proofErr w:type="spellStart"/>
      <w:r>
        <w:rPr>
          <w:rFonts w:ascii="Arial" w:hAnsi="Arial" w:cs="Arial"/>
          <w:sz w:val="24"/>
          <w:szCs w:val="24"/>
        </w:rPr>
        <w:t>Astin</w:t>
      </w:r>
      <w:proofErr w:type="spellEnd"/>
      <w:r>
        <w:rPr>
          <w:rFonts w:ascii="Arial" w:hAnsi="Arial" w:cs="Arial"/>
          <w:sz w:val="24"/>
          <w:szCs w:val="24"/>
        </w:rPr>
        <w:t xml:space="preserve">, A, Frederiksen, M, Ogilvie, R and </w:t>
      </w:r>
      <w:proofErr w:type="spellStart"/>
      <w:r>
        <w:rPr>
          <w:rFonts w:ascii="Arial" w:hAnsi="Arial" w:cs="Arial"/>
          <w:sz w:val="24"/>
          <w:szCs w:val="24"/>
        </w:rPr>
        <w:t>Walbank</w:t>
      </w:r>
      <w:proofErr w:type="spellEnd"/>
      <w:r>
        <w:rPr>
          <w:rFonts w:ascii="Arial" w:hAnsi="Arial" w:cs="Arial"/>
          <w:sz w:val="24"/>
          <w:szCs w:val="24"/>
        </w:rPr>
        <w:t xml:space="preserve">, W.F. (eds.) </w:t>
      </w:r>
      <w:r w:rsidRPr="00642986">
        <w:rPr>
          <w:rFonts w:ascii="Arial" w:hAnsi="Arial" w:cs="Arial"/>
          <w:i/>
          <w:iCs/>
          <w:sz w:val="24"/>
          <w:szCs w:val="24"/>
        </w:rPr>
        <w:t>The Cambridge Ancient History</w:t>
      </w:r>
      <w:r>
        <w:rPr>
          <w:rFonts w:ascii="Arial" w:hAnsi="Arial" w:cs="Arial"/>
          <w:sz w:val="24"/>
          <w:szCs w:val="24"/>
        </w:rPr>
        <w:t xml:space="preserve">. Cambridge: Cambridge University Press. </w:t>
      </w:r>
    </w:p>
    <w:p w14:paraId="77F1E080" w14:textId="77777777" w:rsidR="00F21624" w:rsidRDefault="00F21624" w:rsidP="00F21624">
      <w:pPr>
        <w:spacing w:after="0" w:line="480" w:lineRule="auto"/>
        <w:rPr>
          <w:rFonts w:ascii="Arial" w:hAnsi="Arial" w:cs="Arial"/>
          <w:sz w:val="24"/>
          <w:szCs w:val="24"/>
        </w:rPr>
      </w:pPr>
    </w:p>
    <w:p w14:paraId="153E8C9B"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Goldsworthy, A. (2000) </w:t>
      </w:r>
      <w:r w:rsidRPr="00D21B5F">
        <w:rPr>
          <w:rFonts w:ascii="Arial" w:hAnsi="Arial" w:cs="Arial"/>
          <w:i/>
          <w:iCs/>
          <w:sz w:val="24"/>
          <w:szCs w:val="24"/>
        </w:rPr>
        <w:t>The Fall of Carthage</w:t>
      </w:r>
      <w:r>
        <w:rPr>
          <w:rFonts w:ascii="Arial" w:hAnsi="Arial" w:cs="Arial"/>
          <w:sz w:val="24"/>
          <w:szCs w:val="24"/>
        </w:rPr>
        <w:t xml:space="preserve">. London: Phoenix Publishing. </w:t>
      </w:r>
    </w:p>
    <w:p w14:paraId="1BA4E4C3" w14:textId="77777777" w:rsidR="00F21624" w:rsidRDefault="00F21624" w:rsidP="00F21624">
      <w:pPr>
        <w:spacing w:after="0" w:line="480" w:lineRule="auto"/>
        <w:rPr>
          <w:rFonts w:ascii="Arial" w:hAnsi="Arial" w:cs="Arial"/>
          <w:sz w:val="24"/>
          <w:szCs w:val="24"/>
        </w:rPr>
      </w:pPr>
    </w:p>
    <w:p w14:paraId="1FE8C723" w14:textId="77777777" w:rsidR="00F21624" w:rsidRPr="00784F3D" w:rsidRDefault="00F21624" w:rsidP="00F21624">
      <w:pPr>
        <w:spacing w:after="0" w:line="480" w:lineRule="auto"/>
        <w:rPr>
          <w:rFonts w:ascii="Arial" w:hAnsi="Arial" w:cs="Arial"/>
          <w:sz w:val="24"/>
          <w:szCs w:val="24"/>
        </w:rPr>
      </w:pPr>
      <w:r w:rsidRPr="00784F3D">
        <w:rPr>
          <w:rFonts w:ascii="Arial" w:hAnsi="Arial" w:cs="Arial"/>
          <w:sz w:val="24"/>
          <w:szCs w:val="24"/>
        </w:rPr>
        <w:t xml:space="preserve">Gunther, L.M. </w:t>
      </w:r>
      <w:r>
        <w:rPr>
          <w:rFonts w:ascii="Arial" w:hAnsi="Arial" w:cs="Arial"/>
          <w:sz w:val="24"/>
          <w:szCs w:val="24"/>
        </w:rPr>
        <w:t>(</w:t>
      </w:r>
      <w:r w:rsidRPr="00784F3D">
        <w:rPr>
          <w:rFonts w:ascii="Arial" w:hAnsi="Arial" w:cs="Arial"/>
          <w:sz w:val="24"/>
          <w:szCs w:val="24"/>
        </w:rPr>
        <w:t>2008</w:t>
      </w:r>
      <w:r>
        <w:rPr>
          <w:rFonts w:ascii="Arial" w:hAnsi="Arial" w:cs="Arial"/>
          <w:sz w:val="24"/>
          <w:szCs w:val="24"/>
        </w:rPr>
        <w:t>)</w:t>
      </w:r>
      <w:r w:rsidRPr="00784F3D">
        <w:rPr>
          <w:rFonts w:ascii="Arial" w:hAnsi="Arial" w:cs="Arial"/>
          <w:sz w:val="24"/>
          <w:szCs w:val="24"/>
        </w:rPr>
        <w:t xml:space="preserve"> </w:t>
      </w:r>
      <w:r>
        <w:rPr>
          <w:rFonts w:ascii="Arial" w:hAnsi="Arial" w:cs="Arial"/>
          <w:sz w:val="24"/>
          <w:szCs w:val="24"/>
        </w:rPr>
        <w:t>‘</w:t>
      </w:r>
      <w:r w:rsidRPr="00784F3D">
        <w:rPr>
          <w:rFonts w:ascii="Arial" w:hAnsi="Arial" w:cs="Arial"/>
          <w:sz w:val="24"/>
          <w:szCs w:val="24"/>
        </w:rPr>
        <w:t>Carthaginian parties during the Punic Wars</w:t>
      </w:r>
      <w:r>
        <w:rPr>
          <w:rFonts w:ascii="Arial" w:hAnsi="Arial" w:cs="Arial"/>
          <w:sz w:val="24"/>
          <w:szCs w:val="24"/>
        </w:rPr>
        <w:t>’,</w:t>
      </w:r>
      <w:r w:rsidRPr="00784F3D">
        <w:rPr>
          <w:rFonts w:ascii="Arial" w:hAnsi="Arial" w:cs="Arial"/>
          <w:sz w:val="24"/>
          <w:szCs w:val="24"/>
        </w:rPr>
        <w:t xml:space="preserve"> </w:t>
      </w:r>
      <w:r w:rsidRPr="00784F3D">
        <w:rPr>
          <w:rFonts w:ascii="Arial" w:hAnsi="Arial" w:cs="Arial"/>
          <w:i/>
          <w:sz w:val="24"/>
          <w:szCs w:val="24"/>
        </w:rPr>
        <w:t>Mediterranean Historical Review</w:t>
      </w:r>
      <w:r>
        <w:rPr>
          <w:rFonts w:ascii="Arial" w:hAnsi="Arial" w:cs="Arial"/>
          <w:i/>
          <w:sz w:val="24"/>
          <w:szCs w:val="24"/>
        </w:rPr>
        <w:t>,</w:t>
      </w:r>
      <w:r w:rsidRPr="00784F3D">
        <w:rPr>
          <w:rFonts w:ascii="Arial" w:hAnsi="Arial" w:cs="Arial"/>
          <w:i/>
          <w:sz w:val="24"/>
          <w:szCs w:val="24"/>
        </w:rPr>
        <w:t xml:space="preserve"> </w:t>
      </w:r>
      <w:r w:rsidRPr="00784F3D">
        <w:rPr>
          <w:rFonts w:ascii="Arial" w:hAnsi="Arial" w:cs="Arial"/>
          <w:sz w:val="24"/>
          <w:szCs w:val="24"/>
        </w:rPr>
        <w:t>14</w:t>
      </w:r>
      <w:r>
        <w:rPr>
          <w:rFonts w:ascii="Arial" w:hAnsi="Arial" w:cs="Arial"/>
          <w:sz w:val="24"/>
          <w:szCs w:val="24"/>
        </w:rPr>
        <w:t>, pp.</w:t>
      </w:r>
      <w:r w:rsidRPr="00784F3D">
        <w:rPr>
          <w:rFonts w:ascii="Arial" w:hAnsi="Arial" w:cs="Arial"/>
          <w:sz w:val="24"/>
          <w:szCs w:val="24"/>
        </w:rPr>
        <w:t xml:space="preserve"> 18-30. </w:t>
      </w:r>
    </w:p>
    <w:p w14:paraId="402C4954" w14:textId="77777777" w:rsidR="00F21624" w:rsidRPr="00104DC6" w:rsidRDefault="00F21624" w:rsidP="00F21624">
      <w:pPr>
        <w:spacing w:after="0" w:line="480" w:lineRule="auto"/>
        <w:rPr>
          <w:rFonts w:ascii="Arial" w:hAnsi="Arial" w:cs="Arial"/>
          <w:sz w:val="24"/>
          <w:szCs w:val="24"/>
        </w:rPr>
      </w:pPr>
    </w:p>
    <w:p w14:paraId="7E05FD85" w14:textId="77777777" w:rsidR="00F21624" w:rsidRDefault="00F21624" w:rsidP="00F21624">
      <w:pPr>
        <w:spacing w:after="0" w:line="480" w:lineRule="auto"/>
        <w:rPr>
          <w:rFonts w:ascii="Arial" w:hAnsi="Arial" w:cs="Arial"/>
          <w:sz w:val="24"/>
          <w:szCs w:val="24"/>
        </w:rPr>
      </w:pPr>
      <w:r w:rsidRPr="00104DC6">
        <w:rPr>
          <w:rFonts w:ascii="Arial" w:hAnsi="Arial" w:cs="Arial"/>
          <w:sz w:val="24"/>
          <w:szCs w:val="24"/>
        </w:rPr>
        <w:t>Harris, W.V</w:t>
      </w:r>
      <w:r>
        <w:rPr>
          <w:rFonts w:ascii="Arial" w:hAnsi="Arial" w:cs="Arial"/>
          <w:sz w:val="24"/>
          <w:szCs w:val="24"/>
        </w:rPr>
        <w:t>.</w:t>
      </w:r>
      <w:r w:rsidRPr="00104DC6">
        <w:rPr>
          <w:rFonts w:ascii="Arial" w:hAnsi="Arial" w:cs="Arial"/>
          <w:sz w:val="24"/>
          <w:szCs w:val="24"/>
        </w:rPr>
        <w:t xml:space="preserve"> (1979) </w:t>
      </w:r>
      <w:r w:rsidRPr="00104DC6">
        <w:rPr>
          <w:rFonts w:ascii="Arial" w:hAnsi="Arial" w:cs="Arial"/>
          <w:i/>
          <w:iCs/>
          <w:sz w:val="24"/>
          <w:szCs w:val="24"/>
        </w:rPr>
        <w:t>War and Imperialism in Republican Rome: 327 – 70 B.C</w:t>
      </w:r>
      <w:r w:rsidRPr="00104DC6">
        <w:rPr>
          <w:rFonts w:ascii="Arial" w:hAnsi="Arial" w:cs="Arial"/>
          <w:sz w:val="24"/>
          <w:szCs w:val="24"/>
        </w:rPr>
        <w:t xml:space="preserve">. Oxford: Oxford University Press. </w:t>
      </w:r>
    </w:p>
    <w:p w14:paraId="46DBC7A2" w14:textId="77777777" w:rsidR="00F21624" w:rsidRDefault="00F21624" w:rsidP="00F21624">
      <w:pPr>
        <w:spacing w:after="0" w:line="480" w:lineRule="auto"/>
        <w:rPr>
          <w:rFonts w:ascii="Arial" w:hAnsi="Arial" w:cs="Arial"/>
          <w:sz w:val="24"/>
          <w:szCs w:val="24"/>
        </w:rPr>
      </w:pPr>
    </w:p>
    <w:p w14:paraId="7886767A" w14:textId="77777777" w:rsidR="00F21624" w:rsidRDefault="00F21624" w:rsidP="00F21624">
      <w:pPr>
        <w:spacing w:after="0" w:line="480" w:lineRule="auto"/>
        <w:rPr>
          <w:rFonts w:ascii="Arial" w:hAnsi="Arial" w:cs="Arial"/>
          <w:i/>
          <w:iCs/>
          <w:sz w:val="24"/>
          <w:szCs w:val="24"/>
        </w:rPr>
      </w:pPr>
      <w:proofErr w:type="spellStart"/>
      <w:r w:rsidRPr="00104DC6">
        <w:rPr>
          <w:rFonts w:ascii="Arial" w:hAnsi="Arial" w:cs="Arial"/>
          <w:sz w:val="24"/>
          <w:szCs w:val="24"/>
        </w:rPr>
        <w:t>Hölkeskamp</w:t>
      </w:r>
      <w:proofErr w:type="spellEnd"/>
      <w:r w:rsidRPr="00104DC6">
        <w:rPr>
          <w:rFonts w:ascii="Arial" w:hAnsi="Arial" w:cs="Arial"/>
          <w:sz w:val="24"/>
          <w:szCs w:val="24"/>
        </w:rPr>
        <w:t>, K</w:t>
      </w:r>
      <w:r>
        <w:rPr>
          <w:rFonts w:ascii="Arial" w:hAnsi="Arial" w:cs="Arial"/>
          <w:sz w:val="24"/>
          <w:szCs w:val="24"/>
        </w:rPr>
        <w:t>. (1993) ‘Conquest, Competition and Consensus: Roman Expansion in Italy and the Rise of the “</w:t>
      </w:r>
      <w:proofErr w:type="spellStart"/>
      <w:r>
        <w:rPr>
          <w:rFonts w:ascii="Arial" w:hAnsi="Arial" w:cs="Arial"/>
          <w:sz w:val="24"/>
          <w:szCs w:val="24"/>
        </w:rPr>
        <w:t>Nobilita</w:t>
      </w:r>
      <w:proofErr w:type="spellEnd"/>
      <w:r>
        <w:rPr>
          <w:rFonts w:ascii="Arial" w:hAnsi="Arial" w:cs="Arial"/>
          <w:sz w:val="24"/>
          <w:szCs w:val="24"/>
        </w:rPr>
        <w:t xml:space="preserve">”’, </w:t>
      </w:r>
      <w:r w:rsidRPr="00104DC6">
        <w:rPr>
          <w:rFonts w:ascii="Arial" w:hAnsi="Arial" w:cs="Arial"/>
          <w:i/>
          <w:iCs/>
          <w:sz w:val="24"/>
          <w:szCs w:val="24"/>
        </w:rPr>
        <w:t xml:space="preserve">Historia: </w:t>
      </w:r>
      <w:proofErr w:type="spellStart"/>
      <w:r w:rsidRPr="00104DC6">
        <w:rPr>
          <w:rFonts w:ascii="Arial" w:hAnsi="Arial" w:cs="Arial"/>
          <w:i/>
          <w:iCs/>
          <w:sz w:val="24"/>
          <w:szCs w:val="24"/>
        </w:rPr>
        <w:t>Zeitschrift</w:t>
      </w:r>
      <w:proofErr w:type="spellEnd"/>
      <w:r w:rsidRPr="00104DC6">
        <w:rPr>
          <w:rFonts w:ascii="Arial" w:hAnsi="Arial" w:cs="Arial"/>
          <w:i/>
          <w:iCs/>
          <w:sz w:val="24"/>
          <w:szCs w:val="24"/>
        </w:rPr>
        <w:t xml:space="preserve"> </w:t>
      </w:r>
      <w:proofErr w:type="spellStart"/>
      <w:r w:rsidRPr="00104DC6">
        <w:rPr>
          <w:rFonts w:ascii="Arial" w:hAnsi="Arial" w:cs="Arial"/>
          <w:i/>
          <w:iCs/>
          <w:sz w:val="24"/>
          <w:szCs w:val="24"/>
        </w:rPr>
        <w:t>f</w:t>
      </w:r>
      <w:r>
        <w:rPr>
          <w:rFonts w:ascii="Arial" w:hAnsi="Arial" w:cs="Arial"/>
          <w:i/>
          <w:iCs/>
          <w:sz w:val="24"/>
          <w:szCs w:val="24"/>
        </w:rPr>
        <w:t>ü</w:t>
      </w:r>
      <w:r w:rsidRPr="00104DC6">
        <w:rPr>
          <w:rFonts w:ascii="Arial" w:hAnsi="Arial" w:cs="Arial"/>
          <w:i/>
          <w:iCs/>
          <w:sz w:val="24"/>
          <w:szCs w:val="24"/>
        </w:rPr>
        <w:t>r</w:t>
      </w:r>
      <w:proofErr w:type="spellEnd"/>
      <w:r w:rsidRPr="00104DC6">
        <w:rPr>
          <w:rFonts w:ascii="Arial" w:hAnsi="Arial" w:cs="Arial"/>
          <w:i/>
          <w:iCs/>
          <w:sz w:val="24"/>
          <w:szCs w:val="24"/>
        </w:rPr>
        <w:t xml:space="preserve"> </w:t>
      </w:r>
      <w:proofErr w:type="spellStart"/>
      <w:r w:rsidRPr="00104DC6">
        <w:rPr>
          <w:rFonts w:ascii="Arial" w:hAnsi="Arial" w:cs="Arial"/>
          <w:i/>
          <w:iCs/>
          <w:sz w:val="24"/>
          <w:szCs w:val="24"/>
        </w:rPr>
        <w:t>alte</w:t>
      </w:r>
      <w:proofErr w:type="spellEnd"/>
      <w:r w:rsidRPr="00104DC6">
        <w:rPr>
          <w:rFonts w:ascii="Arial" w:hAnsi="Arial" w:cs="Arial"/>
          <w:i/>
          <w:iCs/>
          <w:sz w:val="24"/>
          <w:szCs w:val="24"/>
        </w:rPr>
        <w:t xml:space="preserve"> </w:t>
      </w:r>
      <w:proofErr w:type="spellStart"/>
      <w:r w:rsidRPr="00104DC6">
        <w:rPr>
          <w:rFonts w:ascii="Arial" w:hAnsi="Arial" w:cs="Arial"/>
          <w:i/>
          <w:iCs/>
          <w:sz w:val="24"/>
          <w:szCs w:val="24"/>
        </w:rPr>
        <w:t>Geschichte</w:t>
      </w:r>
      <w:proofErr w:type="spellEnd"/>
      <w:r>
        <w:rPr>
          <w:rFonts w:ascii="Arial" w:hAnsi="Arial" w:cs="Arial"/>
          <w:i/>
          <w:iCs/>
          <w:sz w:val="24"/>
          <w:szCs w:val="24"/>
        </w:rPr>
        <w:t xml:space="preserve">, </w:t>
      </w:r>
      <w:r w:rsidRPr="00A647CD">
        <w:rPr>
          <w:rFonts w:ascii="Arial" w:hAnsi="Arial" w:cs="Arial"/>
          <w:sz w:val="24"/>
          <w:szCs w:val="24"/>
        </w:rPr>
        <w:t xml:space="preserve">42(1), pp. 12-39. </w:t>
      </w:r>
    </w:p>
    <w:p w14:paraId="597C2459" w14:textId="77777777" w:rsidR="00F21624" w:rsidRPr="00104DC6" w:rsidRDefault="00F21624" w:rsidP="00F21624">
      <w:pPr>
        <w:spacing w:after="0" w:line="480" w:lineRule="auto"/>
        <w:rPr>
          <w:rFonts w:ascii="Arial" w:hAnsi="Arial" w:cs="Arial"/>
          <w:sz w:val="24"/>
          <w:szCs w:val="24"/>
        </w:rPr>
      </w:pPr>
    </w:p>
    <w:p w14:paraId="0A8B5841" w14:textId="77777777" w:rsidR="00F21624" w:rsidRDefault="00F21624" w:rsidP="00F21624">
      <w:pPr>
        <w:spacing w:after="0" w:line="480" w:lineRule="auto"/>
        <w:rPr>
          <w:rFonts w:ascii="Arial" w:hAnsi="Arial" w:cs="Arial"/>
          <w:sz w:val="24"/>
          <w:szCs w:val="24"/>
        </w:rPr>
      </w:pPr>
      <w:proofErr w:type="spellStart"/>
      <w:r w:rsidRPr="00104DC6">
        <w:rPr>
          <w:rFonts w:ascii="Arial" w:hAnsi="Arial" w:cs="Arial"/>
          <w:sz w:val="24"/>
          <w:szCs w:val="24"/>
        </w:rPr>
        <w:t>Hölkeskamp</w:t>
      </w:r>
      <w:proofErr w:type="spellEnd"/>
      <w:r w:rsidRPr="00104DC6">
        <w:rPr>
          <w:rFonts w:ascii="Arial" w:hAnsi="Arial" w:cs="Arial"/>
          <w:sz w:val="24"/>
          <w:szCs w:val="24"/>
        </w:rPr>
        <w:t>, K</w:t>
      </w:r>
      <w:r>
        <w:rPr>
          <w:rFonts w:ascii="Arial" w:hAnsi="Arial" w:cs="Arial"/>
          <w:sz w:val="24"/>
          <w:szCs w:val="24"/>
        </w:rPr>
        <w:t>.</w:t>
      </w:r>
      <w:r w:rsidRPr="00104DC6">
        <w:rPr>
          <w:rFonts w:ascii="Arial" w:hAnsi="Arial" w:cs="Arial"/>
          <w:sz w:val="24"/>
          <w:szCs w:val="24"/>
        </w:rPr>
        <w:t xml:space="preserve"> (2001) ‘Fact(ions) or Fiction? Friedrich </w:t>
      </w:r>
      <w:proofErr w:type="spellStart"/>
      <w:r w:rsidRPr="00104DC6">
        <w:rPr>
          <w:rFonts w:ascii="Arial" w:hAnsi="Arial" w:cs="Arial"/>
          <w:sz w:val="24"/>
          <w:szCs w:val="24"/>
        </w:rPr>
        <w:t>Münzer</w:t>
      </w:r>
      <w:proofErr w:type="spellEnd"/>
      <w:r w:rsidRPr="00104DC6">
        <w:rPr>
          <w:rFonts w:ascii="Arial" w:hAnsi="Arial" w:cs="Arial"/>
          <w:sz w:val="24"/>
          <w:szCs w:val="24"/>
        </w:rPr>
        <w:t xml:space="preserve"> and the Aristocracy of the Roman Republic – then and now’, </w:t>
      </w:r>
      <w:r w:rsidRPr="00104DC6">
        <w:rPr>
          <w:rFonts w:ascii="Arial" w:hAnsi="Arial" w:cs="Arial"/>
          <w:i/>
          <w:iCs/>
          <w:sz w:val="24"/>
          <w:szCs w:val="24"/>
        </w:rPr>
        <w:t>The International Journal of the Classical Tradition</w:t>
      </w:r>
      <w:r w:rsidRPr="00104DC6">
        <w:rPr>
          <w:rFonts w:ascii="Arial" w:hAnsi="Arial" w:cs="Arial"/>
          <w:sz w:val="24"/>
          <w:szCs w:val="24"/>
        </w:rPr>
        <w:t xml:space="preserve">, 8(1), pp. 92-105. </w:t>
      </w:r>
    </w:p>
    <w:p w14:paraId="1EC57B00" w14:textId="77777777" w:rsidR="00F21624" w:rsidRDefault="00F21624" w:rsidP="00F21624">
      <w:pPr>
        <w:spacing w:after="0" w:line="480" w:lineRule="auto"/>
        <w:rPr>
          <w:rFonts w:ascii="Arial" w:hAnsi="Arial" w:cs="Arial"/>
          <w:sz w:val="24"/>
          <w:szCs w:val="24"/>
        </w:rPr>
      </w:pPr>
    </w:p>
    <w:p w14:paraId="190C6A1F"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Hoyos, D. (1985) ‘Treaties True and False: The Error of Philinus of </w:t>
      </w:r>
      <w:proofErr w:type="spellStart"/>
      <w:r>
        <w:rPr>
          <w:rFonts w:ascii="Arial" w:hAnsi="Arial" w:cs="Arial"/>
          <w:sz w:val="24"/>
          <w:szCs w:val="24"/>
        </w:rPr>
        <w:t>Agrigentum</w:t>
      </w:r>
      <w:proofErr w:type="spellEnd"/>
      <w:r>
        <w:rPr>
          <w:rFonts w:ascii="Arial" w:hAnsi="Arial" w:cs="Arial"/>
          <w:sz w:val="24"/>
          <w:szCs w:val="24"/>
        </w:rPr>
        <w:t xml:space="preserve">’, </w:t>
      </w:r>
      <w:r w:rsidRPr="003C4FD6">
        <w:rPr>
          <w:rFonts w:ascii="Arial" w:hAnsi="Arial" w:cs="Arial"/>
          <w:i/>
          <w:iCs/>
          <w:sz w:val="24"/>
          <w:szCs w:val="24"/>
        </w:rPr>
        <w:t>The Classical Quarterly</w:t>
      </w:r>
      <w:r>
        <w:rPr>
          <w:rFonts w:ascii="Arial" w:hAnsi="Arial" w:cs="Arial"/>
          <w:sz w:val="24"/>
          <w:szCs w:val="24"/>
        </w:rPr>
        <w:t xml:space="preserve">, 35(1), pp. 92-109. </w:t>
      </w:r>
    </w:p>
    <w:p w14:paraId="0C4FE6CE" w14:textId="77777777" w:rsidR="00F21624" w:rsidRDefault="00F21624" w:rsidP="00F21624">
      <w:pPr>
        <w:spacing w:after="0" w:line="480" w:lineRule="auto"/>
        <w:rPr>
          <w:rFonts w:ascii="Arial" w:hAnsi="Arial" w:cs="Arial"/>
          <w:sz w:val="24"/>
          <w:szCs w:val="24"/>
        </w:rPr>
      </w:pPr>
    </w:p>
    <w:p w14:paraId="70562182" w14:textId="77777777" w:rsidR="00F21624" w:rsidRPr="00784F3D" w:rsidRDefault="00F21624" w:rsidP="00F21624">
      <w:pPr>
        <w:spacing w:after="0" w:line="480" w:lineRule="auto"/>
        <w:rPr>
          <w:rFonts w:ascii="Arial" w:hAnsi="Arial" w:cs="Arial"/>
          <w:sz w:val="24"/>
          <w:szCs w:val="24"/>
        </w:rPr>
      </w:pPr>
      <w:r w:rsidRPr="00784F3D">
        <w:rPr>
          <w:rFonts w:ascii="Arial" w:hAnsi="Arial" w:cs="Arial"/>
          <w:sz w:val="24"/>
          <w:szCs w:val="24"/>
        </w:rPr>
        <w:t xml:space="preserve">Hoyos, D. </w:t>
      </w:r>
      <w:r>
        <w:rPr>
          <w:rFonts w:ascii="Arial" w:hAnsi="Arial" w:cs="Arial"/>
          <w:sz w:val="24"/>
          <w:szCs w:val="24"/>
        </w:rPr>
        <w:t>(</w:t>
      </w:r>
      <w:r w:rsidRPr="00784F3D">
        <w:rPr>
          <w:rFonts w:ascii="Arial" w:hAnsi="Arial" w:cs="Arial"/>
          <w:sz w:val="24"/>
          <w:szCs w:val="24"/>
        </w:rPr>
        <w:t>1998</w:t>
      </w:r>
      <w:r>
        <w:rPr>
          <w:rFonts w:ascii="Arial" w:hAnsi="Arial" w:cs="Arial"/>
          <w:sz w:val="24"/>
          <w:szCs w:val="24"/>
        </w:rPr>
        <w:t>)</w:t>
      </w:r>
      <w:r w:rsidRPr="00784F3D">
        <w:rPr>
          <w:rFonts w:ascii="Arial" w:hAnsi="Arial" w:cs="Arial"/>
          <w:sz w:val="24"/>
          <w:szCs w:val="24"/>
        </w:rPr>
        <w:t xml:space="preserve"> </w:t>
      </w:r>
      <w:r w:rsidRPr="00784F3D">
        <w:rPr>
          <w:rFonts w:ascii="Arial" w:hAnsi="Arial" w:cs="Arial"/>
          <w:i/>
          <w:sz w:val="24"/>
          <w:szCs w:val="24"/>
        </w:rPr>
        <w:t>Unplanned Wars: The Origins of the First and Second Punic Wars</w:t>
      </w:r>
      <w:r w:rsidRPr="00784F3D">
        <w:rPr>
          <w:rFonts w:ascii="Arial" w:hAnsi="Arial" w:cs="Arial"/>
          <w:sz w:val="24"/>
          <w:szCs w:val="24"/>
        </w:rPr>
        <w:t xml:space="preserve">. Berlin: W. </w:t>
      </w:r>
      <w:proofErr w:type="spellStart"/>
      <w:r w:rsidRPr="00784F3D">
        <w:rPr>
          <w:rFonts w:ascii="Arial" w:hAnsi="Arial" w:cs="Arial"/>
          <w:sz w:val="24"/>
          <w:szCs w:val="24"/>
        </w:rPr>
        <w:t>deGruyter</w:t>
      </w:r>
      <w:proofErr w:type="spellEnd"/>
      <w:r w:rsidRPr="00784F3D">
        <w:rPr>
          <w:rFonts w:ascii="Arial" w:hAnsi="Arial" w:cs="Arial"/>
          <w:sz w:val="24"/>
          <w:szCs w:val="24"/>
        </w:rPr>
        <w:t xml:space="preserve">. </w:t>
      </w:r>
    </w:p>
    <w:p w14:paraId="33506CAB" w14:textId="77777777" w:rsidR="00F21624" w:rsidRPr="00104DC6" w:rsidRDefault="00F21624" w:rsidP="00F21624">
      <w:pPr>
        <w:spacing w:after="0" w:line="480" w:lineRule="auto"/>
        <w:rPr>
          <w:rFonts w:ascii="Arial" w:hAnsi="Arial" w:cs="Arial"/>
          <w:sz w:val="24"/>
          <w:szCs w:val="24"/>
        </w:rPr>
      </w:pPr>
    </w:p>
    <w:p w14:paraId="2F659A17" w14:textId="77777777" w:rsidR="00F21624" w:rsidRDefault="00F21624" w:rsidP="00F21624">
      <w:pPr>
        <w:spacing w:after="0" w:line="480" w:lineRule="auto"/>
        <w:rPr>
          <w:rFonts w:ascii="Arial" w:hAnsi="Arial" w:cs="Arial"/>
          <w:sz w:val="24"/>
          <w:szCs w:val="24"/>
        </w:rPr>
      </w:pPr>
      <w:r w:rsidRPr="00104DC6">
        <w:rPr>
          <w:rFonts w:ascii="Arial" w:hAnsi="Arial" w:cs="Arial"/>
          <w:sz w:val="24"/>
          <w:szCs w:val="24"/>
        </w:rPr>
        <w:t>Hoyos, D</w:t>
      </w:r>
      <w:r>
        <w:rPr>
          <w:rFonts w:ascii="Arial" w:hAnsi="Arial" w:cs="Arial"/>
          <w:sz w:val="24"/>
          <w:szCs w:val="24"/>
        </w:rPr>
        <w:t>.</w:t>
      </w:r>
      <w:r w:rsidRPr="00104DC6">
        <w:rPr>
          <w:rFonts w:ascii="Arial" w:hAnsi="Arial" w:cs="Arial"/>
          <w:sz w:val="24"/>
          <w:szCs w:val="24"/>
        </w:rPr>
        <w:t xml:space="preserve"> (2010) </w:t>
      </w:r>
      <w:r w:rsidRPr="00104DC6">
        <w:rPr>
          <w:rFonts w:ascii="Arial" w:hAnsi="Arial" w:cs="Arial"/>
          <w:i/>
          <w:iCs/>
          <w:sz w:val="24"/>
          <w:szCs w:val="24"/>
        </w:rPr>
        <w:t>The Carthaginians</w:t>
      </w:r>
      <w:r w:rsidRPr="00104DC6">
        <w:rPr>
          <w:rFonts w:ascii="Arial" w:hAnsi="Arial" w:cs="Arial"/>
          <w:sz w:val="24"/>
          <w:szCs w:val="24"/>
        </w:rPr>
        <w:t xml:space="preserve">. Abingdon: Routledge. </w:t>
      </w:r>
    </w:p>
    <w:p w14:paraId="67D52025" w14:textId="77777777" w:rsidR="00F21624" w:rsidRDefault="00F21624" w:rsidP="00F21624">
      <w:pPr>
        <w:spacing w:after="0" w:line="480" w:lineRule="auto"/>
        <w:rPr>
          <w:rFonts w:ascii="Arial" w:hAnsi="Arial" w:cs="Arial"/>
          <w:sz w:val="24"/>
          <w:szCs w:val="24"/>
        </w:rPr>
      </w:pPr>
    </w:p>
    <w:p w14:paraId="763F29B1"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Hoyos, D. (2011) ‘The Outbreak of War’, in Hoyos, D. (ed.) </w:t>
      </w:r>
      <w:r w:rsidRPr="00C51ED7">
        <w:rPr>
          <w:rFonts w:ascii="Arial" w:hAnsi="Arial" w:cs="Arial"/>
          <w:i/>
          <w:iCs/>
          <w:sz w:val="24"/>
          <w:szCs w:val="24"/>
        </w:rPr>
        <w:t>A Companion to the Punic Wars</w:t>
      </w:r>
      <w:r>
        <w:rPr>
          <w:rFonts w:ascii="Arial" w:hAnsi="Arial" w:cs="Arial"/>
          <w:sz w:val="24"/>
          <w:szCs w:val="24"/>
        </w:rPr>
        <w:t>. Chichester: Blackwell Publishing.</w:t>
      </w:r>
    </w:p>
    <w:p w14:paraId="702F6DF9" w14:textId="77777777" w:rsidR="00F21624" w:rsidRDefault="00F21624" w:rsidP="00F21624">
      <w:pPr>
        <w:spacing w:after="0" w:line="480" w:lineRule="auto"/>
        <w:rPr>
          <w:rFonts w:ascii="Arial" w:hAnsi="Arial" w:cs="Arial"/>
          <w:sz w:val="24"/>
          <w:szCs w:val="24"/>
        </w:rPr>
      </w:pPr>
    </w:p>
    <w:p w14:paraId="669AE144"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Hoyos, D (2011) ‘Carthage in Africa and Spain, 241-218’, in Hoyos, D. (ed.) </w:t>
      </w:r>
      <w:r w:rsidRPr="00C51ED7">
        <w:rPr>
          <w:rFonts w:ascii="Arial" w:hAnsi="Arial" w:cs="Arial"/>
          <w:i/>
          <w:iCs/>
          <w:sz w:val="24"/>
          <w:szCs w:val="24"/>
        </w:rPr>
        <w:t>A Companion to the Punic Wars</w:t>
      </w:r>
      <w:r>
        <w:rPr>
          <w:rFonts w:ascii="Arial" w:hAnsi="Arial" w:cs="Arial"/>
          <w:sz w:val="24"/>
          <w:szCs w:val="24"/>
        </w:rPr>
        <w:t>. Chichester: Blackwell Publishing.</w:t>
      </w:r>
    </w:p>
    <w:p w14:paraId="5EC0D8A0" w14:textId="77777777" w:rsidR="00F21624" w:rsidRDefault="00F21624" w:rsidP="00F21624">
      <w:pPr>
        <w:spacing w:after="0" w:line="480" w:lineRule="auto"/>
        <w:rPr>
          <w:rFonts w:ascii="Arial" w:hAnsi="Arial" w:cs="Arial"/>
          <w:sz w:val="24"/>
          <w:szCs w:val="24"/>
        </w:rPr>
      </w:pPr>
    </w:p>
    <w:p w14:paraId="274353AF" w14:textId="77777777" w:rsidR="00F21624" w:rsidRDefault="00F21624" w:rsidP="00F21624">
      <w:pPr>
        <w:spacing w:after="0" w:line="480" w:lineRule="auto"/>
        <w:rPr>
          <w:rFonts w:ascii="Arial" w:hAnsi="Arial" w:cs="Arial"/>
          <w:sz w:val="24"/>
          <w:szCs w:val="24"/>
        </w:rPr>
      </w:pPr>
      <w:proofErr w:type="spellStart"/>
      <w:r>
        <w:rPr>
          <w:rFonts w:ascii="Arial" w:hAnsi="Arial" w:cs="Arial"/>
          <w:sz w:val="24"/>
          <w:szCs w:val="24"/>
        </w:rPr>
        <w:t>Ianziti</w:t>
      </w:r>
      <w:proofErr w:type="spellEnd"/>
      <w:r>
        <w:rPr>
          <w:rFonts w:ascii="Arial" w:hAnsi="Arial" w:cs="Arial"/>
          <w:sz w:val="24"/>
          <w:szCs w:val="24"/>
        </w:rPr>
        <w:t xml:space="preserve">, G. (2006) ‘Between Livy and Polybius: Leonardo Bruni on the First Punic War’, </w:t>
      </w:r>
      <w:r w:rsidRPr="00E47936">
        <w:rPr>
          <w:rFonts w:ascii="Arial" w:hAnsi="Arial" w:cs="Arial"/>
          <w:i/>
          <w:iCs/>
          <w:sz w:val="24"/>
          <w:szCs w:val="24"/>
        </w:rPr>
        <w:t>Memoirs of the American Academy in Rome</w:t>
      </w:r>
      <w:r>
        <w:rPr>
          <w:rFonts w:ascii="Arial" w:hAnsi="Arial" w:cs="Arial"/>
          <w:sz w:val="24"/>
          <w:szCs w:val="24"/>
        </w:rPr>
        <w:t xml:space="preserve">, 51, pp. 173-197. </w:t>
      </w:r>
    </w:p>
    <w:p w14:paraId="5CEE2715" w14:textId="77777777" w:rsidR="00F21624" w:rsidRDefault="00F21624" w:rsidP="00F21624">
      <w:pPr>
        <w:spacing w:after="0" w:line="480" w:lineRule="auto"/>
        <w:rPr>
          <w:rFonts w:ascii="Arial" w:hAnsi="Arial" w:cs="Arial"/>
          <w:sz w:val="24"/>
          <w:szCs w:val="24"/>
        </w:rPr>
      </w:pPr>
    </w:p>
    <w:p w14:paraId="375E278C" w14:textId="77777777" w:rsidR="00F21624" w:rsidRPr="000D08E5" w:rsidRDefault="00F21624" w:rsidP="00F21624">
      <w:pPr>
        <w:spacing w:after="0" w:line="480" w:lineRule="auto"/>
        <w:rPr>
          <w:rFonts w:ascii="Arial" w:hAnsi="Arial" w:cs="Arial"/>
          <w:sz w:val="24"/>
          <w:szCs w:val="24"/>
        </w:rPr>
      </w:pPr>
      <w:r w:rsidRPr="000D08E5">
        <w:rPr>
          <w:rFonts w:ascii="Arial" w:hAnsi="Arial" w:cs="Arial"/>
          <w:sz w:val="24"/>
          <w:szCs w:val="24"/>
        </w:rPr>
        <w:t xml:space="preserve">Jones, B. W. </w:t>
      </w:r>
      <w:r>
        <w:rPr>
          <w:rFonts w:ascii="Arial" w:hAnsi="Arial" w:cs="Arial"/>
          <w:sz w:val="24"/>
          <w:szCs w:val="24"/>
        </w:rPr>
        <w:t>(</w:t>
      </w:r>
      <w:r w:rsidRPr="000D08E5">
        <w:rPr>
          <w:rFonts w:ascii="Arial" w:hAnsi="Arial" w:cs="Arial"/>
          <w:sz w:val="24"/>
          <w:szCs w:val="24"/>
        </w:rPr>
        <w:t>1972</w:t>
      </w:r>
      <w:r>
        <w:rPr>
          <w:rFonts w:ascii="Arial" w:hAnsi="Arial" w:cs="Arial"/>
          <w:sz w:val="24"/>
          <w:szCs w:val="24"/>
        </w:rPr>
        <w:t>)</w:t>
      </w:r>
      <w:r w:rsidRPr="000D08E5">
        <w:rPr>
          <w:rFonts w:ascii="Arial" w:hAnsi="Arial" w:cs="Arial"/>
          <w:sz w:val="24"/>
          <w:szCs w:val="24"/>
        </w:rPr>
        <w:t xml:space="preserve"> </w:t>
      </w:r>
      <w:r>
        <w:rPr>
          <w:rFonts w:ascii="Arial" w:hAnsi="Arial" w:cs="Arial"/>
          <w:sz w:val="24"/>
          <w:szCs w:val="24"/>
        </w:rPr>
        <w:t>‘</w:t>
      </w:r>
      <w:r w:rsidRPr="000D08E5">
        <w:rPr>
          <w:rFonts w:ascii="Arial" w:hAnsi="Arial" w:cs="Arial"/>
          <w:sz w:val="24"/>
          <w:szCs w:val="24"/>
        </w:rPr>
        <w:t>Rome and Carthage: A Study in Aggression</w:t>
      </w:r>
      <w:r>
        <w:rPr>
          <w:rFonts w:ascii="Arial" w:hAnsi="Arial" w:cs="Arial"/>
          <w:sz w:val="24"/>
          <w:szCs w:val="24"/>
        </w:rPr>
        <w:t>’,</w:t>
      </w:r>
      <w:r w:rsidRPr="000D08E5">
        <w:rPr>
          <w:rFonts w:ascii="Arial" w:hAnsi="Arial" w:cs="Arial"/>
          <w:sz w:val="24"/>
          <w:szCs w:val="24"/>
        </w:rPr>
        <w:t xml:space="preserve"> </w:t>
      </w:r>
      <w:r w:rsidRPr="000D08E5">
        <w:rPr>
          <w:rFonts w:ascii="Arial" w:hAnsi="Arial" w:cs="Arial"/>
          <w:i/>
          <w:sz w:val="24"/>
          <w:szCs w:val="24"/>
        </w:rPr>
        <w:t>Classical Review</w:t>
      </w:r>
      <w:r>
        <w:rPr>
          <w:rFonts w:ascii="Arial" w:hAnsi="Arial" w:cs="Arial"/>
          <w:i/>
          <w:sz w:val="24"/>
          <w:szCs w:val="24"/>
        </w:rPr>
        <w:t>,</w:t>
      </w:r>
      <w:r w:rsidRPr="000D08E5">
        <w:rPr>
          <w:rFonts w:ascii="Arial" w:hAnsi="Arial" w:cs="Arial"/>
          <w:sz w:val="24"/>
          <w:szCs w:val="24"/>
        </w:rPr>
        <w:t xml:space="preserve"> 49</w:t>
      </w:r>
      <w:r>
        <w:rPr>
          <w:rFonts w:ascii="Arial" w:hAnsi="Arial" w:cs="Arial"/>
          <w:sz w:val="24"/>
          <w:szCs w:val="24"/>
        </w:rPr>
        <w:t>, pp.</w:t>
      </w:r>
      <w:r w:rsidRPr="000D08E5">
        <w:rPr>
          <w:rFonts w:ascii="Arial" w:hAnsi="Arial" w:cs="Arial"/>
          <w:sz w:val="24"/>
          <w:szCs w:val="24"/>
        </w:rPr>
        <w:t xml:space="preserve"> 5-26. </w:t>
      </w:r>
    </w:p>
    <w:p w14:paraId="321FF44F" w14:textId="77777777" w:rsidR="00F21624" w:rsidRDefault="00F21624" w:rsidP="00F21624">
      <w:pPr>
        <w:spacing w:after="0" w:line="480" w:lineRule="auto"/>
        <w:rPr>
          <w:rFonts w:ascii="Arial" w:hAnsi="Arial" w:cs="Arial"/>
          <w:sz w:val="24"/>
          <w:szCs w:val="24"/>
        </w:rPr>
      </w:pPr>
    </w:p>
    <w:p w14:paraId="0EEC5B5C"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Konrad, C.F. (2015) ‘After </w:t>
      </w:r>
      <w:proofErr w:type="spellStart"/>
      <w:r>
        <w:rPr>
          <w:rFonts w:ascii="Arial" w:hAnsi="Arial" w:cs="Arial"/>
          <w:sz w:val="24"/>
          <w:szCs w:val="24"/>
        </w:rPr>
        <w:t>Drepana</w:t>
      </w:r>
      <w:proofErr w:type="spellEnd"/>
      <w:r>
        <w:rPr>
          <w:rFonts w:ascii="Arial" w:hAnsi="Arial" w:cs="Arial"/>
          <w:sz w:val="24"/>
          <w:szCs w:val="24"/>
        </w:rPr>
        <w:t xml:space="preserve">’, </w:t>
      </w:r>
      <w:r w:rsidRPr="00170CCE">
        <w:rPr>
          <w:rFonts w:ascii="Arial" w:hAnsi="Arial" w:cs="Arial"/>
          <w:i/>
          <w:iCs/>
          <w:sz w:val="24"/>
          <w:szCs w:val="24"/>
        </w:rPr>
        <w:t>The Classical Quarterly</w:t>
      </w:r>
      <w:r>
        <w:rPr>
          <w:rFonts w:ascii="Arial" w:hAnsi="Arial" w:cs="Arial"/>
          <w:sz w:val="24"/>
          <w:szCs w:val="24"/>
        </w:rPr>
        <w:t xml:space="preserve">, 65(1), pp. 192-203. </w:t>
      </w:r>
    </w:p>
    <w:p w14:paraId="1C79980A" w14:textId="77777777" w:rsidR="00F21624" w:rsidRPr="00104DC6" w:rsidRDefault="00F21624" w:rsidP="00F21624">
      <w:pPr>
        <w:spacing w:after="0" w:line="480" w:lineRule="auto"/>
        <w:rPr>
          <w:rFonts w:ascii="Arial" w:hAnsi="Arial" w:cs="Arial"/>
          <w:sz w:val="24"/>
          <w:szCs w:val="24"/>
        </w:rPr>
      </w:pPr>
    </w:p>
    <w:p w14:paraId="7FCA7346" w14:textId="77777777" w:rsidR="00F21624" w:rsidRDefault="00F21624" w:rsidP="00F21624">
      <w:pPr>
        <w:spacing w:after="0" w:line="480" w:lineRule="auto"/>
        <w:rPr>
          <w:rFonts w:ascii="Arial" w:hAnsi="Arial" w:cs="Arial"/>
          <w:sz w:val="24"/>
          <w:szCs w:val="24"/>
        </w:rPr>
      </w:pPr>
      <w:r w:rsidRPr="00104DC6">
        <w:rPr>
          <w:rFonts w:ascii="Arial" w:hAnsi="Arial" w:cs="Arial"/>
          <w:sz w:val="24"/>
          <w:szCs w:val="24"/>
        </w:rPr>
        <w:t>Lancel, S</w:t>
      </w:r>
      <w:r>
        <w:rPr>
          <w:rFonts w:ascii="Arial" w:hAnsi="Arial" w:cs="Arial"/>
          <w:sz w:val="24"/>
          <w:szCs w:val="24"/>
        </w:rPr>
        <w:t>.</w:t>
      </w:r>
      <w:r w:rsidRPr="00104DC6">
        <w:rPr>
          <w:rFonts w:ascii="Arial" w:hAnsi="Arial" w:cs="Arial"/>
          <w:sz w:val="24"/>
          <w:szCs w:val="24"/>
        </w:rPr>
        <w:t xml:space="preserve"> (1992) </w:t>
      </w:r>
      <w:r w:rsidRPr="00104DC6">
        <w:rPr>
          <w:rFonts w:ascii="Arial" w:hAnsi="Arial" w:cs="Arial"/>
          <w:i/>
          <w:iCs/>
          <w:sz w:val="24"/>
          <w:szCs w:val="24"/>
        </w:rPr>
        <w:t>Carthage: A History</w:t>
      </w:r>
      <w:r w:rsidRPr="00104DC6">
        <w:rPr>
          <w:rFonts w:ascii="Arial" w:hAnsi="Arial" w:cs="Arial"/>
          <w:sz w:val="24"/>
          <w:szCs w:val="24"/>
        </w:rPr>
        <w:t xml:space="preserve">. Oxford: Blackwell Publishers. </w:t>
      </w:r>
    </w:p>
    <w:p w14:paraId="14B534C0" w14:textId="77777777" w:rsidR="00F21624" w:rsidRPr="00104DC6" w:rsidRDefault="00F21624" w:rsidP="00F21624">
      <w:pPr>
        <w:spacing w:after="0" w:line="480" w:lineRule="auto"/>
        <w:rPr>
          <w:rFonts w:ascii="Arial" w:hAnsi="Arial" w:cs="Arial"/>
          <w:sz w:val="24"/>
          <w:szCs w:val="24"/>
        </w:rPr>
      </w:pPr>
    </w:p>
    <w:p w14:paraId="06B56805" w14:textId="77777777" w:rsidR="00F21624" w:rsidRDefault="00F21624" w:rsidP="00F21624">
      <w:pPr>
        <w:spacing w:after="0" w:line="480" w:lineRule="auto"/>
        <w:rPr>
          <w:rFonts w:ascii="Arial" w:hAnsi="Arial" w:cs="Arial"/>
          <w:sz w:val="24"/>
          <w:szCs w:val="24"/>
        </w:rPr>
      </w:pPr>
      <w:r w:rsidRPr="00104DC6">
        <w:rPr>
          <w:rFonts w:ascii="Arial" w:hAnsi="Arial" w:cs="Arial"/>
          <w:sz w:val="24"/>
          <w:szCs w:val="24"/>
        </w:rPr>
        <w:t>Lazenby, J.F</w:t>
      </w:r>
      <w:r>
        <w:rPr>
          <w:rFonts w:ascii="Arial" w:hAnsi="Arial" w:cs="Arial"/>
          <w:sz w:val="24"/>
          <w:szCs w:val="24"/>
        </w:rPr>
        <w:t>.</w:t>
      </w:r>
      <w:r w:rsidRPr="00104DC6">
        <w:rPr>
          <w:rFonts w:ascii="Arial" w:hAnsi="Arial" w:cs="Arial"/>
          <w:sz w:val="24"/>
          <w:szCs w:val="24"/>
        </w:rPr>
        <w:t xml:space="preserve"> (1996) </w:t>
      </w:r>
      <w:r w:rsidRPr="00104DC6">
        <w:rPr>
          <w:rFonts w:ascii="Arial" w:hAnsi="Arial" w:cs="Arial"/>
          <w:i/>
          <w:iCs/>
          <w:sz w:val="24"/>
          <w:szCs w:val="24"/>
        </w:rPr>
        <w:t>The First Punic War</w:t>
      </w:r>
      <w:r w:rsidRPr="00104DC6">
        <w:rPr>
          <w:rFonts w:ascii="Arial" w:hAnsi="Arial" w:cs="Arial"/>
          <w:sz w:val="24"/>
          <w:szCs w:val="24"/>
        </w:rPr>
        <w:t xml:space="preserve">. London: UCL Press. </w:t>
      </w:r>
    </w:p>
    <w:p w14:paraId="7864391E" w14:textId="77777777" w:rsidR="00F21624" w:rsidRDefault="00F21624" w:rsidP="00F21624">
      <w:pPr>
        <w:spacing w:after="0" w:line="480" w:lineRule="auto"/>
        <w:rPr>
          <w:rFonts w:ascii="Arial" w:hAnsi="Arial" w:cs="Arial"/>
          <w:sz w:val="24"/>
          <w:szCs w:val="24"/>
        </w:rPr>
      </w:pPr>
    </w:p>
    <w:p w14:paraId="37F021AB"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Leigh, M. (2010) ‘Early Roman Epic and the Maritime Moment’, </w:t>
      </w:r>
      <w:r w:rsidRPr="00E47936">
        <w:rPr>
          <w:rFonts w:ascii="Arial" w:hAnsi="Arial" w:cs="Arial"/>
          <w:i/>
          <w:iCs/>
          <w:sz w:val="24"/>
          <w:szCs w:val="24"/>
        </w:rPr>
        <w:t>Classical Philology</w:t>
      </w:r>
      <w:r>
        <w:rPr>
          <w:rFonts w:ascii="Arial" w:hAnsi="Arial" w:cs="Arial"/>
          <w:sz w:val="24"/>
          <w:szCs w:val="24"/>
        </w:rPr>
        <w:t xml:space="preserve">, 105(3), pp. 265-281. </w:t>
      </w:r>
    </w:p>
    <w:p w14:paraId="12487B02" w14:textId="77777777" w:rsidR="00F21624" w:rsidRDefault="00F21624" w:rsidP="00F21624">
      <w:pPr>
        <w:spacing w:after="0" w:line="480" w:lineRule="auto"/>
        <w:rPr>
          <w:rFonts w:ascii="Arial" w:hAnsi="Arial" w:cs="Arial"/>
          <w:sz w:val="24"/>
          <w:szCs w:val="24"/>
        </w:rPr>
      </w:pPr>
    </w:p>
    <w:p w14:paraId="01A3C60F" w14:textId="77777777" w:rsidR="00F21624" w:rsidRPr="00377A5B" w:rsidRDefault="00F21624" w:rsidP="00F21624">
      <w:pPr>
        <w:spacing w:after="0" w:line="480" w:lineRule="auto"/>
        <w:rPr>
          <w:rFonts w:ascii="Arial" w:hAnsi="Arial" w:cs="Arial"/>
          <w:sz w:val="24"/>
          <w:szCs w:val="24"/>
        </w:rPr>
      </w:pPr>
      <w:r w:rsidRPr="00377A5B">
        <w:rPr>
          <w:rFonts w:ascii="Arial" w:hAnsi="Arial" w:cs="Arial"/>
          <w:sz w:val="24"/>
          <w:szCs w:val="24"/>
        </w:rPr>
        <w:lastRenderedPageBreak/>
        <w:t xml:space="preserve">Loreto, L. </w:t>
      </w:r>
      <w:r>
        <w:rPr>
          <w:rFonts w:ascii="Arial" w:hAnsi="Arial" w:cs="Arial"/>
          <w:sz w:val="24"/>
          <w:szCs w:val="24"/>
        </w:rPr>
        <w:t>(</w:t>
      </w:r>
      <w:r w:rsidRPr="00377A5B">
        <w:rPr>
          <w:rFonts w:ascii="Arial" w:hAnsi="Arial" w:cs="Arial"/>
          <w:sz w:val="24"/>
          <w:szCs w:val="24"/>
        </w:rPr>
        <w:t>2007</w:t>
      </w:r>
      <w:r>
        <w:rPr>
          <w:rFonts w:ascii="Arial" w:hAnsi="Arial" w:cs="Arial"/>
          <w:sz w:val="24"/>
          <w:szCs w:val="24"/>
        </w:rPr>
        <w:t>)</w:t>
      </w:r>
      <w:r w:rsidRPr="00377A5B">
        <w:rPr>
          <w:rFonts w:ascii="Arial" w:hAnsi="Arial" w:cs="Arial"/>
          <w:sz w:val="24"/>
          <w:szCs w:val="24"/>
        </w:rPr>
        <w:t xml:space="preserve"> </w:t>
      </w:r>
      <w:r w:rsidRPr="00377A5B">
        <w:rPr>
          <w:rFonts w:ascii="Arial" w:hAnsi="Arial" w:cs="Arial"/>
          <w:i/>
          <w:sz w:val="24"/>
          <w:szCs w:val="24"/>
        </w:rPr>
        <w:t xml:space="preserve">La Grande </w:t>
      </w:r>
      <w:proofErr w:type="spellStart"/>
      <w:r w:rsidRPr="00377A5B">
        <w:rPr>
          <w:rFonts w:ascii="Arial" w:hAnsi="Arial" w:cs="Arial"/>
          <w:i/>
          <w:sz w:val="24"/>
          <w:szCs w:val="24"/>
        </w:rPr>
        <w:t>Strategia</w:t>
      </w:r>
      <w:proofErr w:type="spellEnd"/>
      <w:r w:rsidRPr="00377A5B">
        <w:rPr>
          <w:rFonts w:ascii="Arial" w:hAnsi="Arial" w:cs="Arial"/>
          <w:i/>
          <w:sz w:val="24"/>
          <w:szCs w:val="24"/>
        </w:rPr>
        <w:t xml:space="preserve"> di Roma </w:t>
      </w:r>
      <w:proofErr w:type="spellStart"/>
      <w:r w:rsidRPr="00377A5B">
        <w:rPr>
          <w:rFonts w:ascii="Arial" w:hAnsi="Arial" w:cs="Arial"/>
          <w:i/>
          <w:sz w:val="24"/>
          <w:szCs w:val="24"/>
        </w:rPr>
        <w:t>nell’Eťa</w:t>
      </w:r>
      <w:proofErr w:type="spellEnd"/>
      <w:r w:rsidRPr="00377A5B">
        <w:rPr>
          <w:rFonts w:ascii="Arial" w:hAnsi="Arial" w:cs="Arial"/>
          <w:i/>
          <w:sz w:val="24"/>
          <w:szCs w:val="24"/>
        </w:rPr>
        <w:t xml:space="preserve"> </w:t>
      </w:r>
      <w:proofErr w:type="spellStart"/>
      <w:r w:rsidRPr="00377A5B">
        <w:rPr>
          <w:rFonts w:ascii="Arial" w:hAnsi="Arial" w:cs="Arial"/>
          <w:i/>
          <w:sz w:val="24"/>
          <w:szCs w:val="24"/>
        </w:rPr>
        <w:t>della</w:t>
      </w:r>
      <w:proofErr w:type="spellEnd"/>
      <w:r w:rsidRPr="00377A5B">
        <w:rPr>
          <w:rFonts w:ascii="Arial" w:hAnsi="Arial" w:cs="Arial"/>
          <w:i/>
          <w:sz w:val="24"/>
          <w:szCs w:val="24"/>
        </w:rPr>
        <w:t xml:space="preserve"> Prima Guerra </w:t>
      </w:r>
      <w:proofErr w:type="spellStart"/>
      <w:r w:rsidRPr="00377A5B">
        <w:rPr>
          <w:rFonts w:ascii="Arial" w:hAnsi="Arial" w:cs="Arial"/>
          <w:i/>
          <w:sz w:val="24"/>
          <w:szCs w:val="24"/>
        </w:rPr>
        <w:t>Punica</w:t>
      </w:r>
      <w:proofErr w:type="spellEnd"/>
      <w:r w:rsidRPr="00377A5B">
        <w:rPr>
          <w:rFonts w:ascii="Arial" w:hAnsi="Arial" w:cs="Arial"/>
          <w:sz w:val="24"/>
          <w:szCs w:val="24"/>
        </w:rPr>
        <w:t xml:space="preserve">. Napoli: </w:t>
      </w:r>
      <w:proofErr w:type="spellStart"/>
      <w:r w:rsidRPr="00377A5B">
        <w:rPr>
          <w:rFonts w:ascii="Arial" w:hAnsi="Arial" w:cs="Arial"/>
          <w:sz w:val="24"/>
          <w:szCs w:val="24"/>
        </w:rPr>
        <w:t>Jovene</w:t>
      </w:r>
      <w:proofErr w:type="spellEnd"/>
      <w:r w:rsidRPr="00377A5B">
        <w:rPr>
          <w:rFonts w:ascii="Arial" w:hAnsi="Arial" w:cs="Arial"/>
          <w:sz w:val="24"/>
          <w:szCs w:val="24"/>
        </w:rPr>
        <w:t xml:space="preserve"> </w:t>
      </w:r>
      <w:proofErr w:type="spellStart"/>
      <w:r w:rsidRPr="00377A5B">
        <w:rPr>
          <w:rFonts w:ascii="Arial" w:hAnsi="Arial" w:cs="Arial"/>
          <w:sz w:val="24"/>
          <w:szCs w:val="24"/>
        </w:rPr>
        <w:t>Editore</w:t>
      </w:r>
      <w:proofErr w:type="spellEnd"/>
      <w:r w:rsidRPr="00377A5B">
        <w:rPr>
          <w:rFonts w:ascii="Arial" w:hAnsi="Arial" w:cs="Arial"/>
          <w:sz w:val="24"/>
          <w:szCs w:val="24"/>
        </w:rPr>
        <w:t>.</w:t>
      </w:r>
    </w:p>
    <w:p w14:paraId="02F1E81F" w14:textId="77777777" w:rsidR="00F21624" w:rsidRDefault="00F21624" w:rsidP="00F21624">
      <w:pPr>
        <w:spacing w:after="0" w:line="480" w:lineRule="auto"/>
        <w:rPr>
          <w:rFonts w:ascii="Arial" w:hAnsi="Arial" w:cs="Arial"/>
          <w:sz w:val="24"/>
          <w:szCs w:val="24"/>
        </w:rPr>
      </w:pPr>
    </w:p>
    <w:p w14:paraId="1562A95C"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Loreto, L. (2011) ‘Roman Politics and Expansion, 241-219’, in Hoyos, D. (ed.) </w:t>
      </w:r>
      <w:r w:rsidRPr="00C51ED7">
        <w:rPr>
          <w:rFonts w:ascii="Arial" w:hAnsi="Arial" w:cs="Arial"/>
          <w:i/>
          <w:iCs/>
          <w:sz w:val="24"/>
          <w:szCs w:val="24"/>
        </w:rPr>
        <w:t>A Companion to the Punic Wars</w:t>
      </w:r>
      <w:r>
        <w:rPr>
          <w:rFonts w:ascii="Arial" w:hAnsi="Arial" w:cs="Arial"/>
          <w:sz w:val="24"/>
          <w:szCs w:val="24"/>
        </w:rPr>
        <w:t>. Chichester: Blackwell Publishing.</w:t>
      </w:r>
    </w:p>
    <w:p w14:paraId="0507E0F6" w14:textId="77777777" w:rsidR="00F21624" w:rsidRDefault="00F21624" w:rsidP="00F21624">
      <w:pPr>
        <w:spacing w:after="0" w:line="480" w:lineRule="auto"/>
        <w:rPr>
          <w:rFonts w:ascii="Arial" w:hAnsi="Arial" w:cs="Arial"/>
          <w:sz w:val="24"/>
          <w:szCs w:val="24"/>
        </w:rPr>
      </w:pPr>
    </w:p>
    <w:p w14:paraId="1A4E00D8" w14:textId="77777777" w:rsidR="00F21624" w:rsidRPr="00377A5B" w:rsidRDefault="00F21624" w:rsidP="00F21624">
      <w:pPr>
        <w:spacing w:after="0" w:line="480" w:lineRule="auto"/>
        <w:rPr>
          <w:rFonts w:ascii="Arial" w:hAnsi="Arial" w:cs="Arial"/>
          <w:sz w:val="24"/>
          <w:szCs w:val="24"/>
        </w:rPr>
      </w:pPr>
      <w:r w:rsidRPr="00377A5B">
        <w:rPr>
          <w:rFonts w:ascii="Arial" w:hAnsi="Arial" w:cs="Arial"/>
          <w:sz w:val="24"/>
          <w:szCs w:val="24"/>
        </w:rPr>
        <w:t xml:space="preserve">Mattingly, D. J. </w:t>
      </w:r>
      <w:r>
        <w:rPr>
          <w:rFonts w:ascii="Arial" w:hAnsi="Arial" w:cs="Arial"/>
          <w:sz w:val="24"/>
          <w:szCs w:val="24"/>
        </w:rPr>
        <w:t>(</w:t>
      </w:r>
      <w:r w:rsidRPr="00377A5B">
        <w:rPr>
          <w:rFonts w:ascii="Arial" w:hAnsi="Arial" w:cs="Arial"/>
          <w:sz w:val="24"/>
          <w:szCs w:val="24"/>
        </w:rPr>
        <w:t>2011</w:t>
      </w:r>
      <w:r>
        <w:rPr>
          <w:rFonts w:ascii="Arial" w:hAnsi="Arial" w:cs="Arial"/>
          <w:sz w:val="24"/>
          <w:szCs w:val="24"/>
        </w:rPr>
        <w:t>)</w:t>
      </w:r>
      <w:r w:rsidRPr="00377A5B">
        <w:rPr>
          <w:rFonts w:ascii="Arial" w:hAnsi="Arial" w:cs="Arial"/>
          <w:sz w:val="24"/>
          <w:szCs w:val="24"/>
        </w:rPr>
        <w:t xml:space="preserve"> </w:t>
      </w:r>
      <w:r w:rsidRPr="00377A5B">
        <w:rPr>
          <w:rFonts w:ascii="Arial" w:hAnsi="Arial" w:cs="Arial"/>
          <w:i/>
          <w:sz w:val="24"/>
          <w:szCs w:val="24"/>
        </w:rPr>
        <w:t>Imperialism, Power and Identity: Experiencing the Roman Empire</w:t>
      </w:r>
      <w:r w:rsidRPr="00377A5B">
        <w:rPr>
          <w:rFonts w:ascii="Arial" w:hAnsi="Arial" w:cs="Arial"/>
          <w:sz w:val="24"/>
          <w:szCs w:val="24"/>
        </w:rPr>
        <w:t xml:space="preserve">. Princeton: Princeton University Press. </w:t>
      </w:r>
    </w:p>
    <w:p w14:paraId="3D831488" w14:textId="77777777" w:rsidR="00F21624" w:rsidRDefault="00F21624" w:rsidP="00F21624">
      <w:pPr>
        <w:spacing w:after="0" w:line="480" w:lineRule="auto"/>
        <w:rPr>
          <w:rFonts w:ascii="Arial" w:hAnsi="Arial" w:cs="Arial"/>
          <w:sz w:val="24"/>
          <w:szCs w:val="24"/>
        </w:rPr>
      </w:pPr>
    </w:p>
    <w:p w14:paraId="68B76E1F"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Meister, K. (1990) ‘Agathocles’, in </w:t>
      </w:r>
      <w:proofErr w:type="spellStart"/>
      <w:r>
        <w:rPr>
          <w:rFonts w:ascii="Arial" w:hAnsi="Arial" w:cs="Arial"/>
          <w:sz w:val="24"/>
          <w:szCs w:val="24"/>
        </w:rPr>
        <w:t>Astin</w:t>
      </w:r>
      <w:proofErr w:type="spellEnd"/>
      <w:r>
        <w:rPr>
          <w:rFonts w:ascii="Arial" w:hAnsi="Arial" w:cs="Arial"/>
          <w:sz w:val="24"/>
          <w:szCs w:val="24"/>
        </w:rPr>
        <w:t xml:space="preserve">, A, Frederiksen, M, Ogilvie, R and </w:t>
      </w:r>
      <w:proofErr w:type="spellStart"/>
      <w:r>
        <w:rPr>
          <w:rFonts w:ascii="Arial" w:hAnsi="Arial" w:cs="Arial"/>
          <w:sz w:val="24"/>
          <w:szCs w:val="24"/>
        </w:rPr>
        <w:t>Walbank</w:t>
      </w:r>
      <w:proofErr w:type="spellEnd"/>
      <w:r>
        <w:rPr>
          <w:rFonts w:ascii="Arial" w:hAnsi="Arial" w:cs="Arial"/>
          <w:sz w:val="24"/>
          <w:szCs w:val="24"/>
        </w:rPr>
        <w:t xml:space="preserve">, W.F. (eds.) </w:t>
      </w:r>
      <w:r w:rsidRPr="00642986">
        <w:rPr>
          <w:rFonts w:ascii="Arial" w:hAnsi="Arial" w:cs="Arial"/>
          <w:i/>
          <w:iCs/>
          <w:sz w:val="24"/>
          <w:szCs w:val="24"/>
        </w:rPr>
        <w:t>The Cambridge Ancient History</w:t>
      </w:r>
      <w:r>
        <w:rPr>
          <w:rFonts w:ascii="Arial" w:hAnsi="Arial" w:cs="Arial"/>
          <w:sz w:val="24"/>
          <w:szCs w:val="24"/>
        </w:rPr>
        <w:t xml:space="preserve">. Cambridge: Cambridge University Press. </w:t>
      </w:r>
    </w:p>
    <w:p w14:paraId="60089325" w14:textId="77777777" w:rsidR="00F21624" w:rsidRDefault="00F21624" w:rsidP="00F21624">
      <w:pPr>
        <w:spacing w:after="0" w:line="480" w:lineRule="auto"/>
        <w:rPr>
          <w:rFonts w:ascii="Arial" w:hAnsi="Arial" w:cs="Arial"/>
          <w:sz w:val="24"/>
          <w:szCs w:val="24"/>
        </w:rPr>
      </w:pPr>
    </w:p>
    <w:p w14:paraId="4401E442" w14:textId="77777777" w:rsidR="00F21624" w:rsidRDefault="00F21624" w:rsidP="00F21624">
      <w:pPr>
        <w:spacing w:after="0" w:line="480" w:lineRule="auto"/>
        <w:rPr>
          <w:rFonts w:ascii="Arial" w:hAnsi="Arial" w:cs="Arial"/>
          <w:sz w:val="24"/>
          <w:szCs w:val="24"/>
        </w:rPr>
      </w:pPr>
      <w:proofErr w:type="spellStart"/>
      <w:r>
        <w:rPr>
          <w:rFonts w:ascii="Arial" w:hAnsi="Arial" w:cs="Arial"/>
          <w:sz w:val="24"/>
          <w:szCs w:val="24"/>
        </w:rPr>
        <w:t>Mineo</w:t>
      </w:r>
      <w:proofErr w:type="spellEnd"/>
      <w:r>
        <w:rPr>
          <w:rFonts w:ascii="Arial" w:hAnsi="Arial" w:cs="Arial"/>
          <w:sz w:val="24"/>
          <w:szCs w:val="24"/>
        </w:rPr>
        <w:t xml:space="preserve">, B. (2011) ‘The Principal Literary Sources for the Punic Wars’, in Hoyos, D. (ed.) </w:t>
      </w:r>
      <w:r w:rsidRPr="00C51ED7">
        <w:rPr>
          <w:rFonts w:ascii="Arial" w:hAnsi="Arial" w:cs="Arial"/>
          <w:i/>
          <w:iCs/>
          <w:sz w:val="24"/>
          <w:szCs w:val="24"/>
        </w:rPr>
        <w:t>A Companion to the Punic Wars</w:t>
      </w:r>
      <w:r>
        <w:rPr>
          <w:rFonts w:ascii="Arial" w:hAnsi="Arial" w:cs="Arial"/>
          <w:sz w:val="24"/>
          <w:szCs w:val="24"/>
        </w:rPr>
        <w:t>. Chichester: Blackwell Publishing.</w:t>
      </w:r>
    </w:p>
    <w:p w14:paraId="179E8E72" w14:textId="77777777" w:rsidR="00F21624" w:rsidRDefault="00F21624" w:rsidP="00F21624">
      <w:pPr>
        <w:spacing w:after="0" w:line="480" w:lineRule="auto"/>
        <w:rPr>
          <w:rFonts w:ascii="Arial" w:hAnsi="Arial" w:cs="Arial"/>
          <w:sz w:val="24"/>
          <w:szCs w:val="24"/>
        </w:rPr>
      </w:pPr>
    </w:p>
    <w:p w14:paraId="38CB766B" w14:textId="77777777" w:rsidR="00F21624" w:rsidRPr="00377A5B" w:rsidRDefault="00F21624" w:rsidP="00F21624">
      <w:pPr>
        <w:spacing w:after="0" w:line="480" w:lineRule="auto"/>
        <w:rPr>
          <w:rFonts w:ascii="Arial" w:hAnsi="Arial" w:cs="Arial"/>
          <w:sz w:val="24"/>
          <w:szCs w:val="24"/>
        </w:rPr>
      </w:pPr>
      <w:r w:rsidRPr="00377A5B">
        <w:rPr>
          <w:rFonts w:ascii="Arial" w:hAnsi="Arial" w:cs="Arial"/>
          <w:sz w:val="24"/>
          <w:szCs w:val="24"/>
        </w:rPr>
        <w:t xml:space="preserve">Murray, W. M. </w:t>
      </w:r>
      <w:r>
        <w:rPr>
          <w:rFonts w:ascii="Arial" w:hAnsi="Arial" w:cs="Arial"/>
          <w:sz w:val="24"/>
          <w:szCs w:val="24"/>
        </w:rPr>
        <w:t>(</w:t>
      </w:r>
      <w:r w:rsidRPr="00377A5B">
        <w:rPr>
          <w:rFonts w:ascii="Arial" w:hAnsi="Arial" w:cs="Arial"/>
          <w:sz w:val="24"/>
          <w:szCs w:val="24"/>
        </w:rPr>
        <w:t>2012</w:t>
      </w:r>
      <w:r>
        <w:rPr>
          <w:rFonts w:ascii="Arial" w:hAnsi="Arial" w:cs="Arial"/>
          <w:sz w:val="24"/>
          <w:szCs w:val="24"/>
        </w:rPr>
        <w:t>)</w:t>
      </w:r>
      <w:r w:rsidRPr="00377A5B">
        <w:rPr>
          <w:rFonts w:ascii="Arial" w:hAnsi="Arial" w:cs="Arial"/>
          <w:sz w:val="24"/>
          <w:szCs w:val="24"/>
        </w:rPr>
        <w:t xml:space="preserve"> </w:t>
      </w:r>
      <w:r w:rsidRPr="00377A5B">
        <w:rPr>
          <w:rFonts w:ascii="Arial" w:hAnsi="Arial" w:cs="Arial"/>
          <w:i/>
          <w:sz w:val="24"/>
          <w:szCs w:val="24"/>
        </w:rPr>
        <w:t>The Age of Titans: The Rise and Fall of the Great Hellenistic Navies</w:t>
      </w:r>
      <w:r w:rsidRPr="00377A5B">
        <w:rPr>
          <w:rFonts w:ascii="Arial" w:hAnsi="Arial" w:cs="Arial"/>
          <w:sz w:val="24"/>
          <w:szCs w:val="24"/>
        </w:rPr>
        <w:t>. New York: Oxford University Press.</w:t>
      </w:r>
    </w:p>
    <w:p w14:paraId="708AB9E4" w14:textId="77777777" w:rsidR="00F21624" w:rsidRDefault="00F21624" w:rsidP="00F21624">
      <w:pPr>
        <w:spacing w:after="0" w:line="480" w:lineRule="auto"/>
        <w:rPr>
          <w:rFonts w:ascii="Arial" w:hAnsi="Arial" w:cs="Arial"/>
          <w:sz w:val="24"/>
          <w:szCs w:val="24"/>
        </w:rPr>
      </w:pPr>
    </w:p>
    <w:p w14:paraId="150A4390" w14:textId="77777777" w:rsidR="00F21624" w:rsidRDefault="00F21624" w:rsidP="00F21624">
      <w:pPr>
        <w:spacing w:after="0" w:line="480" w:lineRule="auto"/>
        <w:rPr>
          <w:rFonts w:ascii="Arial" w:hAnsi="Arial" w:cs="Arial"/>
          <w:sz w:val="24"/>
          <w:szCs w:val="24"/>
        </w:rPr>
      </w:pPr>
      <w:proofErr w:type="spellStart"/>
      <w:r>
        <w:rPr>
          <w:rFonts w:ascii="Arial" w:hAnsi="Arial" w:cs="Arial"/>
          <w:sz w:val="24"/>
          <w:szCs w:val="24"/>
        </w:rPr>
        <w:t>Nedu</w:t>
      </w:r>
      <w:proofErr w:type="spellEnd"/>
      <w:r>
        <w:rPr>
          <w:rFonts w:ascii="Arial" w:hAnsi="Arial" w:cs="Arial"/>
          <w:sz w:val="24"/>
          <w:szCs w:val="24"/>
        </w:rPr>
        <w:t xml:space="preserve">, D. (2008) ‘The Evolution of the Roman Sea-Power Before the First Punic War’, </w:t>
      </w:r>
      <w:proofErr w:type="spellStart"/>
      <w:r w:rsidRPr="00E47936">
        <w:rPr>
          <w:rFonts w:ascii="Arial" w:hAnsi="Arial" w:cs="Arial"/>
          <w:i/>
          <w:iCs/>
          <w:sz w:val="24"/>
          <w:szCs w:val="24"/>
        </w:rPr>
        <w:t>Universitatii</w:t>
      </w:r>
      <w:proofErr w:type="spellEnd"/>
      <w:r w:rsidRPr="00E47936">
        <w:rPr>
          <w:rFonts w:ascii="Arial" w:hAnsi="Arial" w:cs="Arial"/>
          <w:i/>
          <w:iCs/>
          <w:sz w:val="24"/>
          <w:szCs w:val="24"/>
        </w:rPr>
        <w:t xml:space="preserve"> Maritime Constanta. </w:t>
      </w:r>
      <w:proofErr w:type="spellStart"/>
      <w:r w:rsidRPr="00E47936">
        <w:rPr>
          <w:rFonts w:ascii="Arial" w:hAnsi="Arial" w:cs="Arial"/>
          <w:i/>
          <w:iCs/>
          <w:sz w:val="24"/>
          <w:szCs w:val="24"/>
        </w:rPr>
        <w:t>Analele</w:t>
      </w:r>
      <w:proofErr w:type="spellEnd"/>
      <w:r w:rsidRPr="00E47936">
        <w:rPr>
          <w:rFonts w:ascii="Arial" w:hAnsi="Arial" w:cs="Arial"/>
          <w:i/>
          <w:iCs/>
          <w:sz w:val="24"/>
          <w:szCs w:val="24"/>
        </w:rPr>
        <w:t>; Constanta</w:t>
      </w:r>
      <w:r>
        <w:rPr>
          <w:rFonts w:ascii="Arial" w:hAnsi="Arial" w:cs="Arial"/>
          <w:sz w:val="24"/>
          <w:szCs w:val="24"/>
        </w:rPr>
        <w:t xml:space="preserve">, 9(11), pp. 79-84. </w:t>
      </w:r>
    </w:p>
    <w:p w14:paraId="45CE95CC" w14:textId="77777777" w:rsidR="00F21624" w:rsidRPr="00104DC6" w:rsidRDefault="00F21624" w:rsidP="00F21624">
      <w:pPr>
        <w:spacing w:after="0" w:line="480" w:lineRule="auto"/>
        <w:rPr>
          <w:rFonts w:ascii="Arial" w:hAnsi="Arial" w:cs="Arial"/>
          <w:sz w:val="24"/>
          <w:szCs w:val="24"/>
        </w:rPr>
      </w:pPr>
    </w:p>
    <w:p w14:paraId="21558C93" w14:textId="77777777" w:rsidR="00F21624" w:rsidRDefault="00F21624" w:rsidP="00F21624">
      <w:pPr>
        <w:spacing w:after="0" w:line="480" w:lineRule="auto"/>
        <w:rPr>
          <w:rFonts w:ascii="Arial" w:hAnsi="Arial" w:cs="Arial"/>
          <w:sz w:val="24"/>
          <w:szCs w:val="24"/>
        </w:rPr>
      </w:pPr>
      <w:r w:rsidRPr="00104DC6">
        <w:rPr>
          <w:rFonts w:ascii="Arial" w:hAnsi="Arial" w:cs="Arial"/>
          <w:sz w:val="24"/>
          <w:szCs w:val="24"/>
        </w:rPr>
        <w:t xml:space="preserve">Oakley, S. (1993) ‘The Roman Conquest of Italy’, in Rich, J and Shipley, G. (eds.) </w:t>
      </w:r>
      <w:r w:rsidRPr="00104DC6">
        <w:rPr>
          <w:rFonts w:ascii="Arial" w:hAnsi="Arial" w:cs="Arial"/>
          <w:i/>
          <w:iCs/>
          <w:sz w:val="24"/>
          <w:szCs w:val="24"/>
        </w:rPr>
        <w:t>War and Society in The Roman World</w:t>
      </w:r>
      <w:r w:rsidRPr="00104DC6">
        <w:rPr>
          <w:rFonts w:ascii="Arial" w:hAnsi="Arial" w:cs="Arial"/>
          <w:sz w:val="24"/>
          <w:szCs w:val="24"/>
        </w:rPr>
        <w:t>. London: Routledge.</w:t>
      </w:r>
    </w:p>
    <w:p w14:paraId="69FEB898" w14:textId="77777777" w:rsidR="00F21624" w:rsidRDefault="00F21624" w:rsidP="00F21624">
      <w:pPr>
        <w:spacing w:after="0" w:line="480" w:lineRule="auto"/>
        <w:rPr>
          <w:rFonts w:ascii="Arial" w:hAnsi="Arial" w:cs="Arial"/>
          <w:sz w:val="24"/>
          <w:szCs w:val="24"/>
        </w:rPr>
      </w:pPr>
    </w:p>
    <w:p w14:paraId="6BFC8D36" w14:textId="77777777" w:rsidR="00F21624" w:rsidRDefault="00F21624" w:rsidP="00F21624">
      <w:pPr>
        <w:spacing w:after="0" w:line="480" w:lineRule="auto"/>
        <w:rPr>
          <w:rFonts w:ascii="Arial" w:hAnsi="Arial" w:cs="Arial"/>
          <w:sz w:val="24"/>
          <w:szCs w:val="24"/>
        </w:rPr>
      </w:pPr>
      <w:r>
        <w:rPr>
          <w:rFonts w:ascii="Arial" w:hAnsi="Arial" w:cs="Arial"/>
          <w:sz w:val="24"/>
          <w:szCs w:val="24"/>
        </w:rPr>
        <w:lastRenderedPageBreak/>
        <w:t xml:space="preserve">Pilkington, N. L. (2013) </w:t>
      </w:r>
      <w:r w:rsidRPr="003C5349">
        <w:rPr>
          <w:rFonts w:ascii="Arial" w:hAnsi="Arial" w:cs="Arial"/>
          <w:i/>
          <w:iCs/>
          <w:sz w:val="24"/>
          <w:szCs w:val="24"/>
        </w:rPr>
        <w:t>An Archaeological History of Carthaginian Imperialism</w:t>
      </w:r>
      <w:r>
        <w:rPr>
          <w:rFonts w:ascii="Arial" w:hAnsi="Arial" w:cs="Arial"/>
          <w:sz w:val="24"/>
          <w:szCs w:val="24"/>
        </w:rPr>
        <w:t xml:space="preserve">. PHD Thesis: Columbia University. </w:t>
      </w:r>
      <w:r w:rsidRPr="00104DC6">
        <w:rPr>
          <w:rFonts w:ascii="Arial" w:hAnsi="Arial" w:cs="Arial"/>
          <w:sz w:val="24"/>
          <w:szCs w:val="24"/>
        </w:rPr>
        <w:t xml:space="preserve"> </w:t>
      </w:r>
    </w:p>
    <w:p w14:paraId="52C24355" w14:textId="77777777" w:rsidR="00F21624" w:rsidRPr="00104DC6" w:rsidRDefault="00F21624" w:rsidP="00F21624">
      <w:pPr>
        <w:spacing w:after="0" w:line="480" w:lineRule="auto"/>
        <w:rPr>
          <w:rFonts w:ascii="Arial" w:hAnsi="Arial" w:cs="Arial"/>
          <w:sz w:val="24"/>
          <w:szCs w:val="24"/>
        </w:rPr>
      </w:pPr>
    </w:p>
    <w:p w14:paraId="019DF152" w14:textId="77777777" w:rsidR="00F21624" w:rsidRDefault="00F21624" w:rsidP="00F21624">
      <w:pPr>
        <w:spacing w:after="0" w:line="480" w:lineRule="auto"/>
        <w:rPr>
          <w:rFonts w:ascii="Arial" w:hAnsi="Arial" w:cs="Arial"/>
          <w:color w:val="000000"/>
          <w:sz w:val="24"/>
          <w:szCs w:val="24"/>
          <w:shd w:val="clear" w:color="auto" w:fill="FFFFFF"/>
        </w:rPr>
      </w:pPr>
      <w:r w:rsidRPr="00104DC6">
        <w:rPr>
          <w:rFonts w:ascii="Arial" w:hAnsi="Arial" w:cs="Arial"/>
          <w:sz w:val="24"/>
          <w:szCs w:val="24"/>
        </w:rPr>
        <w:t xml:space="preserve">Raaflaub, K.A. (1996) ‘Born to be Wolves: Origins of Rome Imperialism’, in Wallace, R.W and Harris, E.M. (eds.) </w:t>
      </w:r>
      <w:r w:rsidRPr="00104DC6">
        <w:rPr>
          <w:rFonts w:ascii="Arial" w:hAnsi="Arial" w:cs="Arial"/>
          <w:i/>
          <w:iCs/>
          <w:color w:val="000000"/>
          <w:sz w:val="24"/>
          <w:szCs w:val="24"/>
          <w:shd w:val="clear" w:color="auto" w:fill="FFFFFF"/>
        </w:rPr>
        <w:t xml:space="preserve">Transitions to empire: essays in Greco-Roman history, 360-146 B.C., in Honour of E. </w:t>
      </w:r>
      <w:proofErr w:type="spellStart"/>
      <w:r w:rsidRPr="00104DC6">
        <w:rPr>
          <w:rFonts w:ascii="Arial" w:hAnsi="Arial" w:cs="Arial"/>
          <w:i/>
          <w:iCs/>
          <w:color w:val="000000"/>
          <w:sz w:val="24"/>
          <w:szCs w:val="24"/>
          <w:shd w:val="clear" w:color="auto" w:fill="FFFFFF"/>
        </w:rPr>
        <w:t>Badian</w:t>
      </w:r>
      <w:proofErr w:type="spellEnd"/>
      <w:r w:rsidRPr="00104DC6">
        <w:rPr>
          <w:rFonts w:ascii="Arial" w:hAnsi="Arial" w:cs="Arial"/>
          <w:color w:val="000000"/>
          <w:sz w:val="24"/>
          <w:szCs w:val="24"/>
          <w:shd w:val="clear" w:color="auto" w:fill="FFFFFF"/>
        </w:rPr>
        <w:t xml:space="preserve">. Norman: University of Oklahoma Press. </w:t>
      </w:r>
    </w:p>
    <w:p w14:paraId="233F774F" w14:textId="77777777" w:rsidR="00F21624" w:rsidRDefault="00F21624" w:rsidP="00F21624">
      <w:pPr>
        <w:spacing w:after="0" w:line="480" w:lineRule="auto"/>
        <w:rPr>
          <w:rFonts w:ascii="Arial" w:hAnsi="Arial" w:cs="Arial"/>
          <w:color w:val="000000"/>
          <w:sz w:val="24"/>
          <w:szCs w:val="24"/>
          <w:shd w:val="clear" w:color="auto" w:fill="FFFFFF"/>
        </w:rPr>
      </w:pPr>
    </w:p>
    <w:p w14:paraId="54D0E518" w14:textId="77777777" w:rsidR="00F21624" w:rsidRDefault="00F21624" w:rsidP="00F21624">
      <w:pPr>
        <w:spacing w:after="0"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Rainey, S. (2004) </w:t>
      </w:r>
      <w:r w:rsidRPr="00162BAD">
        <w:rPr>
          <w:rFonts w:ascii="Arial" w:hAnsi="Arial" w:cs="Arial"/>
          <w:i/>
          <w:iCs/>
          <w:color w:val="000000"/>
          <w:sz w:val="24"/>
          <w:szCs w:val="24"/>
          <w:shd w:val="clear" w:color="auto" w:fill="FFFFFF"/>
        </w:rPr>
        <w:t>The Nature of Carthaginian Activity: Trade, Settlement, Conquest and Rule</w:t>
      </w:r>
      <w:r>
        <w:rPr>
          <w:rFonts w:ascii="Arial" w:hAnsi="Arial" w:cs="Arial"/>
          <w:color w:val="000000"/>
          <w:sz w:val="24"/>
          <w:szCs w:val="24"/>
          <w:shd w:val="clear" w:color="auto" w:fill="FFFFFF"/>
        </w:rPr>
        <w:t xml:space="preserve">. PHD Thesis: University of Canterbury. </w:t>
      </w:r>
    </w:p>
    <w:p w14:paraId="6CF1B56D" w14:textId="77777777" w:rsidR="00F21624" w:rsidRDefault="00F21624" w:rsidP="00F21624">
      <w:pPr>
        <w:spacing w:after="0" w:line="480" w:lineRule="auto"/>
        <w:rPr>
          <w:rFonts w:ascii="Arial" w:hAnsi="Arial" w:cs="Arial"/>
          <w:color w:val="000000"/>
          <w:sz w:val="24"/>
          <w:szCs w:val="24"/>
          <w:shd w:val="clear" w:color="auto" w:fill="FFFFFF"/>
        </w:rPr>
      </w:pPr>
    </w:p>
    <w:p w14:paraId="0FCA07BE" w14:textId="77777777" w:rsidR="00F21624" w:rsidRDefault="00F21624" w:rsidP="00F21624">
      <w:pPr>
        <w:spacing w:after="0" w:line="480" w:lineRule="auto"/>
        <w:rPr>
          <w:rFonts w:ascii="Arial" w:hAnsi="Arial" w:cs="Arial"/>
          <w:sz w:val="24"/>
          <w:szCs w:val="24"/>
        </w:rPr>
      </w:pPr>
      <w:proofErr w:type="spellStart"/>
      <w:r>
        <w:rPr>
          <w:rFonts w:ascii="Arial" w:hAnsi="Arial" w:cs="Arial"/>
          <w:color w:val="000000"/>
          <w:sz w:val="24"/>
          <w:szCs w:val="24"/>
          <w:shd w:val="clear" w:color="auto" w:fill="FFFFFF"/>
        </w:rPr>
        <w:t>Rankov</w:t>
      </w:r>
      <w:proofErr w:type="spellEnd"/>
      <w:r>
        <w:rPr>
          <w:rFonts w:ascii="Arial" w:hAnsi="Arial" w:cs="Arial"/>
          <w:color w:val="000000"/>
          <w:sz w:val="24"/>
          <w:szCs w:val="24"/>
          <w:shd w:val="clear" w:color="auto" w:fill="FFFFFF"/>
        </w:rPr>
        <w:t xml:space="preserve">, B. (2011) ‘A War of Phases: Strategies and Stalemates 264-241’, </w:t>
      </w:r>
      <w:r>
        <w:rPr>
          <w:rFonts w:ascii="Arial" w:hAnsi="Arial" w:cs="Arial"/>
          <w:sz w:val="24"/>
          <w:szCs w:val="24"/>
        </w:rPr>
        <w:t xml:space="preserve">in Hoyos, D. (ed.) </w:t>
      </w:r>
      <w:r w:rsidRPr="00C51ED7">
        <w:rPr>
          <w:rFonts w:ascii="Arial" w:hAnsi="Arial" w:cs="Arial"/>
          <w:i/>
          <w:iCs/>
          <w:sz w:val="24"/>
          <w:szCs w:val="24"/>
        </w:rPr>
        <w:t>A Companion to the Punic Wars</w:t>
      </w:r>
      <w:r>
        <w:rPr>
          <w:rFonts w:ascii="Arial" w:hAnsi="Arial" w:cs="Arial"/>
          <w:sz w:val="24"/>
          <w:szCs w:val="24"/>
        </w:rPr>
        <w:t>. Chichester: Blackwell Publishing.</w:t>
      </w:r>
    </w:p>
    <w:p w14:paraId="5497C24A" w14:textId="77777777" w:rsidR="00F21624" w:rsidRPr="00104DC6" w:rsidRDefault="00F21624" w:rsidP="00F21624">
      <w:pPr>
        <w:spacing w:after="0" w:line="480" w:lineRule="auto"/>
        <w:rPr>
          <w:rFonts w:ascii="Arial" w:hAnsi="Arial" w:cs="Arial"/>
          <w:color w:val="000000"/>
          <w:sz w:val="24"/>
          <w:szCs w:val="24"/>
          <w:shd w:val="clear" w:color="auto" w:fill="FFFFFF"/>
        </w:rPr>
      </w:pPr>
    </w:p>
    <w:p w14:paraId="5D05688C" w14:textId="77777777" w:rsidR="00F21624" w:rsidRDefault="00F21624" w:rsidP="00F21624">
      <w:pPr>
        <w:spacing w:after="0" w:line="480" w:lineRule="auto"/>
        <w:rPr>
          <w:rFonts w:ascii="Arial" w:hAnsi="Arial" w:cs="Arial"/>
          <w:sz w:val="24"/>
          <w:szCs w:val="24"/>
        </w:rPr>
      </w:pPr>
      <w:r w:rsidRPr="00104DC6">
        <w:rPr>
          <w:rFonts w:ascii="Arial" w:hAnsi="Arial" w:cs="Arial"/>
          <w:sz w:val="24"/>
          <w:szCs w:val="24"/>
        </w:rPr>
        <w:t xml:space="preserve">Rich, J. (1993) ‘Fear, Greed and Glory: The Causes of Roman War-making in the Middle Republic’, in Rich, J and Shipley, G. (eds.) </w:t>
      </w:r>
      <w:r w:rsidRPr="00104DC6">
        <w:rPr>
          <w:rFonts w:ascii="Arial" w:hAnsi="Arial" w:cs="Arial"/>
          <w:i/>
          <w:iCs/>
          <w:sz w:val="24"/>
          <w:szCs w:val="24"/>
        </w:rPr>
        <w:t>War and Society in The Roman World</w:t>
      </w:r>
      <w:r w:rsidRPr="00104DC6">
        <w:rPr>
          <w:rFonts w:ascii="Arial" w:hAnsi="Arial" w:cs="Arial"/>
          <w:sz w:val="24"/>
          <w:szCs w:val="24"/>
        </w:rPr>
        <w:t xml:space="preserve">. London: Routledge. </w:t>
      </w:r>
    </w:p>
    <w:p w14:paraId="3388B0A1" w14:textId="77777777" w:rsidR="00F21624" w:rsidRDefault="00F21624" w:rsidP="00F21624">
      <w:pPr>
        <w:spacing w:after="0" w:line="480" w:lineRule="auto"/>
        <w:rPr>
          <w:rFonts w:ascii="Arial" w:hAnsi="Arial" w:cs="Arial"/>
          <w:sz w:val="24"/>
          <w:szCs w:val="24"/>
        </w:rPr>
      </w:pPr>
    </w:p>
    <w:p w14:paraId="1DECEE4D"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Rood, T. (2012) ‘Polybius, Thucydides and the First Punic War’, in Smith, C and Yarrow, L.H. (eds.) </w:t>
      </w:r>
      <w:r w:rsidRPr="00D21B5F">
        <w:rPr>
          <w:rFonts w:ascii="Arial" w:hAnsi="Arial" w:cs="Arial"/>
          <w:i/>
          <w:iCs/>
          <w:sz w:val="24"/>
          <w:szCs w:val="24"/>
        </w:rPr>
        <w:t>Imperialism, Cultural Politics and Polybius</w:t>
      </w:r>
      <w:r>
        <w:rPr>
          <w:rFonts w:ascii="Arial" w:hAnsi="Arial" w:cs="Arial"/>
          <w:sz w:val="24"/>
          <w:szCs w:val="24"/>
        </w:rPr>
        <w:t xml:space="preserve">. Oxford: Oxford University Press. </w:t>
      </w:r>
    </w:p>
    <w:p w14:paraId="257EC356" w14:textId="77777777" w:rsidR="00F21624" w:rsidRPr="00104DC6" w:rsidRDefault="00F21624" w:rsidP="00F21624">
      <w:pPr>
        <w:spacing w:after="0" w:line="480" w:lineRule="auto"/>
        <w:rPr>
          <w:rFonts w:ascii="Arial" w:hAnsi="Arial" w:cs="Arial"/>
          <w:sz w:val="24"/>
          <w:szCs w:val="24"/>
        </w:rPr>
      </w:pPr>
    </w:p>
    <w:p w14:paraId="0B187909" w14:textId="77777777" w:rsidR="00F21624" w:rsidRDefault="00F21624" w:rsidP="00F21624">
      <w:pPr>
        <w:spacing w:after="0" w:line="480" w:lineRule="auto"/>
        <w:rPr>
          <w:rFonts w:ascii="Arial" w:hAnsi="Arial" w:cs="Arial"/>
          <w:sz w:val="24"/>
          <w:szCs w:val="24"/>
        </w:rPr>
      </w:pPr>
      <w:r w:rsidRPr="00104DC6">
        <w:rPr>
          <w:rFonts w:ascii="Arial" w:hAnsi="Arial" w:cs="Arial"/>
          <w:sz w:val="24"/>
          <w:szCs w:val="24"/>
        </w:rPr>
        <w:t>Rosenstein, N. (2007) ‘War and Peace, Fear and Reconciliation at Rome’, in Raaflaub, K.A</w:t>
      </w:r>
      <w:r>
        <w:rPr>
          <w:rFonts w:ascii="Arial" w:hAnsi="Arial" w:cs="Arial"/>
          <w:sz w:val="24"/>
          <w:szCs w:val="24"/>
        </w:rPr>
        <w:t>.</w:t>
      </w:r>
      <w:r w:rsidRPr="00104DC6">
        <w:rPr>
          <w:rFonts w:ascii="Arial" w:hAnsi="Arial" w:cs="Arial"/>
          <w:sz w:val="24"/>
          <w:szCs w:val="24"/>
        </w:rPr>
        <w:t xml:space="preserve"> (ed.) </w:t>
      </w:r>
      <w:r w:rsidRPr="00104DC6">
        <w:rPr>
          <w:rFonts w:ascii="Arial" w:hAnsi="Arial" w:cs="Arial"/>
          <w:i/>
          <w:iCs/>
          <w:sz w:val="24"/>
          <w:szCs w:val="24"/>
        </w:rPr>
        <w:t>War and Peace in the Ancient World</w:t>
      </w:r>
      <w:r w:rsidRPr="00104DC6">
        <w:rPr>
          <w:rFonts w:ascii="Arial" w:hAnsi="Arial" w:cs="Arial"/>
          <w:sz w:val="24"/>
          <w:szCs w:val="24"/>
        </w:rPr>
        <w:t xml:space="preserve">. Oxford: Blackwell Publishing. </w:t>
      </w:r>
    </w:p>
    <w:p w14:paraId="44E809FD" w14:textId="77777777" w:rsidR="00F21624" w:rsidRDefault="00F21624" w:rsidP="00F21624">
      <w:pPr>
        <w:spacing w:after="0" w:line="480" w:lineRule="auto"/>
        <w:rPr>
          <w:rFonts w:ascii="Arial" w:hAnsi="Arial" w:cs="Arial"/>
          <w:sz w:val="24"/>
          <w:szCs w:val="24"/>
        </w:rPr>
      </w:pPr>
    </w:p>
    <w:p w14:paraId="14D3FFD6" w14:textId="77777777" w:rsidR="00F21624" w:rsidRDefault="00F21624" w:rsidP="00F21624">
      <w:pPr>
        <w:spacing w:after="0" w:line="480" w:lineRule="auto"/>
        <w:rPr>
          <w:rFonts w:ascii="Arial" w:hAnsi="Arial" w:cs="Arial"/>
          <w:sz w:val="24"/>
          <w:szCs w:val="24"/>
        </w:rPr>
      </w:pPr>
      <w:r>
        <w:rPr>
          <w:rFonts w:ascii="Arial" w:hAnsi="Arial" w:cs="Arial"/>
          <w:sz w:val="24"/>
          <w:szCs w:val="24"/>
        </w:rPr>
        <w:lastRenderedPageBreak/>
        <w:t xml:space="preserve">Rosenstein, N. (2008) ‘Aristocrats and Agriculture in the Middle and Late Republic’, </w:t>
      </w:r>
      <w:r w:rsidRPr="00A04384">
        <w:rPr>
          <w:rFonts w:ascii="Arial" w:hAnsi="Arial" w:cs="Arial"/>
          <w:i/>
          <w:iCs/>
          <w:sz w:val="24"/>
          <w:szCs w:val="24"/>
        </w:rPr>
        <w:t>The Journal of Roman Studies</w:t>
      </w:r>
      <w:r>
        <w:rPr>
          <w:rFonts w:ascii="Arial" w:hAnsi="Arial" w:cs="Arial"/>
          <w:sz w:val="24"/>
          <w:szCs w:val="24"/>
        </w:rPr>
        <w:t>, 98, pp. 1-26.</w:t>
      </w:r>
    </w:p>
    <w:p w14:paraId="240A6ED0" w14:textId="77777777" w:rsidR="00F21624" w:rsidRDefault="00F21624" w:rsidP="00F21624">
      <w:pPr>
        <w:spacing w:after="0" w:line="480" w:lineRule="auto"/>
        <w:rPr>
          <w:rFonts w:ascii="Arial" w:hAnsi="Arial" w:cs="Arial"/>
          <w:sz w:val="24"/>
          <w:szCs w:val="24"/>
        </w:rPr>
      </w:pPr>
    </w:p>
    <w:p w14:paraId="3F49F2A3" w14:textId="77777777" w:rsidR="00F21624" w:rsidRPr="00377A5B" w:rsidRDefault="00F21624" w:rsidP="00F21624">
      <w:pPr>
        <w:spacing w:after="0" w:line="480" w:lineRule="auto"/>
        <w:rPr>
          <w:rFonts w:ascii="Arial" w:hAnsi="Arial" w:cs="Arial"/>
          <w:sz w:val="24"/>
          <w:szCs w:val="24"/>
        </w:rPr>
      </w:pPr>
      <w:proofErr w:type="spellStart"/>
      <w:r w:rsidRPr="00377A5B">
        <w:rPr>
          <w:rFonts w:ascii="Arial" w:hAnsi="Arial" w:cs="Arial"/>
          <w:sz w:val="24"/>
          <w:szCs w:val="24"/>
        </w:rPr>
        <w:t>Scardigli</w:t>
      </w:r>
      <w:proofErr w:type="spellEnd"/>
      <w:r w:rsidRPr="00377A5B">
        <w:rPr>
          <w:rFonts w:ascii="Arial" w:hAnsi="Arial" w:cs="Arial"/>
          <w:sz w:val="24"/>
          <w:szCs w:val="24"/>
        </w:rPr>
        <w:t xml:space="preserve">, B. </w:t>
      </w:r>
      <w:r>
        <w:rPr>
          <w:rFonts w:ascii="Arial" w:hAnsi="Arial" w:cs="Arial"/>
          <w:sz w:val="24"/>
          <w:szCs w:val="24"/>
        </w:rPr>
        <w:t>(</w:t>
      </w:r>
      <w:r w:rsidRPr="00377A5B">
        <w:rPr>
          <w:rFonts w:ascii="Arial" w:hAnsi="Arial" w:cs="Arial"/>
          <w:sz w:val="24"/>
          <w:szCs w:val="24"/>
        </w:rPr>
        <w:t>1991</w:t>
      </w:r>
      <w:r>
        <w:rPr>
          <w:rFonts w:ascii="Arial" w:hAnsi="Arial" w:cs="Arial"/>
          <w:sz w:val="24"/>
          <w:szCs w:val="24"/>
        </w:rPr>
        <w:t>)</w:t>
      </w:r>
      <w:r w:rsidRPr="00377A5B">
        <w:rPr>
          <w:rFonts w:ascii="Arial" w:hAnsi="Arial" w:cs="Arial"/>
          <w:sz w:val="24"/>
          <w:szCs w:val="24"/>
        </w:rPr>
        <w:t xml:space="preserve"> </w:t>
      </w:r>
      <w:r w:rsidRPr="00377A5B">
        <w:rPr>
          <w:rFonts w:ascii="Arial" w:hAnsi="Arial" w:cs="Arial"/>
          <w:i/>
          <w:sz w:val="24"/>
          <w:szCs w:val="24"/>
        </w:rPr>
        <w:t xml:space="preserve">I </w:t>
      </w:r>
      <w:proofErr w:type="spellStart"/>
      <w:r w:rsidRPr="00377A5B">
        <w:rPr>
          <w:rFonts w:ascii="Arial" w:hAnsi="Arial" w:cs="Arial"/>
          <w:i/>
          <w:sz w:val="24"/>
          <w:szCs w:val="24"/>
        </w:rPr>
        <w:t>Trattati</w:t>
      </w:r>
      <w:proofErr w:type="spellEnd"/>
      <w:r w:rsidRPr="00377A5B">
        <w:rPr>
          <w:rFonts w:ascii="Arial" w:hAnsi="Arial" w:cs="Arial"/>
          <w:i/>
          <w:sz w:val="24"/>
          <w:szCs w:val="24"/>
        </w:rPr>
        <w:t xml:space="preserve"> Romano-</w:t>
      </w:r>
      <w:proofErr w:type="spellStart"/>
      <w:r w:rsidRPr="00377A5B">
        <w:rPr>
          <w:rFonts w:ascii="Arial" w:hAnsi="Arial" w:cs="Arial"/>
          <w:i/>
          <w:sz w:val="24"/>
          <w:szCs w:val="24"/>
        </w:rPr>
        <w:t>Cartaginesi</w:t>
      </w:r>
      <w:proofErr w:type="spellEnd"/>
      <w:r w:rsidRPr="00377A5B">
        <w:rPr>
          <w:rFonts w:ascii="Arial" w:hAnsi="Arial" w:cs="Arial"/>
          <w:sz w:val="24"/>
          <w:szCs w:val="24"/>
        </w:rPr>
        <w:t xml:space="preserve">. Pisa: </w:t>
      </w:r>
      <w:proofErr w:type="spellStart"/>
      <w:r w:rsidRPr="00377A5B">
        <w:rPr>
          <w:rFonts w:ascii="Arial" w:hAnsi="Arial" w:cs="Arial"/>
          <w:sz w:val="24"/>
          <w:szCs w:val="24"/>
        </w:rPr>
        <w:t>Scuola</w:t>
      </w:r>
      <w:proofErr w:type="spellEnd"/>
      <w:r w:rsidRPr="00377A5B">
        <w:rPr>
          <w:rFonts w:ascii="Arial" w:hAnsi="Arial" w:cs="Arial"/>
          <w:sz w:val="24"/>
          <w:szCs w:val="24"/>
        </w:rPr>
        <w:t xml:space="preserve"> </w:t>
      </w:r>
      <w:proofErr w:type="spellStart"/>
      <w:r w:rsidRPr="00377A5B">
        <w:rPr>
          <w:rFonts w:ascii="Arial" w:hAnsi="Arial" w:cs="Arial"/>
          <w:sz w:val="24"/>
          <w:szCs w:val="24"/>
        </w:rPr>
        <w:t>Normale</w:t>
      </w:r>
      <w:proofErr w:type="spellEnd"/>
      <w:r w:rsidRPr="00377A5B">
        <w:rPr>
          <w:rFonts w:ascii="Arial" w:hAnsi="Arial" w:cs="Arial"/>
          <w:sz w:val="24"/>
          <w:szCs w:val="24"/>
        </w:rPr>
        <w:t xml:space="preserve"> </w:t>
      </w:r>
      <w:proofErr w:type="spellStart"/>
      <w:r w:rsidRPr="00377A5B">
        <w:rPr>
          <w:rFonts w:ascii="Arial" w:hAnsi="Arial" w:cs="Arial"/>
          <w:sz w:val="24"/>
          <w:szCs w:val="24"/>
        </w:rPr>
        <w:t>Superiore</w:t>
      </w:r>
      <w:proofErr w:type="spellEnd"/>
      <w:r w:rsidRPr="00377A5B">
        <w:rPr>
          <w:rFonts w:ascii="Arial" w:hAnsi="Arial" w:cs="Arial"/>
          <w:sz w:val="24"/>
          <w:szCs w:val="24"/>
        </w:rPr>
        <w:t xml:space="preserve">. </w:t>
      </w:r>
    </w:p>
    <w:p w14:paraId="12EE1F39" w14:textId="77777777" w:rsidR="00F21624" w:rsidRDefault="00F21624" w:rsidP="00F21624">
      <w:pPr>
        <w:spacing w:after="0" w:line="480" w:lineRule="auto"/>
        <w:rPr>
          <w:rFonts w:ascii="Arial" w:hAnsi="Arial" w:cs="Arial"/>
          <w:sz w:val="24"/>
          <w:szCs w:val="24"/>
        </w:rPr>
      </w:pPr>
    </w:p>
    <w:p w14:paraId="54309689" w14:textId="77777777" w:rsidR="00F21624" w:rsidRDefault="00F21624" w:rsidP="00F21624">
      <w:pPr>
        <w:spacing w:after="0" w:line="480" w:lineRule="auto"/>
        <w:rPr>
          <w:rFonts w:ascii="Arial" w:hAnsi="Arial" w:cs="Arial"/>
          <w:sz w:val="24"/>
          <w:szCs w:val="24"/>
        </w:rPr>
      </w:pPr>
      <w:proofErr w:type="spellStart"/>
      <w:r>
        <w:rPr>
          <w:rFonts w:ascii="Arial" w:hAnsi="Arial" w:cs="Arial"/>
          <w:sz w:val="24"/>
          <w:szCs w:val="24"/>
        </w:rPr>
        <w:t>Scardigli</w:t>
      </w:r>
      <w:proofErr w:type="spellEnd"/>
      <w:r>
        <w:rPr>
          <w:rFonts w:ascii="Arial" w:hAnsi="Arial" w:cs="Arial"/>
          <w:sz w:val="24"/>
          <w:szCs w:val="24"/>
        </w:rPr>
        <w:t xml:space="preserve">, B. (2011) ‘Early Relations between Rome and Carthage’ in Hoyos, D. (ed.) </w:t>
      </w:r>
      <w:r w:rsidRPr="00C51ED7">
        <w:rPr>
          <w:rFonts w:ascii="Arial" w:hAnsi="Arial" w:cs="Arial"/>
          <w:i/>
          <w:iCs/>
          <w:sz w:val="24"/>
          <w:szCs w:val="24"/>
        </w:rPr>
        <w:t>A Companion to the Punic Wars</w:t>
      </w:r>
      <w:r>
        <w:rPr>
          <w:rFonts w:ascii="Arial" w:hAnsi="Arial" w:cs="Arial"/>
          <w:sz w:val="24"/>
          <w:szCs w:val="24"/>
        </w:rPr>
        <w:t xml:space="preserve">. Chichester: Blackwell Publishing. </w:t>
      </w:r>
    </w:p>
    <w:p w14:paraId="670BF4E3" w14:textId="77777777" w:rsidR="00F21624" w:rsidRDefault="00F21624" w:rsidP="00F21624">
      <w:pPr>
        <w:spacing w:after="0" w:line="480" w:lineRule="auto"/>
        <w:rPr>
          <w:rFonts w:ascii="Arial" w:hAnsi="Arial" w:cs="Arial"/>
          <w:sz w:val="24"/>
          <w:szCs w:val="24"/>
        </w:rPr>
      </w:pPr>
    </w:p>
    <w:p w14:paraId="50BE909D"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Scullard, H. (1990) ‘Carthage and Rome’, in </w:t>
      </w:r>
      <w:proofErr w:type="spellStart"/>
      <w:r>
        <w:rPr>
          <w:rFonts w:ascii="Arial" w:hAnsi="Arial" w:cs="Arial"/>
          <w:sz w:val="24"/>
          <w:szCs w:val="24"/>
        </w:rPr>
        <w:t>Astin</w:t>
      </w:r>
      <w:proofErr w:type="spellEnd"/>
      <w:r>
        <w:rPr>
          <w:rFonts w:ascii="Arial" w:hAnsi="Arial" w:cs="Arial"/>
          <w:sz w:val="24"/>
          <w:szCs w:val="24"/>
        </w:rPr>
        <w:t xml:space="preserve">, A, Frederiksen, M, Ogilvie, R and </w:t>
      </w:r>
      <w:proofErr w:type="spellStart"/>
      <w:r>
        <w:rPr>
          <w:rFonts w:ascii="Arial" w:hAnsi="Arial" w:cs="Arial"/>
          <w:sz w:val="24"/>
          <w:szCs w:val="24"/>
        </w:rPr>
        <w:t>Walbank</w:t>
      </w:r>
      <w:proofErr w:type="spellEnd"/>
      <w:r>
        <w:rPr>
          <w:rFonts w:ascii="Arial" w:hAnsi="Arial" w:cs="Arial"/>
          <w:sz w:val="24"/>
          <w:szCs w:val="24"/>
        </w:rPr>
        <w:t xml:space="preserve">, W.F. (eds.) </w:t>
      </w:r>
      <w:r w:rsidRPr="00642986">
        <w:rPr>
          <w:rFonts w:ascii="Arial" w:hAnsi="Arial" w:cs="Arial"/>
          <w:i/>
          <w:iCs/>
          <w:sz w:val="24"/>
          <w:szCs w:val="24"/>
        </w:rPr>
        <w:t>The Cambridge Ancient History</w:t>
      </w:r>
      <w:r>
        <w:rPr>
          <w:rFonts w:ascii="Arial" w:hAnsi="Arial" w:cs="Arial"/>
          <w:sz w:val="24"/>
          <w:szCs w:val="24"/>
        </w:rPr>
        <w:t xml:space="preserve">. Cambridge: Cambridge University Press. </w:t>
      </w:r>
    </w:p>
    <w:p w14:paraId="39BEC34F" w14:textId="77777777" w:rsidR="00F21624" w:rsidRPr="003C4FD6" w:rsidRDefault="00F21624" w:rsidP="00F21624">
      <w:pPr>
        <w:spacing w:after="0" w:line="480" w:lineRule="auto"/>
        <w:rPr>
          <w:rFonts w:ascii="Arial" w:hAnsi="Arial" w:cs="Arial"/>
          <w:sz w:val="24"/>
          <w:szCs w:val="24"/>
        </w:rPr>
      </w:pPr>
    </w:p>
    <w:p w14:paraId="6657733B"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Serrati, J. (2006) ‘Neptune’s Altars: The Treaties between Rome and Carthage (509-226 B.C.)’, </w:t>
      </w:r>
      <w:r w:rsidRPr="003C5349">
        <w:rPr>
          <w:rFonts w:ascii="Arial" w:hAnsi="Arial" w:cs="Arial"/>
          <w:i/>
          <w:iCs/>
          <w:sz w:val="24"/>
          <w:szCs w:val="24"/>
        </w:rPr>
        <w:t>The Classical Quarterly</w:t>
      </w:r>
      <w:r>
        <w:rPr>
          <w:rFonts w:ascii="Arial" w:hAnsi="Arial" w:cs="Arial"/>
          <w:sz w:val="24"/>
          <w:szCs w:val="24"/>
        </w:rPr>
        <w:t xml:space="preserve">, 56(1), pp. 113-134. </w:t>
      </w:r>
    </w:p>
    <w:p w14:paraId="43EC8DDA" w14:textId="77777777" w:rsidR="00F21624" w:rsidRDefault="00F21624" w:rsidP="00F21624">
      <w:pPr>
        <w:spacing w:after="0" w:line="480" w:lineRule="auto"/>
        <w:rPr>
          <w:rFonts w:ascii="Arial" w:hAnsi="Arial" w:cs="Arial"/>
          <w:sz w:val="24"/>
          <w:szCs w:val="24"/>
        </w:rPr>
      </w:pPr>
    </w:p>
    <w:p w14:paraId="650AC1DB"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Serrati, J. (2011) ‘The Rise of Rome to 264’, in Hoyos, D. (ed.) </w:t>
      </w:r>
      <w:r w:rsidRPr="00C51ED7">
        <w:rPr>
          <w:rFonts w:ascii="Arial" w:hAnsi="Arial" w:cs="Arial"/>
          <w:i/>
          <w:iCs/>
          <w:sz w:val="24"/>
          <w:szCs w:val="24"/>
        </w:rPr>
        <w:t>A Companion to the Punic Wars</w:t>
      </w:r>
      <w:r>
        <w:rPr>
          <w:rFonts w:ascii="Arial" w:hAnsi="Arial" w:cs="Arial"/>
          <w:sz w:val="24"/>
          <w:szCs w:val="24"/>
        </w:rPr>
        <w:t xml:space="preserve">. Chichester: Blackwell Publishing. </w:t>
      </w:r>
    </w:p>
    <w:p w14:paraId="68BBCA58" w14:textId="77777777" w:rsidR="00F21624" w:rsidRDefault="00F21624" w:rsidP="00F21624">
      <w:pPr>
        <w:spacing w:after="0" w:line="480" w:lineRule="auto"/>
        <w:rPr>
          <w:rFonts w:ascii="Arial" w:hAnsi="Arial" w:cs="Arial"/>
          <w:sz w:val="24"/>
          <w:szCs w:val="24"/>
        </w:rPr>
      </w:pPr>
    </w:p>
    <w:p w14:paraId="074E7F5E" w14:textId="77777777" w:rsidR="00F21624" w:rsidRPr="00377A5B" w:rsidRDefault="00F21624" w:rsidP="00F21624">
      <w:pPr>
        <w:spacing w:after="0" w:line="480" w:lineRule="auto"/>
        <w:rPr>
          <w:rFonts w:ascii="Arial" w:hAnsi="Arial" w:cs="Arial"/>
          <w:sz w:val="24"/>
          <w:szCs w:val="24"/>
        </w:rPr>
      </w:pPr>
      <w:r w:rsidRPr="00377A5B">
        <w:rPr>
          <w:rFonts w:ascii="Arial" w:hAnsi="Arial" w:cs="Arial"/>
          <w:sz w:val="24"/>
          <w:szCs w:val="24"/>
        </w:rPr>
        <w:t xml:space="preserve">Starr, C. G. </w:t>
      </w:r>
      <w:r>
        <w:rPr>
          <w:rFonts w:ascii="Arial" w:hAnsi="Arial" w:cs="Arial"/>
          <w:sz w:val="24"/>
          <w:szCs w:val="24"/>
        </w:rPr>
        <w:t>(</w:t>
      </w:r>
      <w:r w:rsidRPr="00377A5B">
        <w:rPr>
          <w:rFonts w:ascii="Arial" w:hAnsi="Arial" w:cs="Arial"/>
          <w:sz w:val="24"/>
          <w:szCs w:val="24"/>
        </w:rPr>
        <w:t>1989</w:t>
      </w:r>
      <w:r>
        <w:rPr>
          <w:rFonts w:ascii="Arial" w:hAnsi="Arial" w:cs="Arial"/>
          <w:sz w:val="24"/>
          <w:szCs w:val="24"/>
        </w:rPr>
        <w:t>)</w:t>
      </w:r>
      <w:r w:rsidRPr="00377A5B">
        <w:rPr>
          <w:rFonts w:ascii="Arial" w:hAnsi="Arial" w:cs="Arial"/>
          <w:sz w:val="24"/>
          <w:szCs w:val="24"/>
        </w:rPr>
        <w:t xml:space="preserve"> </w:t>
      </w:r>
      <w:r w:rsidRPr="00377A5B">
        <w:rPr>
          <w:rFonts w:ascii="Arial" w:hAnsi="Arial" w:cs="Arial"/>
          <w:i/>
          <w:sz w:val="24"/>
          <w:szCs w:val="24"/>
        </w:rPr>
        <w:t>The Beginnings of imperial Rome: Rome in the Mid-Republic</w:t>
      </w:r>
      <w:r w:rsidRPr="00377A5B">
        <w:rPr>
          <w:rFonts w:ascii="Arial" w:hAnsi="Arial" w:cs="Arial"/>
          <w:sz w:val="24"/>
          <w:szCs w:val="24"/>
        </w:rPr>
        <w:t xml:space="preserve">. Ann Arbor: University of Michigan Press. </w:t>
      </w:r>
    </w:p>
    <w:p w14:paraId="6978F41D" w14:textId="77777777" w:rsidR="00F21624" w:rsidRDefault="00F21624" w:rsidP="00F21624">
      <w:pPr>
        <w:spacing w:after="0" w:line="480" w:lineRule="auto"/>
        <w:rPr>
          <w:rFonts w:ascii="Arial" w:hAnsi="Arial" w:cs="Arial"/>
          <w:sz w:val="24"/>
          <w:szCs w:val="24"/>
        </w:rPr>
      </w:pPr>
    </w:p>
    <w:p w14:paraId="6039FADD" w14:textId="77777777" w:rsidR="00F21624" w:rsidRDefault="00F21624" w:rsidP="00F21624">
      <w:pPr>
        <w:spacing w:after="0" w:line="480" w:lineRule="auto"/>
        <w:rPr>
          <w:rFonts w:ascii="Arial" w:hAnsi="Arial" w:cs="Arial"/>
          <w:sz w:val="24"/>
          <w:szCs w:val="24"/>
        </w:rPr>
      </w:pPr>
      <w:r>
        <w:rPr>
          <w:rFonts w:ascii="Arial" w:hAnsi="Arial" w:cs="Arial"/>
          <w:sz w:val="24"/>
          <w:szCs w:val="24"/>
        </w:rPr>
        <w:t>Staveley, E.S. (1990) ‘Rome and Italy in the Third Century’, in</w:t>
      </w:r>
      <w:r w:rsidRPr="003C4FD6">
        <w:rPr>
          <w:rFonts w:ascii="Arial" w:hAnsi="Arial" w:cs="Arial"/>
          <w:sz w:val="24"/>
          <w:szCs w:val="24"/>
        </w:rPr>
        <w:t xml:space="preserve"> </w:t>
      </w:r>
      <w:proofErr w:type="spellStart"/>
      <w:r>
        <w:rPr>
          <w:rFonts w:ascii="Arial" w:hAnsi="Arial" w:cs="Arial"/>
          <w:sz w:val="24"/>
          <w:szCs w:val="24"/>
        </w:rPr>
        <w:t>Astin</w:t>
      </w:r>
      <w:proofErr w:type="spellEnd"/>
      <w:r>
        <w:rPr>
          <w:rFonts w:ascii="Arial" w:hAnsi="Arial" w:cs="Arial"/>
          <w:sz w:val="24"/>
          <w:szCs w:val="24"/>
        </w:rPr>
        <w:t xml:space="preserve">, A, Frederiksen, M, Ogilvie, R and </w:t>
      </w:r>
      <w:proofErr w:type="spellStart"/>
      <w:r>
        <w:rPr>
          <w:rFonts w:ascii="Arial" w:hAnsi="Arial" w:cs="Arial"/>
          <w:sz w:val="24"/>
          <w:szCs w:val="24"/>
        </w:rPr>
        <w:t>Walbank</w:t>
      </w:r>
      <w:proofErr w:type="spellEnd"/>
      <w:r>
        <w:rPr>
          <w:rFonts w:ascii="Arial" w:hAnsi="Arial" w:cs="Arial"/>
          <w:sz w:val="24"/>
          <w:szCs w:val="24"/>
        </w:rPr>
        <w:t xml:space="preserve">, W.F. (eds.) </w:t>
      </w:r>
      <w:r w:rsidRPr="00642986">
        <w:rPr>
          <w:rFonts w:ascii="Arial" w:hAnsi="Arial" w:cs="Arial"/>
          <w:i/>
          <w:iCs/>
          <w:sz w:val="24"/>
          <w:szCs w:val="24"/>
        </w:rPr>
        <w:t>The Cambridge Ancient History</w:t>
      </w:r>
      <w:r>
        <w:rPr>
          <w:rFonts w:ascii="Arial" w:hAnsi="Arial" w:cs="Arial"/>
          <w:sz w:val="24"/>
          <w:szCs w:val="24"/>
        </w:rPr>
        <w:t xml:space="preserve">. Cambridge: Cambridge University Press. </w:t>
      </w:r>
    </w:p>
    <w:p w14:paraId="2B59D391" w14:textId="77777777" w:rsidR="00F21624" w:rsidRDefault="00F21624" w:rsidP="00F21624">
      <w:pPr>
        <w:spacing w:after="0" w:line="480" w:lineRule="auto"/>
        <w:rPr>
          <w:rFonts w:ascii="Arial" w:hAnsi="Arial" w:cs="Arial"/>
          <w:sz w:val="24"/>
          <w:szCs w:val="24"/>
        </w:rPr>
      </w:pPr>
    </w:p>
    <w:p w14:paraId="30162F01" w14:textId="77777777" w:rsidR="00F21624" w:rsidRDefault="00F21624" w:rsidP="00F21624">
      <w:pPr>
        <w:spacing w:after="0" w:line="480" w:lineRule="auto"/>
        <w:rPr>
          <w:rFonts w:ascii="Arial" w:hAnsi="Arial" w:cs="Arial"/>
          <w:sz w:val="24"/>
          <w:szCs w:val="24"/>
        </w:rPr>
      </w:pPr>
      <w:proofErr w:type="spellStart"/>
      <w:r w:rsidRPr="00377A5B">
        <w:rPr>
          <w:rFonts w:ascii="Arial" w:hAnsi="Arial" w:cs="Arial"/>
          <w:sz w:val="24"/>
          <w:szCs w:val="24"/>
        </w:rPr>
        <w:lastRenderedPageBreak/>
        <w:t>Steinby</w:t>
      </w:r>
      <w:proofErr w:type="spellEnd"/>
      <w:r w:rsidRPr="00377A5B">
        <w:rPr>
          <w:rFonts w:ascii="Arial" w:hAnsi="Arial" w:cs="Arial"/>
          <w:sz w:val="24"/>
          <w:szCs w:val="24"/>
        </w:rPr>
        <w:t xml:space="preserve">, C. </w:t>
      </w:r>
      <w:r>
        <w:rPr>
          <w:rFonts w:ascii="Arial" w:hAnsi="Arial" w:cs="Arial"/>
          <w:sz w:val="24"/>
          <w:szCs w:val="24"/>
        </w:rPr>
        <w:t>(</w:t>
      </w:r>
      <w:r w:rsidRPr="00377A5B">
        <w:rPr>
          <w:rFonts w:ascii="Arial" w:hAnsi="Arial" w:cs="Arial"/>
          <w:sz w:val="24"/>
          <w:szCs w:val="24"/>
        </w:rPr>
        <w:t>2007</w:t>
      </w:r>
      <w:r>
        <w:rPr>
          <w:rFonts w:ascii="Arial" w:hAnsi="Arial" w:cs="Arial"/>
          <w:sz w:val="24"/>
          <w:szCs w:val="24"/>
        </w:rPr>
        <w:t>)</w:t>
      </w:r>
      <w:r w:rsidRPr="00377A5B">
        <w:rPr>
          <w:rFonts w:ascii="Arial" w:hAnsi="Arial" w:cs="Arial"/>
          <w:sz w:val="24"/>
          <w:szCs w:val="24"/>
        </w:rPr>
        <w:t xml:space="preserve"> </w:t>
      </w:r>
      <w:r w:rsidRPr="00377A5B">
        <w:rPr>
          <w:rFonts w:ascii="Arial" w:hAnsi="Arial" w:cs="Arial"/>
          <w:i/>
          <w:sz w:val="24"/>
          <w:szCs w:val="24"/>
        </w:rPr>
        <w:t>The Roman Republican Navy: From the Sixth Century to 167 B.C.</w:t>
      </w:r>
      <w:r w:rsidRPr="00377A5B">
        <w:rPr>
          <w:rFonts w:ascii="Arial" w:hAnsi="Arial" w:cs="Arial"/>
          <w:sz w:val="24"/>
          <w:szCs w:val="24"/>
        </w:rPr>
        <w:t xml:space="preserve"> Helsinki: </w:t>
      </w:r>
      <w:proofErr w:type="spellStart"/>
      <w:r w:rsidRPr="00377A5B">
        <w:rPr>
          <w:rFonts w:ascii="Arial" w:hAnsi="Arial" w:cs="Arial"/>
          <w:sz w:val="24"/>
          <w:szCs w:val="24"/>
        </w:rPr>
        <w:t>Societas</w:t>
      </w:r>
      <w:proofErr w:type="spellEnd"/>
      <w:r w:rsidRPr="00377A5B">
        <w:rPr>
          <w:rFonts w:ascii="Arial" w:hAnsi="Arial" w:cs="Arial"/>
          <w:sz w:val="24"/>
          <w:szCs w:val="24"/>
        </w:rPr>
        <w:t xml:space="preserve"> </w:t>
      </w:r>
      <w:proofErr w:type="spellStart"/>
      <w:r w:rsidRPr="00377A5B">
        <w:rPr>
          <w:rFonts w:ascii="Arial" w:hAnsi="Arial" w:cs="Arial"/>
          <w:sz w:val="24"/>
          <w:szCs w:val="24"/>
        </w:rPr>
        <w:t>Scientiarum</w:t>
      </w:r>
      <w:proofErr w:type="spellEnd"/>
      <w:r w:rsidRPr="00377A5B">
        <w:rPr>
          <w:rFonts w:ascii="Arial" w:hAnsi="Arial" w:cs="Arial"/>
          <w:sz w:val="24"/>
          <w:szCs w:val="24"/>
        </w:rPr>
        <w:t xml:space="preserve"> </w:t>
      </w:r>
      <w:proofErr w:type="spellStart"/>
      <w:r w:rsidRPr="00377A5B">
        <w:rPr>
          <w:rFonts w:ascii="Arial" w:hAnsi="Arial" w:cs="Arial"/>
          <w:sz w:val="24"/>
          <w:szCs w:val="24"/>
        </w:rPr>
        <w:t>Fennica</w:t>
      </w:r>
      <w:proofErr w:type="spellEnd"/>
      <w:r w:rsidRPr="00377A5B">
        <w:rPr>
          <w:rFonts w:ascii="Arial" w:hAnsi="Arial" w:cs="Arial"/>
          <w:sz w:val="24"/>
          <w:szCs w:val="24"/>
        </w:rPr>
        <w:t xml:space="preserve">. </w:t>
      </w:r>
    </w:p>
    <w:p w14:paraId="5E15FE39" w14:textId="77777777" w:rsidR="00F21624" w:rsidRDefault="00F21624" w:rsidP="00F21624">
      <w:pPr>
        <w:spacing w:after="0" w:line="480" w:lineRule="auto"/>
        <w:rPr>
          <w:rFonts w:ascii="Arial" w:hAnsi="Arial" w:cs="Arial"/>
          <w:sz w:val="24"/>
          <w:szCs w:val="24"/>
        </w:rPr>
      </w:pPr>
    </w:p>
    <w:p w14:paraId="0CC6A7C7" w14:textId="77777777" w:rsidR="00F21624" w:rsidRDefault="00F21624" w:rsidP="00F21624">
      <w:pPr>
        <w:spacing w:after="0" w:line="480" w:lineRule="auto"/>
        <w:rPr>
          <w:rFonts w:ascii="Arial" w:hAnsi="Arial" w:cs="Arial"/>
          <w:sz w:val="24"/>
          <w:szCs w:val="24"/>
        </w:rPr>
      </w:pPr>
      <w:proofErr w:type="spellStart"/>
      <w:r>
        <w:rPr>
          <w:rFonts w:ascii="Arial" w:hAnsi="Arial" w:cs="Arial"/>
          <w:sz w:val="24"/>
          <w:szCs w:val="24"/>
        </w:rPr>
        <w:t>Steuart</w:t>
      </w:r>
      <w:proofErr w:type="spellEnd"/>
      <w:r>
        <w:rPr>
          <w:rFonts w:ascii="Arial" w:hAnsi="Arial" w:cs="Arial"/>
          <w:sz w:val="24"/>
          <w:szCs w:val="24"/>
        </w:rPr>
        <w:t>, E.M. (1919) ‘</w:t>
      </w:r>
      <w:proofErr w:type="spellStart"/>
      <w:r>
        <w:rPr>
          <w:rFonts w:ascii="Arial" w:hAnsi="Arial" w:cs="Arial"/>
          <w:sz w:val="24"/>
          <w:szCs w:val="24"/>
        </w:rPr>
        <w:t>Ennius</w:t>
      </w:r>
      <w:proofErr w:type="spellEnd"/>
      <w:r>
        <w:rPr>
          <w:rFonts w:ascii="Arial" w:hAnsi="Arial" w:cs="Arial"/>
          <w:sz w:val="24"/>
          <w:szCs w:val="24"/>
        </w:rPr>
        <w:t xml:space="preserve"> and the Punic Wars’, </w:t>
      </w:r>
      <w:r w:rsidRPr="00D21B5F">
        <w:rPr>
          <w:rFonts w:ascii="Arial" w:hAnsi="Arial" w:cs="Arial"/>
          <w:i/>
          <w:iCs/>
          <w:sz w:val="24"/>
          <w:szCs w:val="24"/>
        </w:rPr>
        <w:t>The Classical Quarterly</w:t>
      </w:r>
      <w:r>
        <w:rPr>
          <w:rFonts w:ascii="Arial" w:hAnsi="Arial" w:cs="Arial"/>
          <w:sz w:val="24"/>
          <w:szCs w:val="24"/>
        </w:rPr>
        <w:t xml:space="preserve">, 13(3), pp. 113-117. </w:t>
      </w:r>
    </w:p>
    <w:p w14:paraId="3C1F3351" w14:textId="77777777" w:rsidR="00F21624" w:rsidRDefault="00F21624" w:rsidP="00F21624">
      <w:pPr>
        <w:spacing w:after="0" w:line="480" w:lineRule="auto"/>
        <w:rPr>
          <w:rFonts w:ascii="Arial" w:hAnsi="Arial" w:cs="Arial"/>
          <w:sz w:val="24"/>
          <w:szCs w:val="24"/>
        </w:rPr>
      </w:pPr>
    </w:p>
    <w:p w14:paraId="140082D8"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Tan, J. (2017) </w:t>
      </w:r>
      <w:r w:rsidRPr="00E47936">
        <w:rPr>
          <w:rFonts w:ascii="Arial" w:hAnsi="Arial" w:cs="Arial"/>
          <w:i/>
          <w:iCs/>
          <w:sz w:val="24"/>
          <w:szCs w:val="24"/>
        </w:rPr>
        <w:t>Power and Public Finance at Rome, 264-49 B.C.E</w:t>
      </w:r>
      <w:r>
        <w:rPr>
          <w:rFonts w:ascii="Arial" w:hAnsi="Arial" w:cs="Arial"/>
          <w:sz w:val="24"/>
          <w:szCs w:val="24"/>
        </w:rPr>
        <w:t xml:space="preserve">. Oxford: Oxford University Press.  </w:t>
      </w:r>
    </w:p>
    <w:p w14:paraId="72A858D4" w14:textId="77777777" w:rsidR="00F21624" w:rsidRDefault="00F21624" w:rsidP="00F21624">
      <w:pPr>
        <w:spacing w:after="0" w:line="480" w:lineRule="auto"/>
        <w:rPr>
          <w:rFonts w:ascii="Arial" w:hAnsi="Arial" w:cs="Arial"/>
          <w:sz w:val="24"/>
          <w:szCs w:val="24"/>
        </w:rPr>
      </w:pPr>
    </w:p>
    <w:p w14:paraId="3F64BE58"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Tarn, W.W. (1907) ‘The Fleets of the First Punic War’, </w:t>
      </w:r>
      <w:r w:rsidRPr="00D21B5F">
        <w:rPr>
          <w:rFonts w:ascii="Arial" w:hAnsi="Arial" w:cs="Arial"/>
          <w:i/>
          <w:iCs/>
          <w:sz w:val="24"/>
          <w:szCs w:val="24"/>
        </w:rPr>
        <w:t>The Journal of Hellenistic Studies</w:t>
      </w:r>
      <w:r>
        <w:rPr>
          <w:rFonts w:ascii="Arial" w:hAnsi="Arial" w:cs="Arial"/>
          <w:sz w:val="24"/>
          <w:szCs w:val="24"/>
        </w:rPr>
        <w:t>, 27, pp. 48-60.</w:t>
      </w:r>
    </w:p>
    <w:p w14:paraId="16E6FD3A" w14:textId="77777777" w:rsidR="00F21624" w:rsidRDefault="00F21624" w:rsidP="00F21624">
      <w:pPr>
        <w:spacing w:after="0" w:line="480" w:lineRule="auto"/>
        <w:rPr>
          <w:rFonts w:ascii="Arial" w:hAnsi="Arial" w:cs="Arial"/>
          <w:sz w:val="24"/>
          <w:szCs w:val="24"/>
        </w:rPr>
      </w:pPr>
    </w:p>
    <w:p w14:paraId="368D69F2" w14:textId="77777777" w:rsidR="00F21624" w:rsidRDefault="00F21624" w:rsidP="00F21624">
      <w:pPr>
        <w:spacing w:after="0" w:line="480" w:lineRule="auto"/>
        <w:rPr>
          <w:rFonts w:ascii="Arial" w:hAnsi="Arial" w:cs="Arial"/>
          <w:sz w:val="24"/>
          <w:szCs w:val="24"/>
        </w:rPr>
      </w:pPr>
      <w:proofErr w:type="spellStart"/>
      <w:r>
        <w:rPr>
          <w:rFonts w:ascii="Arial" w:hAnsi="Arial" w:cs="Arial"/>
          <w:sz w:val="24"/>
          <w:szCs w:val="24"/>
        </w:rPr>
        <w:t>Turfa</w:t>
      </w:r>
      <w:proofErr w:type="spellEnd"/>
      <w:r>
        <w:rPr>
          <w:rFonts w:ascii="Arial" w:hAnsi="Arial" w:cs="Arial"/>
          <w:sz w:val="24"/>
          <w:szCs w:val="24"/>
        </w:rPr>
        <w:t xml:space="preserve">, J.M. (1977) ‘Evidence for Etruscan-Punic Relations’, </w:t>
      </w:r>
      <w:r w:rsidRPr="00426BA0">
        <w:rPr>
          <w:rFonts w:ascii="Arial" w:hAnsi="Arial" w:cs="Arial"/>
          <w:i/>
          <w:iCs/>
          <w:sz w:val="24"/>
          <w:szCs w:val="24"/>
        </w:rPr>
        <w:t>The</w:t>
      </w:r>
      <w:r>
        <w:rPr>
          <w:rFonts w:ascii="Arial" w:hAnsi="Arial" w:cs="Arial"/>
          <w:sz w:val="24"/>
          <w:szCs w:val="24"/>
        </w:rPr>
        <w:t xml:space="preserve"> </w:t>
      </w:r>
      <w:r w:rsidRPr="00CB4CBF">
        <w:rPr>
          <w:rFonts w:ascii="Arial" w:hAnsi="Arial" w:cs="Arial"/>
          <w:i/>
          <w:iCs/>
          <w:sz w:val="24"/>
          <w:szCs w:val="24"/>
        </w:rPr>
        <w:t>American Journal of Archaeology</w:t>
      </w:r>
      <w:r>
        <w:rPr>
          <w:rFonts w:ascii="Arial" w:hAnsi="Arial" w:cs="Arial"/>
          <w:sz w:val="24"/>
          <w:szCs w:val="24"/>
        </w:rPr>
        <w:t>, 81(3), pp. 368-374.</w:t>
      </w:r>
    </w:p>
    <w:p w14:paraId="6A263484" w14:textId="77777777" w:rsidR="00F21624" w:rsidRDefault="00F21624" w:rsidP="00F21624">
      <w:pPr>
        <w:spacing w:after="0" w:line="480" w:lineRule="auto"/>
        <w:rPr>
          <w:rFonts w:ascii="Arial" w:hAnsi="Arial" w:cs="Arial"/>
          <w:sz w:val="24"/>
          <w:szCs w:val="24"/>
        </w:rPr>
      </w:pPr>
    </w:p>
    <w:p w14:paraId="56B9905B" w14:textId="77777777" w:rsidR="00F21624" w:rsidRDefault="00F21624" w:rsidP="00F21624">
      <w:pPr>
        <w:spacing w:after="0" w:line="480" w:lineRule="auto"/>
        <w:rPr>
          <w:rFonts w:ascii="Arial" w:hAnsi="Arial" w:cs="Arial"/>
          <w:sz w:val="24"/>
          <w:szCs w:val="24"/>
        </w:rPr>
      </w:pPr>
      <w:proofErr w:type="spellStart"/>
      <w:r>
        <w:rPr>
          <w:rFonts w:ascii="Arial" w:hAnsi="Arial" w:cs="Arial"/>
          <w:sz w:val="24"/>
          <w:szCs w:val="24"/>
        </w:rPr>
        <w:t>Walbank</w:t>
      </w:r>
      <w:proofErr w:type="spellEnd"/>
      <w:r>
        <w:rPr>
          <w:rFonts w:ascii="Arial" w:hAnsi="Arial" w:cs="Arial"/>
          <w:sz w:val="24"/>
          <w:szCs w:val="24"/>
        </w:rPr>
        <w:t xml:space="preserve">, F.W. (1945) ‘Polybius, Philinus and the First Punic War’, </w:t>
      </w:r>
      <w:r w:rsidRPr="00840704">
        <w:rPr>
          <w:rFonts w:ascii="Arial" w:hAnsi="Arial" w:cs="Arial"/>
          <w:i/>
          <w:iCs/>
          <w:sz w:val="24"/>
          <w:szCs w:val="24"/>
        </w:rPr>
        <w:t>The Classical Quarterly</w:t>
      </w:r>
      <w:r>
        <w:rPr>
          <w:rFonts w:ascii="Arial" w:hAnsi="Arial" w:cs="Arial"/>
          <w:sz w:val="24"/>
          <w:szCs w:val="24"/>
        </w:rPr>
        <w:t xml:space="preserve">, 39(1), pp. 1-18. </w:t>
      </w:r>
    </w:p>
    <w:p w14:paraId="27E3DC2F" w14:textId="77777777" w:rsidR="00F21624" w:rsidRDefault="00F21624" w:rsidP="00F21624">
      <w:pPr>
        <w:spacing w:after="0" w:line="480" w:lineRule="auto"/>
        <w:rPr>
          <w:rFonts w:ascii="Arial" w:hAnsi="Arial" w:cs="Arial"/>
          <w:sz w:val="24"/>
          <w:szCs w:val="24"/>
        </w:rPr>
      </w:pPr>
    </w:p>
    <w:p w14:paraId="6B82CAD7"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Whittaker, C.R. (1979) ‘Carthaginian Imperialism in the Fifth and Fourth Centuries’, in Garnsey, P and Whittaker, C.R. (eds.) </w:t>
      </w:r>
      <w:r w:rsidRPr="00642986">
        <w:rPr>
          <w:rFonts w:ascii="Arial" w:hAnsi="Arial" w:cs="Arial"/>
          <w:i/>
          <w:iCs/>
          <w:sz w:val="24"/>
          <w:szCs w:val="24"/>
        </w:rPr>
        <w:t>Imperialism in the Ancient World: The Cambridge University Research Seminar in Ancient History</w:t>
      </w:r>
      <w:r>
        <w:rPr>
          <w:rFonts w:ascii="Arial" w:hAnsi="Arial" w:cs="Arial"/>
          <w:sz w:val="24"/>
          <w:szCs w:val="24"/>
        </w:rPr>
        <w:t xml:space="preserve">. Cambridge: Cambridge University Press. </w:t>
      </w:r>
    </w:p>
    <w:p w14:paraId="13AC9D28" w14:textId="77777777" w:rsidR="00F21624" w:rsidRDefault="00F21624" w:rsidP="00F21624">
      <w:pPr>
        <w:spacing w:after="0" w:line="480" w:lineRule="auto"/>
        <w:rPr>
          <w:rFonts w:ascii="Arial" w:hAnsi="Arial" w:cs="Arial"/>
          <w:sz w:val="24"/>
          <w:szCs w:val="24"/>
        </w:rPr>
      </w:pPr>
    </w:p>
    <w:p w14:paraId="6015D588"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Williams, J.H.C. (2001) </w:t>
      </w:r>
      <w:r w:rsidRPr="00840704">
        <w:rPr>
          <w:rFonts w:ascii="Arial" w:hAnsi="Arial" w:cs="Arial"/>
          <w:i/>
          <w:iCs/>
          <w:sz w:val="24"/>
          <w:szCs w:val="24"/>
        </w:rPr>
        <w:t>Beyond the Rubicon: Romans and Gauls in Republican Italy</w:t>
      </w:r>
      <w:r>
        <w:rPr>
          <w:rFonts w:ascii="Arial" w:hAnsi="Arial" w:cs="Arial"/>
          <w:sz w:val="24"/>
          <w:szCs w:val="24"/>
        </w:rPr>
        <w:t xml:space="preserve">. Oxford: Oxford University Press. </w:t>
      </w:r>
    </w:p>
    <w:p w14:paraId="40AD9F9E" w14:textId="77777777" w:rsidR="00F21624" w:rsidRDefault="00F21624" w:rsidP="00F21624">
      <w:pPr>
        <w:spacing w:after="0" w:line="480" w:lineRule="auto"/>
        <w:rPr>
          <w:rFonts w:ascii="Arial" w:hAnsi="Arial" w:cs="Arial"/>
          <w:sz w:val="24"/>
          <w:szCs w:val="24"/>
        </w:rPr>
      </w:pPr>
    </w:p>
    <w:p w14:paraId="5FD148BD" w14:textId="77777777" w:rsidR="00F21624" w:rsidRDefault="00F21624" w:rsidP="00F21624">
      <w:pPr>
        <w:spacing w:after="0" w:line="480" w:lineRule="auto"/>
        <w:rPr>
          <w:rFonts w:ascii="Arial" w:hAnsi="Arial" w:cs="Arial"/>
          <w:sz w:val="24"/>
          <w:szCs w:val="24"/>
        </w:rPr>
      </w:pPr>
      <w:r>
        <w:rPr>
          <w:rFonts w:ascii="Arial" w:hAnsi="Arial" w:cs="Arial"/>
          <w:sz w:val="24"/>
          <w:szCs w:val="24"/>
        </w:rPr>
        <w:t xml:space="preserve">Wise, T and Hook, R. (1982) </w:t>
      </w:r>
      <w:r w:rsidRPr="00377A5B">
        <w:rPr>
          <w:rFonts w:ascii="Arial" w:hAnsi="Arial" w:cs="Arial"/>
          <w:i/>
          <w:iCs/>
          <w:sz w:val="24"/>
          <w:szCs w:val="24"/>
        </w:rPr>
        <w:t>Armies of the Carthaginian Wars 265 – 146 B.C.</w:t>
      </w:r>
      <w:r>
        <w:rPr>
          <w:rFonts w:ascii="Arial" w:hAnsi="Arial" w:cs="Arial"/>
          <w:sz w:val="24"/>
          <w:szCs w:val="24"/>
        </w:rPr>
        <w:t xml:space="preserve"> Oxford: Osprey. </w:t>
      </w:r>
    </w:p>
    <w:p w14:paraId="5CB283B4" w14:textId="77777777" w:rsidR="00BA30BC" w:rsidRDefault="00BA30BC" w:rsidP="00BA30BC">
      <w:pPr>
        <w:spacing w:line="480" w:lineRule="auto"/>
        <w:rPr>
          <w:rFonts w:ascii="Arial" w:hAnsi="Arial" w:cs="Arial"/>
          <w:b/>
          <w:bCs/>
          <w:sz w:val="24"/>
          <w:szCs w:val="24"/>
        </w:rPr>
      </w:pPr>
    </w:p>
    <w:p w14:paraId="34968164" w14:textId="77777777" w:rsidR="00BA30BC" w:rsidRDefault="00BA30BC" w:rsidP="00BA30BC">
      <w:pPr>
        <w:spacing w:line="480" w:lineRule="auto"/>
        <w:rPr>
          <w:rFonts w:ascii="Arial" w:hAnsi="Arial" w:cs="Arial"/>
          <w:b/>
          <w:bCs/>
          <w:sz w:val="24"/>
          <w:szCs w:val="24"/>
        </w:rPr>
      </w:pPr>
    </w:p>
    <w:p w14:paraId="7133780C" w14:textId="5E9147A3" w:rsidR="00642986" w:rsidRDefault="00642986" w:rsidP="00BA30BC">
      <w:pPr>
        <w:spacing w:line="480" w:lineRule="auto"/>
        <w:rPr>
          <w:rFonts w:ascii="Arial" w:hAnsi="Arial" w:cs="Arial"/>
          <w:sz w:val="24"/>
          <w:szCs w:val="24"/>
        </w:rPr>
      </w:pPr>
    </w:p>
    <w:p w14:paraId="11E20CD4" w14:textId="3EA88F69" w:rsidR="00D663A8" w:rsidRDefault="00D663A8" w:rsidP="00BA30BC">
      <w:pPr>
        <w:spacing w:line="480" w:lineRule="auto"/>
        <w:rPr>
          <w:rFonts w:ascii="Times New Roman" w:hAnsi="Times New Roman" w:cs="Times New Roman"/>
          <w:sz w:val="24"/>
          <w:szCs w:val="24"/>
        </w:rPr>
      </w:pPr>
    </w:p>
    <w:p w14:paraId="17D04EBD" w14:textId="77777777" w:rsidR="00E327DB" w:rsidRDefault="00E327DB" w:rsidP="00E327DB">
      <w:pPr>
        <w:spacing w:line="480" w:lineRule="auto"/>
        <w:rPr>
          <w:rFonts w:ascii="Arial" w:hAnsi="Arial" w:cs="Arial"/>
          <w:sz w:val="24"/>
          <w:szCs w:val="24"/>
        </w:rPr>
      </w:pPr>
      <w:r>
        <w:rPr>
          <w:rFonts w:ascii="Arial" w:hAnsi="Arial" w:cs="Arial"/>
          <w:sz w:val="24"/>
          <w:szCs w:val="24"/>
        </w:rPr>
        <w:t>Carthage quickly established trade links with other powers, such as Etruria</w:t>
      </w:r>
      <w:r>
        <w:rPr>
          <w:rStyle w:val="FootnoteReference"/>
          <w:rFonts w:ascii="Arial" w:hAnsi="Arial" w:cs="Arial"/>
          <w:sz w:val="24"/>
          <w:szCs w:val="24"/>
        </w:rPr>
        <w:footnoteReference w:id="421"/>
      </w:r>
      <w:r>
        <w:rPr>
          <w:rFonts w:ascii="Arial" w:hAnsi="Arial" w:cs="Arial"/>
          <w:sz w:val="24"/>
          <w:szCs w:val="24"/>
        </w:rPr>
        <w:t>. Furthermore, a bilingual inscription has been found – in both Etruscan and Punic – in the modern city of Caere and its second port was named ‘</w:t>
      </w:r>
      <w:proofErr w:type="spellStart"/>
      <w:r>
        <w:rPr>
          <w:rFonts w:ascii="Arial" w:hAnsi="Arial" w:cs="Arial"/>
          <w:sz w:val="24"/>
          <w:szCs w:val="24"/>
        </w:rPr>
        <w:t>Punicum</w:t>
      </w:r>
      <w:proofErr w:type="spellEnd"/>
      <w:r>
        <w:rPr>
          <w:rFonts w:ascii="Arial" w:hAnsi="Arial" w:cs="Arial"/>
          <w:sz w:val="24"/>
          <w:szCs w:val="24"/>
        </w:rPr>
        <w:t>’, testifying to a Carthaginian presence</w:t>
      </w:r>
      <w:r>
        <w:rPr>
          <w:rStyle w:val="FootnoteReference"/>
          <w:rFonts w:ascii="Arial" w:hAnsi="Arial" w:cs="Arial"/>
          <w:sz w:val="24"/>
          <w:szCs w:val="24"/>
        </w:rPr>
        <w:footnoteReference w:id="422"/>
      </w:r>
      <w:r>
        <w:rPr>
          <w:rFonts w:ascii="Arial" w:hAnsi="Arial" w:cs="Arial"/>
          <w:sz w:val="24"/>
          <w:szCs w:val="24"/>
        </w:rPr>
        <w:t xml:space="preserve">. </w:t>
      </w:r>
    </w:p>
    <w:p w14:paraId="35450BC6" w14:textId="77777777" w:rsidR="00D663A8" w:rsidRPr="00D663A8" w:rsidRDefault="00D663A8" w:rsidP="000C2ED5">
      <w:pPr>
        <w:rPr>
          <w:rFonts w:ascii="Arial" w:hAnsi="Arial" w:cs="Arial"/>
          <w:sz w:val="24"/>
          <w:szCs w:val="24"/>
        </w:rPr>
      </w:pPr>
    </w:p>
    <w:sectPr w:rsidR="00D663A8" w:rsidRPr="00D663A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048B57" w14:textId="77777777" w:rsidR="00C311F9" w:rsidRDefault="00C311F9" w:rsidP="000B6765">
      <w:pPr>
        <w:spacing w:after="0" w:line="240" w:lineRule="auto"/>
      </w:pPr>
      <w:r>
        <w:separator/>
      </w:r>
    </w:p>
  </w:endnote>
  <w:endnote w:type="continuationSeparator" w:id="0">
    <w:p w14:paraId="7774DB87" w14:textId="77777777" w:rsidR="00C311F9" w:rsidRDefault="00C311F9" w:rsidP="000B6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9400994"/>
      <w:docPartObj>
        <w:docPartGallery w:val="Page Numbers (Bottom of Page)"/>
        <w:docPartUnique/>
      </w:docPartObj>
    </w:sdtPr>
    <w:sdtEndPr>
      <w:rPr>
        <w:noProof/>
      </w:rPr>
    </w:sdtEndPr>
    <w:sdtContent>
      <w:p w14:paraId="283C85D3" w14:textId="10DEA5B6" w:rsidR="00C311F9" w:rsidRDefault="00C311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B0B543" w14:textId="77777777" w:rsidR="00C311F9" w:rsidRDefault="00C311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463033" w14:textId="77777777" w:rsidR="00C311F9" w:rsidRDefault="00C311F9" w:rsidP="000B6765">
      <w:pPr>
        <w:spacing w:after="0" w:line="240" w:lineRule="auto"/>
      </w:pPr>
      <w:r>
        <w:separator/>
      </w:r>
    </w:p>
  </w:footnote>
  <w:footnote w:type="continuationSeparator" w:id="0">
    <w:p w14:paraId="493C78C7" w14:textId="77777777" w:rsidR="00C311F9" w:rsidRDefault="00C311F9" w:rsidP="000B6765">
      <w:pPr>
        <w:spacing w:after="0" w:line="240" w:lineRule="auto"/>
      </w:pPr>
      <w:r>
        <w:continuationSeparator/>
      </w:r>
    </w:p>
  </w:footnote>
  <w:footnote w:id="1">
    <w:p w14:paraId="5E184695" w14:textId="77777777" w:rsidR="00C311F9" w:rsidRDefault="00C311F9" w:rsidP="00F21624">
      <w:pPr>
        <w:pStyle w:val="FootnoteText"/>
      </w:pPr>
      <w:r>
        <w:rPr>
          <w:rStyle w:val="FootnoteReference"/>
        </w:rPr>
        <w:footnoteRef/>
      </w:r>
      <w:r>
        <w:t xml:space="preserve"> Oakley (1993), 14 and Raaflaub (1996), 294</w:t>
      </w:r>
    </w:p>
    <w:p w14:paraId="64589AD8" w14:textId="77777777" w:rsidR="00C311F9" w:rsidRDefault="00C311F9" w:rsidP="00F21624">
      <w:pPr>
        <w:pStyle w:val="FootnoteText"/>
      </w:pPr>
    </w:p>
  </w:footnote>
  <w:footnote w:id="2">
    <w:p w14:paraId="68302C81" w14:textId="77777777" w:rsidR="00C311F9" w:rsidRDefault="00C311F9" w:rsidP="00F21624">
      <w:pPr>
        <w:pStyle w:val="FootnoteText"/>
      </w:pPr>
      <w:r>
        <w:rPr>
          <w:rStyle w:val="FootnoteReference"/>
        </w:rPr>
        <w:footnoteRef/>
      </w:r>
      <w:r>
        <w:t xml:space="preserve"> Plb. 1.10.6</w:t>
      </w:r>
    </w:p>
  </w:footnote>
  <w:footnote w:id="3">
    <w:p w14:paraId="1B283EDD" w14:textId="77777777" w:rsidR="00C311F9" w:rsidRDefault="00C311F9" w:rsidP="00F21624">
      <w:pPr>
        <w:pStyle w:val="FootnoteText"/>
      </w:pPr>
      <w:r>
        <w:rPr>
          <w:rStyle w:val="FootnoteReference"/>
        </w:rPr>
        <w:footnoteRef/>
      </w:r>
      <w:r>
        <w:t xml:space="preserve"> Plb. 1. 11. 2</w:t>
      </w:r>
    </w:p>
  </w:footnote>
  <w:footnote w:id="4">
    <w:p w14:paraId="72006146" w14:textId="77777777" w:rsidR="00C311F9" w:rsidRDefault="00C311F9" w:rsidP="00F21624">
      <w:pPr>
        <w:pStyle w:val="FootnoteText"/>
      </w:pPr>
      <w:r>
        <w:rPr>
          <w:rStyle w:val="FootnoteReference"/>
        </w:rPr>
        <w:footnoteRef/>
      </w:r>
      <w:r>
        <w:t xml:space="preserve"> App. </w:t>
      </w:r>
      <w:r>
        <w:rPr>
          <w:i/>
          <w:iCs/>
        </w:rPr>
        <w:t>Sic</w:t>
      </w:r>
      <w:r>
        <w:t>. 1.2 and Diod. 23.1.4</w:t>
      </w:r>
    </w:p>
  </w:footnote>
  <w:footnote w:id="5">
    <w:p w14:paraId="13A0B517" w14:textId="77777777" w:rsidR="00C311F9" w:rsidRDefault="00C311F9" w:rsidP="00F21624">
      <w:pPr>
        <w:pStyle w:val="FootnoteText"/>
      </w:pPr>
      <w:r>
        <w:rPr>
          <w:rStyle w:val="FootnoteReference"/>
        </w:rPr>
        <w:footnoteRef/>
      </w:r>
      <w:r>
        <w:t xml:space="preserve"> Diod. 43.-4; </w:t>
      </w:r>
      <w:proofErr w:type="spellStart"/>
      <w:r>
        <w:t>Zon</w:t>
      </w:r>
      <w:proofErr w:type="spellEnd"/>
      <w:r>
        <w:t xml:space="preserve"> 8.8.2 and Florus 1.18.2-4</w:t>
      </w:r>
    </w:p>
  </w:footnote>
  <w:footnote w:id="6">
    <w:p w14:paraId="174FF42C" w14:textId="77777777" w:rsidR="00C311F9" w:rsidRDefault="00C311F9" w:rsidP="00F21624">
      <w:pPr>
        <w:pStyle w:val="FootnoteText"/>
      </w:pPr>
      <w:r>
        <w:rPr>
          <w:rStyle w:val="FootnoteReference"/>
        </w:rPr>
        <w:footnoteRef/>
      </w:r>
      <w:r>
        <w:t xml:space="preserve"> Harris (1979), 18</w:t>
      </w:r>
    </w:p>
  </w:footnote>
  <w:footnote w:id="7">
    <w:p w14:paraId="2FDCABA7" w14:textId="77777777" w:rsidR="00C311F9" w:rsidRDefault="00C311F9" w:rsidP="00F21624">
      <w:pPr>
        <w:pStyle w:val="FootnoteText"/>
      </w:pPr>
      <w:r>
        <w:rPr>
          <w:rStyle w:val="FootnoteReference"/>
        </w:rPr>
        <w:footnoteRef/>
      </w:r>
      <w:r>
        <w:t xml:space="preserve"> Harris (1979), 104</w:t>
      </w:r>
    </w:p>
  </w:footnote>
  <w:footnote w:id="8">
    <w:p w14:paraId="3FB1E9EE" w14:textId="710317E5" w:rsidR="00C311F9" w:rsidRDefault="00C311F9" w:rsidP="00F21624">
      <w:pPr>
        <w:pStyle w:val="FootnoteText"/>
      </w:pPr>
      <w:r>
        <w:rPr>
          <w:rStyle w:val="FootnoteReference"/>
        </w:rPr>
        <w:footnoteRef/>
      </w:r>
      <w:r>
        <w:t xml:space="preserve"> Harris (1979), 184 and Cornell (1990), 383</w:t>
      </w:r>
    </w:p>
  </w:footnote>
  <w:footnote w:id="9">
    <w:p w14:paraId="5F00036E" w14:textId="77777777" w:rsidR="00C311F9" w:rsidRDefault="00C311F9" w:rsidP="00F21624">
      <w:pPr>
        <w:pStyle w:val="FootnoteText"/>
      </w:pPr>
      <w:r>
        <w:rPr>
          <w:rStyle w:val="FootnoteReference"/>
        </w:rPr>
        <w:footnoteRef/>
      </w:r>
      <w:r>
        <w:t xml:space="preserve"> Loreto (2015), 200</w:t>
      </w:r>
    </w:p>
  </w:footnote>
  <w:footnote w:id="10">
    <w:p w14:paraId="1E908EBF" w14:textId="77777777" w:rsidR="00C311F9" w:rsidRDefault="00C311F9" w:rsidP="00F21624">
      <w:pPr>
        <w:pStyle w:val="FootnoteText"/>
      </w:pPr>
      <w:r>
        <w:rPr>
          <w:rStyle w:val="FootnoteReference"/>
        </w:rPr>
        <w:footnoteRef/>
      </w:r>
      <w:r>
        <w:t xml:space="preserve"> Harris (1979), 105</w:t>
      </w:r>
    </w:p>
  </w:footnote>
  <w:footnote w:id="11">
    <w:p w14:paraId="2AC0EB90" w14:textId="77777777" w:rsidR="00C311F9" w:rsidRDefault="00C311F9" w:rsidP="00F21624">
      <w:pPr>
        <w:pStyle w:val="FootnoteText"/>
      </w:pPr>
      <w:r>
        <w:rPr>
          <w:rStyle w:val="FootnoteReference"/>
        </w:rPr>
        <w:footnoteRef/>
      </w:r>
      <w:r>
        <w:t xml:space="preserve"> Harris (1979), 190</w:t>
      </w:r>
    </w:p>
  </w:footnote>
  <w:footnote w:id="12">
    <w:p w14:paraId="4619B34D" w14:textId="77777777" w:rsidR="00C311F9" w:rsidRDefault="00C311F9" w:rsidP="00F21624">
      <w:pPr>
        <w:pStyle w:val="FootnoteText"/>
      </w:pPr>
      <w:r>
        <w:rPr>
          <w:rStyle w:val="FootnoteReference"/>
        </w:rPr>
        <w:footnoteRef/>
      </w:r>
      <w:r>
        <w:t xml:space="preserve"> Goldstone and Haldon (2009), 11</w:t>
      </w:r>
    </w:p>
  </w:footnote>
  <w:footnote w:id="13">
    <w:p w14:paraId="63006F75" w14:textId="77777777" w:rsidR="00C311F9" w:rsidRDefault="00C311F9" w:rsidP="00F21624">
      <w:pPr>
        <w:pStyle w:val="FootnoteText"/>
      </w:pPr>
      <w:r>
        <w:rPr>
          <w:rStyle w:val="FootnoteReference"/>
        </w:rPr>
        <w:footnoteRef/>
      </w:r>
      <w:r>
        <w:t xml:space="preserve"> Forsythe (2005), 286</w:t>
      </w:r>
    </w:p>
  </w:footnote>
  <w:footnote w:id="14">
    <w:p w14:paraId="22C0B738" w14:textId="77777777" w:rsidR="00C311F9" w:rsidRDefault="00C311F9" w:rsidP="00F21624">
      <w:pPr>
        <w:pStyle w:val="FootnoteText"/>
      </w:pPr>
      <w:r>
        <w:rPr>
          <w:rStyle w:val="FootnoteReference"/>
        </w:rPr>
        <w:footnoteRef/>
      </w:r>
      <w:r>
        <w:t xml:space="preserve"> Oakley (1993), 14 and </w:t>
      </w:r>
      <w:proofErr w:type="spellStart"/>
      <w:r>
        <w:t>Rankow</w:t>
      </w:r>
      <w:proofErr w:type="spellEnd"/>
      <w:r>
        <w:t xml:space="preserve"> (2006), 151</w:t>
      </w:r>
    </w:p>
  </w:footnote>
  <w:footnote w:id="15">
    <w:p w14:paraId="56419F68" w14:textId="77777777" w:rsidR="00C311F9" w:rsidRDefault="00C311F9" w:rsidP="00F21624">
      <w:pPr>
        <w:pStyle w:val="FootnoteText"/>
      </w:pPr>
      <w:r>
        <w:rPr>
          <w:rStyle w:val="FootnoteReference"/>
        </w:rPr>
        <w:footnoteRef/>
      </w:r>
      <w:r>
        <w:t xml:space="preserve"> Oakley (1993), 16</w:t>
      </w:r>
    </w:p>
  </w:footnote>
  <w:footnote w:id="16">
    <w:p w14:paraId="2E8D3E3C" w14:textId="77777777" w:rsidR="00C311F9" w:rsidRDefault="00C311F9" w:rsidP="00F21624">
      <w:pPr>
        <w:pStyle w:val="FootnoteText"/>
      </w:pPr>
      <w:r>
        <w:rPr>
          <w:rStyle w:val="FootnoteReference"/>
        </w:rPr>
        <w:footnoteRef/>
      </w:r>
      <w:r>
        <w:t xml:space="preserve"> Oakley (1993), 22 and Cornell (1990), 334</w:t>
      </w:r>
    </w:p>
  </w:footnote>
  <w:footnote w:id="17">
    <w:p w14:paraId="4553CBC4" w14:textId="77777777" w:rsidR="00C311F9" w:rsidRDefault="00C311F9" w:rsidP="00F21624">
      <w:pPr>
        <w:pStyle w:val="FootnoteText"/>
      </w:pPr>
      <w:r>
        <w:rPr>
          <w:rStyle w:val="FootnoteReference"/>
        </w:rPr>
        <w:footnoteRef/>
      </w:r>
      <w:r>
        <w:t xml:space="preserve"> Raaflaub (1996), 300</w:t>
      </w:r>
    </w:p>
  </w:footnote>
  <w:footnote w:id="18">
    <w:p w14:paraId="3ABD0023" w14:textId="77777777" w:rsidR="00C311F9" w:rsidRDefault="00C311F9" w:rsidP="00F21624">
      <w:pPr>
        <w:pStyle w:val="FootnoteText"/>
      </w:pPr>
      <w:r>
        <w:rPr>
          <w:rStyle w:val="FootnoteReference"/>
        </w:rPr>
        <w:footnoteRef/>
      </w:r>
      <w:r>
        <w:t xml:space="preserve"> Raaflaub (1996), 279 and Rich (1993), 62</w:t>
      </w:r>
    </w:p>
  </w:footnote>
  <w:footnote w:id="19">
    <w:p w14:paraId="7FBB01B2" w14:textId="77777777" w:rsidR="00C311F9" w:rsidRDefault="00C311F9" w:rsidP="00F21624">
      <w:pPr>
        <w:pStyle w:val="FootnoteText"/>
      </w:pPr>
      <w:r>
        <w:rPr>
          <w:rStyle w:val="FootnoteReference"/>
        </w:rPr>
        <w:footnoteRef/>
      </w:r>
      <w:r>
        <w:t xml:space="preserve"> Rich (1993), 62</w:t>
      </w:r>
    </w:p>
  </w:footnote>
  <w:footnote w:id="20">
    <w:p w14:paraId="443D18B4" w14:textId="77777777" w:rsidR="00C311F9" w:rsidRDefault="00C311F9" w:rsidP="00F21624">
      <w:pPr>
        <w:pStyle w:val="FootnoteText"/>
      </w:pPr>
      <w:r>
        <w:rPr>
          <w:rStyle w:val="FootnoteReference"/>
        </w:rPr>
        <w:footnoteRef/>
      </w:r>
      <w:r>
        <w:t xml:space="preserve"> </w:t>
      </w:r>
      <w:proofErr w:type="spellStart"/>
      <w:r>
        <w:t>Raafluab</w:t>
      </w:r>
      <w:proofErr w:type="spellEnd"/>
      <w:r>
        <w:t xml:space="preserve"> (1996), 290</w:t>
      </w:r>
    </w:p>
  </w:footnote>
  <w:footnote w:id="21">
    <w:p w14:paraId="76E981C9" w14:textId="77777777" w:rsidR="00C311F9" w:rsidRDefault="00C311F9" w:rsidP="00F21624">
      <w:pPr>
        <w:pStyle w:val="FootnoteText"/>
      </w:pPr>
      <w:r>
        <w:rPr>
          <w:rStyle w:val="FootnoteReference"/>
        </w:rPr>
        <w:footnoteRef/>
      </w:r>
      <w:r>
        <w:t xml:space="preserve"> </w:t>
      </w:r>
      <w:proofErr w:type="spellStart"/>
      <w:r>
        <w:t>Bleckmann</w:t>
      </w:r>
      <w:proofErr w:type="spellEnd"/>
      <w:r>
        <w:t xml:space="preserve"> (1996), 170</w:t>
      </w:r>
    </w:p>
  </w:footnote>
  <w:footnote w:id="22">
    <w:p w14:paraId="7724F866" w14:textId="697ED7D9" w:rsidR="00C311F9" w:rsidRDefault="00C311F9" w:rsidP="00F21624">
      <w:pPr>
        <w:pStyle w:val="FootnoteText"/>
      </w:pPr>
      <w:r>
        <w:rPr>
          <w:rStyle w:val="FootnoteReference"/>
        </w:rPr>
        <w:footnoteRef/>
      </w:r>
      <w:r>
        <w:t xml:space="preserve"> </w:t>
      </w:r>
      <w:proofErr w:type="spellStart"/>
      <w:r>
        <w:t>Bleckmann</w:t>
      </w:r>
      <w:proofErr w:type="spellEnd"/>
      <w:r>
        <w:t xml:space="preserve"> (2011), 170 and Oakley (1993</w:t>
      </w:r>
      <w:proofErr w:type="gramStart"/>
      <w:r>
        <w:t>),  33</w:t>
      </w:r>
      <w:proofErr w:type="gramEnd"/>
    </w:p>
  </w:footnote>
  <w:footnote w:id="23">
    <w:p w14:paraId="605A4EF9" w14:textId="77777777" w:rsidR="00C311F9" w:rsidRDefault="00C311F9" w:rsidP="00F21624">
      <w:pPr>
        <w:pStyle w:val="FootnoteText"/>
      </w:pPr>
      <w:r>
        <w:rPr>
          <w:rStyle w:val="FootnoteReference"/>
        </w:rPr>
        <w:footnoteRef/>
      </w:r>
      <w:r>
        <w:t xml:space="preserve"> Lancel (1995), 365 and Scullard (2011), 544</w:t>
      </w:r>
    </w:p>
  </w:footnote>
  <w:footnote w:id="24">
    <w:p w14:paraId="03949248" w14:textId="77777777" w:rsidR="00C311F9" w:rsidRDefault="00C311F9" w:rsidP="00F21624">
      <w:pPr>
        <w:pStyle w:val="FootnoteText"/>
      </w:pPr>
      <w:r>
        <w:rPr>
          <w:rStyle w:val="FootnoteReference"/>
        </w:rPr>
        <w:footnoteRef/>
      </w:r>
      <w:r>
        <w:t xml:space="preserve"> Lancel (1995), 365</w:t>
      </w:r>
    </w:p>
  </w:footnote>
  <w:footnote w:id="25">
    <w:p w14:paraId="527C692C" w14:textId="6BA04BD7" w:rsidR="00C311F9" w:rsidRDefault="00C311F9" w:rsidP="00F21624">
      <w:pPr>
        <w:pStyle w:val="FootnoteText"/>
      </w:pPr>
      <w:r>
        <w:rPr>
          <w:rStyle w:val="FootnoteReference"/>
        </w:rPr>
        <w:footnoteRef/>
      </w:r>
      <w:r>
        <w:t xml:space="preserve"> Eckstein (2006), 19 and Eckstein (2006), 69</w:t>
      </w:r>
    </w:p>
  </w:footnote>
  <w:footnote w:id="26">
    <w:p w14:paraId="09DBAECE" w14:textId="77777777" w:rsidR="00C311F9" w:rsidRDefault="00C311F9" w:rsidP="00F21624">
      <w:pPr>
        <w:pStyle w:val="FootnoteText"/>
      </w:pPr>
      <w:r>
        <w:rPr>
          <w:rStyle w:val="FootnoteReference"/>
        </w:rPr>
        <w:footnoteRef/>
      </w:r>
      <w:r>
        <w:t xml:space="preserve"> Eckstein (2006), 166 and Scullard (2006), 560</w:t>
      </w:r>
    </w:p>
  </w:footnote>
  <w:footnote w:id="27">
    <w:p w14:paraId="4BCDC4F1" w14:textId="77777777" w:rsidR="00C311F9" w:rsidRDefault="00C311F9" w:rsidP="00F21624">
      <w:pPr>
        <w:pStyle w:val="FootnoteText"/>
      </w:pPr>
      <w:r>
        <w:rPr>
          <w:rStyle w:val="FootnoteReference"/>
        </w:rPr>
        <w:footnoteRef/>
      </w:r>
      <w:r>
        <w:t xml:space="preserve"> Scullard (2006), 540</w:t>
      </w:r>
    </w:p>
  </w:footnote>
  <w:footnote w:id="28">
    <w:p w14:paraId="41F2D271" w14:textId="4B49DA27" w:rsidR="00C311F9" w:rsidRDefault="00C311F9">
      <w:pPr>
        <w:pStyle w:val="FootnoteText"/>
      </w:pPr>
      <w:r>
        <w:rPr>
          <w:rStyle w:val="FootnoteReference"/>
        </w:rPr>
        <w:footnoteRef/>
      </w:r>
      <w:r>
        <w:t xml:space="preserve"> Tan (2017), 95; Franke (1990), 479 and Serrati (2006), 128</w:t>
      </w:r>
    </w:p>
  </w:footnote>
  <w:footnote w:id="29">
    <w:p w14:paraId="6899469B" w14:textId="77777777" w:rsidR="00C311F9" w:rsidRDefault="00C311F9" w:rsidP="00F21624">
      <w:pPr>
        <w:pStyle w:val="FootnoteText"/>
      </w:pPr>
      <w:r>
        <w:rPr>
          <w:rStyle w:val="FootnoteReference"/>
        </w:rPr>
        <w:footnoteRef/>
      </w:r>
      <w:r>
        <w:t xml:space="preserve"> Tan (2017), 95</w:t>
      </w:r>
    </w:p>
  </w:footnote>
  <w:footnote w:id="30">
    <w:p w14:paraId="665F6446" w14:textId="77777777" w:rsidR="00C311F9" w:rsidRDefault="00C311F9" w:rsidP="00F21624">
      <w:pPr>
        <w:pStyle w:val="FootnoteText"/>
      </w:pPr>
      <w:r>
        <w:rPr>
          <w:rStyle w:val="FootnoteReference"/>
        </w:rPr>
        <w:footnoteRef/>
      </w:r>
      <w:r>
        <w:t xml:space="preserve"> Rosenstein (2007), 232</w:t>
      </w:r>
    </w:p>
  </w:footnote>
  <w:footnote w:id="31">
    <w:p w14:paraId="7496D11B" w14:textId="77777777" w:rsidR="00C311F9" w:rsidRDefault="00C311F9" w:rsidP="00F21624">
      <w:pPr>
        <w:pStyle w:val="FootnoteText"/>
      </w:pPr>
      <w:r>
        <w:rPr>
          <w:rStyle w:val="FootnoteReference"/>
        </w:rPr>
        <w:footnoteRef/>
      </w:r>
      <w:r>
        <w:t xml:space="preserve"> Rosenstein (2007), 237 </w:t>
      </w:r>
    </w:p>
  </w:footnote>
  <w:footnote w:id="32">
    <w:p w14:paraId="58E0E66D" w14:textId="77777777" w:rsidR="00C311F9" w:rsidRDefault="00C311F9" w:rsidP="00F21624">
      <w:pPr>
        <w:pStyle w:val="FootnoteText"/>
      </w:pPr>
      <w:r>
        <w:rPr>
          <w:rStyle w:val="FootnoteReference"/>
        </w:rPr>
        <w:footnoteRef/>
      </w:r>
      <w:r>
        <w:t xml:space="preserve"> Rosenstein (2007), 237 </w:t>
      </w:r>
    </w:p>
  </w:footnote>
  <w:footnote w:id="33">
    <w:p w14:paraId="46F4D9E9" w14:textId="77777777" w:rsidR="00C311F9" w:rsidRDefault="00C311F9" w:rsidP="00F21624">
      <w:pPr>
        <w:pStyle w:val="FootnoteText"/>
      </w:pPr>
      <w:r>
        <w:rPr>
          <w:rStyle w:val="FootnoteReference"/>
        </w:rPr>
        <w:footnoteRef/>
      </w:r>
      <w:r>
        <w:t xml:space="preserve"> Leigh (2010), 268 </w:t>
      </w:r>
    </w:p>
  </w:footnote>
  <w:footnote w:id="34">
    <w:p w14:paraId="3A589237" w14:textId="77777777" w:rsidR="00C311F9" w:rsidRDefault="00C311F9" w:rsidP="00F21624">
      <w:pPr>
        <w:pStyle w:val="FootnoteText"/>
      </w:pPr>
      <w:r>
        <w:rPr>
          <w:rStyle w:val="FootnoteReference"/>
        </w:rPr>
        <w:footnoteRef/>
      </w:r>
      <w:r>
        <w:t xml:space="preserve"> Leigh (2010), 268</w:t>
      </w:r>
    </w:p>
  </w:footnote>
  <w:footnote w:id="35">
    <w:p w14:paraId="72EE2843" w14:textId="77777777" w:rsidR="00C311F9" w:rsidRDefault="00C311F9" w:rsidP="00F21624">
      <w:pPr>
        <w:pStyle w:val="FootnoteText"/>
      </w:pPr>
      <w:r>
        <w:rPr>
          <w:rStyle w:val="FootnoteReference"/>
        </w:rPr>
        <w:footnoteRef/>
      </w:r>
      <w:r>
        <w:t xml:space="preserve"> Lazenby (1996), 35</w:t>
      </w:r>
    </w:p>
  </w:footnote>
  <w:footnote w:id="36">
    <w:p w14:paraId="358B7BD7" w14:textId="77777777" w:rsidR="00C311F9" w:rsidRDefault="00C311F9" w:rsidP="00F21624">
      <w:pPr>
        <w:pStyle w:val="FootnoteText"/>
      </w:pPr>
      <w:r>
        <w:rPr>
          <w:rStyle w:val="FootnoteReference"/>
        </w:rPr>
        <w:footnoteRef/>
      </w:r>
      <w:r>
        <w:t xml:space="preserve"> Lazenby (1996), 38</w:t>
      </w:r>
    </w:p>
  </w:footnote>
  <w:footnote w:id="37">
    <w:p w14:paraId="431AB75B" w14:textId="77777777" w:rsidR="00C311F9" w:rsidRDefault="00C311F9" w:rsidP="00F21624">
      <w:pPr>
        <w:pStyle w:val="FootnoteText"/>
      </w:pPr>
      <w:r>
        <w:rPr>
          <w:rStyle w:val="FootnoteReference"/>
        </w:rPr>
        <w:footnoteRef/>
      </w:r>
      <w:r>
        <w:t xml:space="preserve"> Lazenby (1996), 39</w:t>
      </w:r>
    </w:p>
  </w:footnote>
  <w:footnote w:id="38">
    <w:p w14:paraId="72F8E623" w14:textId="77777777" w:rsidR="00C311F9" w:rsidRDefault="00C311F9" w:rsidP="00F21624">
      <w:pPr>
        <w:pStyle w:val="FootnoteText"/>
      </w:pPr>
      <w:r>
        <w:rPr>
          <w:rStyle w:val="FootnoteReference"/>
        </w:rPr>
        <w:footnoteRef/>
      </w:r>
      <w:r>
        <w:t xml:space="preserve"> Hoyos (2010), 176</w:t>
      </w:r>
    </w:p>
  </w:footnote>
  <w:footnote w:id="39">
    <w:p w14:paraId="51A1C2E0" w14:textId="77777777" w:rsidR="00C311F9" w:rsidRDefault="00C311F9" w:rsidP="00F21624">
      <w:pPr>
        <w:pStyle w:val="FootnoteText"/>
      </w:pPr>
      <w:r>
        <w:rPr>
          <w:rStyle w:val="FootnoteReference"/>
        </w:rPr>
        <w:footnoteRef/>
      </w:r>
      <w:r>
        <w:t xml:space="preserve"> Hoyos (2010), 175</w:t>
      </w:r>
    </w:p>
  </w:footnote>
  <w:footnote w:id="40">
    <w:p w14:paraId="45BDF673" w14:textId="77777777" w:rsidR="00C311F9" w:rsidRDefault="00C311F9" w:rsidP="00F21624">
      <w:pPr>
        <w:pStyle w:val="FootnoteText"/>
      </w:pPr>
      <w:r>
        <w:rPr>
          <w:rStyle w:val="FootnoteReference"/>
        </w:rPr>
        <w:footnoteRef/>
      </w:r>
      <w:r>
        <w:t xml:space="preserve"> </w:t>
      </w:r>
      <w:proofErr w:type="spellStart"/>
      <w:r>
        <w:t>Scardigli</w:t>
      </w:r>
      <w:proofErr w:type="spellEnd"/>
      <w:r>
        <w:t xml:space="preserve"> (2006), 34</w:t>
      </w:r>
    </w:p>
  </w:footnote>
  <w:footnote w:id="41">
    <w:p w14:paraId="23A462E9" w14:textId="77777777" w:rsidR="00C311F9" w:rsidRDefault="00C311F9" w:rsidP="00F21624">
      <w:pPr>
        <w:pStyle w:val="FootnoteText"/>
      </w:pPr>
      <w:r>
        <w:rPr>
          <w:rStyle w:val="FootnoteReference"/>
        </w:rPr>
        <w:footnoteRef/>
      </w:r>
      <w:r>
        <w:t xml:space="preserve"> Hoyos (2010), 182</w:t>
      </w:r>
    </w:p>
  </w:footnote>
  <w:footnote w:id="42">
    <w:p w14:paraId="747342E8" w14:textId="77777777" w:rsidR="00C311F9" w:rsidRDefault="00C311F9" w:rsidP="00F21624">
      <w:pPr>
        <w:pStyle w:val="FootnoteText"/>
      </w:pPr>
      <w:r>
        <w:rPr>
          <w:rStyle w:val="FootnoteReference"/>
        </w:rPr>
        <w:footnoteRef/>
      </w:r>
      <w:r>
        <w:t xml:space="preserve"> Hoyos (2010) 182</w:t>
      </w:r>
    </w:p>
  </w:footnote>
  <w:footnote w:id="43">
    <w:p w14:paraId="04DABC51" w14:textId="77777777" w:rsidR="00C311F9" w:rsidRDefault="00C311F9" w:rsidP="00F21624">
      <w:pPr>
        <w:pStyle w:val="FootnoteText"/>
      </w:pPr>
      <w:r>
        <w:rPr>
          <w:rStyle w:val="FootnoteReference"/>
        </w:rPr>
        <w:footnoteRef/>
      </w:r>
      <w:r>
        <w:t xml:space="preserve"> </w:t>
      </w:r>
      <w:proofErr w:type="spellStart"/>
      <w:r>
        <w:t>Ameling</w:t>
      </w:r>
      <w:proofErr w:type="spellEnd"/>
      <w:r>
        <w:t xml:space="preserve"> (2006), 56</w:t>
      </w:r>
    </w:p>
  </w:footnote>
  <w:footnote w:id="44">
    <w:p w14:paraId="5677109E" w14:textId="77777777" w:rsidR="00C311F9" w:rsidRDefault="00C311F9" w:rsidP="00F21624">
      <w:pPr>
        <w:pStyle w:val="FootnoteText"/>
      </w:pPr>
      <w:r>
        <w:rPr>
          <w:rStyle w:val="FootnoteReference"/>
        </w:rPr>
        <w:footnoteRef/>
      </w:r>
      <w:r>
        <w:t xml:space="preserve"> Rainey (2004), 269</w:t>
      </w:r>
    </w:p>
  </w:footnote>
  <w:footnote w:id="45">
    <w:p w14:paraId="30C56926" w14:textId="77777777" w:rsidR="00C311F9" w:rsidRDefault="00C311F9" w:rsidP="00F21624">
      <w:pPr>
        <w:pStyle w:val="FootnoteText"/>
      </w:pPr>
      <w:r>
        <w:rPr>
          <w:rStyle w:val="FootnoteReference"/>
        </w:rPr>
        <w:footnoteRef/>
      </w:r>
      <w:r>
        <w:t xml:space="preserve"> Rainey (2004), 260</w:t>
      </w:r>
    </w:p>
  </w:footnote>
  <w:footnote w:id="46">
    <w:p w14:paraId="205F91ED" w14:textId="77777777" w:rsidR="00C311F9" w:rsidRDefault="00C311F9" w:rsidP="00F21624">
      <w:pPr>
        <w:pStyle w:val="FootnoteText"/>
      </w:pPr>
      <w:r>
        <w:rPr>
          <w:rStyle w:val="FootnoteReference"/>
        </w:rPr>
        <w:footnoteRef/>
      </w:r>
      <w:r>
        <w:t xml:space="preserve"> Rainey (2004), 251</w:t>
      </w:r>
    </w:p>
  </w:footnote>
  <w:footnote w:id="47">
    <w:p w14:paraId="0D6DF0A4" w14:textId="77777777" w:rsidR="00C311F9" w:rsidRDefault="00C311F9" w:rsidP="00F21624">
      <w:pPr>
        <w:pStyle w:val="FootnoteText"/>
      </w:pPr>
      <w:r>
        <w:rPr>
          <w:rStyle w:val="FootnoteReference"/>
        </w:rPr>
        <w:footnoteRef/>
      </w:r>
      <w:r>
        <w:t xml:space="preserve"> Rainey (2004), 251</w:t>
      </w:r>
    </w:p>
  </w:footnote>
  <w:footnote w:id="48">
    <w:p w14:paraId="4DB57841" w14:textId="77777777" w:rsidR="00C311F9" w:rsidRDefault="00C311F9" w:rsidP="00F21624">
      <w:pPr>
        <w:pStyle w:val="FootnoteText"/>
      </w:pPr>
      <w:r>
        <w:rPr>
          <w:rStyle w:val="FootnoteReference"/>
        </w:rPr>
        <w:footnoteRef/>
      </w:r>
      <w:r>
        <w:t xml:space="preserve"> Pilkington (2013), 314 and Scullard (2006), 487</w:t>
      </w:r>
    </w:p>
  </w:footnote>
  <w:footnote w:id="49">
    <w:p w14:paraId="45D323B0" w14:textId="77777777" w:rsidR="00C311F9" w:rsidRDefault="00C311F9" w:rsidP="00F21624">
      <w:pPr>
        <w:pStyle w:val="FootnoteText"/>
      </w:pPr>
      <w:r>
        <w:rPr>
          <w:rStyle w:val="FootnoteReference"/>
        </w:rPr>
        <w:footnoteRef/>
      </w:r>
      <w:r>
        <w:t xml:space="preserve"> Pilkington (2013), 315 </w:t>
      </w:r>
    </w:p>
  </w:footnote>
  <w:footnote w:id="50">
    <w:p w14:paraId="500CFB1E" w14:textId="77777777" w:rsidR="00C311F9" w:rsidRDefault="00C311F9" w:rsidP="00F21624">
      <w:pPr>
        <w:pStyle w:val="FootnoteText"/>
      </w:pPr>
      <w:r>
        <w:rPr>
          <w:rStyle w:val="FootnoteReference"/>
        </w:rPr>
        <w:footnoteRef/>
      </w:r>
      <w:r>
        <w:t xml:space="preserve"> Pilkington (2013), 314</w:t>
      </w:r>
    </w:p>
  </w:footnote>
  <w:footnote w:id="51">
    <w:p w14:paraId="1D0A821F" w14:textId="77777777" w:rsidR="00C311F9" w:rsidRDefault="00C311F9" w:rsidP="00F21624">
      <w:pPr>
        <w:pStyle w:val="FootnoteText"/>
      </w:pPr>
      <w:r>
        <w:rPr>
          <w:rStyle w:val="FootnoteReference"/>
        </w:rPr>
        <w:footnoteRef/>
      </w:r>
      <w:r>
        <w:t xml:space="preserve"> Lancel (1995), 365</w:t>
      </w:r>
    </w:p>
  </w:footnote>
  <w:footnote w:id="52">
    <w:p w14:paraId="372E9908" w14:textId="77777777" w:rsidR="00C311F9" w:rsidRDefault="00C311F9" w:rsidP="00F21624">
      <w:pPr>
        <w:pStyle w:val="FootnoteText"/>
      </w:pPr>
      <w:r>
        <w:rPr>
          <w:rStyle w:val="FootnoteReference"/>
        </w:rPr>
        <w:footnoteRef/>
      </w:r>
      <w:r>
        <w:t xml:space="preserve"> Lancel (1995), 362</w:t>
      </w:r>
    </w:p>
  </w:footnote>
  <w:footnote w:id="53">
    <w:p w14:paraId="3CB75E4C" w14:textId="77777777" w:rsidR="00C311F9" w:rsidRDefault="00C311F9" w:rsidP="00F21624">
      <w:pPr>
        <w:pStyle w:val="FootnoteText"/>
      </w:pPr>
      <w:r>
        <w:rPr>
          <w:rStyle w:val="FootnoteReference"/>
        </w:rPr>
        <w:footnoteRef/>
      </w:r>
      <w:r>
        <w:t xml:space="preserve"> Cato. Origins. Fr. 58 and Livy. 10.38</w:t>
      </w:r>
    </w:p>
  </w:footnote>
  <w:footnote w:id="54">
    <w:p w14:paraId="61A95CC7" w14:textId="77777777" w:rsidR="00C311F9" w:rsidRDefault="00C311F9" w:rsidP="00F21624">
      <w:pPr>
        <w:pStyle w:val="FootnoteText"/>
      </w:pPr>
      <w:r>
        <w:rPr>
          <w:rStyle w:val="FootnoteReference"/>
        </w:rPr>
        <w:footnoteRef/>
      </w:r>
      <w:r>
        <w:t xml:space="preserve"> Diod. 14.117.7 and Strabo. 5.2.3 and Plb. 2.18.4 and Livy. 6.2.4, 6.2.3-4; 7.12.7</w:t>
      </w:r>
    </w:p>
  </w:footnote>
  <w:footnote w:id="55">
    <w:p w14:paraId="39592FF6" w14:textId="77777777" w:rsidR="00C311F9" w:rsidRDefault="00C311F9" w:rsidP="00F21624">
      <w:pPr>
        <w:pStyle w:val="FootnoteText"/>
      </w:pPr>
      <w:r>
        <w:rPr>
          <w:rStyle w:val="FootnoteReference"/>
        </w:rPr>
        <w:footnoteRef/>
      </w:r>
      <w:r>
        <w:t xml:space="preserve"> Raaflaub (1996), 287</w:t>
      </w:r>
    </w:p>
  </w:footnote>
  <w:footnote w:id="56">
    <w:p w14:paraId="2D91B8E6" w14:textId="77777777" w:rsidR="00C311F9" w:rsidRDefault="00C311F9" w:rsidP="00F21624">
      <w:pPr>
        <w:pStyle w:val="FootnoteText"/>
      </w:pPr>
      <w:r>
        <w:rPr>
          <w:rStyle w:val="FootnoteReference"/>
        </w:rPr>
        <w:footnoteRef/>
      </w:r>
      <w:r>
        <w:t xml:space="preserve"> Livy. 3.66.5</w:t>
      </w:r>
    </w:p>
  </w:footnote>
  <w:footnote w:id="57">
    <w:p w14:paraId="2F2D59DF" w14:textId="77777777" w:rsidR="00C311F9" w:rsidRDefault="00C311F9" w:rsidP="00513900">
      <w:pPr>
        <w:pStyle w:val="FootnoteText"/>
      </w:pPr>
      <w:r>
        <w:rPr>
          <w:rStyle w:val="FootnoteReference"/>
        </w:rPr>
        <w:footnoteRef/>
      </w:r>
      <w:r>
        <w:t xml:space="preserve"> Eckstein (2006), 156</w:t>
      </w:r>
    </w:p>
  </w:footnote>
  <w:footnote w:id="58">
    <w:p w14:paraId="4BD237CC" w14:textId="77777777" w:rsidR="00C311F9" w:rsidRDefault="00C311F9" w:rsidP="00F21624">
      <w:pPr>
        <w:pStyle w:val="FootnoteText"/>
      </w:pPr>
      <w:r>
        <w:rPr>
          <w:rStyle w:val="FootnoteReference"/>
        </w:rPr>
        <w:footnoteRef/>
      </w:r>
      <w:r>
        <w:t xml:space="preserve"> Livy. 4.21.1; 55.8; 5.12.5; 14.7 and 32.4</w:t>
      </w:r>
    </w:p>
  </w:footnote>
  <w:footnote w:id="59">
    <w:p w14:paraId="5AB360BA" w14:textId="77777777" w:rsidR="00C311F9" w:rsidRDefault="00C311F9" w:rsidP="00F21624">
      <w:pPr>
        <w:pStyle w:val="FootnoteText"/>
      </w:pPr>
      <w:r>
        <w:rPr>
          <w:rStyle w:val="FootnoteReference"/>
        </w:rPr>
        <w:footnoteRef/>
      </w:r>
      <w:r>
        <w:t xml:space="preserve"> Eckstein (2006), 125</w:t>
      </w:r>
    </w:p>
  </w:footnote>
  <w:footnote w:id="60">
    <w:p w14:paraId="2E92B4AF" w14:textId="77777777" w:rsidR="00C311F9" w:rsidRDefault="00C311F9" w:rsidP="00F21624">
      <w:pPr>
        <w:pStyle w:val="FootnoteText"/>
      </w:pPr>
      <w:r>
        <w:rPr>
          <w:rStyle w:val="FootnoteReference"/>
        </w:rPr>
        <w:footnoteRef/>
      </w:r>
      <w:r>
        <w:t xml:space="preserve"> Livy. 7.22.5 and 7.20.8</w:t>
      </w:r>
    </w:p>
  </w:footnote>
  <w:footnote w:id="61">
    <w:p w14:paraId="4D2A73BE" w14:textId="77777777" w:rsidR="00C311F9" w:rsidRDefault="00C311F9" w:rsidP="00F21624">
      <w:pPr>
        <w:pStyle w:val="FootnoteText"/>
      </w:pPr>
      <w:r>
        <w:rPr>
          <w:rStyle w:val="FootnoteReference"/>
        </w:rPr>
        <w:footnoteRef/>
      </w:r>
      <w:r>
        <w:t xml:space="preserve"> Livy. 9.37</w:t>
      </w:r>
    </w:p>
  </w:footnote>
  <w:footnote w:id="62">
    <w:p w14:paraId="03823929" w14:textId="77777777" w:rsidR="00C311F9" w:rsidRDefault="00C311F9" w:rsidP="00F21624">
      <w:pPr>
        <w:pStyle w:val="FootnoteText"/>
      </w:pPr>
      <w:r>
        <w:rPr>
          <w:rStyle w:val="FootnoteReference"/>
        </w:rPr>
        <w:footnoteRef/>
      </w:r>
      <w:r>
        <w:t xml:space="preserve"> App. </w:t>
      </w:r>
      <w:r>
        <w:rPr>
          <w:i/>
          <w:iCs/>
        </w:rPr>
        <w:t>Sam</w:t>
      </w:r>
      <w:r>
        <w:t xml:space="preserve">. 6.1 and </w:t>
      </w:r>
      <w:proofErr w:type="spellStart"/>
      <w:r>
        <w:t>Oros</w:t>
      </w:r>
      <w:proofErr w:type="spellEnd"/>
      <w:r>
        <w:t>. 2.20.1</w:t>
      </w:r>
    </w:p>
  </w:footnote>
  <w:footnote w:id="63">
    <w:p w14:paraId="35D78BB9" w14:textId="77777777" w:rsidR="00C311F9" w:rsidRDefault="00C311F9" w:rsidP="00F21624">
      <w:pPr>
        <w:pStyle w:val="FootnoteText"/>
      </w:pPr>
      <w:r>
        <w:rPr>
          <w:rStyle w:val="FootnoteReference"/>
        </w:rPr>
        <w:footnoteRef/>
      </w:r>
      <w:r>
        <w:t xml:space="preserve"> Livy. 9.1-7 and 9.8-11</w:t>
      </w:r>
    </w:p>
  </w:footnote>
  <w:footnote w:id="64">
    <w:p w14:paraId="1A4595DF" w14:textId="77777777" w:rsidR="00C311F9" w:rsidRDefault="00C311F9" w:rsidP="00F21624">
      <w:pPr>
        <w:pStyle w:val="FootnoteText"/>
      </w:pPr>
      <w:r>
        <w:rPr>
          <w:rStyle w:val="FootnoteReference"/>
        </w:rPr>
        <w:footnoteRef/>
      </w:r>
      <w:r>
        <w:t xml:space="preserve"> </w:t>
      </w:r>
      <w:proofErr w:type="spellStart"/>
      <w:r>
        <w:t>Oros</w:t>
      </w:r>
      <w:proofErr w:type="spellEnd"/>
      <w:r>
        <w:t>. 3.22.13-14</w:t>
      </w:r>
    </w:p>
  </w:footnote>
  <w:footnote w:id="65">
    <w:p w14:paraId="7A9351FE" w14:textId="77777777" w:rsidR="00C311F9" w:rsidRDefault="00C311F9" w:rsidP="00F21624">
      <w:pPr>
        <w:pStyle w:val="FootnoteText"/>
      </w:pPr>
      <w:r>
        <w:rPr>
          <w:rStyle w:val="FootnoteReference"/>
        </w:rPr>
        <w:footnoteRef/>
      </w:r>
      <w:r>
        <w:t xml:space="preserve"> Livy. 10.3.6-7</w:t>
      </w:r>
    </w:p>
  </w:footnote>
  <w:footnote w:id="66">
    <w:p w14:paraId="00BD7025" w14:textId="77777777" w:rsidR="00C311F9" w:rsidRDefault="00C311F9" w:rsidP="00F21624">
      <w:pPr>
        <w:pStyle w:val="FootnoteText"/>
      </w:pPr>
      <w:r>
        <w:rPr>
          <w:rStyle w:val="FootnoteReference"/>
        </w:rPr>
        <w:footnoteRef/>
      </w:r>
      <w:r>
        <w:t xml:space="preserve"> Livy. 4.17-24</w:t>
      </w:r>
    </w:p>
  </w:footnote>
  <w:footnote w:id="67">
    <w:p w14:paraId="7E83DA15" w14:textId="77777777" w:rsidR="00C311F9" w:rsidRDefault="00C311F9" w:rsidP="00F21624">
      <w:pPr>
        <w:pStyle w:val="FootnoteText"/>
      </w:pPr>
      <w:r>
        <w:rPr>
          <w:rStyle w:val="FootnoteReference"/>
        </w:rPr>
        <w:footnoteRef/>
      </w:r>
      <w:r>
        <w:t xml:space="preserve"> Eckstein (2006), 127</w:t>
      </w:r>
    </w:p>
  </w:footnote>
  <w:footnote w:id="68">
    <w:p w14:paraId="23526300" w14:textId="77777777" w:rsidR="00C311F9" w:rsidRDefault="00C311F9" w:rsidP="00F21624">
      <w:pPr>
        <w:pStyle w:val="FootnoteText"/>
      </w:pPr>
      <w:r>
        <w:rPr>
          <w:rStyle w:val="FootnoteReference"/>
        </w:rPr>
        <w:footnoteRef/>
      </w:r>
      <w:r>
        <w:t xml:space="preserve"> Diod. 20.25; 44.9; Livy. 9.31.1; 32.1-10 and 33.2</w:t>
      </w:r>
    </w:p>
  </w:footnote>
  <w:footnote w:id="69">
    <w:p w14:paraId="2AACB052" w14:textId="77777777" w:rsidR="00C311F9" w:rsidRDefault="00C311F9" w:rsidP="00F21624">
      <w:pPr>
        <w:pStyle w:val="FootnoteText"/>
      </w:pPr>
      <w:r>
        <w:rPr>
          <w:rStyle w:val="FootnoteReference"/>
        </w:rPr>
        <w:footnoteRef/>
      </w:r>
      <w:r>
        <w:t xml:space="preserve"> </w:t>
      </w:r>
      <w:proofErr w:type="spellStart"/>
      <w:r>
        <w:t>livy</w:t>
      </w:r>
      <w:proofErr w:type="spellEnd"/>
      <w:r>
        <w:t xml:space="preserve"> 10.28-29</w:t>
      </w:r>
    </w:p>
  </w:footnote>
  <w:footnote w:id="70">
    <w:p w14:paraId="3DF511E8" w14:textId="77777777" w:rsidR="00C311F9" w:rsidRDefault="00C311F9" w:rsidP="00F21624">
      <w:pPr>
        <w:pStyle w:val="FootnoteText"/>
      </w:pPr>
      <w:r>
        <w:rPr>
          <w:rStyle w:val="FootnoteReference"/>
        </w:rPr>
        <w:footnoteRef/>
      </w:r>
      <w:r>
        <w:t xml:space="preserve"> Livy. 5.16.2-6 and 5.30.4-6</w:t>
      </w:r>
    </w:p>
  </w:footnote>
  <w:footnote w:id="71">
    <w:p w14:paraId="7DBCBC22" w14:textId="77777777" w:rsidR="00C311F9" w:rsidRDefault="00C311F9" w:rsidP="00F21624">
      <w:pPr>
        <w:pStyle w:val="FootnoteText"/>
      </w:pPr>
      <w:r>
        <w:rPr>
          <w:rStyle w:val="FootnoteReference"/>
        </w:rPr>
        <w:footnoteRef/>
      </w:r>
      <w:r>
        <w:t xml:space="preserve"> Oakley (1993), 11</w:t>
      </w:r>
    </w:p>
  </w:footnote>
  <w:footnote w:id="72">
    <w:p w14:paraId="4C8A4FCC" w14:textId="77777777" w:rsidR="00C311F9" w:rsidRDefault="00C311F9" w:rsidP="00F21624">
      <w:pPr>
        <w:pStyle w:val="FootnoteText"/>
      </w:pPr>
      <w:r>
        <w:rPr>
          <w:rStyle w:val="FootnoteReference"/>
        </w:rPr>
        <w:footnoteRef/>
      </w:r>
      <w:r>
        <w:t xml:space="preserve"> Forsythe (2005), 257</w:t>
      </w:r>
    </w:p>
  </w:footnote>
  <w:footnote w:id="73">
    <w:p w14:paraId="7124313A" w14:textId="77777777" w:rsidR="00C311F9" w:rsidRDefault="00C311F9" w:rsidP="00F21624">
      <w:pPr>
        <w:pStyle w:val="FootnoteText"/>
      </w:pPr>
      <w:r>
        <w:rPr>
          <w:rStyle w:val="FootnoteReference"/>
        </w:rPr>
        <w:footnoteRef/>
      </w:r>
      <w:r>
        <w:t xml:space="preserve"> Livy. 9.37</w:t>
      </w:r>
    </w:p>
  </w:footnote>
  <w:footnote w:id="74">
    <w:p w14:paraId="14818266" w14:textId="77777777" w:rsidR="00C311F9" w:rsidRDefault="00C311F9" w:rsidP="00F21624">
      <w:pPr>
        <w:pStyle w:val="FootnoteText"/>
      </w:pPr>
      <w:r>
        <w:rPr>
          <w:rStyle w:val="FootnoteReference"/>
        </w:rPr>
        <w:footnoteRef/>
      </w:r>
      <w:r>
        <w:t xml:space="preserve"> </w:t>
      </w:r>
      <w:proofErr w:type="spellStart"/>
      <w:r>
        <w:t>Ecsktein</w:t>
      </w:r>
      <w:proofErr w:type="spellEnd"/>
      <w:r>
        <w:t xml:space="preserve"> (2006), 128</w:t>
      </w:r>
    </w:p>
  </w:footnote>
  <w:footnote w:id="75">
    <w:p w14:paraId="47742E23" w14:textId="77777777" w:rsidR="00C311F9" w:rsidRDefault="00C311F9" w:rsidP="00F21624">
      <w:pPr>
        <w:pStyle w:val="FootnoteText"/>
      </w:pPr>
      <w:r>
        <w:rPr>
          <w:rStyle w:val="FootnoteReference"/>
        </w:rPr>
        <w:footnoteRef/>
      </w:r>
      <w:r>
        <w:t xml:space="preserve"> Raaflaub (1996), 300</w:t>
      </w:r>
    </w:p>
  </w:footnote>
  <w:footnote w:id="76">
    <w:p w14:paraId="4F1ADF90" w14:textId="77777777" w:rsidR="00C311F9" w:rsidRDefault="00C311F9" w:rsidP="00F21624">
      <w:pPr>
        <w:pStyle w:val="FootnoteText"/>
      </w:pPr>
      <w:r>
        <w:rPr>
          <w:rStyle w:val="FootnoteReference"/>
        </w:rPr>
        <w:footnoteRef/>
      </w:r>
      <w:r>
        <w:t xml:space="preserve"> Harris (1979), 59</w:t>
      </w:r>
    </w:p>
  </w:footnote>
  <w:footnote w:id="77">
    <w:p w14:paraId="47B10B64" w14:textId="77777777" w:rsidR="00C311F9" w:rsidRDefault="00C311F9" w:rsidP="00F21624">
      <w:pPr>
        <w:pStyle w:val="FootnoteText"/>
      </w:pPr>
      <w:r>
        <w:rPr>
          <w:rStyle w:val="FootnoteReference"/>
        </w:rPr>
        <w:footnoteRef/>
      </w:r>
      <w:r>
        <w:t xml:space="preserve"> Livy. 9.20.1-3</w:t>
      </w:r>
    </w:p>
  </w:footnote>
  <w:footnote w:id="78">
    <w:p w14:paraId="6E0ECA3A" w14:textId="77777777" w:rsidR="00C311F9" w:rsidRDefault="00C311F9" w:rsidP="00F21624">
      <w:pPr>
        <w:pStyle w:val="FootnoteText"/>
      </w:pPr>
      <w:r>
        <w:rPr>
          <w:rStyle w:val="FootnoteReference"/>
        </w:rPr>
        <w:footnoteRef/>
      </w:r>
      <w:r>
        <w:t xml:space="preserve"> Diod.19.72.7-8</w:t>
      </w:r>
    </w:p>
  </w:footnote>
  <w:footnote w:id="79">
    <w:p w14:paraId="4870F72D" w14:textId="77777777" w:rsidR="00C311F9" w:rsidRDefault="00C311F9" w:rsidP="00F21624">
      <w:pPr>
        <w:pStyle w:val="FootnoteText"/>
      </w:pPr>
      <w:r>
        <w:rPr>
          <w:rStyle w:val="FootnoteReference"/>
        </w:rPr>
        <w:footnoteRef/>
      </w:r>
      <w:r>
        <w:t xml:space="preserve"> </w:t>
      </w:r>
      <w:proofErr w:type="spellStart"/>
      <w:r>
        <w:t>Livyu</w:t>
      </w:r>
      <w:proofErr w:type="spellEnd"/>
      <w:r>
        <w:t>. 9.23.3-5</w:t>
      </w:r>
    </w:p>
  </w:footnote>
  <w:footnote w:id="80">
    <w:p w14:paraId="30C7469A" w14:textId="77777777" w:rsidR="00C311F9" w:rsidRDefault="00C311F9" w:rsidP="00F21624">
      <w:pPr>
        <w:pStyle w:val="FootnoteText"/>
      </w:pPr>
      <w:r>
        <w:rPr>
          <w:rStyle w:val="FootnoteReference"/>
        </w:rPr>
        <w:footnoteRef/>
      </w:r>
      <w:r>
        <w:t xml:space="preserve"> Strabo. 5.3.5</w:t>
      </w:r>
    </w:p>
  </w:footnote>
  <w:footnote w:id="81">
    <w:p w14:paraId="67EC3FD5" w14:textId="302303D4" w:rsidR="00C311F9" w:rsidRDefault="00C311F9" w:rsidP="00F21624">
      <w:pPr>
        <w:pStyle w:val="FootnoteText"/>
      </w:pPr>
      <w:r>
        <w:rPr>
          <w:rStyle w:val="FootnoteReference"/>
        </w:rPr>
        <w:footnoteRef/>
      </w:r>
      <w:r>
        <w:t xml:space="preserve"> Harris (1979), 59     </w:t>
      </w:r>
    </w:p>
  </w:footnote>
  <w:footnote w:id="82">
    <w:p w14:paraId="6D59CFED" w14:textId="0FB83634" w:rsidR="00C311F9" w:rsidRDefault="00C311F9" w:rsidP="00F21624">
      <w:pPr>
        <w:pStyle w:val="FootnoteText"/>
      </w:pPr>
      <w:r>
        <w:rPr>
          <w:rStyle w:val="FootnoteReference"/>
        </w:rPr>
        <w:footnoteRef/>
      </w:r>
      <w:r>
        <w:t xml:space="preserve"> Livy. 7.29.5-7</w:t>
      </w:r>
    </w:p>
  </w:footnote>
  <w:footnote w:id="83">
    <w:p w14:paraId="298AB979" w14:textId="2E50E358" w:rsidR="00C311F9" w:rsidRDefault="00C311F9" w:rsidP="00F21624">
      <w:pPr>
        <w:pStyle w:val="FootnoteText"/>
      </w:pPr>
      <w:r>
        <w:rPr>
          <w:rStyle w:val="FootnoteReference"/>
        </w:rPr>
        <w:footnoteRef/>
      </w:r>
      <w:r>
        <w:t xml:space="preserve"> Harris (1979), 56 and Oakley (2008), 168</w:t>
      </w:r>
    </w:p>
  </w:footnote>
  <w:footnote w:id="84">
    <w:p w14:paraId="49FA32E5" w14:textId="4A569C01" w:rsidR="00C311F9" w:rsidRDefault="00C311F9" w:rsidP="00F21624">
      <w:pPr>
        <w:pStyle w:val="FootnoteText"/>
      </w:pPr>
      <w:r>
        <w:rPr>
          <w:rStyle w:val="FootnoteReference"/>
        </w:rPr>
        <w:footnoteRef/>
      </w:r>
      <w:r>
        <w:t xml:space="preserve"> Dion. </w:t>
      </w:r>
      <w:r w:rsidRPr="00C311F9">
        <w:rPr>
          <w:i/>
          <w:iCs/>
        </w:rPr>
        <w:t>Hal</w:t>
      </w:r>
      <w:r>
        <w:t>. 17.18.3</w:t>
      </w:r>
    </w:p>
  </w:footnote>
  <w:footnote w:id="85">
    <w:p w14:paraId="1E7F502A" w14:textId="77777777" w:rsidR="00C311F9" w:rsidRDefault="00C311F9" w:rsidP="00F21624">
      <w:pPr>
        <w:pStyle w:val="FootnoteText"/>
      </w:pPr>
      <w:r>
        <w:rPr>
          <w:rStyle w:val="FootnoteReference"/>
        </w:rPr>
        <w:footnoteRef/>
      </w:r>
      <w:r>
        <w:t xml:space="preserve"> Livy. 6.32.1-2 and 34.1-4</w:t>
      </w:r>
    </w:p>
  </w:footnote>
  <w:footnote w:id="86">
    <w:p w14:paraId="15330DFD" w14:textId="77777777" w:rsidR="00C311F9" w:rsidRDefault="00C311F9" w:rsidP="00F21624">
      <w:pPr>
        <w:pStyle w:val="FootnoteText"/>
      </w:pPr>
      <w:r>
        <w:rPr>
          <w:rStyle w:val="FootnoteReference"/>
        </w:rPr>
        <w:footnoteRef/>
      </w:r>
      <w:r>
        <w:t xml:space="preserve"> Oakley (1993), 22</w:t>
      </w:r>
    </w:p>
  </w:footnote>
  <w:footnote w:id="87">
    <w:p w14:paraId="62AC5543" w14:textId="77777777" w:rsidR="00C311F9" w:rsidRDefault="00C311F9" w:rsidP="00F21624">
      <w:pPr>
        <w:pStyle w:val="FootnoteText"/>
      </w:pPr>
      <w:r>
        <w:rPr>
          <w:rStyle w:val="FootnoteReference"/>
        </w:rPr>
        <w:footnoteRef/>
      </w:r>
      <w:r>
        <w:t xml:space="preserve"> Livy. 6.32.2-3</w:t>
      </w:r>
    </w:p>
  </w:footnote>
  <w:footnote w:id="88">
    <w:p w14:paraId="52560F7D" w14:textId="77777777" w:rsidR="00C311F9" w:rsidRDefault="00C311F9" w:rsidP="00F21624">
      <w:pPr>
        <w:pStyle w:val="FootnoteText"/>
      </w:pPr>
      <w:r>
        <w:rPr>
          <w:rStyle w:val="FootnoteReference"/>
        </w:rPr>
        <w:footnoteRef/>
      </w:r>
      <w:r>
        <w:t xml:space="preserve"> Cornell (1990), 316</w:t>
      </w:r>
    </w:p>
  </w:footnote>
  <w:footnote w:id="89">
    <w:p w14:paraId="4A9CFEE2" w14:textId="77777777" w:rsidR="00C311F9" w:rsidRDefault="00C311F9" w:rsidP="00F21624">
      <w:pPr>
        <w:pStyle w:val="FootnoteText"/>
      </w:pPr>
      <w:r>
        <w:rPr>
          <w:rStyle w:val="FootnoteReference"/>
        </w:rPr>
        <w:footnoteRef/>
      </w:r>
      <w:r>
        <w:t xml:space="preserve"> Livy. 6.2.14 and 6.4.8</w:t>
      </w:r>
    </w:p>
  </w:footnote>
  <w:footnote w:id="90">
    <w:p w14:paraId="03EB0117" w14:textId="77777777" w:rsidR="00C311F9" w:rsidRDefault="00C311F9" w:rsidP="00F21624">
      <w:pPr>
        <w:pStyle w:val="FootnoteText"/>
      </w:pPr>
      <w:r>
        <w:rPr>
          <w:rStyle w:val="FootnoteReference"/>
        </w:rPr>
        <w:footnoteRef/>
      </w:r>
      <w:r>
        <w:t xml:space="preserve"> Livy. 6.29.6</w:t>
      </w:r>
    </w:p>
  </w:footnote>
  <w:footnote w:id="91">
    <w:p w14:paraId="33AA6C60" w14:textId="530D8571" w:rsidR="00C311F9" w:rsidRDefault="00C311F9">
      <w:pPr>
        <w:pStyle w:val="FootnoteText"/>
      </w:pPr>
      <w:r>
        <w:rPr>
          <w:rStyle w:val="FootnoteReference"/>
        </w:rPr>
        <w:footnoteRef/>
      </w:r>
      <w:r>
        <w:t xml:space="preserve"> Livy. 9.13.7 and Plb. 2.18.3</w:t>
      </w:r>
    </w:p>
  </w:footnote>
  <w:footnote w:id="92">
    <w:p w14:paraId="699592CA" w14:textId="77777777" w:rsidR="00C311F9" w:rsidRDefault="00C311F9" w:rsidP="00F21624">
      <w:pPr>
        <w:pStyle w:val="FootnoteText"/>
      </w:pPr>
      <w:r>
        <w:rPr>
          <w:rStyle w:val="FootnoteReference"/>
        </w:rPr>
        <w:footnoteRef/>
      </w:r>
      <w:r>
        <w:t xml:space="preserve"> Eckstein (2006), 122</w:t>
      </w:r>
    </w:p>
  </w:footnote>
  <w:footnote w:id="93">
    <w:p w14:paraId="2A2D3B82" w14:textId="77777777" w:rsidR="00C311F9" w:rsidRDefault="00C311F9" w:rsidP="00F21624">
      <w:pPr>
        <w:pStyle w:val="FootnoteText"/>
      </w:pPr>
      <w:r>
        <w:rPr>
          <w:rStyle w:val="FootnoteReference"/>
        </w:rPr>
        <w:footnoteRef/>
      </w:r>
      <w:r>
        <w:t xml:space="preserve"> Raaflaub (1996), 279; </w:t>
      </w:r>
    </w:p>
  </w:footnote>
  <w:footnote w:id="94">
    <w:p w14:paraId="2450A1D3" w14:textId="77777777" w:rsidR="00C311F9" w:rsidRDefault="00C311F9" w:rsidP="00F21624">
      <w:pPr>
        <w:pStyle w:val="FootnoteText"/>
      </w:pPr>
      <w:r>
        <w:rPr>
          <w:rStyle w:val="FootnoteReference"/>
        </w:rPr>
        <w:footnoteRef/>
      </w:r>
      <w:r>
        <w:t xml:space="preserve"> Livy. 10.19.17 and Pliny. NH. 7.2.12 and 34.20</w:t>
      </w:r>
    </w:p>
  </w:footnote>
  <w:footnote w:id="95">
    <w:p w14:paraId="3BFB0330" w14:textId="77777777" w:rsidR="00C311F9" w:rsidRDefault="00C311F9" w:rsidP="00F21624">
      <w:pPr>
        <w:pStyle w:val="FootnoteText"/>
      </w:pPr>
      <w:r>
        <w:rPr>
          <w:rStyle w:val="FootnoteReference"/>
        </w:rPr>
        <w:footnoteRef/>
      </w:r>
      <w:r>
        <w:t xml:space="preserve"> Forsythe (2005), 251</w:t>
      </w:r>
    </w:p>
  </w:footnote>
  <w:footnote w:id="96">
    <w:p w14:paraId="221E8480" w14:textId="77777777" w:rsidR="00C311F9" w:rsidRDefault="00C311F9" w:rsidP="00F21624">
      <w:pPr>
        <w:spacing w:after="0"/>
        <w:rPr>
          <w:sz w:val="20"/>
          <w:szCs w:val="20"/>
        </w:rPr>
      </w:pPr>
      <w:r>
        <w:rPr>
          <w:rStyle w:val="FootnoteReference"/>
          <w:sz w:val="20"/>
          <w:szCs w:val="20"/>
        </w:rPr>
        <w:footnoteRef/>
      </w:r>
      <w:proofErr w:type="spellStart"/>
      <w:r>
        <w:rPr>
          <w:sz w:val="20"/>
          <w:szCs w:val="20"/>
        </w:rPr>
        <w:t>Hdt</w:t>
      </w:r>
      <w:proofErr w:type="spellEnd"/>
      <w:r>
        <w:rPr>
          <w:sz w:val="20"/>
          <w:szCs w:val="20"/>
        </w:rPr>
        <w:t xml:space="preserve">. 4.159.4, 6.108.1 – 119 </w:t>
      </w:r>
    </w:p>
  </w:footnote>
  <w:footnote w:id="97">
    <w:p w14:paraId="07CDF753" w14:textId="77777777" w:rsidR="00C311F9" w:rsidRDefault="00C311F9" w:rsidP="00F21624">
      <w:pPr>
        <w:pStyle w:val="FootnoteText"/>
      </w:pPr>
      <w:r>
        <w:rPr>
          <w:rStyle w:val="FootnoteReference"/>
        </w:rPr>
        <w:footnoteRef/>
      </w:r>
      <w:r>
        <w:t xml:space="preserve"> Eckstein (2006), 142</w:t>
      </w:r>
    </w:p>
  </w:footnote>
  <w:footnote w:id="98">
    <w:p w14:paraId="0395CFF2" w14:textId="77777777" w:rsidR="00C311F9" w:rsidRDefault="00C311F9" w:rsidP="00F21624">
      <w:pPr>
        <w:pStyle w:val="FootnoteText"/>
      </w:pPr>
      <w:r>
        <w:rPr>
          <w:rStyle w:val="FootnoteReference"/>
        </w:rPr>
        <w:footnoteRef/>
      </w:r>
      <w:r>
        <w:t xml:space="preserve"> Livy. 7.27.7</w:t>
      </w:r>
    </w:p>
  </w:footnote>
  <w:footnote w:id="99">
    <w:p w14:paraId="25573183" w14:textId="77777777" w:rsidR="00C311F9" w:rsidRDefault="00C311F9" w:rsidP="00F21624">
      <w:pPr>
        <w:pStyle w:val="FootnoteText"/>
      </w:pPr>
      <w:r>
        <w:rPr>
          <w:rStyle w:val="FootnoteReference"/>
        </w:rPr>
        <w:footnoteRef/>
      </w:r>
      <w:r>
        <w:t xml:space="preserve"> Oakley (1993), 31</w:t>
      </w:r>
    </w:p>
  </w:footnote>
  <w:footnote w:id="100">
    <w:p w14:paraId="1D1323B7" w14:textId="77777777" w:rsidR="00C311F9" w:rsidRDefault="00C311F9" w:rsidP="00F21624">
      <w:pPr>
        <w:pStyle w:val="FootnoteText"/>
      </w:pPr>
      <w:r>
        <w:rPr>
          <w:rStyle w:val="FootnoteReference"/>
        </w:rPr>
        <w:footnoteRef/>
      </w:r>
      <w:r>
        <w:t xml:space="preserve"> Eckstein (2006), 143</w:t>
      </w:r>
    </w:p>
  </w:footnote>
  <w:footnote w:id="101">
    <w:p w14:paraId="024DF502" w14:textId="77777777" w:rsidR="00C311F9" w:rsidRDefault="00C311F9" w:rsidP="00F21624">
      <w:pPr>
        <w:pStyle w:val="FootnoteText"/>
      </w:pPr>
      <w:r>
        <w:rPr>
          <w:rStyle w:val="FootnoteReference"/>
        </w:rPr>
        <w:footnoteRef/>
      </w:r>
      <w:r>
        <w:t xml:space="preserve"> Livy. 8.26.1</w:t>
      </w:r>
    </w:p>
  </w:footnote>
  <w:footnote w:id="102">
    <w:p w14:paraId="03BCF2D2" w14:textId="77777777" w:rsidR="00C311F9" w:rsidRDefault="00C311F9" w:rsidP="00F21624">
      <w:pPr>
        <w:pStyle w:val="FootnoteText"/>
      </w:pPr>
      <w:r>
        <w:rPr>
          <w:rStyle w:val="FootnoteReference"/>
        </w:rPr>
        <w:footnoteRef/>
      </w:r>
      <w:r>
        <w:t xml:space="preserve"> Livy. 9.13.6</w:t>
      </w:r>
    </w:p>
  </w:footnote>
  <w:footnote w:id="103">
    <w:p w14:paraId="041A8EB1" w14:textId="77777777" w:rsidR="00C311F9" w:rsidRDefault="00C311F9" w:rsidP="00F21624">
      <w:pPr>
        <w:pStyle w:val="FootnoteText"/>
      </w:pPr>
      <w:r>
        <w:rPr>
          <w:rStyle w:val="FootnoteReference"/>
        </w:rPr>
        <w:footnoteRef/>
      </w:r>
      <w:r>
        <w:t xml:space="preserve"> </w:t>
      </w:r>
      <w:proofErr w:type="spellStart"/>
      <w:r>
        <w:t>Plaut</w:t>
      </w:r>
      <w:proofErr w:type="spellEnd"/>
      <w:r>
        <w:t xml:space="preserve">. </w:t>
      </w:r>
      <w:r>
        <w:rPr>
          <w:i/>
          <w:iCs/>
        </w:rPr>
        <w:t>Cas</w:t>
      </w:r>
      <w:r>
        <w:t>. 524</w:t>
      </w:r>
    </w:p>
  </w:footnote>
  <w:footnote w:id="104">
    <w:p w14:paraId="09E0D701" w14:textId="77777777" w:rsidR="00C311F9" w:rsidRDefault="00C311F9" w:rsidP="00F21624">
      <w:pPr>
        <w:pStyle w:val="FootnoteText"/>
      </w:pPr>
      <w:r>
        <w:rPr>
          <w:rStyle w:val="FootnoteReference"/>
        </w:rPr>
        <w:footnoteRef/>
      </w:r>
      <w:r>
        <w:t xml:space="preserve"> Livy. 9.32-33 and 9.35; Diod. 20.35.5</w:t>
      </w:r>
    </w:p>
  </w:footnote>
  <w:footnote w:id="105">
    <w:p w14:paraId="006AD4A6" w14:textId="609355E0" w:rsidR="00C311F9" w:rsidRDefault="00C311F9" w:rsidP="00F21624">
      <w:pPr>
        <w:pStyle w:val="FootnoteText"/>
      </w:pPr>
      <w:r>
        <w:rPr>
          <w:rStyle w:val="FootnoteReference"/>
        </w:rPr>
        <w:footnoteRef/>
      </w:r>
      <w:r>
        <w:t xml:space="preserve"> Eckstein (2006), 123 and Strabo. 5.2.3</w:t>
      </w:r>
    </w:p>
  </w:footnote>
  <w:footnote w:id="106">
    <w:p w14:paraId="1D6CA33A" w14:textId="77777777" w:rsidR="00C311F9" w:rsidRDefault="00C311F9" w:rsidP="00F21624">
      <w:pPr>
        <w:pStyle w:val="FootnoteText"/>
      </w:pPr>
      <w:r>
        <w:rPr>
          <w:rStyle w:val="FootnoteReference"/>
        </w:rPr>
        <w:footnoteRef/>
      </w:r>
      <w:r>
        <w:t xml:space="preserve"> Livy. 6.16.6</w:t>
      </w:r>
    </w:p>
  </w:footnote>
  <w:footnote w:id="107">
    <w:p w14:paraId="6BBEB993" w14:textId="77777777" w:rsidR="00C311F9" w:rsidRDefault="00C311F9" w:rsidP="00F21624">
      <w:pPr>
        <w:pStyle w:val="FootnoteText"/>
      </w:pPr>
      <w:r>
        <w:rPr>
          <w:rStyle w:val="FootnoteReference"/>
        </w:rPr>
        <w:footnoteRef/>
      </w:r>
      <w:r>
        <w:t xml:space="preserve"> Livy. 6.8; 16.5;22;32;7.27</w:t>
      </w:r>
    </w:p>
  </w:footnote>
  <w:footnote w:id="108">
    <w:p w14:paraId="0EE21B31" w14:textId="77777777" w:rsidR="00C311F9" w:rsidRDefault="00C311F9" w:rsidP="00F21624">
      <w:pPr>
        <w:pStyle w:val="FootnoteText"/>
      </w:pPr>
      <w:r>
        <w:rPr>
          <w:rStyle w:val="FootnoteReference"/>
        </w:rPr>
        <w:footnoteRef/>
      </w:r>
      <w:r>
        <w:t xml:space="preserve"> Harris (1979), 176</w:t>
      </w:r>
    </w:p>
  </w:footnote>
  <w:footnote w:id="109">
    <w:p w14:paraId="1339D1BD" w14:textId="77777777" w:rsidR="00C311F9" w:rsidRDefault="00C311F9" w:rsidP="00F21624">
      <w:pPr>
        <w:pStyle w:val="FootnoteText"/>
      </w:pPr>
      <w:r>
        <w:rPr>
          <w:rStyle w:val="FootnoteReference"/>
        </w:rPr>
        <w:footnoteRef/>
      </w:r>
      <w:r>
        <w:t xml:space="preserve"> </w:t>
      </w:r>
      <w:proofErr w:type="spellStart"/>
      <w:r>
        <w:t>Nedu</w:t>
      </w:r>
      <w:proofErr w:type="spellEnd"/>
      <w:r>
        <w:t xml:space="preserve"> (2008), 80</w:t>
      </w:r>
    </w:p>
  </w:footnote>
  <w:footnote w:id="110">
    <w:p w14:paraId="2C2FF636" w14:textId="77777777" w:rsidR="00C311F9" w:rsidRDefault="00C311F9" w:rsidP="00F21624">
      <w:pPr>
        <w:pStyle w:val="FootnoteText"/>
      </w:pPr>
      <w:r>
        <w:rPr>
          <w:rStyle w:val="FootnoteReference"/>
        </w:rPr>
        <w:footnoteRef/>
      </w:r>
      <w:r>
        <w:t xml:space="preserve"> Cornell (1990), 291</w:t>
      </w:r>
    </w:p>
  </w:footnote>
  <w:footnote w:id="111">
    <w:p w14:paraId="47053216" w14:textId="77777777" w:rsidR="00C311F9" w:rsidRDefault="00C311F9" w:rsidP="00F21624">
      <w:pPr>
        <w:pStyle w:val="FootnoteText"/>
      </w:pPr>
      <w:r>
        <w:rPr>
          <w:rStyle w:val="FootnoteReference"/>
        </w:rPr>
        <w:footnoteRef/>
      </w:r>
      <w:r>
        <w:t xml:space="preserve"> Livy. 2.21.1 and 26.1</w:t>
      </w:r>
    </w:p>
  </w:footnote>
  <w:footnote w:id="112">
    <w:p w14:paraId="2D5F3FDF" w14:textId="77777777" w:rsidR="00C311F9" w:rsidRDefault="00C311F9" w:rsidP="00F21624">
      <w:pPr>
        <w:pStyle w:val="FootnoteText"/>
      </w:pPr>
      <w:r>
        <w:rPr>
          <w:rStyle w:val="FootnoteReference"/>
        </w:rPr>
        <w:footnoteRef/>
      </w:r>
      <w:r>
        <w:t xml:space="preserve"> Cornell (1990), 293</w:t>
      </w:r>
    </w:p>
  </w:footnote>
  <w:footnote w:id="113">
    <w:p w14:paraId="3A222B99" w14:textId="77777777" w:rsidR="00C311F9" w:rsidRDefault="00C311F9" w:rsidP="00F21624">
      <w:pPr>
        <w:pStyle w:val="FootnoteText"/>
      </w:pPr>
      <w:r>
        <w:rPr>
          <w:rStyle w:val="FootnoteReference"/>
        </w:rPr>
        <w:footnoteRef/>
      </w:r>
      <w:r>
        <w:t xml:space="preserve"> Forsythe (2005), 285</w:t>
      </w:r>
    </w:p>
  </w:footnote>
  <w:footnote w:id="114">
    <w:p w14:paraId="4BEF6167" w14:textId="77777777" w:rsidR="00C311F9" w:rsidRDefault="00C311F9" w:rsidP="00F21624">
      <w:pPr>
        <w:pStyle w:val="FootnoteText"/>
      </w:pPr>
      <w:r>
        <w:rPr>
          <w:rStyle w:val="FootnoteReference"/>
        </w:rPr>
        <w:footnoteRef/>
      </w:r>
      <w:r>
        <w:t xml:space="preserve"> Livy. 8.22.2</w:t>
      </w:r>
    </w:p>
  </w:footnote>
  <w:footnote w:id="115">
    <w:p w14:paraId="39787792" w14:textId="77777777" w:rsidR="00C311F9" w:rsidRDefault="00C311F9" w:rsidP="00F21624">
      <w:pPr>
        <w:pStyle w:val="FootnoteText"/>
      </w:pPr>
      <w:r>
        <w:rPr>
          <w:rStyle w:val="FootnoteReference"/>
        </w:rPr>
        <w:footnoteRef/>
      </w:r>
      <w:r>
        <w:t xml:space="preserve"> Livy. 9.32</w:t>
      </w:r>
    </w:p>
  </w:footnote>
  <w:footnote w:id="116">
    <w:p w14:paraId="5D8FFCFF" w14:textId="77777777" w:rsidR="00C311F9" w:rsidRDefault="00C311F9" w:rsidP="00F21624">
      <w:pPr>
        <w:pStyle w:val="FootnoteText"/>
      </w:pPr>
      <w:r>
        <w:rPr>
          <w:rStyle w:val="FootnoteReference"/>
        </w:rPr>
        <w:footnoteRef/>
      </w:r>
      <w:r>
        <w:t xml:space="preserve"> Forsythe (2005), 307</w:t>
      </w:r>
    </w:p>
  </w:footnote>
  <w:footnote w:id="117">
    <w:p w14:paraId="77E99E1F" w14:textId="77777777" w:rsidR="00C311F9" w:rsidRDefault="00C311F9" w:rsidP="00F21624">
      <w:pPr>
        <w:pStyle w:val="FootnoteText"/>
      </w:pPr>
      <w:r>
        <w:rPr>
          <w:rStyle w:val="FootnoteReference"/>
        </w:rPr>
        <w:footnoteRef/>
      </w:r>
      <w:r>
        <w:t xml:space="preserve"> Livy. 6.9.4 and 6.9.6</w:t>
      </w:r>
    </w:p>
  </w:footnote>
  <w:footnote w:id="118">
    <w:p w14:paraId="58640325" w14:textId="77777777" w:rsidR="00C311F9" w:rsidRDefault="00C311F9" w:rsidP="00F21624">
      <w:pPr>
        <w:pStyle w:val="FootnoteText"/>
      </w:pPr>
      <w:r>
        <w:rPr>
          <w:rStyle w:val="FootnoteReference"/>
        </w:rPr>
        <w:footnoteRef/>
      </w:r>
      <w:r>
        <w:t xml:space="preserve"> Eckstein (2006), 125</w:t>
      </w:r>
    </w:p>
  </w:footnote>
  <w:footnote w:id="119">
    <w:p w14:paraId="0FD99443" w14:textId="77777777" w:rsidR="00C311F9" w:rsidRDefault="00C311F9" w:rsidP="00F21624">
      <w:pPr>
        <w:pStyle w:val="FootnoteText"/>
      </w:pPr>
      <w:r>
        <w:rPr>
          <w:rStyle w:val="FootnoteReference"/>
        </w:rPr>
        <w:footnoteRef/>
      </w:r>
      <w:r>
        <w:t xml:space="preserve"> Tac. </w:t>
      </w:r>
      <w:r>
        <w:rPr>
          <w:i/>
          <w:iCs/>
        </w:rPr>
        <w:t>Ann</w:t>
      </w:r>
      <w:r>
        <w:t>. 3.34</w:t>
      </w:r>
    </w:p>
  </w:footnote>
  <w:footnote w:id="120">
    <w:p w14:paraId="29197E72" w14:textId="77777777" w:rsidR="00C311F9" w:rsidRDefault="00C311F9" w:rsidP="00F21624">
      <w:pPr>
        <w:pStyle w:val="FootnoteText"/>
      </w:pPr>
      <w:r>
        <w:rPr>
          <w:rStyle w:val="FootnoteReference"/>
        </w:rPr>
        <w:footnoteRef/>
      </w:r>
      <w:r>
        <w:t xml:space="preserve"> Plb. 2.22.7-8 and 2.13.5</w:t>
      </w:r>
    </w:p>
  </w:footnote>
  <w:footnote w:id="121">
    <w:p w14:paraId="47F0F38F" w14:textId="77777777" w:rsidR="00C311F9" w:rsidRDefault="00C311F9" w:rsidP="00F21624">
      <w:pPr>
        <w:pStyle w:val="FootnoteText"/>
      </w:pPr>
      <w:r>
        <w:rPr>
          <w:rStyle w:val="FootnoteReference"/>
        </w:rPr>
        <w:footnoteRef/>
      </w:r>
      <w:r>
        <w:t xml:space="preserve"> Livy. 5.30.8 and Diod. 14.102.4</w:t>
      </w:r>
    </w:p>
  </w:footnote>
  <w:footnote w:id="122">
    <w:p w14:paraId="3865BC93" w14:textId="77777777" w:rsidR="00C311F9" w:rsidRDefault="00C311F9" w:rsidP="00F21624">
      <w:pPr>
        <w:pStyle w:val="FootnoteText"/>
      </w:pPr>
      <w:r>
        <w:rPr>
          <w:rStyle w:val="FootnoteReference"/>
        </w:rPr>
        <w:footnoteRef/>
      </w:r>
      <w:r>
        <w:t xml:space="preserve"> </w:t>
      </w:r>
      <w:proofErr w:type="spellStart"/>
      <w:r>
        <w:t>Dio</w:t>
      </w:r>
      <w:proofErr w:type="spellEnd"/>
      <w:r>
        <w:t xml:space="preserve">. </w:t>
      </w:r>
      <w:proofErr w:type="spellStart"/>
      <w:r>
        <w:t>Frg</w:t>
      </w:r>
      <w:proofErr w:type="spellEnd"/>
      <w:r>
        <w:t>. 33</w:t>
      </w:r>
    </w:p>
  </w:footnote>
  <w:footnote w:id="123">
    <w:p w14:paraId="4B225437" w14:textId="77777777" w:rsidR="00C311F9" w:rsidRDefault="00C311F9" w:rsidP="00F21624">
      <w:pPr>
        <w:pStyle w:val="FootnoteText"/>
      </w:pPr>
      <w:r>
        <w:rPr>
          <w:rStyle w:val="FootnoteReference"/>
        </w:rPr>
        <w:footnoteRef/>
      </w:r>
      <w:r>
        <w:t xml:space="preserve"> Forsythe (2005), 242</w:t>
      </w:r>
    </w:p>
  </w:footnote>
  <w:footnote w:id="124">
    <w:p w14:paraId="7F05ABA0" w14:textId="77777777" w:rsidR="00C311F9" w:rsidRDefault="00C311F9" w:rsidP="00F21624">
      <w:pPr>
        <w:pStyle w:val="FootnoteText"/>
      </w:pPr>
      <w:r>
        <w:rPr>
          <w:rStyle w:val="FootnoteReference"/>
        </w:rPr>
        <w:footnoteRef/>
      </w:r>
      <w:r>
        <w:t xml:space="preserve"> Livy. 5.22.1 and 5.30.8</w:t>
      </w:r>
    </w:p>
  </w:footnote>
  <w:footnote w:id="125">
    <w:p w14:paraId="17961DAD" w14:textId="77777777" w:rsidR="00C311F9" w:rsidRDefault="00C311F9" w:rsidP="00F21624">
      <w:pPr>
        <w:pStyle w:val="FootnoteText"/>
      </w:pPr>
      <w:r>
        <w:rPr>
          <w:rStyle w:val="FootnoteReference"/>
        </w:rPr>
        <w:footnoteRef/>
      </w:r>
      <w:r>
        <w:t xml:space="preserve"> Forsythe (2005), 250</w:t>
      </w:r>
    </w:p>
  </w:footnote>
  <w:footnote w:id="126">
    <w:p w14:paraId="74FD35C2" w14:textId="77777777" w:rsidR="00C311F9" w:rsidRDefault="00C311F9" w:rsidP="00F21624">
      <w:pPr>
        <w:pStyle w:val="FootnoteText"/>
      </w:pPr>
      <w:r>
        <w:rPr>
          <w:rStyle w:val="FootnoteReference"/>
        </w:rPr>
        <w:footnoteRef/>
      </w:r>
      <w:r>
        <w:t xml:space="preserve"> Livy. 6.32.1</w:t>
      </w:r>
    </w:p>
  </w:footnote>
  <w:footnote w:id="127">
    <w:p w14:paraId="3104515B" w14:textId="77777777" w:rsidR="00C311F9" w:rsidRDefault="00C311F9" w:rsidP="00F21624">
      <w:pPr>
        <w:pStyle w:val="FootnoteText"/>
      </w:pPr>
      <w:r>
        <w:rPr>
          <w:rStyle w:val="FootnoteReference"/>
        </w:rPr>
        <w:footnoteRef/>
      </w:r>
      <w:r>
        <w:t xml:space="preserve"> Livy. 7.20.9</w:t>
      </w:r>
    </w:p>
  </w:footnote>
  <w:footnote w:id="128">
    <w:p w14:paraId="0DB1EFE5" w14:textId="77777777" w:rsidR="00C311F9" w:rsidRDefault="00C311F9" w:rsidP="00F21624">
      <w:pPr>
        <w:pStyle w:val="FootnoteText"/>
      </w:pPr>
      <w:r>
        <w:rPr>
          <w:rStyle w:val="FootnoteReference"/>
        </w:rPr>
        <w:footnoteRef/>
      </w:r>
      <w:r>
        <w:t xml:space="preserve"> Livy. 10.10.6-12</w:t>
      </w:r>
    </w:p>
  </w:footnote>
  <w:footnote w:id="129">
    <w:p w14:paraId="7E4CE3E1" w14:textId="77777777" w:rsidR="00C311F9" w:rsidRDefault="00C311F9" w:rsidP="00F21624">
      <w:pPr>
        <w:pStyle w:val="FootnoteText"/>
      </w:pPr>
      <w:r>
        <w:rPr>
          <w:rStyle w:val="FootnoteReference"/>
        </w:rPr>
        <w:footnoteRef/>
      </w:r>
      <w:r>
        <w:t xml:space="preserve"> Eckstein (2006), 137</w:t>
      </w:r>
    </w:p>
  </w:footnote>
  <w:footnote w:id="130">
    <w:p w14:paraId="35B5FADD" w14:textId="77777777" w:rsidR="00C311F9" w:rsidRDefault="00C311F9" w:rsidP="00F21624">
      <w:pPr>
        <w:pStyle w:val="FootnoteText"/>
      </w:pPr>
      <w:r>
        <w:rPr>
          <w:rStyle w:val="FootnoteReference"/>
        </w:rPr>
        <w:footnoteRef/>
      </w:r>
      <w:r>
        <w:t xml:space="preserve"> Livy. 10.46</w:t>
      </w:r>
    </w:p>
  </w:footnote>
  <w:footnote w:id="131">
    <w:p w14:paraId="2165B958" w14:textId="77777777" w:rsidR="00C311F9" w:rsidRDefault="00C311F9" w:rsidP="00F21624">
      <w:pPr>
        <w:pStyle w:val="FootnoteText"/>
      </w:pPr>
      <w:r>
        <w:rPr>
          <w:rStyle w:val="FootnoteReference"/>
        </w:rPr>
        <w:footnoteRef/>
      </w:r>
      <w:r>
        <w:t xml:space="preserve"> Harris (1979), 47</w:t>
      </w:r>
    </w:p>
  </w:footnote>
  <w:footnote w:id="132">
    <w:p w14:paraId="56841C44" w14:textId="77777777" w:rsidR="00C311F9" w:rsidRDefault="00C311F9" w:rsidP="00F21624">
      <w:pPr>
        <w:pStyle w:val="FootnoteText"/>
      </w:pPr>
      <w:r>
        <w:rPr>
          <w:rStyle w:val="FootnoteReference"/>
        </w:rPr>
        <w:footnoteRef/>
      </w:r>
      <w:r>
        <w:t xml:space="preserve"> Forsythe (2005), 287</w:t>
      </w:r>
    </w:p>
  </w:footnote>
  <w:footnote w:id="133">
    <w:p w14:paraId="253D387E" w14:textId="77777777" w:rsidR="00C311F9" w:rsidRDefault="00C311F9" w:rsidP="00F21624">
      <w:pPr>
        <w:pStyle w:val="FootnoteText"/>
      </w:pPr>
      <w:r>
        <w:rPr>
          <w:rStyle w:val="FootnoteReference"/>
        </w:rPr>
        <w:footnoteRef/>
      </w:r>
      <w:r>
        <w:t xml:space="preserve"> Diod. 23.9.1.256; Plb. 1.29.7 and Plb. 1.61.8</w:t>
      </w:r>
    </w:p>
  </w:footnote>
  <w:footnote w:id="134">
    <w:p w14:paraId="38AD00CE" w14:textId="77777777" w:rsidR="00C311F9" w:rsidRDefault="00C311F9" w:rsidP="00F21624">
      <w:pPr>
        <w:pStyle w:val="FootnoteText"/>
      </w:pPr>
      <w:r>
        <w:rPr>
          <w:rStyle w:val="FootnoteReference"/>
        </w:rPr>
        <w:footnoteRef/>
      </w:r>
      <w:r>
        <w:t xml:space="preserve"> Forsythe (2005), 286</w:t>
      </w:r>
    </w:p>
  </w:footnote>
  <w:footnote w:id="135">
    <w:p w14:paraId="6004C02B" w14:textId="77777777" w:rsidR="00C311F9" w:rsidRDefault="00C311F9" w:rsidP="00F21624">
      <w:pPr>
        <w:pStyle w:val="FootnoteText"/>
      </w:pPr>
      <w:r>
        <w:rPr>
          <w:rStyle w:val="FootnoteReference"/>
        </w:rPr>
        <w:footnoteRef/>
      </w:r>
      <w:r>
        <w:t xml:space="preserve"> Livy. 7.16.7-8</w:t>
      </w:r>
    </w:p>
  </w:footnote>
  <w:footnote w:id="136">
    <w:p w14:paraId="314D0997" w14:textId="77777777" w:rsidR="00C311F9" w:rsidRDefault="00C311F9" w:rsidP="00F21624">
      <w:pPr>
        <w:pStyle w:val="FootnoteText"/>
      </w:pPr>
      <w:r>
        <w:rPr>
          <w:rStyle w:val="FootnoteReference"/>
        </w:rPr>
        <w:footnoteRef/>
      </w:r>
      <w:r>
        <w:t xml:space="preserve"> Oakley (1993), 26</w:t>
      </w:r>
    </w:p>
  </w:footnote>
  <w:footnote w:id="137">
    <w:p w14:paraId="2570CFD6" w14:textId="77777777" w:rsidR="00C311F9" w:rsidRDefault="00C311F9" w:rsidP="00F21624">
      <w:pPr>
        <w:pStyle w:val="FootnoteText"/>
      </w:pPr>
      <w:r>
        <w:rPr>
          <w:rStyle w:val="FootnoteReference"/>
        </w:rPr>
        <w:footnoteRef/>
      </w:r>
      <w:r>
        <w:t xml:space="preserve"> Livy. 6.1.17</w:t>
      </w:r>
    </w:p>
  </w:footnote>
  <w:footnote w:id="138">
    <w:p w14:paraId="73E21BCF" w14:textId="77777777" w:rsidR="00C311F9" w:rsidRDefault="00C311F9" w:rsidP="00F21624">
      <w:pPr>
        <w:pStyle w:val="FootnoteText"/>
      </w:pPr>
      <w:r>
        <w:rPr>
          <w:rStyle w:val="FootnoteReference"/>
        </w:rPr>
        <w:footnoteRef/>
      </w:r>
      <w:r>
        <w:t xml:space="preserve"> Cornell (1990), 334</w:t>
      </w:r>
    </w:p>
  </w:footnote>
  <w:footnote w:id="139">
    <w:p w14:paraId="4451C797" w14:textId="77777777" w:rsidR="00C311F9" w:rsidRDefault="00C311F9" w:rsidP="00F21624">
      <w:pPr>
        <w:pStyle w:val="FootnoteText"/>
      </w:pPr>
      <w:r>
        <w:rPr>
          <w:rStyle w:val="FootnoteReference"/>
        </w:rPr>
        <w:footnoteRef/>
      </w:r>
      <w:r>
        <w:t xml:space="preserve"> Oakley (1993), 22</w:t>
      </w:r>
    </w:p>
  </w:footnote>
  <w:footnote w:id="140">
    <w:p w14:paraId="1062BB35" w14:textId="77777777" w:rsidR="00C311F9" w:rsidRDefault="00C311F9" w:rsidP="00F21624">
      <w:pPr>
        <w:pStyle w:val="FootnoteText"/>
      </w:pPr>
      <w:r>
        <w:rPr>
          <w:rStyle w:val="FootnoteReference"/>
        </w:rPr>
        <w:footnoteRef/>
      </w:r>
      <w:r>
        <w:t xml:space="preserve"> Cornell (1990), 334</w:t>
      </w:r>
    </w:p>
  </w:footnote>
  <w:footnote w:id="141">
    <w:p w14:paraId="36B4A171" w14:textId="77777777" w:rsidR="00C311F9" w:rsidRDefault="00C311F9" w:rsidP="00F21624">
      <w:pPr>
        <w:pStyle w:val="FootnoteText"/>
      </w:pPr>
      <w:r>
        <w:rPr>
          <w:rStyle w:val="FootnoteReference"/>
        </w:rPr>
        <w:footnoteRef/>
      </w:r>
      <w:r>
        <w:t xml:space="preserve"> Livy. 6.32.1-2</w:t>
      </w:r>
    </w:p>
  </w:footnote>
  <w:footnote w:id="142">
    <w:p w14:paraId="4AA246F0" w14:textId="77777777" w:rsidR="00C311F9" w:rsidRDefault="00C311F9" w:rsidP="00F21624">
      <w:pPr>
        <w:pStyle w:val="FootnoteText"/>
      </w:pPr>
      <w:r>
        <w:rPr>
          <w:rStyle w:val="FootnoteReference"/>
        </w:rPr>
        <w:footnoteRef/>
      </w:r>
      <w:r>
        <w:t xml:space="preserve"> Livy. 6.11.8-9; 14.1-10 and 20.15.21.1 </w:t>
      </w:r>
    </w:p>
  </w:footnote>
  <w:footnote w:id="143">
    <w:p w14:paraId="4E884BB0" w14:textId="77777777" w:rsidR="00C311F9" w:rsidRDefault="00C311F9" w:rsidP="00F21624">
      <w:pPr>
        <w:pStyle w:val="FootnoteText"/>
      </w:pPr>
      <w:r>
        <w:rPr>
          <w:rStyle w:val="FootnoteReference"/>
        </w:rPr>
        <w:footnoteRef/>
      </w:r>
      <w:r>
        <w:t xml:space="preserve"> Harris (1979), 9</w:t>
      </w:r>
    </w:p>
  </w:footnote>
  <w:footnote w:id="144">
    <w:p w14:paraId="5DCC8B5B" w14:textId="77777777" w:rsidR="00C311F9" w:rsidRDefault="00C311F9" w:rsidP="00F21624">
      <w:pPr>
        <w:pStyle w:val="FootnoteText"/>
      </w:pPr>
      <w:r>
        <w:rPr>
          <w:rStyle w:val="FootnoteReference"/>
        </w:rPr>
        <w:footnoteRef/>
      </w:r>
      <w:r>
        <w:t xml:space="preserve"> </w:t>
      </w:r>
      <w:proofErr w:type="spellStart"/>
      <w:r>
        <w:t>Forysthe</w:t>
      </w:r>
      <w:proofErr w:type="spellEnd"/>
      <w:r>
        <w:t xml:space="preserve"> (2005), 287 and Harris (1979), 172</w:t>
      </w:r>
    </w:p>
  </w:footnote>
  <w:footnote w:id="145">
    <w:p w14:paraId="0B0B1BE5" w14:textId="77777777" w:rsidR="00C311F9" w:rsidRDefault="00C311F9" w:rsidP="00F21624">
      <w:pPr>
        <w:pStyle w:val="FootnoteText"/>
      </w:pPr>
      <w:r>
        <w:rPr>
          <w:rStyle w:val="FootnoteReference"/>
        </w:rPr>
        <w:footnoteRef/>
      </w:r>
      <w:r>
        <w:t xml:space="preserve"> Harris (1979), 181</w:t>
      </w:r>
    </w:p>
  </w:footnote>
  <w:footnote w:id="146">
    <w:p w14:paraId="4439E101" w14:textId="77777777" w:rsidR="00C311F9" w:rsidRDefault="00C311F9" w:rsidP="00F21624">
      <w:pPr>
        <w:pStyle w:val="FootnoteText"/>
      </w:pPr>
      <w:r>
        <w:rPr>
          <w:rStyle w:val="FootnoteReference"/>
        </w:rPr>
        <w:footnoteRef/>
      </w:r>
      <w:r>
        <w:t xml:space="preserve"> Eckstein (2006), 119</w:t>
      </w:r>
    </w:p>
  </w:footnote>
  <w:footnote w:id="147">
    <w:p w14:paraId="784F3D75" w14:textId="77777777" w:rsidR="00C311F9" w:rsidRDefault="00C311F9" w:rsidP="00F21624">
      <w:pPr>
        <w:pStyle w:val="FootnoteText"/>
      </w:pPr>
      <w:r>
        <w:rPr>
          <w:rStyle w:val="FootnoteReference"/>
        </w:rPr>
        <w:footnoteRef/>
      </w:r>
      <w:r>
        <w:t xml:space="preserve"> Raaflaub (1996), 300; Oakley (1993), 29 - 33; Rich (1993), 56; Serrati (2006), 128; Lancel (1992), 365; </w:t>
      </w:r>
      <w:proofErr w:type="spellStart"/>
      <w:r>
        <w:t>Bleckmann</w:t>
      </w:r>
      <w:proofErr w:type="spellEnd"/>
      <w:r>
        <w:t xml:space="preserve"> (2011), 170 and Cornell (1990), 377</w:t>
      </w:r>
    </w:p>
  </w:footnote>
  <w:footnote w:id="148">
    <w:p w14:paraId="12F5B60E" w14:textId="77777777" w:rsidR="00C311F9" w:rsidRDefault="00C311F9" w:rsidP="00F21624">
      <w:pPr>
        <w:pStyle w:val="FootnoteText"/>
      </w:pPr>
      <w:r>
        <w:rPr>
          <w:rStyle w:val="FootnoteReference"/>
        </w:rPr>
        <w:footnoteRef/>
      </w:r>
      <w:r>
        <w:t xml:space="preserve"> Harris (1979), 184-185</w:t>
      </w:r>
    </w:p>
  </w:footnote>
  <w:footnote w:id="149">
    <w:p w14:paraId="7755F6FF" w14:textId="77777777" w:rsidR="00C311F9" w:rsidRDefault="00C311F9" w:rsidP="00F21624">
      <w:pPr>
        <w:pStyle w:val="FootnoteText"/>
      </w:pPr>
      <w:r>
        <w:rPr>
          <w:rStyle w:val="FootnoteReference"/>
        </w:rPr>
        <w:footnoteRef/>
      </w:r>
      <w:r>
        <w:t xml:space="preserve"> Eckstein (2006), 166</w:t>
      </w:r>
    </w:p>
  </w:footnote>
  <w:footnote w:id="150">
    <w:p w14:paraId="37F19284" w14:textId="77777777" w:rsidR="00C311F9" w:rsidRDefault="00C311F9" w:rsidP="00F21624">
      <w:pPr>
        <w:pStyle w:val="FootnoteText"/>
      </w:pPr>
      <w:r>
        <w:rPr>
          <w:rStyle w:val="FootnoteReference"/>
        </w:rPr>
        <w:footnoteRef/>
      </w:r>
      <w:r>
        <w:t xml:space="preserve"> Diod. 5.16.2 and Pliny. NH. 9.32 Strabo. 3.5.1,2 and Pliny. NH. 3.5</w:t>
      </w:r>
    </w:p>
  </w:footnote>
  <w:footnote w:id="151">
    <w:p w14:paraId="498EB1C9" w14:textId="77777777" w:rsidR="00C311F9" w:rsidRDefault="00C311F9" w:rsidP="00F21624">
      <w:pPr>
        <w:pStyle w:val="FootnoteText"/>
      </w:pPr>
      <w:r>
        <w:rPr>
          <w:rStyle w:val="FootnoteReference"/>
        </w:rPr>
        <w:footnoteRef/>
      </w:r>
      <w:r>
        <w:t xml:space="preserve"> Hoyos (2010), 14</w:t>
      </w:r>
    </w:p>
  </w:footnote>
  <w:footnote w:id="152">
    <w:p w14:paraId="02475213" w14:textId="77777777" w:rsidR="00C311F9" w:rsidRDefault="00C311F9" w:rsidP="00F21624">
      <w:pPr>
        <w:pStyle w:val="FootnoteText"/>
      </w:pPr>
      <w:r>
        <w:rPr>
          <w:rStyle w:val="FootnoteReference"/>
        </w:rPr>
        <w:footnoteRef/>
      </w:r>
      <w:r>
        <w:t xml:space="preserve"> Diod. 5.12a</w:t>
      </w:r>
    </w:p>
  </w:footnote>
  <w:footnote w:id="153">
    <w:p w14:paraId="05246584" w14:textId="77777777" w:rsidR="00C311F9" w:rsidRDefault="00C311F9" w:rsidP="00F21624">
      <w:pPr>
        <w:pStyle w:val="FootnoteText"/>
      </w:pPr>
      <w:r>
        <w:rPr>
          <w:rStyle w:val="FootnoteReference"/>
        </w:rPr>
        <w:footnoteRef/>
      </w:r>
      <w:r>
        <w:t xml:space="preserve"> Pilkington (2013), 291</w:t>
      </w:r>
    </w:p>
  </w:footnote>
  <w:footnote w:id="154">
    <w:p w14:paraId="60573EC9" w14:textId="77777777" w:rsidR="00C311F9" w:rsidRDefault="00C311F9" w:rsidP="00F21624">
      <w:pPr>
        <w:pStyle w:val="FootnoteText"/>
      </w:pPr>
      <w:r>
        <w:rPr>
          <w:rStyle w:val="FootnoteReference"/>
        </w:rPr>
        <w:footnoteRef/>
      </w:r>
      <w:r>
        <w:t xml:space="preserve"> Diod. 4.29.6 and Justin. 18.7.1-2 Justin. 19.1.3 and Justin 18.7</w:t>
      </w:r>
    </w:p>
  </w:footnote>
  <w:footnote w:id="155">
    <w:p w14:paraId="71F0E6AB" w14:textId="77777777" w:rsidR="00C311F9" w:rsidRDefault="00C311F9" w:rsidP="00F21624">
      <w:pPr>
        <w:pStyle w:val="FootnoteText"/>
      </w:pPr>
      <w:r>
        <w:rPr>
          <w:rStyle w:val="FootnoteReference"/>
        </w:rPr>
        <w:footnoteRef/>
      </w:r>
      <w:r>
        <w:t xml:space="preserve"> Hoyos (2010), 39</w:t>
      </w:r>
    </w:p>
  </w:footnote>
  <w:footnote w:id="156">
    <w:p w14:paraId="41CE306C" w14:textId="77777777" w:rsidR="00C311F9" w:rsidRDefault="00C311F9" w:rsidP="00F21624">
      <w:pPr>
        <w:pStyle w:val="FootnoteText"/>
      </w:pPr>
      <w:r>
        <w:rPr>
          <w:rStyle w:val="FootnoteReference"/>
        </w:rPr>
        <w:footnoteRef/>
      </w:r>
      <w:r>
        <w:t xml:space="preserve"> Hoyos (2010), 61</w:t>
      </w:r>
    </w:p>
  </w:footnote>
  <w:footnote w:id="157">
    <w:p w14:paraId="1E247448" w14:textId="77777777" w:rsidR="00C311F9" w:rsidRDefault="00C311F9" w:rsidP="00F21624">
      <w:pPr>
        <w:pStyle w:val="FootnoteText"/>
      </w:pPr>
      <w:r>
        <w:rPr>
          <w:rStyle w:val="FootnoteReference"/>
        </w:rPr>
        <w:footnoteRef/>
      </w:r>
      <w:r>
        <w:t xml:space="preserve"> </w:t>
      </w:r>
      <w:proofErr w:type="spellStart"/>
      <w:r>
        <w:t>Thuc</w:t>
      </w:r>
      <w:proofErr w:type="spellEnd"/>
      <w:r>
        <w:t>. 6.34.2 and Diod. 14.53.3</w:t>
      </w:r>
    </w:p>
  </w:footnote>
  <w:footnote w:id="158">
    <w:p w14:paraId="778DA7D9" w14:textId="77777777" w:rsidR="00C311F9" w:rsidRDefault="00C311F9" w:rsidP="00F21624">
      <w:pPr>
        <w:pStyle w:val="FootnoteText"/>
      </w:pPr>
      <w:r>
        <w:rPr>
          <w:rStyle w:val="FootnoteReference"/>
        </w:rPr>
        <w:footnoteRef/>
      </w:r>
      <w:r>
        <w:t xml:space="preserve"> Rainey (2004), 54</w:t>
      </w:r>
    </w:p>
  </w:footnote>
  <w:footnote w:id="159">
    <w:p w14:paraId="106D2ACB" w14:textId="77777777" w:rsidR="00C311F9" w:rsidRDefault="00C311F9" w:rsidP="00F21624">
      <w:pPr>
        <w:pStyle w:val="FootnoteText"/>
      </w:pPr>
      <w:r>
        <w:rPr>
          <w:rStyle w:val="FootnoteReference"/>
        </w:rPr>
        <w:footnoteRef/>
      </w:r>
      <w:r>
        <w:t xml:space="preserve"> Rainey (2004), 176 and Lancel (1995), 156</w:t>
      </w:r>
    </w:p>
  </w:footnote>
  <w:footnote w:id="160">
    <w:p w14:paraId="5BBF69A8" w14:textId="77777777" w:rsidR="00C311F9" w:rsidRDefault="00C311F9" w:rsidP="00F21624">
      <w:pPr>
        <w:pStyle w:val="FootnoteText"/>
      </w:pPr>
      <w:r>
        <w:rPr>
          <w:rStyle w:val="FootnoteReference"/>
        </w:rPr>
        <w:footnoteRef/>
      </w:r>
      <w:r>
        <w:t xml:space="preserve"> Plb. 2.22.8 and Scullard (1990), 505</w:t>
      </w:r>
    </w:p>
  </w:footnote>
  <w:footnote w:id="161">
    <w:p w14:paraId="59454AE4" w14:textId="77777777" w:rsidR="00C311F9" w:rsidRDefault="00C311F9" w:rsidP="00F21624">
      <w:pPr>
        <w:pStyle w:val="FootnoteText"/>
      </w:pPr>
      <w:r>
        <w:rPr>
          <w:rStyle w:val="FootnoteReference"/>
        </w:rPr>
        <w:footnoteRef/>
      </w:r>
      <w:r>
        <w:t xml:space="preserve"> Diod. 24.1.1</w:t>
      </w:r>
    </w:p>
  </w:footnote>
  <w:footnote w:id="162">
    <w:p w14:paraId="5256E624" w14:textId="77777777" w:rsidR="00C311F9" w:rsidRDefault="00C311F9" w:rsidP="00F21624">
      <w:pPr>
        <w:pStyle w:val="FootnoteText"/>
      </w:pPr>
      <w:r>
        <w:rPr>
          <w:rStyle w:val="FootnoteReference"/>
        </w:rPr>
        <w:footnoteRef/>
      </w:r>
      <w:r>
        <w:t xml:space="preserve"> Rainey (2004), 134</w:t>
      </w:r>
    </w:p>
  </w:footnote>
  <w:footnote w:id="163">
    <w:p w14:paraId="6AC7E0B2" w14:textId="77777777" w:rsidR="00C311F9" w:rsidRDefault="00C311F9" w:rsidP="00F21624">
      <w:pPr>
        <w:pStyle w:val="FootnoteText"/>
      </w:pPr>
      <w:r>
        <w:rPr>
          <w:rStyle w:val="FootnoteReference"/>
        </w:rPr>
        <w:footnoteRef/>
      </w:r>
      <w:r>
        <w:t xml:space="preserve"> Diod. 13.79.8 and 47.4; Paus. 5.25.5</w:t>
      </w:r>
    </w:p>
  </w:footnote>
  <w:footnote w:id="164">
    <w:p w14:paraId="110402E7" w14:textId="77777777" w:rsidR="00C311F9" w:rsidRDefault="00C311F9" w:rsidP="00F21624">
      <w:pPr>
        <w:pStyle w:val="FootnoteText"/>
      </w:pPr>
      <w:r>
        <w:rPr>
          <w:rStyle w:val="FootnoteReference"/>
        </w:rPr>
        <w:footnoteRef/>
      </w:r>
      <w:r>
        <w:t xml:space="preserve"> Rainey (2004), 118</w:t>
      </w:r>
    </w:p>
  </w:footnote>
  <w:footnote w:id="165">
    <w:p w14:paraId="61F023AB" w14:textId="77777777" w:rsidR="00C311F9" w:rsidRDefault="00C311F9" w:rsidP="00F21624">
      <w:pPr>
        <w:pStyle w:val="FootnoteText"/>
      </w:pPr>
      <w:r>
        <w:rPr>
          <w:rStyle w:val="FootnoteReference"/>
        </w:rPr>
        <w:footnoteRef/>
      </w:r>
      <w:r>
        <w:t xml:space="preserve"> Diod. 8.79.8 and </w:t>
      </w:r>
      <w:proofErr w:type="spellStart"/>
      <w:r>
        <w:t>Cic</w:t>
      </w:r>
      <w:proofErr w:type="spellEnd"/>
      <w:r>
        <w:t xml:space="preserve">. </w:t>
      </w:r>
      <w:proofErr w:type="spellStart"/>
      <w:r>
        <w:t>Verr</w:t>
      </w:r>
      <w:proofErr w:type="spellEnd"/>
      <w:r>
        <w:t xml:space="preserve">. 2.2.35 </w:t>
      </w:r>
    </w:p>
  </w:footnote>
  <w:footnote w:id="166">
    <w:p w14:paraId="54954976" w14:textId="77777777" w:rsidR="00C311F9" w:rsidRDefault="00C311F9" w:rsidP="00F21624">
      <w:pPr>
        <w:pStyle w:val="FootnoteText"/>
      </w:pPr>
      <w:r>
        <w:rPr>
          <w:rStyle w:val="FootnoteReference"/>
        </w:rPr>
        <w:footnoteRef/>
      </w:r>
      <w:r>
        <w:t xml:space="preserve"> Whittaker (1979), 65</w:t>
      </w:r>
    </w:p>
  </w:footnote>
  <w:footnote w:id="167">
    <w:p w14:paraId="7E3014BF" w14:textId="77777777" w:rsidR="00C311F9" w:rsidRDefault="00C311F9" w:rsidP="00F21624">
      <w:pPr>
        <w:pStyle w:val="FootnoteText"/>
      </w:pPr>
      <w:r>
        <w:rPr>
          <w:rStyle w:val="FootnoteReference"/>
        </w:rPr>
        <w:footnoteRef/>
      </w:r>
      <w:r>
        <w:t xml:space="preserve"> Diod. 14.48.4</w:t>
      </w:r>
    </w:p>
  </w:footnote>
  <w:footnote w:id="168">
    <w:p w14:paraId="2493D2B6" w14:textId="55E61DAA" w:rsidR="00C311F9" w:rsidRDefault="00C311F9" w:rsidP="00F21624">
      <w:pPr>
        <w:pStyle w:val="FootnoteText"/>
      </w:pPr>
      <w:r>
        <w:rPr>
          <w:rStyle w:val="FootnoteReference"/>
        </w:rPr>
        <w:footnoteRef/>
      </w:r>
      <w:r>
        <w:t xml:space="preserve"> Diod. 13.43.3-4 Diod. 13.43.3-4</w:t>
      </w:r>
    </w:p>
  </w:footnote>
  <w:footnote w:id="169">
    <w:p w14:paraId="56075B32" w14:textId="77777777" w:rsidR="00C311F9" w:rsidRDefault="00C311F9" w:rsidP="00F21624">
      <w:pPr>
        <w:pStyle w:val="FootnoteText"/>
      </w:pPr>
      <w:r>
        <w:rPr>
          <w:rStyle w:val="FootnoteReference"/>
        </w:rPr>
        <w:footnoteRef/>
      </w:r>
      <w:r>
        <w:t xml:space="preserve"> Diod. 13.114.9 and Whittaker (1979), 70</w:t>
      </w:r>
    </w:p>
  </w:footnote>
  <w:footnote w:id="170">
    <w:p w14:paraId="73426726" w14:textId="77777777" w:rsidR="00C311F9" w:rsidRDefault="00C311F9" w:rsidP="00F21624">
      <w:pPr>
        <w:pStyle w:val="FootnoteText"/>
      </w:pPr>
      <w:r>
        <w:rPr>
          <w:rStyle w:val="FootnoteReference"/>
        </w:rPr>
        <w:footnoteRef/>
      </w:r>
      <w:r>
        <w:t xml:space="preserve"> Diod. 22.10.1</w:t>
      </w:r>
    </w:p>
  </w:footnote>
  <w:footnote w:id="171">
    <w:p w14:paraId="164EFD71" w14:textId="77777777" w:rsidR="00C311F9" w:rsidRDefault="00C311F9" w:rsidP="00F21624">
      <w:pPr>
        <w:pStyle w:val="FootnoteText"/>
      </w:pPr>
      <w:r>
        <w:rPr>
          <w:rStyle w:val="FootnoteReference"/>
        </w:rPr>
        <w:footnoteRef/>
      </w:r>
      <w:r>
        <w:t xml:space="preserve"> </w:t>
      </w:r>
      <w:proofErr w:type="spellStart"/>
      <w:r>
        <w:t>Hdt</w:t>
      </w:r>
      <w:proofErr w:type="spellEnd"/>
      <w:r>
        <w:t>. 7.158-166</w:t>
      </w:r>
    </w:p>
  </w:footnote>
  <w:footnote w:id="172">
    <w:p w14:paraId="6F5DA706" w14:textId="77777777" w:rsidR="00C311F9" w:rsidRDefault="00C311F9" w:rsidP="00F21624">
      <w:pPr>
        <w:pStyle w:val="FootnoteText"/>
      </w:pPr>
      <w:r>
        <w:rPr>
          <w:rStyle w:val="FootnoteReference"/>
        </w:rPr>
        <w:footnoteRef/>
      </w:r>
      <w:r>
        <w:t xml:space="preserve"> Diod. 22.10.2</w:t>
      </w:r>
    </w:p>
  </w:footnote>
  <w:footnote w:id="173">
    <w:p w14:paraId="76DD7C40" w14:textId="77777777" w:rsidR="00C311F9" w:rsidRDefault="00C311F9" w:rsidP="00F21624">
      <w:pPr>
        <w:pStyle w:val="FootnoteText"/>
      </w:pPr>
      <w:r>
        <w:rPr>
          <w:rStyle w:val="FootnoteReference"/>
        </w:rPr>
        <w:footnoteRef/>
      </w:r>
      <w:r>
        <w:t xml:space="preserve"> Diod. 14.47.5</w:t>
      </w:r>
    </w:p>
  </w:footnote>
  <w:footnote w:id="174">
    <w:p w14:paraId="29F492D2" w14:textId="77777777" w:rsidR="00C311F9" w:rsidRDefault="00C311F9" w:rsidP="00F21624">
      <w:pPr>
        <w:pStyle w:val="FootnoteText"/>
      </w:pPr>
      <w:r>
        <w:rPr>
          <w:rStyle w:val="FootnoteReference"/>
        </w:rPr>
        <w:footnoteRef/>
      </w:r>
      <w:r>
        <w:t xml:space="preserve"> Diod. 13.85.2</w:t>
      </w:r>
    </w:p>
  </w:footnote>
  <w:footnote w:id="175">
    <w:p w14:paraId="26B14799" w14:textId="77777777" w:rsidR="00C311F9" w:rsidRDefault="00C311F9" w:rsidP="00F21624">
      <w:pPr>
        <w:pStyle w:val="FootnoteText"/>
      </w:pPr>
      <w:r>
        <w:rPr>
          <w:rStyle w:val="FootnoteReference"/>
        </w:rPr>
        <w:footnoteRef/>
      </w:r>
      <w:r>
        <w:t xml:space="preserve"> </w:t>
      </w:r>
      <w:proofErr w:type="spellStart"/>
      <w:r>
        <w:t>Ameling</w:t>
      </w:r>
      <w:proofErr w:type="spellEnd"/>
      <w:r>
        <w:t xml:space="preserve"> (2011), 53</w:t>
      </w:r>
    </w:p>
  </w:footnote>
  <w:footnote w:id="176">
    <w:p w14:paraId="7A149318" w14:textId="77777777" w:rsidR="00C311F9" w:rsidRDefault="00C311F9" w:rsidP="00F21624">
      <w:pPr>
        <w:pStyle w:val="FootnoteText"/>
      </w:pPr>
      <w:r>
        <w:rPr>
          <w:rStyle w:val="FootnoteReference"/>
        </w:rPr>
        <w:footnoteRef/>
      </w:r>
      <w:r>
        <w:t xml:space="preserve"> </w:t>
      </w:r>
      <w:proofErr w:type="spellStart"/>
      <w:r>
        <w:t>Ameling</w:t>
      </w:r>
      <w:proofErr w:type="spellEnd"/>
      <w:r>
        <w:t xml:space="preserve"> (2011), 52</w:t>
      </w:r>
    </w:p>
  </w:footnote>
  <w:footnote w:id="177">
    <w:p w14:paraId="025BE9BF" w14:textId="77777777" w:rsidR="00C311F9" w:rsidRDefault="00C311F9" w:rsidP="00F21624">
      <w:pPr>
        <w:pStyle w:val="FootnoteText"/>
      </w:pPr>
      <w:r>
        <w:rPr>
          <w:rStyle w:val="FootnoteReference"/>
        </w:rPr>
        <w:footnoteRef/>
      </w:r>
      <w:r>
        <w:t xml:space="preserve"> Diod. 11.8.2-3</w:t>
      </w:r>
    </w:p>
  </w:footnote>
  <w:footnote w:id="178">
    <w:p w14:paraId="1B22F8C4" w14:textId="77777777" w:rsidR="00C311F9" w:rsidRDefault="00C311F9" w:rsidP="00F21624">
      <w:pPr>
        <w:pStyle w:val="FootnoteText"/>
      </w:pPr>
      <w:r>
        <w:rPr>
          <w:rStyle w:val="FootnoteReference"/>
        </w:rPr>
        <w:footnoteRef/>
      </w:r>
      <w:r>
        <w:t xml:space="preserve"> Pilkington (2013), 262</w:t>
      </w:r>
    </w:p>
  </w:footnote>
  <w:footnote w:id="179">
    <w:p w14:paraId="27AE2969" w14:textId="77777777" w:rsidR="00C311F9" w:rsidRDefault="00C311F9" w:rsidP="00F21624">
      <w:pPr>
        <w:pStyle w:val="FootnoteText"/>
      </w:pPr>
      <w:r>
        <w:rPr>
          <w:rStyle w:val="FootnoteReference"/>
        </w:rPr>
        <w:footnoteRef/>
      </w:r>
      <w:r>
        <w:t xml:space="preserve"> Xen. Hell. 1.2</w:t>
      </w:r>
    </w:p>
  </w:footnote>
  <w:footnote w:id="180">
    <w:p w14:paraId="5F776015" w14:textId="77777777" w:rsidR="00C311F9" w:rsidRDefault="00C311F9" w:rsidP="00F21624">
      <w:pPr>
        <w:pStyle w:val="FootnoteText"/>
      </w:pPr>
      <w:r>
        <w:rPr>
          <w:rStyle w:val="FootnoteReference"/>
        </w:rPr>
        <w:footnoteRef/>
      </w:r>
      <w:r>
        <w:t xml:space="preserve"> Whittaker (1979), 65</w:t>
      </w:r>
    </w:p>
  </w:footnote>
  <w:footnote w:id="181">
    <w:p w14:paraId="01ADF5A7" w14:textId="77777777" w:rsidR="00C311F9" w:rsidRDefault="00C311F9" w:rsidP="00F21624">
      <w:pPr>
        <w:pStyle w:val="FootnoteText"/>
      </w:pPr>
      <w:r>
        <w:rPr>
          <w:rStyle w:val="FootnoteReference"/>
        </w:rPr>
        <w:footnoteRef/>
      </w:r>
      <w:r>
        <w:t xml:space="preserve"> Diod. 13.43.4 and 13.44.4</w:t>
      </w:r>
    </w:p>
  </w:footnote>
  <w:footnote w:id="182">
    <w:p w14:paraId="09B5A9FD" w14:textId="77777777" w:rsidR="00C311F9" w:rsidRDefault="00C311F9" w:rsidP="00F21624">
      <w:pPr>
        <w:pStyle w:val="FootnoteText"/>
      </w:pPr>
      <w:r>
        <w:rPr>
          <w:rStyle w:val="FootnoteReference"/>
        </w:rPr>
        <w:footnoteRef/>
      </w:r>
      <w:r>
        <w:t xml:space="preserve"> </w:t>
      </w:r>
      <w:proofErr w:type="spellStart"/>
      <w:r>
        <w:t>Pilkingtion</w:t>
      </w:r>
      <w:proofErr w:type="spellEnd"/>
      <w:r>
        <w:t xml:space="preserve"> (2013), 267</w:t>
      </w:r>
    </w:p>
  </w:footnote>
  <w:footnote w:id="183">
    <w:p w14:paraId="554D2BF5" w14:textId="77777777" w:rsidR="00C311F9" w:rsidRDefault="00C311F9" w:rsidP="00F21624">
      <w:pPr>
        <w:pStyle w:val="FootnoteText"/>
      </w:pPr>
      <w:r>
        <w:rPr>
          <w:rStyle w:val="FootnoteReference"/>
        </w:rPr>
        <w:footnoteRef/>
      </w:r>
      <w:r>
        <w:t xml:space="preserve"> Eckstein (2006), 161</w:t>
      </w:r>
    </w:p>
  </w:footnote>
  <w:footnote w:id="184">
    <w:p w14:paraId="69878647" w14:textId="77777777" w:rsidR="00C311F9" w:rsidRDefault="00C311F9" w:rsidP="00E327DB">
      <w:pPr>
        <w:pStyle w:val="FootnoteText"/>
      </w:pPr>
      <w:r>
        <w:rPr>
          <w:rStyle w:val="FootnoteReference"/>
        </w:rPr>
        <w:footnoteRef/>
      </w:r>
      <w:r>
        <w:t xml:space="preserve"> </w:t>
      </w:r>
      <w:proofErr w:type="spellStart"/>
      <w:r>
        <w:t>Hdt</w:t>
      </w:r>
      <w:proofErr w:type="spellEnd"/>
      <w:r>
        <w:t>. 1.163-167</w:t>
      </w:r>
    </w:p>
  </w:footnote>
  <w:footnote w:id="185">
    <w:p w14:paraId="0F373B12" w14:textId="77777777" w:rsidR="00C311F9" w:rsidRDefault="00C311F9" w:rsidP="00E327DB">
      <w:pPr>
        <w:pStyle w:val="FootnoteText"/>
      </w:pPr>
      <w:r>
        <w:rPr>
          <w:rStyle w:val="FootnoteReference"/>
        </w:rPr>
        <w:footnoteRef/>
      </w:r>
      <w:r>
        <w:t xml:space="preserve"> </w:t>
      </w:r>
      <w:proofErr w:type="spellStart"/>
      <w:r>
        <w:t>Cic</w:t>
      </w:r>
      <w:proofErr w:type="spellEnd"/>
      <w:r>
        <w:t>. De Rep. 2.9</w:t>
      </w:r>
    </w:p>
  </w:footnote>
  <w:footnote w:id="186">
    <w:p w14:paraId="5DF019D8" w14:textId="77777777" w:rsidR="00C311F9" w:rsidRDefault="00C311F9" w:rsidP="003B0D94">
      <w:pPr>
        <w:pStyle w:val="FootnoteText"/>
      </w:pPr>
      <w:r>
        <w:rPr>
          <w:rStyle w:val="FootnoteReference"/>
        </w:rPr>
        <w:footnoteRef/>
      </w:r>
      <w:r>
        <w:t xml:space="preserve"> Diod. 11.20 and 11.24.4, 11.37.7 and 12.26.3 – alluded to in </w:t>
      </w:r>
      <w:proofErr w:type="spellStart"/>
      <w:r>
        <w:t>Hdt</w:t>
      </w:r>
      <w:proofErr w:type="spellEnd"/>
      <w:r>
        <w:t>. 1.165</w:t>
      </w:r>
    </w:p>
  </w:footnote>
  <w:footnote w:id="187">
    <w:p w14:paraId="6122F9FC" w14:textId="77777777" w:rsidR="00C311F9" w:rsidRDefault="00C311F9" w:rsidP="00F21624">
      <w:pPr>
        <w:pStyle w:val="FootnoteText"/>
      </w:pPr>
      <w:r>
        <w:rPr>
          <w:rStyle w:val="FootnoteReference"/>
        </w:rPr>
        <w:footnoteRef/>
      </w:r>
      <w:r>
        <w:t xml:space="preserve"> Strabo. 17.1.19 and Strabo. 11.1.19</w:t>
      </w:r>
    </w:p>
  </w:footnote>
  <w:footnote w:id="188">
    <w:p w14:paraId="15DD2A84" w14:textId="77777777" w:rsidR="00C311F9" w:rsidRDefault="00C311F9" w:rsidP="00F21624">
      <w:pPr>
        <w:pStyle w:val="FootnoteText"/>
      </w:pPr>
      <w:r>
        <w:rPr>
          <w:rStyle w:val="FootnoteReference"/>
        </w:rPr>
        <w:footnoteRef/>
      </w:r>
      <w:r>
        <w:t xml:space="preserve"> </w:t>
      </w:r>
      <w:proofErr w:type="spellStart"/>
      <w:r>
        <w:t>Arist</w:t>
      </w:r>
      <w:proofErr w:type="spellEnd"/>
      <w:r>
        <w:t xml:space="preserve">. Mir. </w:t>
      </w:r>
      <w:proofErr w:type="spellStart"/>
      <w:r>
        <w:t>Ausc</w:t>
      </w:r>
      <w:proofErr w:type="spellEnd"/>
      <w:r>
        <w:t>. 84, 132</w:t>
      </w:r>
    </w:p>
  </w:footnote>
  <w:footnote w:id="189">
    <w:p w14:paraId="60B4C7FE" w14:textId="77777777" w:rsidR="00C311F9" w:rsidRDefault="00C311F9" w:rsidP="00F21624">
      <w:pPr>
        <w:pStyle w:val="FootnoteText"/>
      </w:pPr>
      <w:r>
        <w:rPr>
          <w:rStyle w:val="FootnoteReference"/>
        </w:rPr>
        <w:footnoteRef/>
      </w:r>
      <w:r>
        <w:t xml:space="preserve"> Poly 3.28.1-2</w:t>
      </w:r>
    </w:p>
  </w:footnote>
  <w:footnote w:id="190">
    <w:p w14:paraId="12694467" w14:textId="77777777" w:rsidR="00C311F9" w:rsidRDefault="00C311F9" w:rsidP="00F21624">
      <w:pPr>
        <w:pStyle w:val="FootnoteText"/>
      </w:pPr>
      <w:r>
        <w:rPr>
          <w:rStyle w:val="FootnoteReference"/>
        </w:rPr>
        <w:footnoteRef/>
      </w:r>
      <w:r>
        <w:t xml:space="preserve"> Whittaker (1979), 61</w:t>
      </w:r>
    </w:p>
  </w:footnote>
  <w:footnote w:id="191">
    <w:p w14:paraId="08650B58" w14:textId="77777777" w:rsidR="00C311F9" w:rsidRDefault="00C311F9" w:rsidP="00F21624">
      <w:pPr>
        <w:pStyle w:val="FootnoteText"/>
      </w:pPr>
      <w:r>
        <w:rPr>
          <w:rStyle w:val="FootnoteReference"/>
        </w:rPr>
        <w:footnoteRef/>
      </w:r>
      <w:r>
        <w:t xml:space="preserve"> Hoyos (2010), 49 and 130</w:t>
      </w:r>
    </w:p>
  </w:footnote>
  <w:footnote w:id="192">
    <w:p w14:paraId="2770D69C" w14:textId="77777777" w:rsidR="00C311F9" w:rsidRDefault="00C311F9" w:rsidP="00F21624">
      <w:pPr>
        <w:pStyle w:val="FootnoteText"/>
      </w:pPr>
      <w:r>
        <w:rPr>
          <w:rStyle w:val="FootnoteReference"/>
        </w:rPr>
        <w:footnoteRef/>
      </w:r>
      <w:r>
        <w:t xml:space="preserve"> </w:t>
      </w:r>
      <w:proofErr w:type="spellStart"/>
      <w:r>
        <w:t>Hdt</w:t>
      </w:r>
      <w:proofErr w:type="spellEnd"/>
      <w:r>
        <w:t>. 7.166</w:t>
      </w:r>
    </w:p>
  </w:footnote>
  <w:footnote w:id="193">
    <w:p w14:paraId="2EE5D585" w14:textId="77777777" w:rsidR="00C311F9" w:rsidRDefault="00C311F9" w:rsidP="00F21624">
      <w:pPr>
        <w:pStyle w:val="FootnoteText"/>
      </w:pPr>
      <w:r>
        <w:rPr>
          <w:rStyle w:val="FootnoteReference"/>
        </w:rPr>
        <w:footnoteRef/>
      </w:r>
      <w:r>
        <w:t xml:space="preserve"> Justin. 21.4.1</w:t>
      </w:r>
    </w:p>
  </w:footnote>
  <w:footnote w:id="194">
    <w:p w14:paraId="423D27A8" w14:textId="77777777" w:rsidR="00C311F9" w:rsidRDefault="00C311F9" w:rsidP="00F21624">
      <w:pPr>
        <w:pStyle w:val="FootnoteText"/>
      </w:pPr>
      <w:r>
        <w:rPr>
          <w:rStyle w:val="FootnoteReference"/>
        </w:rPr>
        <w:footnoteRef/>
      </w:r>
      <w:r>
        <w:t xml:space="preserve"> Lancel (1995), 114</w:t>
      </w:r>
    </w:p>
  </w:footnote>
  <w:footnote w:id="195">
    <w:p w14:paraId="3F2737CA" w14:textId="77777777" w:rsidR="00C311F9" w:rsidRDefault="00C311F9" w:rsidP="00F21624">
      <w:pPr>
        <w:spacing w:after="0"/>
      </w:pPr>
      <w:r>
        <w:rPr>
          <w:rStyle w:val="FootnoteReference"/>
        </w:rPr>
        <w:footnoteRef/>
      </w:r>
      <w:r>
        <w:t xml:space="preserve"> </w:t>
      </w:r>
      <w:r>
        <w:rPr>
          <w:sz w:val="20"/>
          <w:szCs w:val="20"/>
        </w:rPr>
        <w:t xml:space="preserve">Plb. 6.56.1-2; </w:t>
      </w:r>
      <w:proofErr w:type="spellStart"/>
      <w:r>
        <w:rPr>
          <w:sz w:val="20"/>
          <w:szCs w:val="20"/>
        </w:rPr>
        <w:t>Arist</w:t>
      </w:r>
      <w:proofErr w:type="spellEnd"/>
      <w:r>
        <w:rPr>
          <w:sz w:val="20"/>
          <w:szCs w:val="20"/>
        </w:rPr>
        <w:t xml:space="preserve">. Pol. 1273a and </w:t>
      </w:r>
      <w:proofErr w:type="spellStart"/>
      <w:r>
        <w:rPr>
          <w:sz w:val="20"/>
          <w:szCs w:val="20"/>
        </w:rPr>
        <w:t>Arist</w:t>
      </w:r>
      <w:proofErr w:type="spellEnd"/>
      <w:r>
        <w:rPr>
          <w:sz w:val="20"/>
          <w:szCs w:val="20"/>
        </w:rPr>
        <w:t>. Pol. 118.6, 1273a.</w:t>
      </w:r>
    </w:p>
  </w:footnote>
  <w:footnote w:id="196">
    <w:p w14:paraId="5E941F77" w14:textId="77777777" w:rsidR="00C311F9" w:rsidRDefault="00C311F9" w:rsidP="00F21624">
      <w:pPr>
        <w:pStyle w:val="FootnoteText"/>
      </w:pPr>
      <w:r>
        <w:rPr>
          <w:rStyle w:val="FootnoteReference"/>
        </w:rPr>
        <w:footnoteRef/>
      </w:r>
      <w:r>
        <w:t xml:space="preserve"> Diod. 20.8.3-4</w:t>
      </w:r>
    </w:p>
  </w:footnote>
  <w:footnote w:id="197">
    <w:p w14:paraId="73880553" w14:textId="77777777" w:rsidR="00C311F9" w:rsidRDefault="00C311F9" w:rsidP="00F21624">
      <w:pPr>
        <w:pStyle w:val="FootnoteText"/>
      </w:pPr>
      <w:r>
        <w:rPr>
          <w:rStyle w:val="FootnoteReference"/>
        </w:rPr>
        <w:footnoteRef/>
      </w:r>
      <w:r>
        <w:t xml:space="preserve"> App. Lib. 57 and Strabo. 17.3.15</w:t>
      </w:r>
    </w:p>
  </w:footnote>
  <w:footnote w:id="198">
    <w:p w14:paraId="136734FC" w14:textId="77777777" w:rsidR="00C311F9" w:rsidRDefault="00C311F9" w:rsidP="00F21624">
      <w:pPr>
        <w:pStyle w:val="FootnoteText"/>
      </w:pPr>
      <w:r>
        <w:rPr>
          <w:rStyle w:val="FootnoteReference"/>
        </w:rPr>
        <w:footnoteRef/>
      </w:r>
      <w:r>
        <w:t xml:space="preserve"> Justin. 21.4.6</w:t>
      </w:r>
    </w:p>
  </w:footnote>
  <w:footnote w:id="199">
    <w:p w14:paraId="35B4CD1E" w14:textId="77777777" w:rsidR="00C311F9" w:rsidRDefault="00C311F9" w:rsidP="00F21624">
      <w:pPr>
        <w:pStyle w:val="FootnoteText"/>
      </w:pPr>
      <w:r>
        <w:rPr>
          <w:rStyle w:val="FootnoteReference"/>
        </w:rPr>
        <w:footnoteRef/>
      </w:r>
      <w:r>
        <w:t xml:space="preserve"> Whittaker (1979), 78</w:t>
      </w:r>
    </w:p>
  </w:footnote>
  <w:footnote w:id="200">
    <w:p w14:paraId="742DC2E6" w14:textId="77777777" w:rsidR="00C311F9" w:rsidRDefault="00C311F9" w:rsidP="00F21624">
      <w:pPr>
        <w:pStyle w:val="FootnoteText"/>
      </w:pPr>
      <w:r>
        <w:rPr>
          <w:rStyle w:val="FootnoteReference"/>
        </w:rPr>
        <w:footnoteRef/>
      </w:r>
      <w:r>
        <w:t xml:space="preserve"> Lancel (1995), 134</w:t>
      </w:r>
    </w:p>
  </w:footnote>
  <w:footnote w:id="201">
    <w:p w14:paraId="1A9AEAF1" w14:textId="77777777" w:rsidR="00C311F9" w:rsidRDefault="00C311F9" w:rsidP="00F21624">
      <w:pPr>
        <w:pStyle w:val="FootnoteText"/>
      </w:pPr>
      <w:r>
        <w:rPr>
          <w:rStyle w:val="FootnoteReference"/>
        </w:rPr>
        <w:footnoteRef/>
      </w:r>
      <w:r>
        <w:t xml:space="preserve"> Eckstein (2006), 161</w:t>
      </w:r>
    </w:p>
  </w:footnote>
  <w:footnote w:id="202">
    <w:p w14:paraId="4433DCEB" w14:textId="77777777" w:rsidR="00C311F9" w:rsidRDefault="00C311F9" w:rsidP="00F21624">
      <w:pPr>
        <w:pStyle w:val="FootnoteText"/>
      </w:pPr>
      <w:r>
        <w:rPr>
          <w:rStyle w:val="FootnoteReference"/>
        </w:rPr>
        <w:footnoteRef/>
      </w:r>
      <w:r>
        <w:t xml:space="preserve"> Justin. 19.1</w:t>
      </w:r>
    </w:p>
  </w:footnote>
  <w:footnote w:id="203">
    <w:p w14:paraId="14AEF426" w14:textId="77777777" w:rsidR="00C311F9" w:rsidRDefault="00C311F9" w:rsidP="00F21624">
      <w:pPr>
        <w:pStyle w:val="FootnoteText"/>
      </w:pPr>
      <w:r>
        <w:rPr>
          <w:rStyle w:val="FootnoteReference"/>
        </w:rPr>
        <w:footnoteRef/>
      </w:r>
      <w:r>
        <w:t xml:space="preserve"> Eckstein (2006), 161 and Diod. 15.24.2-3</w:t>
      </w:r>
    </w:p>
  </w:footnote>
  <w:footnote w:id="204">
    <w:p w14:paraId="16D901F1" w14:textId="77777777" w:rsidR="00C311F9" w:rsidRDefault="00C311F9" w:rsidP="00F21624">
      <w:pPr>
        <w:pStyle w:val="FootnoteText"/>
      </w:pPr>
      <w:r>
        <w:rPr>
          <w:rStyle w:val="FootnoteReference"/>
        </w:rPr>
        <w:footnoteRef/>
      </w:r>
      <w:r>
        <w:t xml:space="preserve"> App. Lib. 54</w:t>
      </w:r>
    </w:p>
  </w:footnote>
  <w:footnote w:id="205">
    <w:p w14:paraId="1E2C2D81" w14:textId="77777777" w:rsidR="00C311F9" w:rsidRDefault="00C311F9" w:rsidP="00F21624">
      <w:pPr>
        <w:pStyle w:val="FootnoteText"/>
      </w:pPr>
      <w:r>
        <w:rPr>
          <w:rStyle w:val="FootnoteReference"/>
        </w:rPr>
        <w:footnoteRef/>
      </w:r>
      <w:r>
        <w:t xml:space="preserve"> Pilkington (2013), 15</w:t>
      </w:r>
    </w:p>
  </w:footnote>
  <w:footnote w:id="206">
    <w:p w14:paraId="1FDA751F" w14:textId="77777777" w:rsidR="00C311F9" w:rsidRDefault="00C311F9" w:rsidP="00F21624">
      <w:pPr>
        <w:pStyle w:val="FootnoteText"/>
      </w:pPr>
      <w:r>
        <w:rPr>
          <w:rStyle w:val="FootnoteReference"/>
        </w:rPr>
        <w:footnoteRef/>
      </w:r>
      <w:r>
        <w:t xml:space="preserve"> Ovid. Met. 8.726 and Dion. Per. LI. 469-470</w:t>
      </w:r>
    </w:p>
  </w:footnote>
  <w:footnote w:id="207">
    <w:p w14:paraId="1ACBF623" w14:textId="77777777" w:rsidR="00C311F9" w:rsidRDefault="00C311F9" w:rsidP="00F21624">
      <w:pPr>
        <w:pStyle w:val="FootnoteText"/>
      </w:pPr>
      <w:r>
        <w:rPr>
          <w:rStyle w:val="FootnoteReference"/>
        </w:rPr>
        <w:footnoteRef/>
      </w:r>
      <w:r>
        <w:t xml:space="preserve"> Pilkington (2013), 259</w:t>
      </w:r>
    </w:p>
  </w:footnote>
  <w:footnote w:id="208">
    <w:p w14:paraId="1DAE6852" w14:textId="77777777" w:rsidR="00C311F9" w:rsidRDefault="00C311F9" w:rsidP="00F21624">
      <w:pPr>
        <w:pStyle w:val="FootnoteText"/>
      </w:pPr>
      <w:r>
        <w:rPr>
          <w:rStyle w:val="FootnoteReference"/>
        </w:rPr>
        <w:footnoteRef/>
      </w:r>
      <w:r>
        <w:t xml:space="preserve"> Diod. 25.12.2-3</w:t>
      </w:r>
    </w:p>
  </w:footnote>
  <w:footnote w:id="209">
    <w:p w14:paraId="46E4CFD4" w14:textId="77777777" w:rsidR="00C311F9" w:rsidRDefault="00C311F9" w:rsidP="00F21624">
      <w:pPr>
        <w:pStyle w:val="FootnoteText"/>
      </w:pPr>
      <w:r>
        <w:rPr>
          <w:rStyle w:val="FootnoteReference"/>
        </w:rPr>
        <w:footnoteRef/>
      </w:r>
      <w:r>
        <w:t xml:space="preserve"> Strabo. 6.266; Pliny. NH&gt; 7.85; </w:t>
      </w:r>
      <w:proofErr w:type="spellStart"/>
      <w:r>
        <w:t>Cic</w:t>
      </w:r>
      <w:proofErr w:type="spellEnd"/>
      <w:r>
        <w:t xml:space="preserve">. Acad. 11.81 </w:t>
      </w:r>
    </w:p>
  </w:footnote>
  <w:footnote w:id="210">
    <w:p w14:paraId="5305E124" w14:textId="77777777" w:rsidR="00C311F9" w:rsidRDefault="00C311F9" w:rsidP="00F21624">
      <w:pPr>
        <w:pStyle w:val="FootnoteText"/>
      </w:pPr>
      <w:r>
        <w:rPr>
          <w:rStyle w:val="FootnoteReference"/>
        </w:rPr>
        <w:footnoteRef/>
      </w:r>
      <w:r>
        <w:t xml:space="preserve"> Plb. 3.106</w:t>
      </w:r>
    </w:p>
  </w:footnote>
  <w:footnote w:id="211">
    <w:p w14:paraId="0AD66286" w14:textId="77777777" w:rsidR="00C311F9" w:rsidRDefault="00C311F9" w:rsidP="00F21624">
      <w:pPr>
        <w:pStyle w:val="FootnoteText"/>
      </w:pPr>
      <w:r>
        <w:rPr>
          <w:rStyle w:val="FootnoteReference"/>
        </w:rPr>
        <w:footnoteRef/>
      </w:r>
      <w:r>
        <w:t xml:space="preserve"> Rainey (2004), 251</w:t>
      </w:r>
    </w:p>
  </w:footnote>
  <w:footnote w:id="212">
    <w:p w14:paraId="5D8E563E" w14:textId="77777777" w:rsidR="00C311F9" w:rsidRDefault="00C311F9" w:rsidP="00F21624">
      <w:pPr>
        <w:pStyle w:val="FootnoteText"/>
      </w:pPr>
      <w:r>
        <w:rPr>
          <w:rStyle w:val="FootnoteReference"/>
        </w:rPr>
        <w:footnoteRef/>
      </w:r>
      <w:r>
        <w:t xml:space="preserve"> Diod. 11.23.3-4</w:t>
      </w:r>
    </w:p>
  </w:footnote>
  <w:footnote w:id="213">
    <w:p w14:paraId="388F5EC4" w14:textId="77777777" w:rsidR="00C311F9" w:rsidRDefault="00C311F9" w:rsidP="00F21624">
      <w:pPr>
        <w:pStyle w:val="FootnoteText"/>
      </w:pPr>
      <w:r>
        <w:rPr>
          <w:rStyle w:val="FootnoteReference"/>
        </w:rPr>
        <w:footnoteRef/>
      </w:r>
      <w:r>
        <w:t xml:space="preserve"> </w:t>
      </w:r>
      <w:proofErr w:type="spellStart"/>
      <w:r>
        <w:t>Thuc</w:t>
      </w:r>
      <w:proofErr w:type="spellEnd"/>
      <w:r>
        <w:t>. 6.2.6</w:t>
      </w:r>
    </w:p>
  </w:footnote>
  <w:footnote w:id="214">
    <w:p w14:paraId="21369625" w14:textId="77777777" w:rsidR="00C311F9" w:rsidRDefault="00C311F9" w:rsidP="00F21624">
      <w:pPr>
        <w:pStyle w:val="FootnoteText"/>
      </w:pPr>
      <w:r>
        <w:rPr>
          <w:rStyle w:val="FootnoteReference"/>
        </w:rPr>
        <w:footnoteRef/>
      </w:r>
      <w:r>
        <w:t xml:space="preserve"> Diod. 8.26.3</w:t>
      </w:r>
    </w:p>
  </w:footnote>
  <w:footnote w:id="215">
    <w:p w14:paraId="462AC5C2" w14:textId="77777777" w:rsidR="00C311F9" w:rsidRDefault="00C311F9" w:rsidP="00F21624">
      <w:pPr>
        <w:pStyle w:val="FootnoteText"/>
      </w:pPr>
      <w:r>
        <w:rPr>
          <w:rStyle w:val="FootnoteReference"/>
        </w:rPr>
        <w:footnoteRef/>
      </w:r>
      <w:r>
        <w:t xml:space="preserve"> Diod. 11.24.4; 11.37.7 and 7.26.3</w:t>
      </w:r>
    </w:p>
  </w:footnote>
  <w:footnote w:id="216">
    <w:p w14:paraId="71F185C8" w14:textId="77777777" w:rsidR="00C311F9" w:rsidRDefault="00C311F9" w:rsidP="00F21624">
      <w:pPr>
        <w:pStyle w:val="FootnoteText"/>
      </w:pPr>
      <w:r>
        <w:rPr>
          <w:rStyle w:val="FootnoteReference"/>
        </w:rPr>
        <w:footnoteRef/>
      </w:r>
      <w:r>
        <w:t xml:space="preserve"> Diod. </w:t>
      </w:r>
      <w:proofErr w:type="gramStart"/>
      <w:r>
        <w:t>8.114 ;Diod</w:t>
      </w:r>
      <w:proofErr w:type="gramEnd"/>
      <w:r>
        <w:t>. 14.96.3-4 and Lancel (1992), 91</w:t>
      </w:r>
    </w:p>
  </w:footnote>
  <w:footnote w:id="217">
    <w:p w14:paraId="59A62F7C" w14:textId="77777777" w:rsidR="00C311F9" w:rsidRDefault="00C311F9" w:rsidP="00F21624">
      <w:pPr>
        <w:pStyle w:val="FootnoteText"/>
      </w:pPr>
      <w:r>
        <w:rPr>
          <w:rStyle w:val="FootnoteReference"/>
        </w:rPr>
        <w:footnoteRef/>
      </w:r>
      <w:r>
        <w:t xml:space="preserve"> Diod. 19.2.2</w:t>
      </w:r>
    </w:p>
  </w:footnote>
  <w:footnote w:id="218">
    <w:p w14:paraId="57787C31" w14:textId="77777777" w:rsidR="00C311F9" w:rsidRDefault="00C311F9" w:rsidP="00F21624">
      <w:pPr>
        <w:pStyle w:val="FootnoteText"/>
      </w:pPr>
      <w:r>
        <w:rPr>
          <w:rStyle w:val="FootnoteReference"/>
        </w:rPr>
        <w:footnoteRef/>
      </w:r>
      <w:r>
        <w:t xml:space="preserve"> Diod. 14.41</w:t>
      </w:r>
    </w:p>
  </w:footnote>
  <w:footnote w:id="219">
    <w:p w14:paraId="44413CF7" w14:textId="77777777" w:rsidR="00C311F9" w:rsidRDefault="00C311F9" w:rsidP="00F21624">
      <w:pPr>
        <w:pStyle w:val="FootnoteText"/>
      </w:pPr>
      <w:r>
        <w:rPr>
          <w:rStyle w:val="FootnoteReference"/>
        </w:rPr>
        <w:footnoteRef/>
      </w:r>
      <w:r>
        <w:t xml:space="preserve"> Diod. 14.58</w:t>
      </w:r>
    </w:p>
  </w:footnote>
  <w:footnote w:id="220">
    <w:p w14:paraId="15CCAF6B" w14:textId="77777777" w:rsidR="00C311F9" w:rsidRDefault="00C311F9" w:rsidP="00F21624">
      <w:pPr>
        <w:pStyle w:val="FootnoteText"/>
      </w:pPr>
      <w:r>
        <w:rPr>
          <w:rStyle w:val="FootnoteReference"/>
        </w:rPr>
        <w:footnoteRef/>
      </w:r>
      <w:r>
        <w:t xml:space="preserve"> Whittaker (1979), 66</w:t>
      </w:r>
    </w:p>
  </w:footnote>
  <w:footnote w:id="221">
    <w:p w14:paraId="0418BDFB" w14:textId="77777777" w:rsidR="00C311F9" w:rsidRDefault="00C311F9" w:rsidP="00F21624">
      <w:pPr>
        <w:pStyle w:val="FootnoteText"/>
      </w:pPr>
      <w:r>
        <w:rPr>
          <w:rStyle w:val="FootnoteReference"/>
        </w:rPr>
        <w:footnoteRef/>
      </w:r>
      <w:r>
        <w:t xml:space="preserve"> Diod. 15.17</w:t>
      </w:r>
    </w:p>
  </w:footnote>
  <w:footnote w:id="222">
    <w:p w14:paraId="443D0B44" w14:textId="77777777" w:rsidR="00C311F9" w:rsidRDefault="00C311F9" w:rsidP="00F21624">
      <w:pPr>
        <w:pStyle w:val="FootnoteText"/>
      </w:pPr>
      <w:r>
        <w:rPr>
          <w:rStyle w:val="FootnoteReference"/>
        </w:rPr>
        <w:footnoteRef/>
      </w:r>
      <w:r>
        <w:t xml:space="preserve"> Rainey (2004), 218</w:t>
      </w:r>
    </w:p>
  </w:footnote>
  <w:footnote w:id="223">
    <w:p w14:paraId="74E61BAC" w14:textId="77777777" w:rsidR="00C311F9" w:rsidRDefault="00C311F9" w:rsidP="00F21624">
      <w:pPr>
        <w:pStyle w:val="FootnoteText"/>
      </w:pPr>
      <w:r>
        <w:rPr>
          <w:rStyle w:val="FootnoteReference"/>
        </w:rPr>
        <w:footnoteRef/>
      </w:r>
      <w:r>
        <w:t xml:space="preserve"> Diod. 15.17.5</w:t>
      </w:r>
    </w:p>
  </w:footnote>
  <w:footnote w:id="224">
    <w:p w14:paraId="3AC08BDF" w14:textId="77777777" w:rsidR="00C311F9" w:rsidRDefault="00C311F9" w:rsidP="00F21624">
      <w:pPr>
        <w:pStyle w:val="FootnoteText"/>
      </w:pPr>
      <w:r>
        <w:rPr>
          <w:rStyle w:val="FootnoteReference"/>
        </w:rPr>
        <w:footnoteRef/>
      </w:r>
      <w:r>
        <w:t xml:space="preserve"> Diod. 20.57.1-6</w:t>
      </w:r>
    </w:p>
  </w:footnote>
  <w:footnote w:id="225">
    <w:p w14:paraId="07C2C38E" w14:textId="77777777" w:rsidR="00C311F9" w:rsidRDefault="00C311F9" w:rsidP="00F21624">
      <w:pPr>
        <w:pStyle w:val="FootnoteText"/>
      </w:pPr>
      <w:r>
        <w:rPr>
          <w:rStyle w:val="FootnoteReference"/>
        </w:rPr>
        <w:footnoteRef/>
      </w:r>
      <w:r>
        <w:t xml:space="preserve"> </w:t>
      </w:r>
      <w:proofErr w:type="spellStart"/>
      <w:r>
        <w:t>Arist</w:t>
      </w:r>
      <w:proofErr w:type="spellEnd"/>
      <w:r>
        <w:t xml:space="preserve">. Eq. 51.1303-4 and </w:t>
      </w:r>
      <w:proofErr w:type="spellStart"/>
      <w:r>
        <w:t>Plut</w:t>
      </w:r>
      <w:proofErr w:type="spellEnd"/>
      <w:r>
        <w:t>. Per. 21.1</w:t>
      </w:r>
    </w:p>
  </w:footnote>
  <w:footnote w:id="226">
    <w:p w14:paraId="60E49D79" w14:textId="77777777" w:rsidR="00C311F9" w:rsidRDefault="00C311F9" w:rsidP="00F21624">
      <w:pPr>
        <w:pStyle w:val="FootnoteText"/>
      </w:pPr>
      <w:r>
        <w:rPr>
          <w:rStyle w:val="FootnoteReference"/>
        </w:rPr>
        <w:footnoteRef/>
      </w:r>
      <w:r>
        <w:t xml:space="preserve"> </w:t>
      </w:r>
      <w:proofErr w:type="spellStart"/>
      <w:r>
        <w:t>Arist</w:t>
      </w:r>
      <w:proofErr w:type="spellEnd"/>
      <w:r>
        <w:t>. Knights. 172-174 and 1303-1304</w:t>
      </w:r>
    </w:p>
  </w:footnote>
  <w:footnote w:id="227">
    <w:p w14:paraId="3D7A1E0C" w14:textId="77777777" w:rsidR="00C311F9" w:rsidRDefault="00C311F9" w:rsidP="00F21624">
      <w:pPr>
        <w:pStyle w:val="FootnoteText"/>
      </w:pPr>
      <w:r>
        <w:rPr>
          <w:rStyle w:val="FootnoteReference"/>
        </w:rPr>
        <w:footnoteRef/>
      </w:r>
      <w:r>
        <w:t xml:space="preserve"> </w:t>
      </w:r>
      <w:proofErr w:type="spellStart"/>
      <w:r>
        <w:t>Thuc</w:t>
      </w:r>
      <w:proofErr w:type="spellEnd"/>
      <w:r>
        <w:t>. 6.34.1-2</w:t>
      </w:r>
    </w:p>
  </w:footnote>
  <w:footnote w:id="228">
    <w:p w14:paraId="10DF8C34" w14:textId="09EDD846" w:rsidR="00C311F9" w:rsidRDefault="00C311F9" w:rsidP="00F21624">
      <w:pPr>
        <w:pStyle w:val="FootnoteText"/>
      </w:pPr>
      <w:r>
        <w:rPr>
          <w:rStyle w:val="FootnoteReference"/>
        </w:rPr>
        <w:footnoteRef/>
      </w:r>
      <w:r>
        <w:t xml:space="preserve"> </w:t>
      </w:r>
      <w:proofErr w:type="spellStart"/>
      <w:r>
        <w:t>Thuc</w:t>
      </w:r>
      <w:proofErr w:type="spellEnd"/>
      <w:r>
        <w:t xml:space="preserve">. 6.15.2 and 90.2 and </w:t>
      </w:r>
      <w:proofErr w:type="spellStart"/>
      <w:r>
        <w:t>Plut</w:t>
      </w:r>
      <w:proofErr w:type="spellEnd"/>
      <w:r>
        <w:t>. Per. 20.3</w:t>
      </w:r>
    </w:p>
  </w:footnote>
  <w:footnote w:id="229">
    <w:p w14:paraId="6B125232" w14:textId="77777777" w:rsidR="00C311F9" w:rsidRDefault="00C311F9" w:rsidP="00F21624">
      <w:pPr>
        <w:pStyle w:val="FootnoteText"/>
      </w:pPr>
      <w:r>
        <w:rPr>
          <w:rStyle w:val="FootnoteReference"/>
        </w:rPr>
        <w:footnoteRef/>
      </w:r>
      <w:r>
        <w:t xml:space="preserve"> Diod. 20.14.4</w:t>
      </w:r>
    </w:p>
  </w:footnote>
  <w:footnote w:id="230">
    <w:p w14:paraId="40212935" w14:textId="77777777" w:rsidR="00C311F9" w:rsidRDefault="00C311F9" w:rsidP="00F21624">
      <w:pPr>
        <w:pStyle w:val="FootnoteText"/>
      </w:pPr>
      <w:r>
        <w:rPr>
          <w:rStyle w:val="FootnoteReference"/>
        </w:rPr>
        <w:footnoteRef/>
      </w:r>
      <w:r>
        <w:t xml:space="preserve"> Lancel (1995), 120</w:t>
      </w:r>
    </w:p>
  </w:footnote>
  <w:footnote w:id="231">
    <w:p w14:paraId="53369E1C" w14:textId="77777777" w:rsidR="00C311F9" w:rsidRDefault="00C311F9" w:rsidP="00F21624">
      <w:pPr>
        <w:pStyle w:val="FootnoteText"/>
      </w:pPr>
      <w:r>
        <w:rPr>
          <w:rStyle w:val="FootnoteReference"/>
        </w:rPr>
        <w:footnoteRef/>
      </w:r>
      <w:r>
        <w:t xml:space="preserve"> Rainey (2004), 61</w:t>
      </w:r>
    </w:p>
  </w:footnote>
  <w:footnote w:id="232">
    <w:p w14:paraId="715C796D" w14:textId="77777777" w:rsidR="00C311F9" w:rsidRDefault="00C311F9" w:rsidP="00F21624">
      <w:pPr>
        <w:pStyle w:val="FootnoteText"/>
      </w:pPr>
      <w:r>
        <w:rPr>
          <w:rStyle w:val="FootnoteReference"/>
        </w:rPr>
        <w:footnoteRef/>
      </w:r>
      <w:r>
        <w:t xml:space="preserve"> Lancel (1995), 362</w:t>
      </w:r>
    </w:p>
  </w:footnote>
  <w:footnote w:id="233">
    <w:p w14:paraId="03AB41F6" w14:textId="77777777" w:rsidR="00C311F9" w:rsidRDefault="00C311F9" w:rsidP="00F21624">
      <w:pPr>
        <w:pStyle w:val="FootnoteText"/>
      </w:pPr>
      <w:r>
        <w:rPr>
          <w:rStyle w:val="FootnoteReference"/>
        </w:rPr>
        <w:footnoteRef/>
      </w:r>
      <w:r>
        <w:t xml:space="preserve"> Scullard (1990), 487</w:t>
      </w:r>
    </w:p>
  </w:footnote>
  <w:footnote w:id="234">
    <w:p w14:paraId="5C0E3B7A" w14:textId="77777777" w:rsidR="00C311F9" w:rsidRDefault="00C311F9" w:rsidP="00F21624">
      <w:pPr>
        <w:pStyle w:val="FootnoteText"/>
      </w:pPr>
      <w:r>
        <w:rPr>
          <w:rStyle w:val="FootnoteReference"/>
        </w:rPr>
        <w:footnoteRef/>
      </w:r>
      <w:r>
        <w:t xml:space="preserve"> Lancel (1995), 125 and </w:t>
      </w:r>
      <w:proofErr w:type="spellStart"/>
      <w:r>
        <w:t>Scllard</w:t>
      </w:r>
      <w:proofErr w:type="spellEnd"/>
      <w:r>
        <w:t xml:space="preserve"> (1990), 504</w:t>
      </w:r>
    </w:p>
  </w:footnote>
  <w:footnote w:id="235">
    <w:p w14:paraId="290CB19B" w14:textId="77777777" w:rsidR="00C311F9" w:rsidRDefault="00C311F9" w:rsidP="00F21624">
      <w:pPr>
        <w:pStyle w:val="FootnoteText"/>
      </w:pPr>
      <w:r>
        <w:rPr>
          <w:rStyle w:val="FootnoteReference"/>
        </w:rPr>
        <w:footnoteRef/>
      </w:r>
      <w:r>
        <w:t xml:space="preserve"> Pilkington (2013), 289</w:t>
      </w:r>
    </w:p>
  </w:footnote>
  <w:footnote w:id="236">
    <w:p w14:paraId="67064B91" w14:textId="77777777" w:rsidR="00C311F9" w:rsidRDefault="00C311F9" w:rsidP="00F21624">
      <w:pPr>
        <w:pStyle w:val="FootnoteText"/>
      </w:pPr>
      <w:r>
        <w:rPr>
          <w:rStyle w:val="FootnoteReference"/>
        </w:rPr>
        <w:footnoteRef/>
      </w:r>
      <w:r>
        <w:t xml:space="preserve"> Hoyos (2010), 166 and </w:t>
      </w:r>
      <w:proofErr w:type="spellStart"/>
      <w:r>
        <w:t>Ameling</w:t>
      </w:r>
      <w:proofErr w:type="spellEnd"/>
      <w:r>
        <w:t xml:space="preserve"> (2011), 51</w:t>
      </w:r>
    </w:p>
  </w:footnote>
  <w:footnote w:id="237">
    <w:p w14:paraId="778DE5B8" w14:textId="77777777" w:rsidR="00C311F9" w:rsidRDefault="00C311F9" w:rsidP="00F21624">
      <w:pPr>
        <w:pStyle w:val="FootnoteText"/>
      </w:pPr>
      <w:r>
        <w:rPr>
          <w:rStyle w:val="FootnoteReference"/>
        </w:rPr>
        <w:footnoteRef/>
      </w:r>
      <w:r>
        <w:t xml:space="preserve"> Diod. 13.112.1-2 and 13.91.1</w:t>
      </w:r>
    </w:p>
  </w:footnote>
  <w:footnote w:id="238">
    <w:p w14:paraId="79AA9704" w14:textId="77777777" w:rsidR="00C311F9" w:rsidRDefault="00C311F9" w:rsidP="00F21624">
      <w:pPr>
        <w:pStyle w:val="FootnoteText"/>
      </w:pPr>
      <w:r>
        <w:rPr>
          <w:rStyle w:val="FootnoteReference"/>
        </w:rPr>
        <w:footnoteRef/>
      </w:r>
      <w:r>
        <w:t xml:space="preserve"> Whittaker (1979), 66 and Rainey (2004), 217</w:t>
      </w:r>
    </w:p>
  </w:footnote>
  <w:footnote w:id="239">
    <w:p w14:paraId="20707E53" w14:textId="77777777" w:rsidR="00C311F9" w:rsidRDefault="00C311F9" w:rsidP="00F21624">
      <w:pPr>
        <w:pStyle w:val="FootnoteText"/>
      </w:pPr>
      <w:r>
        <w:rPr>
          <w:rStyle w:val="FootnoteReference"/>
        </w:rPr>
        <w:footnoteRef/>
      </w:r>
      <w:r>
        <w:t xml:space="preserve"> Eckstein (2006), 160</w:t>
      </w:r>
    </w:p>
  </w:footnote>
  <w:footnote w:id="240">
    <w:p w14:paraId="16AAF206" w14:textId="77777777" w:rsidR="00C311F9" w:rsidRDefault="00C311F9" w:rsidP="00F21624">
      <w:pPr>
        <w:pStyle w:val="FootnoteText"/>
      </w:pPr>
      <w:r>
        <w:rPr>
          <w:rStyle w:val="FootnoteReference"/>
        </w:rPr>
        <w:footnoteRef/>
      </w:r>
      <w:r>
        <w:t xml:space="preserve"> Whittaker (1979), 65</w:t>
      </w:r>
    </w:p>
  </w:footnote>
  <w:footnote w:id="241">
    <w:p w14:paraId="371388AD" w14:textId="77777777" w:rsidR="00C311F9" w:rsidRDefault="00C311F9" w:rsidP="00F21624">
      <w:pPr>
        <w:pStyle w:val="FootnoteText"/>
      </w:pPr>
      <w:r>
        <w:rPr>
          <w:rStyle w:val="FootnoteReference"/>
        </w:rPr>
        <w:footnoteRef/>
      </w:r>
      <w:r>
        <w:t xml:space="preserve"> Diod. 14.48.1 and 50.4</w:t>
      </w:r>
    </w:p>
  </w:footnote>
  <w:footnote w:id="242">
    <w:p w14:paraId="036F2D0B" w14:textId="77777777" w:rsidR="00C311F9" w:rsidRDefault="00C311F9" w:rsidP="00F21624">
      <w:pPr>
        <w:pStyle w:val="FootnoteText"/>
      </w:pPr>
      <w:r>
        <w:rPr>
          <w:rStyle w:val="FootnoteReference"/>
        </w:rPr>
        <w:footnoteRef/>
      </w:r>
      <w:r>
        <w:t xml:space="preserve"> Rainey (2004), 251</w:t>
      </w:r>
    </w:p>
  </w:footnote>
  <w:footnote w:id="243">
    <w:p w14:paraId="5B1FAA74" w14:textId="77777777" w:rsidR="00C311F9" w:rsidRDefault="00C311F9" w:rsidP="00F21624">
      <w:pPr>
        <w:pStyle w:val="FootnoteText"/>
      </w:pPr>
      <w:r>
        <w:rPr>
          <w:rStyle w:val="FootnoteReference"/>
        </w:rPr>
        <w:footnoteRef/>
      </w:r>
      <w:r>
        <w:t xml:space="preserve"> Pilkington (2013), 314</w:t>
      </w:r>
    </w:p>
  </w:footnote>
  <w:footnote w:id="244">
    <w:p w14:paraId="68DB0B77" w14:textId="77777777" w:rsidR="00C311F9" w:rsidRDefault="00C311F9" w:rsidP="00F21624">
      <w:pPr>
        <w:pStyle w:val="FootnoteText"/>
      </w:pPr>
      <w:r>
        <w:rPr>
          <w:rStyle w:val="FootnoteReference"/>
        </w:rPr>
        <w:footnoteRef/>
      </w:r>
      <w:r>
        <w:t xml:space="preserve"> Whittaker (1979), 89</w:t>
      </w:r>
    </w:p>
  </w:footnote>
  <w:footnote w:id="245">
    <w:p w14:paraId="3653C094" w14:textId="77777777" w:rsidR="00C311F9" w:rsidRDefault="00C311F9" w:rsidP="00F21624">
      <w:pPr>
        <w:pStyle w:val="FootnoteText"/>
      </w:pPr>
      <w:r>
        <w:rPr>
          <w:rStyle w:val="FootnoteReference"/>
        </w:rPr>
        <w:footnoteRef/>
      </w:r>
      <w:r>
        <w:t xml:space="preserve"> Hoyos (2010), 176</w:t>
      </w:r>
    </w:p>
  </w:footnote>
  <w:footnote w:id="246">
    <w:p w14:paraId="460FBA44" w14:textId="77777777" w:rsidR="00C311F9" w:rsidRDefault="00C311F9" w:rsidP="00F21624">
      <w:pPr>
        <w:pStyle w:val="FootnoteText"/>
      </w:pPr>
      <w:r>
        <w:rPr>
          <w:rStyle w:val="FootnoteReference"/>
        </w:rPr>
        <w:footnoteRef/>
      </w:r>
      <w:r>
        <w:t xml:space="preserve"> Lancel (1995), 362</w:t>
      </w:r>
    </w:p>
  </w:footnote>
  <w:footnote w:id="247">
    <w:p w14:paraId="6469AE00" w14:textId="77777777" w:rsidR="00C311F9" w:rsidRDefault="00C311F9" w:rsidP="00F21624">
      <w:pPr>
        <w:pStyle w:val="FootnoteText"/>
      </w:pPr>
      <w:r>
        <w:rPr>
          <w:rStyle w:val="FootnoteReference"/>
        </w:rPr>
        <w:footnoteRef/>
      </w:r>
      <w:r>
        <w:t xml:space="preserve"> Lancel (1995), 269</w:t>
      </w:r>
    </w:p>
  </w:footnote>
  <w:footnote w:id="248">
    <w:p w14:paraId="461DAD7F" w14:textId="77777777" w:rsidR="00C311F9" w:rsidRDefault="00C311F9" w:rsidP="00F21624">
      <w:pPr>
        <w:pStyle w:val="FootnoteText"/>
      </w:pPr>
      <w:r>
        <w:rPr>
          <w:rStyle w:val="FootnoteReference"/>
        </w:rPr>
        <w:footnoteRef/>
      </w:r>
      <w:r>
        <w:t xml:space="preserve"> Serrati (2006), 113</w:t>
      </w:r>
    </w:p>
  </w:footnote>
  <w:footnote w:id="249">
    <w:p w14:paraId="7B95AC10" w14:textId="77777777" w:rsidR="00C311F9" w:rsidRDefault="00C311F9" w:rsidP="00F21624">
      <w:pPr>
        <w:pStyle w:val="FootnoteText"/>
      </w:pPr>
      <w:r>
        <w:rPr>
          <w:rStyle w:val="FootnoteReference"/>
        </w:rPr>
        <w:footnoteRef/>
      </w:r>
      <w:r>
        <w:t xml:space="preserve"> Plb. 3.22.3</w:t>
      </w:r>
    </w:p>
  </w:footnote>
  <w:footnote w:id="250">
    <w:p w14:paraId="37F6D43B" w14:textId="273C9751" w:rsidR="00C311F9" w:rsidRDefault="00C311F9" w:rsidP="00F21624">
      <w:pPr>
        <w:pStyle w:val="FootnoteText"/>
      </w:pPr>
      <w:r>
        <w:rPr>
          <w:rStyle w:val="FootnoteReference"/>
        </w:rPr>
        <w:footnoteRef/>
      </w:r>
      <w:r>
        <w:t xml:space="preserve"> Plb. 3. 22. 4</w:t>
      </w:r>
    </w:p>
  </w:footnote>
  <w:footnote w:id="251">
    <w:p w14:paraId="574B8A42" w14:textId="77777777" w:rsidR="00C311F9" w:rsidRDefault="00C311F9" w:rsidP="00F21624">
      <w:pPr>
        <w:pStyle w:val="FootnoteText"/>
      </w:pPr>
      <w:r>
        <w:rPr>
          <w:rStyle w:val="FootnoteReference"/>
        </w:rPr>
        <w:footnoteRef/>
      </w:r>
      <w:r>
        <w:t xml:space="preserve"> Serrati (2006), 117</w:t>
      </w:r>
    </w:p>
  </w:footnote>
  <w:footnote w:id="252">
    <w:p w14:paraId="0803F45A" w14:textId="77777777" w:rsidR="00C311F9" w:rsidRDefault="00C311F9" w:rsidP="00F21624">
      <w:pPr>
        <w:pStyle w:val="FootnoteText"/>
      </w:pPr>
      <w:r>
        <w:rPr>
          <w:rStyle w:val="FootnoteReference"/>
        </w:rPr>
        <w:footnoteRef/>
      </w:r>
      <w:r>
        <w:t xml:space="preserve"> Livy. 2.9.6</w:t>
      </w:r>
    </w:p>
  </w:footnote>
  <w:footnote w:id="253">
    <w:p w14:paraId="1AC1C32A" w14:textId="77777777" w:rsidR="00C311F9" w:rsidRDefault="00C311F9" w:rsidP="00F21624">
      <w:pPr>
        <w:pStyle w:val="FootnoteText"/>
      </w:pPr>
      <w:r>
        <w:rPr>
          <w:rStyle w:val="FootnoteReference"/>
        </w:rPr>
        <w:footnoteRef/>
      </w:r>
      <w:r>
        <w:t xml:space="preserve"> Livy: 2.34.2-5; 4.12.8-16.8 and Dion. Hal. 5.26.5; 7.20.3-4 and 12.1-4</w:t>
      </w:r>
    </w:p>
  </w:footnote>
  <w:footnote w:id="254">
    <w:p w14:paraId="520CBA3D" w14:textId="77777777" w:rsidR="00C311F9" w:rsidRDefault="00C311F9" w:rsidP="00F21624">
      <w:pPr>
        <w:pStyle w:val="FootnoteText"/>
      </w:pPr>
      <w:r>
        <w:rPr>
          <w:rStyle w:val="FootnoteReference"/>
        </w:rPr>
        <w:footnoteRef/>
      </w:r>
      <w:r>
        <w:t xml:space="preserve"> Serrati (2006), 116</w:t>
      </w:r>
    </w:p>
  </w:footnote>
  <w:footnote w:id="255">
    <w:p w14:paraId="4D51A26E" w14:textId="77777777" w:rsidR="00C311F9" w:rsidRDefault="00C311F9" w:rsidP="00F21624">
      <w:pPr>
        <w:pStyle w:val="FootnoteText"/>
      </w:pPr>
      <w:r>
        <w:rPr>
          <w:rStyle w:val="FootnoteReference"/>
        </w:rPr>
        <w:footnoteRef/>
      </w:r>
      <w:r>
        <w:t xml:space="preserve"> Livy. 7.27.2 Diod. 16.69.1; </w:t>
      </w:r>
      <w:proofErr w:type="spellStart"/>
      <w:r>
        <w:t>Oros</w:t>
      </w:r>
      <w:proofErr w:type="spellEnd"/>
      <w:r>
        <w:t>. 3.7.1 and Plb. 3.24.1</w:t>
      </w:r>
    </w:p>
  </w:footnote>
  <w:footnote w:id="256">
    <w:p w14:paraId="4FD141DB" w14:textId="77777777" w:rsidR="00C311F9" w:rsidRDefault="00C311F9" w:rsidP="00F21624">
      <w:pPr>
        <w:pStyle w:val="FootnoteText"/>
      </w:pPr>
      <w:r>
        <w:rPr>
          <w:rStyle w:val="FootnoteReference"/>
        </w:rPr>
        <w:footnoteRef/>
      </w:r>
      <w:r>
        <w:t xml:space="preserve"> Livy. 7.38.2</w:t>
      </w:r>
    </w:p>
  </w:footnote>
  <w:footnote w:id="257">
    <w:p w14:paraId="29D85DFB" w14:textId="77777777" w:rsidR="00C311F9" w:rsidRDefault="00C311F9" w:rsidP="00F21624">
      <w:pPr>
        <w:pStyle w:val="FootnoteText"/>
      </w:pPr>
      <w:r>
        <w:rPr>
          <w:rStyle w:val="FootnoteReference"/>
        </w:rPr>
        <w:footnoteRef/>
      </w:r>
      <w:r>
        <w:t xml:space="preserve"> Livy. 7.38.2</w:t>
      </w:r>
    </w:p>
  </w:footnote>
  <w:footnote w:id="258">
    <w:p w14:paraId="6C9A1D7A" w14:textId="77777777" w:rsidR="00C311F9" w:rsidRDefault="00C311F9" w:rsidP="00F21624">
      <w:pPr>
        <w:pStyle w:val="FootnoteText"/>
      </w:pPr>
      <w:r>
        <w:rPr>
          <w:rStyle w:val="FootnoteReference"/>
        </w:rPr>
        <w:footnoteRef/>
      </w:r>
      <w:r>
        <w:t xml:space="preserve"> Livy. 7.25.4, 12-13 and 26.13-15</w:t>
      </w:r>
    </w:p>
  </w:footnote>
  <w:footnote w:id="259">
    <w:p w14:paraId="6F69D378" w14:textId="77777777" w:rsidR="00C311F9" w:rsidRDefault="00C311F9" w:rsidP="00F21624">
      <w:pPr>
        <w:pStyle w:val="FootnoteText"/>
      </w:pPr>
      <w:r>
        <w:rPr>
          <w:rStyle w:val="FootnoteReference"/>
        </w:rPr>
        <w:footnoteRef/>
      </w:r>
      <w:r>
        <w:t xml:space="preserve"> </w:t>
      </w:r>
      <w:proofErr w:type="spellStart"/>
      <w:r>
        <w:t>Nedu</w:t>
      </w:r>
      <w:proofErr w:type="spellEnd"/>
      <w:r>
        <w:t xml:space="preserve"> (2008), 80</w:t>
      </w:r>
    </w:p>
  </w:footnote>
  <w:footnote w:id="260">
    <w:p w14:paraId="49E29010" w14:textId="77777777" w:rsidR="00C311F9" w:rsidRDefault="00C311F9" w:rsidP="00F21624">
      <w:pPr>
        <w:pStyle w:val="FootnoteText"/>
      </w:pPr>
      <w:r>
        <w:rPr>
          <w:rStyle w:val="FootnoteReference"/>
        </w:rPr>
        <w:footnoteRef/>
      </w:r>
      <w:r>
        <w:t xml:space="preserve"> Plb. 3.22.4-11</w:t>
      </w:r>
    </w:p>
  </w:footnote>
  <w:footnote w:id="261">
    <w:p w14:paraId="13BD9E31" w14:textId="77777777" w:rsidR="00C311F9" w:rsidRDefault="00C311F9" w:rsidP="00F21624">
      <w:pPr>
        <w:pStyle w:val="FootnoteText"/>
      </w:pPr>
      <w:r>
        <w:rPr>
          <w:rStyle w:val="FootnoteReference"/>
        </w:rPr>
        <w:footnoteRef/>
      </w:r>
      <w:r>
        <w:t xml:space="preserve"> Diod. 15.27.4</w:t>
      </w:r>
    </w:p>
  </w:footnote>
  <w:footnote w:id="262">
    <w:p w14:paraId="6C6A7240" w14:textId="0B33F807" w:rsidR="00C311F9" w:rsidRDefault="00C311F9" w:rsidP="00F21624">
      <w:pPr>
        <w:pStyle w:val="FootnoteText"/>
      </w:pPr>
      <w:r>
        <w:rPr>
          <w:rStyle w:val="FootnoteReference"/>
        </w:rPr>
        <w:footnoteRef/>
      </w:r>
      <w:r>
        <w:t xml:space="preserve"> Plb. 3. 24. 2</w:t>
      </w:r>
    </w:p>
  </w:footnote>
  <w:footnote w:id="263">
    <w:p w14:paraId="4AADE0C9" w14:textId="6357C955" w:rsidR="00C311F9" w:rsidRDefault="00C311F9" w:rsidP="00F21624">
      <w:pPr>
        <w:pStyle w:val="FootnoteText"/>
      </w:pPr>
      <w:r>
        <w:rPr>
          <w:rStyle w:val="FootnoteReference"/>
        </w:rPr>
        <w:footnoteRef/>
      </w:r>
      <w:r>
        <w:t xml:space="preserve"> Plb. 3. 24. 16</w:t>
      </w:r>
    </w:p>
  </w:footnote>
  <w:footnote w:id="264">
    <w:p w14:paraId="0B954947" w14:textId="77777777" w:rsidR="00C311F9" w:rsidRDefault="00C311F9" w:rsidP="00F21624">
      <w:pPr>
        <w:pStyle w:val="FootnoteText"/>
      </w:pPr>
      <w:r>
        <w:rPr>
          <w:rStyle w:val="FootnoteReference"/>
        </w:rPr>
        <w:footnoteRef/>
      </w:r>
      <w:r>
        <w:t xml:space="preserve"> Scullard (1990), 526</w:t>
      </w:r>
    </w:p>
  </w:footnote>
  <w:footnote w:id="265">
    <w:p w14:paraId="7928DC7E" w14:textId="77777777" w:rsidR="00C311F9" w:rsidRDefault="00C311F9" w:rsidP="00F21624">
      <w:pPr>
        <w:pStyle w:val="FootnoteText"/>
      </w:pPr>
      <w:r>
        <w:rPr>
          <w:rStyle w:val="FootnoteReference"/>
        </w:rPr>
        <w:footnoteRef/>
      </w:r>
      <w:r>
        <w:t xml:space="preserve"> Rainey (2004), 187</w:t>
      </w:r>
    </w:p>
  </w:footnote>
  <w:footnote w:id="266">
    <w:p w14:paraId="2F9FB45A" w14:textId="77777777" w:rsidR="00C311F9" w:rsidRDefault="00C311F9" w:rsidP="00F21624">
      <w:pPr>
        <w:pStyle w:val="FootnoteText"/>
      </w:pPr>
      <w:r>
        <w:rPr>
          <w:rStyle w:val="FootnoteReference"/>
        </w:rPr>
        <w:footnoteRef/>
      </w:r>
      <w:r>
        <w:t xml:space="preserve"> Plb. 3.24.3-4 and 3.24.11</w:t>
      </w:r>
    </w:p>
  </w:footnote>
  <w:footnote w:id="267">
    <w:p w14:paraId="1CD6ADCD" w14:textId="77777777" w:rsidR="00C311F9" w:rsidRDefault="00C311F9" w:rsidP="00F21624">
      <w:pPr>
        <w:pStyle w:val="FootnoteText"/>
      </w:pPr>
      <w:r>
        <w:rPr>
          <w:rStyle w:val="FootnoteReference"/>
        </w:rPr>
        <w:footnoteRef/>
      </w:r>
      <w:r>
        <w:t xml:space="preserve"> Lazenby (1996), 32</w:t>
      </w:r>
    </w:p>
  </w:footnote>
  <w:footnote w:id="268">
    <w:p w14:paraId="72D6416D" w14:textId="77777777" w:rsidR="00C311F9" w:rsidRDefault="00C311F9" w:rsidP="00F21624">
      <w:pPr>
        <w:pStyle w:val="FootnoteText"/>
      </w:pPr>
      <w:r>
        <w:rPr>
          <w:rStyle w:val="FootnoteReference"/>
        </w:rPr>
        <w:footnoteRef/>
      </w:r>
      <w:r>
        <w:t xml:space="preserve"> Rainey (2004), 188; Cary (1919), 74; </w:t>
      </w:r>
      <w:proofErr w:type="spellStart"/>
      <w:r>
        <w:t>Nedu</w:t>
      </w:r>
      <w:proofErr w:type="spellEnd"/>
      <w:r>
        <w:t xml:space="preserve"> (2008), 81; Serrati (2006), 120; Lancel (1992), 362; </w:t>
      </w:r>
      <w:proofErr w:type="spellStart"/>
      <w:r>
        <w:t>Scardigli</w:t>
      </w:r>
      <w:proofErr w:type="spellEnd"/>
      <w:r>
        <w:t xml:space="preserve"> (2011), 34</w:t>
      </w:r>
    </w:p>
  </w:footnote>
  <w:footnote w:id="269">
    <w:p w14:paraId="2098D608" w14:textId="77777777" w:rsidR="00C311F9" w:rsidRDefault="00C311F9" w:rsidP="00F21624">
      <w:pPr>
        <w:pStyle w:val="FootnoteText"/>
      </w:pPr>
      <w:r>
        <w:rPr>
          <w:rStyle w:val="FootnoteReference"/>
        </w:rPr>
        <w:footnoteRef/>
      </w:r>
      <w:r>
        <w:t xml:space="preserve"> Lancel (1995), 365</w:t>
      </w:r>
    </w:p>
  </w:footnote>
  <w:footnote w:id="270">
    <w:p w14:paraId="2257A5E2" w14:textId="77777777" w:rsidR="00C311F9" w:rsidRDefault="00C311F9" w:rsidP="00F21624">
      <w:pPr>
        <w:pStyle w:val="FootnoteText"/>
      </w:pPr>
      <w:r>
        <w:rPr>
          <w:rStyle w:val="FootnoteReference"/>
        </w:rPr>
        <w:footnoteRef/>
      </w:r>
      <w:r>
        <w:t xml:space="preserve"> Lazenby (1996), 32; Eckstein (2010), 425 and Hoyos (1985), 107 </w:t>
      </w:r>
    </w:p>
  </w:footnote>
  <w:footnote w:id="271">
    <w:p w14:paraId="178392B1" w14:textId="77777777" w:rsidR="00C311F9" w:rsidRDefault="00C311F9" w:rsidP="00F21624">
      <w:pPr>
        <w:pStyle w:val="FootnoteText"/>
      </w:pPr>
      <w:r>
        <w:rPr>
          <w:rStyle w:val="FootnoteReference"/>
        </w:rPr>
        <w:footnoteRef/>
      </w:r>
      <w:r>
        <w:t xml:space="preserve"> Plb. 3.26.2 and 26.5; 21.9-10</w:t>
      </w:r>
    </w:p>
  </w:footnote>
  <w:footnote w:id="272">
    <w:p w14:paraId="2D9F3DA2" w14:textId="77777777" w:rsidR="00C311F9" w:rsidRDefault="00C311F9" w:rsidP="00F21624">
      <w:pPr>
        <w:pStyle w:val="FootnoteText"/>
      </w:pPr>
      <w:r>
        <w:rPr>
          <w:rStyle w:val="FootnoteReference"/>
        </w:rPr>
        <w:footnoteRef/>
      </w:r>
      <w:r>
        <w:t xml:space="preserve"> Eckstein (2010), 410</w:t>
      </w:r>
    </w:p>
  </w:footnote>
  <w:footnote w:id="273">
    <w:p w14:paraId="510C4592" w14:textId="77777777" w:rsidR="00C311F9" w:rsidRDefault="00C311F9" w:rsidP="00F21624">
      <w:pPr>
        <w:pStyle w:val="FootnoteText"/>
      </w:pPr>
      <w:r>
        <w:rPr>
          <w:rStyle w:val="FootnoteReference"/>
        </w:rPr>
        <w:footnoteRef/>
      </w:r>
      <w:r>
        <w:t xml:space="preserve"> Hoyos (1985), 101</w:t>
      </w:r>
    </w:p>
  </w:footnote>
  <w:footnote w:id="274">
    <w:p w14:paraId="5ED5C416" w14:textId="77777777" w:rsidR="00C311F9" w:rsidRDefault="00C311F9" w:rsidP="00F21624">
      <w:pPr>
        <w:pStyle w:val="FootnoteText"/>
      </w:pPr>
      <w:r>
        <w:rPr>
          <w:rStyle w:val="FootnoteReference"/>
        </w:rPr>
        <w:footnoteRef/>
      </w:r>
      <w:r>
        <w:t xml:space="preserve"> Hoyos (1985), 108</w:t>
      </w:r>
    </w:p>
  </w:footnote>
  <w:footnote w:id="275">
    <w:p w14:paraId="49D055DC" w14:textId="77777777" w:rsidR="00C311F9" w:rsidRDefault="00C311F9" w:rsidP="00F21624">
      <w:pPr>
        <w:pStyle w:val="FootnoteText"/>
      </w:pPr>
      <w:r>
        <w:rPr>
          <w:rStyle w:val="FootnoteReference"/>
        </w:rPr>
        <w:footnoteRef/>
      </w:r>
      <w:r>
        <w:t xml:space="preserve"> Plb. 3.26.3-7</w:t>
      </w:r>
    </w:p>
  </w:footnote>
  <w:footnote w:id="276">
    <w:p w14:paraId="587AB8E7" w14:textId="77777777" w:rsidR="00C311F9" w:rsidRDefault="00C311F9" w:rsidP="00F21624">
      <w:pPr>
        <w:pStyle w:val="FootnoteText"/>
      </w:pPr>
      <w:r>
        <w:rPr>
          <w:rStyle w:val="FootnoteReference"/>
        </w:rPr>
        <w:footnoteRef/>
      </w:r>
      <w:r>
        <w:t xml:space="preserve"> Serrati (2006), 122</w:t>
      </w:r>
    </w:p>
  </w:footnote>
  <w:footnote w:id="277">
    <w:p w14:paraId="771469E7" w14:textId="77777777" w:rsidR="00C311F9" w:rsidRDefault="00C311F9" w:rsidP="00F21624">
      <w:pPr>
        <w:pStyle w:val="FootnoteText"/>
      </w:pPr>
      <w:r>
        <w:rPr>
          <w:rStyle w:val="FootnoteReference"/>
        </w:rPr>
        <w:footnoteRef/>
      </w:r>
      <w:r>
        <w:t xml:space="preserve"> Livy. 9.4.6</w:t>
      </w:r>
    </w:p>
  </w:footnote>
  <w:footnote w:id="278">
    <w:p w14:paraId="652FCA03" w14:textId="77777777" w:rsidR="00C311F9" w:rsidRDefault="00C311F9" w:rsidP="00F21624">
      <w:pPr>
        <w:pStyle w:val="FootnoteText"/>
      </w:pPr>
      <w:r>
        <w:rPr>
          <w:rStyle w:val="FootnoteReference"/>
        </w:rPr>
        <w:footnoteRef/>
      </w:r>
      <w:r>
        <w:t xml:space="preserve"> Eckstein (2010), 418 and Plb. 3.26.1</w:t>
      </w:r>
    </w:p>
  </w:footnote>
  <w:footnote w:id="279">
    <w:p w14:paraId="7565C21C" w14:textId="77777777" w:rsidR="00C311F9" w:rsidRDefault="00C311F9" w:rsidP="00F21624">
      <w:pPr>
        <w:pStyle w:val="FootnoteText"/>
      </w:pPr>
      <w:r>
        <w:rPr>
          <w:rStyle w:val="FootnoteReference"/>
        </w:rPr>
        <w:footnoteRef/>
      </w:r>
      <w:r>
        <w:t xml:space="preserve"> Plb. 3.22-3</w:t>
      </w:r>
    </w:p>
  </w:footnote>
  <w:footnote w:id="280">
    <w:p w14:paraId="5BD49106" w14:textId="77777777" w:rsidR="00C311F9" w:rsidRDefault="00C311F9" w:rsidP="00F21624">
      <w:pPr>
        <w:pStyle w:val="FootnoteText"/>
      </w:pPr>
      <w:r>
        <w:rPr>
          <w:rStyle w:val="FootnoteReference"/>
        </w:rPr>
        <w:footnoteRef/>
      </w:r>
      <w:r>
        <w:t xml:space="preserve"> Plb. 3.24</w:t>
      </w:r>
    </w:p>
  </w:footnote>
  <w:footnote w:id="281">
    <w:p w14:paraId="04CC7FE8" w14:textId="77777777" w:rsidR="00C311F9" w:rsidRDefault="00C311F9" w:rsidP="00F21624">
      <w:pPr>
        <w:pStyle w:val="FootnoteText"/>
      </w:pPr>
      <w:r>
        <w:rPr>
          <w:rStyle w:val="FootnoteReference"/>
        </w:rPr>
        <w:footnoteRef/>
      </w:r>
      <w:r>
        <w:t xml:space="preserve"> Eckstein (2010), 418</w:t>
      </w:r>
    </w:p>
  </w:footnote>
  <w:footnote w:id="282">
    <w:p w14:paraId="345389E6" w14:textId="77777777" w:rsidR="00C311F9" w:rsidRDefault="00C311F9" w:rsidP="00F21624">
      <w:pPr>
        <w:pStyle w:val="FootnoteText"/>
      </w:pPr>
      <w:r>
        <w:rPr>
          <w:rStyle w:val="FootnoteReference"/>
        </w:rPr>
        <w:footnoteRef/>
      </w:r>
      <w:r>
        <w:t xml:space="preserve"> Plb. 3.25</w:t>
      </w:r>
    </w:p>
  </w:footnote>
  <w:footnote w:id="283">
    <w:p w14:paraId="03DE1340" w14:textId="77777777" w:rsidR="00C311F9" w:rsidRDefault="00C311F9" w:rsidP="00F21624">
      <w:pPr>
        <w:pStyle w:val="FootnoteText"/>
      </w:pPr>
      <w:r>
        <w:rPr>
          <w:rStyle w:val="FootnoteReference"/>
        </w:rPr>
        <w:footnoteRef/>
      </w:r>
      <w:r>
        <w:t xml:space="preserve"> Plb. 3.27.7</w:t>
      </w:r>
    </w:p>
  </w:footnote>
  <w:footnote w:id="284">
    <w:p w14:paraId="799537CB" w14:textId="77777777" w:rsidR="00C311F9" w:rsidRDefault="00C311F9" w:rsidP="00F21624">
      <w:pPr>
        <w:pStyle w:val="FootnoteText"/>
      </w:pPr>
      <w:r>
        <w:rPr>
          <w:rStyle w:val="FootnoteReference"/>
        </w:rPr>
        <w:footnoteRef/>
      </w:r>
      <w:r>
        <w:t xml:space="preserve"> Eckstein (2010), 418</w:t>
      </w:r>
    </w:p>
  </w:footnote>
  <w:footnote w:id="285">
    <w:p w14:paraId="6C8A53C4" w14:textId="77777777" w:rsidR="00C311F9" w:rsidRDefault="00C311F9" w:rsidP="00F21624">
      <w:pPr>
        <w:pStyle w:val="FootnoteText"/>
      </w:pPr>
      <w:r>
        <w:rPr>
          <w:rStyle w:val="FootnoteReference"/>
        </w:rPr>
        <w:footnoteRef/>
      </w:r>
      <w:r>
        <w:t xml:space="preserve"> Scullard (1990). 534</w:t>
      </w:r>
    </w:p>
  </w:footnote>
  <w:footnote w:id="286">
    <w:p w14:paraId="11BC6B22" w14:textId="77777777" w:rsidR="00C311F9" w:rsidRDefault="00C311F9" w:rsidP="00F21624">
      <w:pPr>
        <w:pStyle w:val="FootnoteText"/>
      </w:pPr>
      <w:r>
        <w:rPr>
          <w:rStyle w:val="FootnoteReference"/>
        </w:rPr>
        <w:footnoteRef/>
      </w:r>
      <w:r>
        <w:t xml:space="preserve"> </w:t>
      </w:r>
      <w:proofErr w:type="spellStart"/>
      <w:r>
        <w:t>Cic</w:t>
      </w:r>
      <w:proofErr w:type="spellEnd"/>
      <w:r>
        <w:t>. De leg. 3.46</w:t>
      </w:r>
    </w:p>
  </w:footnote>
  <w:footnote w:id="287">
    <w:p w14:paraId="0466C49B" w14:textId="77777777" w:rsidR="00C311F9" w:rsidRDefault="00C311F9" w:rsidP="00F21624">
      <w:pPr>
        <w:pStyle w:val="FootnoteText"/>
      </w:pPr>
      <w:r>
        <w:rPr>
          <w:rStyle w:val="FootnoteReference"/>
        </w:rPr>
        <w:footnoteRef/>
      </w:r>
      <w:r>
        <w:t xml:space="preserve"> Livy.24.10.9 and 42.20.1</w:t>
      </w:r>
    </w:p>
  </w:footnote>
  <w:footnote w:id="288">
    <w:p w14:paraId="75912C32" w14:textId="77777777" w:rsidR="00C311F9" w:rsidRDefault="00C311F9" w:rsidP="00F21624">
      <w:pPr>
        <w:pStyle w:val="FootnoteText"/>
      </w:pPr>
      <w:r>
        <w:rPr>
          <w:rStyle w:val="FootnoteReference"/>
        </w:rPr>
        <w:footnoteRef/>
      </w:r>
      <w:r>
        <w:t xml:space="preserve"> Plb. 3.26.2</w:t>
      </w:r>
    </w:p>
  </w:footnote>
  <w:footnote w:id="289">
    <w:p w14:paraId="5D597BB7" w14:textId="77777777" w:rsidR="00C311F9" w:rsidRDefault="00C311F9" w:rsidP="00F21624">
      <w:pPr>
        <w:pStyle w:val="FootnoteText"/>
      </w:pPr>
      <w:r>
        <w:rPr>
          <w:rStyle w:val="FootnoteReference"/>
        </w:rPr>
        <w:footnoteRef/>
      </w:r>
      <w:r>
        <w:t xml:space="preserve"> Cato. Ori. 4. Fr.9c</w:t>
      </w:r>
    </w:p>
  </w:footnote>
  <w:footnote w:id="290">
    <w:p w14:paraId="4CEBF791" w14:textId="77777777" w:rsidR="00C311F9" w:rsidRDefault="00C311F9" w:rsidP="00F21624">
      <w:pPr>
        <w:pStyle w:val="FootnoteText"/>
      </w:pPr>
      <w:r>
        <w:rPr>
          <w:rStyle w:val="FootnoteReference"/>
        </w:rPr>
        <w:footnoteRef/>
      </w:r>
      <w:r>
        <w:t xml:space="preserve"> Livy. 9.43.26; 21.10.8</w:t>
      </w:r>
    </w:p>
  </w:footnote>
  <w:footnote w:id="291">
    <w:p w14:paraId="13855896" w14:textId="77777777" w:rsidR="00C311F9" w:rsidRDefault="00C311F9" w:rsidP="00F21624">
      <w:pPr>
        <w:pStyle w:val="FootnoteText"/>
      </w:pPr>
      <w:r>
        <w:rPr>
          <w:rStyle w:val="FootnoteReference"/>
        </w:rPr>
        <w:footnoteRef/>
      </w:r>
      <w:r>
        <w:t xml:space="preserve"> Serrati (2006), 127 </w:t>
      </w:r>
    </w:p>
  </w:footnote>
  <w:footnote w:id="292">
    <w:p w14:paraId="7DA41CF9" w14:textId="77777777" w:rsidR="00C311F9" w:rsidRDefault="00C311F9" w:rsidP="00F21624">
      <w:pPr>
        <w:pStyle w:val="FootnoteText"/>
      </w:pPr>
      <w:r>
        <w:rPr>
          <w:rStyle w:val="FootnoteReference"/>
        </w:rPr>
        <w:footnoteRef/>
      </w:r>
      <w:r>
        <w:t xml:space="preserve"> Diod. 20.35, 44.9; Livy 9.31.1;32.1-10 and 33.2</w:t>
      </w:r>
    </w:p>
  </w:footnote>
  <w:footnote w:id="293">
    <w:p w14:paraId="1BF87C4A" w14:textId="77777777" w:rsidR="00C311F9" w:rsidRDefault="00C311F9" w:rsidP="00F21624">
      <w:pPr>
        <w:pStyle w:val="FootnoteText"/>
      </w:pPr>
      <w:r>
        <w:rPr>
          <w:rStyle w:val="FootnoteReference"/>
        </w:rPr>
        <w:footnoteRef/>
      </w:r>
      <w:r>
        <w:t xml:space="preserve"> Diod. 20.61.6 and Just. 22.8.4-6</w:t>
      </w:r>
    </w:p>
  </w:footnote>
  <w:footnote w:id="294">
    <w:p w14:paraId="26C4D1DD" w14:textId="77777777" w:rsidR="00C311F9" w:rsidRDefault="00C311F9" w:rsidP="00F21624">
      <w:pPr>
        <w:pStyle w:val="FootnoteText"/>
      </w:pPr>
      <w:r>
        <w:rPr>
          <w:rStyle w:val="FootnoteReference"/>
        </w:rPr>
        <w:footnoteRef/>
      </w:r>
      <w:r>
        <w:t xml:space="preserve"> Plb. 3.25.2</w:t>
      </w:r>
    </w:p>
  </w:footnote>
  <w:footnote w:id="295">
    <w:p w14:paraId="7AC5F5AA" w14:textId="77777777" w:rsidR="00C311F9" w:rsidRDefault="00C311F9" w:rsidP="00F21624">
      <w:pPr>
        <w:pStyle w:val="FootnoteText"/>
      </w:pPr>
      <w:r>
        <w:rPr>
          <w:rStyle w:val="FootnoteReference"/>
        </w:rPr>
        <w:footnoteRef/>
      </w:r>
      <w:r>
        <w:t xml:space="preserve"> Livy. Per. 14</w:t>
      </w:r>
    </w:p>
  </w:footnote>
  <w:footnote w:id="296">
    <w:p w14:paraId="176E7F3C" w14:textId="77777777" w:rsidR="00C311F9" w:rsidRDefault="00C311F9" w:rsidP="00F21624">
      <w:pPr>
        <w:pStyle w:val="FootnoteText"/>
      </w:pPr>
      <w:r>
        <w:rPr>
          <w:rStyle w:val="FootnoteReference"/>
        </w:rPr>
        <w:footnoteRef/>
      </w:r>
      <w:r>
        <w:t xml:space="preserve"> Livy. 21.10.8</w:t>
      </w:r>
    </w:p>
  </w:footnote>
  <w:footnote w:id="297">
    <w:p w14:paraId="0513D9AC" w14:textId="77777777" w:rsidR="00C311F9" w:rsidRDefault="00C311F9" w:rsidP="00F21624">
      <w:pPr>
        <w:pStyle w:val="FootnoteText"/>
      </w:pPr>
      <w:r>
        <w:rPr>
          <w:rStyle w:val="FootnoteReference"/>
        </w:rPr>
        <w:footnoteRef/>
      </w:r>
      <w:r>
        <w:t xml:space="preserve"> Serrati (2006), 113</w:t>
      </w:r>
    </w:p>
  </w:footnote>
  <w:footnote w:id="298">
    <w:p w14:paraId="659249CA" w14:textId="77777777" w:rsidR="00C311F9" w:rsidRDefault="00C311F9" w:rsidP="00F21624">
      <w:pPr>
        <w:pStyle w:val="FootnoteText"/>
      </w:pPr>
      <w:r>
        <w:rPr>
          <w:rStyle w:val="FootnoteReference"/>
        </w:rPr>
        <w:footnoteRef/>
      </w:r>
      <w:r>
        <w:t xml:space="preserve"> Livy. Per. 14; 21.10.8; </w:t>
      </w:r>
      <w:proofErr w:type="spellStart"/>
      <w:r>
        <w:t>dio</w:t>
      </w:r>
      <w:proofErr w:type="spellEnd"/>
      <w:r>
        <w:t xml:space="preserve">. Frg.43.1; Oros.4.5.2 and </w:t>
      </w:r>
      <w:proofErr w:type="spellStart"/>
      <w:r>
        <w:t>Zon</w:t>
      </w:r>
      <w:proofErr w:type="spellEnd"/>
      <w:r>
        <w:t>. 8.8.3</w:t>
      </w:r>
    </w:p>
  </w:footnote>
  <w:footnote w:id="299">
    <w:p w14:paraId="3825ADF7" w14:textId="77777777" w:rsidR="00C311F9" w:rsidRDefault="00C311F9" w:rsidP="00F21624">
      <w:pPr>
        <w:pStyle w:val="FootnoteText"/>
      </w:pPr>
      <w:r>
        <w:rPr>
          <w:rStyle w:val="FootnoteReference"/>
        </w:rPr>
        <w:footnoteRef/>
      </w:r>
      <w:r>
        <w:t xml:space="preserve"> Eckstein (2010), 409</w:t>
      </w:r>
    </w:p>
  </w:footnote>
  <w:footnote w:id="300">
    <w:p w14:paraId="188F9F92" w14:textId="77777777" w:rsidR="00C311F9" w:rsidRDefault="00C311F9" w:rsidP="00F21624">
      <w:pPr>
        <w:pStyle w:val="FootnoteText"/>
      </w:pPr>
      <w:r>
        <w:rPr>
          <w:rStyle w:val="FootnoteReference"/>
        </w:rPr>
        <w:footnoteRef/>
      </w:r>
      <w:r>
        <w:t xml:space="preserve"> Scullard (1990), 531</w:t>
      </w:r>
    </w:p>
  </w:footnote>
  <w:footnote w:id="301">
    <w:p w14:paraId="58E9586A" w14:textId="77777777" w:rsidR="00C311F9" w:rsidRDefault="00C311F9" w:rsidP="00F21624">
      <w:pPr>
        <w:pStyle w:val="FootnoteText"/>
      </w:pPr>
      <w:r>
        <w:rPr>
          <w:rStyle w:val="FootnoteReference"/>
        </w:rPr>
        <w:footnoteRef/>
      </w:r>
      <w:r>
        <w:t xml:space="preserve"> Rainey (2004), 191</w:t>
      </w:r>
    </w:p>
  </w:footnote>
  <w:footnote w:id="302">
    <w:p w14:paraId="0AF1B314" w14:textId="77777777" w:rsidR="00C311F9" w:rsidRDefault="00C311F9" w:rsidP="00F21624">
      <w:pPr>
        <w:pStyle w:val="FootnoteText"/>
      </w:pPr>
      <w:r>
        <w:rPr>
          <w:rStyle w:val="FootnoteReference"/>
        </w:rPr>
        <w:footnoteRef/>
      </w:r>
      <w:r>
        <w:t xml:space="preserve"> Rainey (2004), 188</w:t>
      </w:r>
    </w:p>
  </w:footnote>
  <w:footnote w:id="303">
    <w:p w14:paraId="756FAE33" w14:textId="77777777" w:rsidR="00C311F9" w:rsidRDefault="00C311F9" w:rsidP="00F21624">
      <w:pPr>
        <w:pStyle w:val="FootnoteText"/>
      </w:pPr>
      <w:r>
        <w:rPr>
          <w:rStyle w:val="FootnoteReference"/>
        </w:rPr>
        <w:footnoteRef/>
      </w:r>
      <w:r>
        <w:t xml:space="preserve"> Rainey (2004), 190</w:t>
      </w:r>
    </w:p>
  </w:footnote>
  <w:footnote w:id="304">
    <w:p w14:paraId="587AD39C" w14:textId="77777777" w:rsidR="00C311F9" w:rsidRDefault="00C311F9" w:rsidP="00F21624">
      <w:pPr>
        <w:pStyle w:val="FootnoteText"/>
      </w:pPr>
      <w:r>
        <w:rPr>
          <w:rStyle w:val="FootnoteReference"/>
        </w:rPr>
        <w:footnoteRef/>
      </w:r>
      <w:r>
        <w:t xml:space="preserve"> Livy. 7.27.21</w:t>
      </w:r>
    </w:p>
  </w:footnote>
  <w:footnote w:id="305">
    <w:p w14:paraId="7B14F5E3" w14:textId="77777777" w:rsidR="00C311F9" w:rsidRDefault="00C311F9" w:rsidP="00F21624">
      <w:pPr>
        <w:pStyle w:val="FootnoteText"/>
      </w:pPr>
      <w:r>
        <w:rPr>
          <w:rStyle w:val="FootnoteReference"/>
        </w:rPr>
        <w:footnoteRef/>
      </w:r>
      <w:r>
        <w:t xml:space="preserve"> Livy. 7.25.4 and 26.14</w:t>
      </w:r>
    </w:p>
  </w:footnote>
  <w:footnote w:id="306">
    <w:p w14:paraId="6E2A0D15" w14:textId="77777777" w:rsidR="00C311F9" w:rsidRDefault="00C311F9" w:rsidP="00F21624">
      <w:pPr>
        <w:pStyle w:val="FootnoteText"/>
        <w:rPr>
          <w:color w:val="FF0000"/>
        </w:rPr>
      </w:pPr>
      <w:r>
        <w:rPr>
          <w:rStyle w:val="FootnoteReference"/>
          <w:color w:val="FF0000"/>
        </w:rPr>
        <w:footnoteRef/>
      </w:r>
      <w:r>
        <w:rPr>
          <w:color w:val="FF0000"/>
        </w:rPr>
        <w:t xml:space="preserve"> Livy. 4.2</w:t>
      </w:r>
    </w:p>
  </w:footnote>
  <w:footnote w:id="307">
    <w:p w14:paraId="5E44D623" w14:textId="77777777" w:rsidR="00C311F9" w:rsidRDefault="00C311F9" w:rsidP="00F21624">
      <w:pPr>
        <w:pStyle w:val="FootnoteText"/>
      </w:pPr>
      <w:r>
        <w:rPr>
          <w:rStyle w:val="FootnoteReference"/>
        </w:rPr>
        <w:footnoteRef/>
      </w:r>
      <w:r>
        <w:t xml:space="preserve"> </w:t>
      </w:r>
      <w:proofErr w:type="spellStart"/>
      <w:r>
        <w:t>Nedu</w:t>
      </w:r>
      <w:proofErr w:type="spellEnd"/>
      <w:r>
        <w:t xml:space="preserve"> (2008), 81</w:t>
      </w:r>
    </w:p>
  </w:footnote>
  <w:footnote w:id="308">
    <w:p w14:paraId="11D7F221" w14:textId="77777777" w:rsidR="00C311F9" w:rsidRDefault="00C311F9" w:rsidP="00F21624">
      <w:pPr>
        <w:pStyle w:val="FootnoteText"/>
      </w:pPr>
      <w:r>
        <w:rPr>
          <w:rStyle w:val="FootnoteReference"/>
        </w:rPr>
        <w:footnoteRef/>
      </w:r>
      <w:r>
        <w:t xml:space="preserve"> Serrati (2006), 120</w:t>
      </w:r>
    </w:p>
  </w:footnote>
  <w:footnote w:id="309">
    <w:p w14:paraId="2470A7AB" w14:textId="77777777" w:rsidR="00C311F9" w:rsidRDefault="00C311F9" w:rsidP="00F21624">
      <w:pPr>
        <w:pStyle w:val="FootnoteText"/>
      </w:pPr>
      <w:r>
        <w:rPr>
          <w:rStyle w:val="FootnoteReference"/>
        </w:rPr>
        <w:footnoteRef/>
      </w:r>
      <w:r>
        <w:t xml:space="preserve"> Scullard (1990). 535</w:t>
      </w:r>
    </w:p>
  </w:footnote>
  <w:footnote w:id="310">
    <w:p w14:paraId="10DD1022" w14:textId="77777777" w:rsidR="00C311F9" w:rsidRDefault="00C311F9" w:rsidP="00F21624">
      <w:pPr>
        <w:pStyle w:val="FootnoteText"/>
      </w:pPr>
      <w:r>
        <w:rPr>
          <w:rStyle w:val="FootnoteReference"/>
        </w:rPr>
        <w:footnoteRef/>
      </w:r>
      <w:r>
        <w:t xml:space="preserve"> Rainey (2004), 191 and Lazenby (1996), 32</w:t>
      </w:r>
    </w:p>
  </w:footnote>
  <w:footnote w:id="311">
    <w:p w14:paraId="0BC0A6FF" w14:textId="77777777" w:rsidR="00C311F9" w:rsidRDefault="00C311F9" w:rsidP="00F21624">
      <w:pPr>
        <w:pStyle w:val="FootnoteText"/>
      </w:pPr>
      <w:r>
        <w:rPr>
          <w:rStyle w:val="FootnoteReference"/>
        </w:rPr>
        <w:footnoteRef/>
      </w:r>
      <w:r>
        <w:t xml:space="preserve"> </w:t>
      </w:r>
      <w:proofErr w:type="spellStart"/>
      <w:r>
        <w:t>Plut</w:t>
      </w:r>
      <w:proofErr w:type="spellEnd"/>
      <w:r>
        <w:t xml:space="preserve">. </w:t>
      </w:r>
      <w:proofErr w:type="spellStart"/>
      <w:r>
        <w:t>Pyrr</w:t>
      </w:r>
      <w:proofErr w:type="spellEnd"/>
      <w:r>
        <w:t xml:space="preserve">. 14.6 </w:t>
      </w:r>
    </w:p>
  </w:footnote>
  <w:footnote w:id="312">
    <w:p w14:paraId="78D3326A" w14:textId="77777777" w:rsidR="00C311F9" w:rsidRDefault="00C311F9" w:rsidP="00F21624">
      <w:pPr>
        <w:pStyle w:val="FootnoteText"/>
      </w:pPr>
      <w:r>
        <w:rPr>
          <w:rStyle w:val="FootnoteReference"/>
        </w:rPr>
        <w:footnoteRef/>
      </w:r>
      <w:r>
        <w:t xml:space="preserve"> </w:t>
      </w:r>
      <w:proofErr w:type="spellStart"/>
      <w:r>
        <w:t>Plut</w:t>
      </w:r>
      <w:proofErr w:type="spellEnd"/>
      <w:r>
        <w:t xml:space="preserve">. </w:t>
      </w:r>
      <w:proofErr w:type="spellStart"/>
      <w:r>
        <w:t>Pyrr</w:t>
      </w:r>
      <w:proofErr w:type="spellEnd"/>
      <w:r>
        <w:t>. 14.8</w:t>
      </w:r>
    </w:p>
  </w:footnote>
  <w:footnote w:id="313">
    <w:p w14:paraId="55D4951A" w14:textId="77777777" w:rsidR="00C311F9" w:rsidRDefault="00C311F9" w:rsidP="00F21624">
      <w:pPr>
        <w:pStyle w:val="FootnoteText"/>
      </w:pPr>
      <w:r>
        <w:rPr>
          <w:rStyle w:val="FootnoteReference"/>
        </w:rPr>
        <w:footnoteRef/>
      </w:r>
      <w:r>
        <w:t xml:space="preserve"> Rainey (2004), 191</w:t>
      </w:r>
    </w:p>
  </w:footnote>
  <w:footnote w:id="314">
    <w:p w14:paraId="61E3CE56" w14:textId="77777777" w:rsidR="00C311F9" w:rsidRDefault="00C311F9" w:rsidP="00F21624">
      <w:pPr>
        <w:pStyle w:val="FootnoteText"/>
      </w:pPr>
      <w:r>
        <w:rPr>
          <w:rStyle w:val="FootnoteReference"/>
        </w:rPr>
        <w:footnoteRef/>
      </w:r>
      <w:r>
        <w:t xml:space="preserve"> Rainey (2004), 191</w:t>
      </w:r>
    </w:p>
  </w:footnote>
  <w:footnote w:id="315">
    <w:p w14:paraId="7B6F989F" w14:textId="77777777" w:rsidR="00C311F9" w:rsidRDefault="00C311F9" w:rsidP="00F21624">
      <w:pPr>
        <w:pStyle w:val="FootnoteText"/>
      </w:pPr>
      <w:r>
        <w:rPr>
          <w:rStyle w:val="FootnoteReference"/>
        </w:rPr>
        <w:footnoteRef/>
      </w:r>
      <w:r>
        <w:t xml:space="preserve"> Eckstein (2006), 14</w:t>
      </w:r>
    </w:p>
  </w:footnote>
  <w:footnote w:id="316">
    <w:p w14:paraId="033F14BC" w14:textId="77777777" w:rsidR="00C311F9" w:rsidRDefault="00C311F9" w:rsidP="00F21624">
      <w:pPr>
        <w:pStyle w:val="FootnoteText"/>
      </w:pPr>
      <w:r>
        <w:rPr>
          <w:rStyle w:val="FootnoteReference"/>
        </w:rPr>
        <w:footnoteRef/>
      </w:r>
      <w:r>
        <w:t xml:space="preserve"> Eckstein (2006), 50</w:t>
      </w:r>
    </w:p>
  </w:footnote>
  <w:footnote w:id="317">
    <w:p w14:paraId="57FDE267" w14:textId="77777777" w:rsidR="00C311F9" w:rsidRDefault="00C311F9" w:rsidP="00F21624">
      <w:pPr>
        <w:pStyle w:val="FootnoteText"/>
      </w:pPr>
      <w:r>
        <w:rPr>
          <w:rStyle w:val="FootnoteReference"/>
        </w:rPr>
        <w:footnoteRef/>
      </w:r>
      <w:r>
        <w:t xml:space="preserve"> </w:t>
      </w:r>
      <w:proofErr w:type="spellStart"/>
      <w:r>
        <w:t>Plut</w:t>
      </w:r>
      <w:proofErr w:type="spellEnd"/>
      <w:r>
        <w:t xml:space="preserve">. </w:t>
      </w:r>
      <w:proofErr w:type="spellStart"/>
      <w:r>
        <w:t>Pyrr</w:t>
      </w:r>
      <w:proofErr w:type="spellEnd"/>
      <w:r>
        <w:t>. 13. 5</w:t>
      </w:r>
    </w:p>
  </w:footnote>
  <w:footnote w:id="318">
    <w:p w14:paraId="41E3673A" w14:textId="77777777" w:rsidR="00C311F9" w:rsidRDefault="00C311F9" w:rsidP="00F21624">
      <w:pPr>
        <w:pStyle w:val="FootnoteText"/>
      </w:pPr>
      <w:r>
        <w:rPr>
          <w:rStyle w:val="FootnoteReference"/>
        </w:rPr>
        <w:footnoteRef/>
      </w:r>
      <w:r>
        <w:t xml:space="preserve"> App. Sam. 7.1</w:t>
      </w:r>
    </w:p>
  </w:footnote>
  <w:footnote w:id="319">
    <w:p w14:paraId="4BFC05CB" w14:textId="77777777" w:rsidR="00C311F9" w:rsidRDefault="00C311F9" w:rsidP="00F21624">
      <w:pPr>
        <w:pStyle w:val="FootnoteText"/>
      </w:pPr>
      <w:r>
        <w:rPr>
          <w:rStyle w:val="FootnoteReference"/>
        </w:rPr>
        <w:footnoteRef/>
      </w:r>
      <w:r>
        <w:t xml:space="preserve"> Livy. Per.12; App. Sam. 7; </w:t>
      </w:r>
      <w:proofErr w:type="spellStart"/>
      <w:r>
        <w:t>zon</w:t>
      </w:r>
      <w:proofErr w:type="spellEnd"/>
      <w:r>
        <w:t>. 8.2</w:t>
      </w:r>
      <w:proofErr w:type="gramStart"/>
      <w:r>
        <w:t xml:space="preserve">;  </w:t>
      </w:r>
      <w:proofErr w:type="spellStart"/>
      <w:r>
        <w:t>Oros</w:t>
      </w:r>
      <w:proofErr w:type="spellEnd"/>
      <w:proofErr w:type="gramEnd"/>
      <w:r>
        <w:t>. 4.1.1</w:t>
      </w:r>
    </w:p>
  </w:footnote>
  <w:footnote w:id="320">
    <w:p w14:paraId="1E7721E7" w14:textId="77777777" w:rsidR="00C311F9" w:rsidRDefault="00C311F9" w:rsidP="00F21624">
      <w:pPr>
        <w:pStyle w:val="FootnoteText"/>
      </w:pPr>
      <w:r>
        <w:rPr>
          <w:rStyle w:val="FootnoteReference"/>
        </w:rPr>
        <w:footnoteRef/>
      </w:r>
      <w:r>
        <w:t xml:space="preserve"> Eckstein (2006), 21</w:t>
      </w:r>
    </w:p>
  </w:footnote>
  <w:footnote w:id="321">
    <w:p w14:paraId="5B5C56A2" w14:textId="77777777" w:rsidR="00C311F9" w:rsidRDefault="00C311F9" w:rsidP="00F21624">
      <w:pPr>
        <w:pStyle w:val="FootnoteText"/>
      </w:pPr>
      <w:r>
        <w:rPr>
          <w:rStyle w:val="FootnoteReference"/>
        </w:rPr>
        <w:footnoteRef/>
      </w:r>
      <w:r>
        <w:t xml:space="preserve"> Eckstein (2006), 21</w:t>
      </w:r>
    </w:p>
  </w:footnote>
  <w:footnote w:id="322">
    <w:p w14:paraId="00747C24" w14:textId="77777777" w:rsidR="00C311F9" w:rsidRDefault="00C311F9" w:rsidP="00F21624">
      <w:pPr>
        <w:pStyle w:val="FootnoteText"/>
      </w:pPr>
      <w:r>
        <w:rPr>
          <w:rStyle w:val="FootnoteReference"/>
        </w:rPr>
        <w:footnoteRef/>
      </w:r>
      <w:r>
        <w:t xml:space="preserve"> Eckstein (2006), 14</w:t>
      </w:r>
    </w:p>
  </w:footnote>
  <w:footnote w:id="323">
    <w:p w14:paraId="0FCB2B27" w14:textId="77777777" w:rsidR="00C311F9" w:rsidRDefault="00C311F9" w:rsidP="00F21624">
      <w:pPr>
        <w:pStyle w:val="FootnoteText"/>
      </w:pPr>
      <w:r>
        <w:rPr>
          <w:rStyle w:val="FootnoteReference"/>
        </w:rPr>
        <w:footnoteRef/>
      </w:r>
      <w:r>
        <w:t xml:space="preserve"> </w:t>
      </w:r>
      <w:proofErr w:type="spellStart"/>
      <w:r>
        <w:t>Plut</w:t>
      </w:r>
      <w:proofErr w:type="spellEnd"/>
      <w:r>
        <w:t xml:space="preserve">. </w:t>
      </w:r>
      <w:proofErr w:type="spellStart"/>
      <w:r>
        <w:t>Pyrr</w:t>
      </w:r>
      <w:proofErr w:type="spellEnd"/>
      <w:r>
        <w:t>. 13.6</w:t>
      </w:r>
    </w:p>
  </w:footnote>
  <w:footnote w:id="324">
    <w:p w14:paraId="46B2B05E" w14:textId="77777777" w:rsidR="00C311F9" w:rsidRDefault="00C311F9" w:rsidP="00F21624">
      <w:pPr>
        <w:pStyle w:val="FootnoteText"/>
      </w:pPr>
      <w:r>
        <w:rPr>
          <w:rStyle w:val="FootnoteReference"/>
        </w:rPr>
        <w:footnoteRef/>
      </w:r>
      <w:r>
        <w:t xml:space="preserve"> </w:t>
      </w:r>
      <w:proofErr w:type="spellStart"/>
      <w:r>
        <w:t>Plut</w:t>
      </w:r>
      <w:proofErr w:type="spellEnd"/>
      <w:r>
        <w:t xml:space="preserve">. </w:t>
      </w:r>
      <w:proofErr w:type="spellStart"/>
      <w:r>
        <w:t>Pyrr</w:t>
      </w:r>
      <w:proofErr w:type="spellEnd"/>
      <w:r>
        <w:t>. 18.5</w:t>
      </w:r>
    </w:p>
  </w:footnote>
  <w:footnote w:id="325">
    <w:p w14:paraId="315A1291" w14:textId="77777777" w:rsidR="00C311F9" w:rsidRDefault="00C311F9" w:rsidP="00F21624">
      <w:pPr>
        <w:pStyle w:val="FootnoteText"/>
      </w:pPr>
      <w:r>
        <w:rPr>
          <w:rStyle w:val="FootnoteReference"/>
        </w:rPr>
        <w:footnoteRef/>
      </w:r>
      <w:r>
        <w:t xml:space="preserve"> </w:t>
      </w:r>
      <w:proofErr w:type="spellStart"/>
      <w:r>
        <w:t>Plut</w:t>
      </w:r>
      <w:proofErr w:type="spellEnd"/>
      <w:r>
        <w:t xml:space="preserve">. </w:t>
      </w:r>
      <w:proofErr w:type="spellStart"/>
      <w:r>
        <w:rPr>
          <w:i/>
          <w:iCs/>
        </w:rPr>
        <w:t>Pyrr</w:t>
      </w:r>
      <w:proofErr w:type="spellEnd"/>
      <w:r>
        <w:t>. 18.5</w:t>
      </w:r>
    </w:p>
  </w:footnote>
  <w:footnote w:id="326">
    <w:p w14:paraId="41F5EA4D" w14:textId="77777777" w:rsidR="00C311F9" w:rsidRDefault="00C311F9" w:rsidP="00F21624">
      <w:pPr>
        <w:pStyle w:val="FootnoteText"/>
      </w:pPr>
      <w:r>
        <w:rPr>
          <w:rStyle w:val="FootnoteReference"/>
        </w:rPr>
        <w:footnoteRef/>
      </w:r>
      <w:r>
        <w:t xml:space="preserve"> </w:t>
      </w:r>
      <w:proofErr w:type="spellStart"/>
      <w:r>
        <w:t>Plut</w:t>
      </w:r>
      <w:proofErr w:type="spellEnd"/>
      <w:r>
        <w:t xml:space="preserve">. </w:t>
      </w:r>
      <w:proofErr w:type="spellStart"/>
      <w:r>
        <w:rPr>
          <w:i/>
          <w:iCs/>
        </w:rPr>
        <w:t>Pyrr</w:t>
      </w:r>
      <w:proofErr w:type="spellEnd"/>
      <w:r>
        <w:t>. 12.6</w:t>
      </w:r>
    </w:p>
  </w:footnote>
  <w:footnote w:id="327">
    <w:p w14:paraId="122A7699" w14:textId="77777777" w:rsidR="00C311F9" w:rsidRDefault="00C311F9" w:rsidP="00F21624">
      <w:pPr>
        <w:pStyle w:val="FootnoteText"/>
      </w:pPr>
      <w:r>
        <w:rPr>
          <w:rStyle w:val="FootnoteReference"/>
        </w:rPr>
        <w:footnoteRef/>
      </w:r>
      <w:r>
        <w:t xml:space="preserve"> Dion Hal 19.6 and App </w:t>
      </w:r>
      <w:proofErr w:type="spellStart"/>
      <w:r>
        <w:t>Samn</w:t>
      </w:r>
      <w:proofErr w:type="spellEnd"/>
      <w:r>
        <w:t xml:space="preserve"> 7.3</w:t>
      </w:r>
    </w:p>
  </w:footnote>
  <w:footnote w:id="328">
    <w:p w14:paraId="02149145" w14:textId="77777777" w:rsidR="00C311F9" w:rsidRDefault="00C311F9" w:rsidP="00F21624">
      <w:pPr>
        <w:pStyle w:val="FootnoteText"/>
      </w:pPr>
      <w:r>
        <w:rPr>
          <w:rStyle w:val="FootnoteReference"/>
        </w:rPr>
        <w:footnoteRef/>
      </w:r>
      <w:r>
        <w:t xml:space="preserve"> Forsythe (2005), 286; Oakley (1993), 16; Cornell (1990), 334; Rich (1993), 62 and Harris (1979), 60</w:t>
      </w:r>
    </w:p>
  </w:footnote>
  <w:footnote w:id="329">
    <w:p w14:paraId="6A15B4B1" w14:textId="77777777" w:rsidR="00C311F9" w:rsidRDefault="00C311F9" w:rsidP="00F21624">
      <w:pPr>
        <w:pStyle w:val="FootnoteText"/>
      </w:pPr>
      <w:r>
        <w:rPr>
          <w:rStyle w:val="FootnoteReference"/>
        </w:rPr>
        <w:footnoteRef/>
      </w:r>
      <w:r>
        <w:t xml:space="preserve"> </w:t>
      </w:r>
      <w:proofErr w:type="spellStart"/>
      <w:r>
        <w:t>Hdt</w:t>
      </w:r>
      <w:proofErr w:type="spellEnd"/>
      <w:r>
        <w:t xml:space="preserve"> 7.170</w:t>
      </w:r>
    </w:p>
  </w:footnote>
  <w:footnote w:id="330">
    <w:p w14:paraId="5DC1E615" w14:textId="77777777" w:rsidR="00C311F9" w:rsidRDefault="00C311F9" w:rsidP="00F21624">
      <w:pPr>
        <w:pStyle w:val="FootnoteText"/>
      </w:pPr>
      <w:r>
        <w:rPr>
          <w:rStyle w:val="FootnoteReference"/>
        </w:rPr>
        <w:footnoteRef/>
      </w:r>
      <w:r>
        <w:t xml:space="preserve"> </w:t>
      </w:r>
      <w:proofErr w:type="spellStart"/>
      <w:r>
        <w:t>plut</w:t>
      </w:r>
      <w:proofErr w:type="spellEnd"/>
      <w:r>
        <w:t xml:space="preserve"> </w:t>
      </w:r>
      <w:proofErr w:type="spellStart"/>
      <w:r>
        <w:t>agis</w:t>
      </w:r>
      <w:proofErr w:type="spellEnd"/>
      <w:r>
        <w:t xml:space="preserve"> 3</w:t>
      </w:r>
    </w:p>
  </w:footnote>
  <w:footnote w:id="331">
    <w:p w14:paraId="72A4A72A" w14:textId="77777777" w:rsidR="00C311F9" w:rsidRDefault="00C311F9" w:rsidP="00F21624">
      <w:pPr>
        <w:pStyle w:val="FootnoteText"/>
      </w:pPr>
      <w:r>
        <w:rPr>
          <w:rStyle w:val="FootnoteReference"/>
        </w:rPr>
        <w:footnoteRef/>
      </w:r>
      <w:r>
        <w:t xml:space="preserve"> </w:t>
      </w:r>
      <w:proofErr w:type="spellStart"/>
      <w:r>
        <w:t>Ath</w:t>
      </w:r>
      <w:proofErr w:type="spellEnd"/>
      <w:r>
        <w:t>. 12.522D</w:t>
      </w:r>
    </w:p>
  </w:footnote>
  <w:footnote w:id="332">
    <w:p w14:paraId="31ADF9E8" w14:textId="77777777" w:rsidR="00C311F9" w:rsidRDefault="00C311F9" w:rsidP="00F21624">
      <w:pPr>
        <w:pStyle w:val="FootnoteText"/>
      </w:pPr>
      <w:r>
        <w:rPr>
          <w:rStyle w:val="FootnoteReference"/>
        </w:rPr>
        <w:footnoteRef/>
      </w:r>
      <w:r>
        <w:t xml:space="preserve"> Paus 10.10.6, 13.10</w:t>
      </w:r>
    </w:p>
  </w:footnote>
  <w:footnote w:id="333">
    <w:p w14:paraId="7A5918A9" w14:textId="77777777" w:rsidR="00C311F9" w:rsidRDefault="00C311F9" w:rsidP="00F21624">
      <w:pPr>
        <w:pStyle w:val="FootnoteText"/>
      </w:pPr>
      <w:r>
        <w:rPr>
          <w:rStyle w:val="FootnoteReference"/>
        </w:rPr>
        <w:footnoteRef/>
      </w:r>
      <w:r>
        <w:t xml:space="preserve"> Eckstein (2006), 151</w:t>
      </w:r>
    </w:p>
  </w:footnote>
  <w:footnote w:id="334">
    <w:p w14:paraId="4714145D" w14:textId="77777777" w:rsidR="00C311F9" w:rsidRDefault="00C311F9" w:rsidP="00F21624">
      <w:pPr>
        <w:pStyle w:val="FootnoteText"/>
      </w:pPr>
      <w:r>
        <w:rPr>
          <w:rStyle w:val="FootnoteReference"/>
        </w:rPr>
        <w:footnoteRef/>
      </w:r>
      <w:r>
        <w:t xml:space="preserve"> Eckstein (2006), 148 and 149</w:t>
      </w:r>
    </w:p>
  </w:footnote>
  <w:footnote w:id="335">
    <w:p w14:paraId="7B770235" w14:textId="77777777" w:rsidR="00C311F9" w:rsidRDefault="00C311F9" w:rsidP="00F21624">
      <w:pPr>
        <w:pStyle w:val="FootnoteText"/>
      </w:pPr>
      <w:r>
        <w:rPr>
          <w:rStyle w:val="FootnoteReference"/>
        </w:rPr>
        <w:footnoteRef/>
      </w:r>
      <w:r>
        <w:t xml:space="preserve"> Paus. 10.10.6 and 13.10</w:t>
      </w:r>
    </w:p>
  </w:footnote>
  <w:footnote w:id="336">
    <w:p w14:paraId="1F9CA550" w14:textId="77777777" w:rsidR="00C311F9" w:rsidRDefault="00C311F9" w:rsidP="00F21624">
      <w:pPr>
        <w:pStyle w:val="FootnoteText"/>
      </w:pPr>
      <w:r>
        <w:rPr>
          <w:rStyle w:val="FootnoteReference"/>
        </w:rPr>
        <w:footnoteRef/>
      </w:r>
      <w:r>
        <w:t xml:space="preserve"> Paus. 10.10.6-8; Strabo. 6.3.2 and </w:t>
      </w:r>
      <w:proofErr w:type="spellStart"/>
      <w:r>
        <w:t>Plut</w:t>
      </w:r>
      <w:proofErr w:type="spellEnd"/>
      <w:r>
        <w:t xml:space="preserve">. </w:t>
      </w:r>
      <w:proofErr w:type="spellStart"/>
      <w:r>
        <w:rPr>
          <w:u w:val="single"/>
        </w:rPr>
        <w:t>Pyrr</w:t>
      </w:r>
      <w:proofErr w:type="spellEnd"/>
      <w:r>
        <w:t>. 16.1</w:t>
      </w:r>
    </w:p>
  </w:footnote>
  <w:footnote w:id="337">
    <w:p w14:paraId="577EC3DB" w14:textId="77777777" w:rsidR="00C311F9" w:rsidRDefault="00C311F9" w:rsidP="00F21624">
      <w:pPr>
        <w:pStyle w:val="FootnoteText"/>
      </w:pPr>
      <w:r>
        <w:rPr>
          <w:rStyle w:val="FootnoteReference"/>
        </w:rPr>
        <w:footnoteRef/>
      </w:r>
      <w:r>
        <w:t xml:space="preserve"> Livy. 8.17.10</w:t>
      </w:r>
    </w:p>
  </w:footnote>
  <w:footnote w:id="338">
    <w:p w14:paraId="352C8193" w14:textId="77777777" w:rsidR="00C311F9" w:rsidRDefault="00C311F9" w:rsidP="00F21624">
      <w:pPr>
        <w:pStyle w:val="FootnoteText"/>
      </w:pPr>
      <w:r>
        <w:rPr>
          <w:rStyle w:val="FootnoteReference"/>
        </w:rPr>
        <w:footnoteRef/>
      </w:r>
      <w:r>
        <w:t xml:space="preserve"> Serrati (2011), 24 and </w:t>
      </w:r>
      <w:proofErr w:type="spellStart"/>
      <w:r>
        <w:t>cornell</w:t>
      </w:r>
      <w:proofErr w:type="spellEnd"/>
      <w:r>
        <w:t xml:space="preserve"> (1990), 383</w:t>
      </w:r>
    </w:p>
  </w:footnote>
  <w:footnote w:id="339">
    <w:p w14:paraId="0773B627" w14:textId="77777777" w:rsidR="00C311F9" w:rsidRDefault="00C311F9" w:rsidP="00F21624">
      <w:pPr>
        <w:pStyle w:val="FootnoteText"/>
      </w:pPr>
      <w:r>
        <w:rPr>
          <w:rStyle w:val="FootnoteReference"/>
        </w:rPr>
        <w:footnoteRef/>
      </w:r>
      <w:r>
        <w:t xml:space="preserve"> </w:t>
      </w:r>
      <w:proofErr w:type="spellStart"/>
      <w:r>
        <w:t>Plut</w:t>
      </w:r>
      <w:proofErr w:type="spellEnd"/>
      <w:r>
        <w:t xml:space="preserve">. </w:t>
      </w:r>
      <w:proofErr w:type="spellStart"/>
      <w:r>
        <w:rPr>
          <w:i/>
          <w:iCs/>
        </w:rPr>
        <w:t>Pyrr</w:t>
      </w:r>
      <w:proofErr w:type="spellEnd"/>
      <w:r>
        <w:t>. 13.6</w:t>
      </w:r>
    </w:p>
  </w:footnote>
  <w:footnote w:id="340">
    <w:p w14:paraId="7D1FB029" w14:textId="77777777" w:rsidR="00C311F9" w:rsidRDefault="00C311F9" w:rsidP="00F21624">
      <w:pPr>
        <w:pStyle w:val="FootnoteText"/>
      </w:pPr>
      <w:r>
        <w:rPr>
          <w:rStyle w:val="FootnoteReference"/>
        </w:rPr>
        <w:footnoteRef/>
      </w:r>
      <w:r>
        <w:t xml:space="preserve"> Harris (1979), 183 and Livy. </w:t>
      </w:r>
      <w:r>
        <w:rPr>
          <w:i/>
          <w:iCs/>
        </w:rPr>
        <w:t>Per</w:t>
      </w:r>
      <w:r>
        <w:t>. 11</w:t>
      </w:r>
    </w:p>
  </w:footnote>
  <w:footnote w:id="341">
    <w:p w14:paraId="43B6055D" w14:textId="77777777" w:rsidR="00C311F9" w:rsidRDefault="00C311F9" w:rsidP="00F21624">
      <w:pPr>
        <w:pStyle w:val="FootnoteText"/>
      </w:pPr>
      <w:r>
        <w:rPr>
          <w:rStyle w:val="FootnoteReference"/>
        </w:rPr>
        <w:footnoteRef/>
      </w:r>
      <w:r>
        <w:t xml:space="preserve"> Harris (1979), 184</w:t>
      </w:r>
    </w:p>
  </w:footnote>
  <w:footnote w:id="342">
    <w:p w14:paraId="38F88CFD" w14:textId="77777777" w:rsidR="00C311F9" w:rsidRDefault="00C311F9" w:rsidP="00F21624">
      <w:pPr>
        <w:pStyle w:val="FootnoteText"/>
      </w:pPr>
      <w:r>
        <w:rPr>
          <w:rStyle w:val="FootnoteReference"/>
        </w:rPr>
        <w:footnoteRef/>
      </w:r>
      <w:r>
        <w:t xml:space="preserve"> </w:t>
      </w:r>
      <w:proofErr w:type="spellStart"/>
      <w:r>
        <w:t>Plut</w:t>
      </w:r>
      <w:proofErr w:type="spellEnd"/>
      <w:r>
        <w:t xml:space="preserve">. </w:t>
      </w:r>
      <w:proofErr w:type="spellStart"/>
      <w:r>
        <w:rPr>
          <w:i/>
          <w:iCs/>
        </w:rPr>
        <w:t>Pyrr</w:t>
      </w:r>
      <w:proofErr w:type="spellEnd"/>
      <w:r>
        <w:t>. 13.6</w:t>
      </w:r>
    </w:p>
  </w:footnote>
  <w:footnote w:id="343">
    <w:p w14:paraId="327ECC66" w14:textId="77777777" w:rsidR="00C311F9" w:rsidRDefault="00C311F9" w:rsidP="00F21624">
      <w:pPr>
        <w:pStyle w:val="FootnoteText"/>
      </w:pPr>
      <w:r>
        <w:rPr>
          <w:rStyle w:val="FootnoteReference"/>
        </w:rPr>
        <w:footnoteRef/>
      </w:r>
      <w:r>
        <w:t xml:space="preserve"> </w:t>
      </w:r>
      <w:proofErr w:type="spellStart"/>
      <w:r>
        <w:t>Nedu</w:t>
      </w:r>
      <w:proofErr w:type="spellEnd"/>
      <w:r>
        <w:t xml:space="preserve"> (2008), 82</w:t>
      </w:r>
    </w:p>
  </w:footnote>
  <w:footnote w:id="344">
    <w:p w14:paraId="45743BD2" w14:textId="77777777" w:rsidR="00C311F9" w:rsidRDefault="00C311F9" w:rsidP="00F21624">
      <w:pPr>
        <w:pStyle w:val="FootnoteText"/>
      </w:pPr>
      <w:r>
        <w:rPr>
          <w:rStyle w:val="FootnoteReference"/>
        </w:rPr>
        <w:footnoteRef/>
      </w:r>
      <w:r>
        <w:t xml:space="preserve"> Oakley (1993), 22</w:t>
      </w:r>
    </w:p>
  </w:footnote>
  <w:footnote w:id="345">
    <w:p w14:paraId="1727CE2B" w14:textId="77777777" w:rsidR="00C311F9" w:rsidRDefault="00C311F9" w:rsidP="00F21624">
      <w:pPr>
        <w:pStyle w:val="FootnoteText"/>
      </w:pPr>
      <w:r>
        <w:rPr>
          <w:rStyle w:val="FootnoteReference"/>
        </w:rPr>
        <w:footnoteRef/>
      </w:r>
      <w:r>
        <w:t xml:space="preserve"> Treaties were signed with Thurii, Croton and Tarentum. </w:t>
      </w:r>
      <w:proofErr w:type="spellStart"/>
      <w:r>
        <w:t>Nedu</w:t>
      </w:r>
      <w:proofErr w:type="spellEnd"/>
      <w:r>
        <w:t xml:space="preserve"> (2008), 82</w:t>
      </w:r>
    </w:p>
  </w:footnote>
  <w:footnote w:id="346">
    <w:p w14:paraId="6D1D0A28" w14:textId="77777777" w:rsidR="00C311F9" w:rsidRDefault="00C311F9" w:rsidP="00F21624">
      <w:pPr>
        <w:pStyle w:val="FootnoteText"/>
      </w:pPr>
      <w:r>
        <w:rPr>
          <w:rStyle w:val="FootnoteReference"/>
        </w:rPr>
        <w:footnoteRef/>
      </w:r>
      <w:r>
        <w:t xml:space="preserve"> </w:t>
      </w:r>
      <w:proofErr w:type="spellStart"/>
      <w:r>
        <w:t>Oakely</w:t>
      </w:r>
      <w:proofErr w:type="spellEnd"/>
      <w:r>
        <w:t xml:space="preserve"> (1993), 26 and Harris (1979), 60</w:t>
      </w:r>
    </w:p>
  </w:footnote>
  <w:footnote w:id="347">
    <w:p w14:paraId="0E1B85C3" w14:textId="77777777" w:rsidR="00C311F9" w:rsidRDefault="00C311F9" w:rsidP="00F21624">
      <w:pPr>
        <w:pStyle w:val="FootnoteText"/>
      </w:pPr>
      <w:r>
        <w:rPr>
          <w:rStyle w:val="FootnoteReference"/>
        </w:rPr>
        <w:footnoteRef/>
      </w:r>
      <w:r>
        <w:t xml:space="preserve"> Livy. </w:t>
      </w:r>
      <w:r>
        <w:rPr>
          <w:i/>
          <w:iCs/>
        </w:rPr>
        <w:t>Per</w:t>
      </w:r>
      <w:r>
        <w:t xml:space="preserve">. 14; 21.10.8; </w:t>
      </w:r>
      <w:proofErr w:type="spellStart"/>
      <w:r>
        <w:t>dio</w:t>
      </w:r>
      <w:proofErr w:type="spellEnd"/>
      <w:r>
        <w:t xml:space="preserve">. Frg.43.1; Oros.4.5.2 and </w:t>
      </w:r>
      <w:proofErr w:type="spellStart"/>
      <w:r>
        <w:t>Zon</w:t>
      </w:r>
      <w:proofErr w:type="spellEnd"/>
      <w:r>
        <w:t>. 8.8.3</w:t>
      </w:r>
    </w:p>
  </w:footnote>
  <w:footnote w:id="348">
    <w:p w14:paraId="50E74C9A" w14:textId="77777777" w:rsidR="00C311F9" w:rsidRDefault="00C311F9" w:rsidP="00F21624">
      <w:pPr>
        <w:pStyle w:val="FootnoteText"/>
      </w:pPr>
      <w:r>
        <w:rPr>
          <w:rStyle w:val="FootnoteReference"/>
        </w:rPr>
        <w:footnoteRef/>
      </w:r>
      <w:r>
        <w:t xml:space="preserve"> </w:t>
      </w:r>
      <w:proofErr w:type="spellStart"/>
      <w:r>
        <w:t>Plut</w:t>
      </w:r>
      <w:proofErr w:type="spellEnd"/>
      <w:r>
        <w:t xml:space="preserve">. </w:t>
      </w:r>
      <w:proofErr w:type="spellStart"/>
      <w:r>
        <w:rPr>
          <w:i/>
          <w:iCs/>
        </w:rPr>
        <w:t>Pyrr</w:t>
      </w:r>
      <w:proofErr w:type="spellEnd"/>
      <w:r>
        <w:t>. 22.1 and 23.4</w:t>
      </w:r>
    </w:p>
  </w:footnote>
  <w:footnote w:id="349">
    <w:p w14:paraId="547283B7" w14:textId="77777777" w:rsidR="00C311F9" w:rsidRDefault="00C311F9" w:rsidP="00F21624">
      <w:pPr>
        <w:pStyle w:val="FootnoteText"/>
      </w:pPr>
      <w:r>
        <w:rPr>
          <w:rStyle w:val="FootnoteReference"/>
        </w:rPr>
        <w:footnoteRef/>
      </w:r>
      <w:r>
        <w:t xml:space="preserve"> </w:t>
      </w:r>
      <w:proofErr w:type="spellStart"/>
      <w:r>
        <w:t>Plut</w:t>
      </w:r>
      <w:proofErr w:type="spellEnd"/>
      <w:r>
        <w:t xml:space="preserve">. </w:t>
      </w:r>
      <w:proofErr w:type="spellStart"/>
      <w:r>
        <w:rPr>
          <w:i/>
          <w:iCs/>
        </w:rPr>
        <w:t>Pyrr</w:t>
      </w:r>
      <w:proofErr w:type="spellEnd"/>
      <w:r>
        <w:t>. 14. 5</w:t>
      </w:r>
    </w:p>
  </w:footnote>
  <w:footnote w:id="350">
    <w:p w14:paraId="4833E02B" w14:textId="77777777" w:rsidR="00C311F9" w:rsidRDefault="00C311F9" w:rsidP="00F21624">
      <w:pPr>
        <w:pStyle w:val="FootnoteText"/>
      </w:pPr>
      <w:r>
        <w:rPr>
          <w:rStyle w:val="FootnoteReference"/>
        </w:rPr>
        <w:footnoteRef/>
      </w:r>
      <w:r>
        <w:t xml:space="preserve"> Rainey (2004), 191</w:t>
      </w:r>
    </w:p>
  </w:footnote>
  <w:footnote w:id="351">
    <w:p w14:paraId="092B9F8D" w14:textId="77777777" w:rsidR="00C311F9" w:rsidRDefault="00C311F9" w:rsidP="00F21624">
      <w:pPr>
        <w:pStyle w:val="FootnoteText"/>
      </w:pPr>
      <w:r>
        <w:rPr>
          <w:rStyle w:val="FootnoteReference"/>
        </w:rPr>
        <w:footnoteRef/>
      </w:r>
      <w:r>
        <w:t xml:space="preserve"> </w:t>
      </w:r>
      <w:proofErr w:type="spellStart"/>
      <w:r>
        <w:t>Goldworthy</w:t>
      </w:r>
      <w:proofErr w:type="spellEnd"/>
      <w:r>
        <w:t xml:space="preserve"> (2000), 26-27</w:t>
      </w:r>
    </w:p>
  </w:footnote>
  <w:footnote w:id="352">
    <w:p w14:paraId="6994941A" w14:textId="77777777" w:rsidR="00C311F9" w:rsidRDefault="00C311F9" w:rsidP="00F21624">
      <w:pPr>
        <w:pStyle w:val="FootnoteText"/>
      </w:pPr>
      <w:r>
        <w:rPr>
          <w:rStyle w:val="FootnoteReference"/>
        </w:rPr>
        <w:footnoteRef/>
      </w:r>
      <w:r>
        <w:t xml:space="preserve"> Diod. 22.10.5-6 and </w:t>
      </w:r>
      <w:proofErr w:type="spellStart"/>
      <w:r>
        <w:t>Plut</w:t>
      </w:r>
      <w:proofErr w:type="spellEnd"/>
      <w:r>
        <w:t xml:space="preserve">. </w:t>
      </w:r>
      <w:proofErr w:type="spellStart"/>
      <w:r>
        <w:rPr>
          <w:i/>
          <w:iCs/>
        </w:rPr>
        <w:t>Pyrr</w:t>
      </w:r>
      <w:proofErr w:type="spellEnd"/>
      <w:r>
        <w:t>. 23.2</w:t>
      </w:r>
    </w:p>
  </w:footnote>
  <w:footnote w:id="353">
    <w:p w14:paraId="040285E9" w14:textId="77777777" w:rsidR="00C311F9" w:rsidRDefault="00C311F9" w:rsidP="00F21624">
      <w:pPr>
        <w:pStyle w:val="FootnoteText"/>
      </w:pPr>
      <w:r>
        <w:rPr>
          <w:rStyle w:val="FootnoteReference"/>
        </w:rPr>
        <w:footnoteRef/>
      </w:r>
      <w:r>
        <w:t xml:space="preserve"> Rainey (2004), 85</w:t>
      </w:r>
    </w:p>
  </w:footnote>
  <w:footnote w:id="354">
    <w:p w14:paraId="6FD7F4AA" w14:textId="77777777" w:rsidR="00C311F9" w:rsidRDefault="00C311F9" w:rsidP="00F21624">
      <w:pPr>
        <w:pStyle w:val="FootnoteText"/>
      </w:pPr>
      <w:r>
        <w:rPr>
          <w:rStyle w:val="FootnoteReference"/>
        </w:rPr>
        <w:footnoteRef/>
      </w:r>
      <w:r>
        <w:t xml:space="preserve"> Plb. 2. 25. 4</w:t>
      </w:r>
    </w:p>
  </w:footnote>
  <w:footnote w:id="355">
    <w:p w14:paraId="4AD2005D" w14:textId="77777777" w:rsidR="00C311F9" w:rsidRDefault="00C311F9" w:rsidP="00F21624">
      <w:pPr>
        <w:pStyle w:val="FootnoteText"/>
      </w:pPr>
      <w:r>
        <w:rPr>
          <w:rStyle w:val="FootnoteReference"/>
        </w:rPr>
        <w:footnoteRef/>
      </w:r>
      <w:r>
        <w:t xml:space="preserve"> Diod 22.7.4</w:t>
      </w:r>
    </w:p>
  </w:footnote>
  <w:footnote w:id="356">
    <w:p w14:paraId="7564CB1F" w14:textId="77777777" w:rsidR="00C311F9" w:rsidRDefault="00C311F9" w:rsidP="00F21624">
      <w:pPr>
        <w:pStyle w:val="FootnoteText"/>
      </w:pPr>
      <w:r>
        <w:rPr>
          <w:rStyle w:val="FootnoteReference"/>
        </w:rPr>
        <w:footnoteRef/>
      </w:r>
      <w:r>
        <w:t xml:space="preserve"> </w:t>
      </w:r>
      <w:proofErr w:type="spellStart"/>
      <w:r>
        <w:t>Nedu</w:t>
      </w:r>
      <w:proofErr w:type="spellEnd"/>
      <w:r>
        <w:t xml:space="preserve"> (2008), 81</w:t>
      </w:r>
    </w:p>
  </w:footnote>
  <w:footnote w:id="357">
    <w:p w14:paraId="36D14E36" w14:textId="77777777" w:rsidR="00C311F9" w:rsidRDefault="00C311F9" w:rsidP="00F21624">
      <w:pPr>
        <w:pStyle w:val="FootnoteText"/>
      </w:pPr>
      <w:r>
        <w:rPr>
          <w:rStyle w:val="FootnoteReference"/>
        </w:rPr>
        <w:footnoteRef/>
      </w:r>
      <w:r>
        <w:t xml:space="preserve"> Scullard (1990), 537</w:t>
      </w:r>
    </w:p>
  </w:footnote>
  <w:footnote w:id="358">
    <w:p w14:paraId="16B24177" w14:textId="77777777" w:rsidR="00C311F9" w:rsidRDefault="00C311F9" w:rsidP="00F21624">
      <w:pPr>
        <w:pStyle w:val="FootnoteText"/>
      </w:pPr>
      <w:r>
        <w:rPr>
          <w:rStyle w:val="FootnoteReference"/>
        </w:rPr>
        <w:footnoteRef/>
      </w:r>
      <w:r>
        <w:t xml:space="preserve"> Livy. </w:t>
      </w:r>
      <w:r>
        <w:rPr>
          <w:i/>
          <w:iCs/>
        </w:rPr>
        <w:t>Per</w:t>
      </w:r>
      <w:r>
        <w:t xml:space="preserve">. 14; 21.10.8; </w:t>
      </w:r>
      <w:proofErr w:type="spellStart"/>
      <w:r>
        <w:t>dio</w:t>
      </w:r>
      <w:proofErr w:type="spellEnd"/>
      <w:r>
        <w:t xml:space="preserve">. Frg.43.1; </w:t>
      </w:r>
      <w:proofErr w:type="spellStart"/>
      <w:r>
        <w:t>Oros</w:t>
      </w:r>
      <w:proofErr w:type="spellEnd"/>
      <w:r>
        <w:t xml:space="preserve">. 4.5.2 and </w:t>
      </w:r>
      <w:proofErr w:type="spellStart"/>
      <w:r>
        <w:t>Zon</w:t>
      </w:r>
      <w:proofErr w:type="spellEnd"/>
      <w:r>
        <w:t>. 8.8.3</w:t>
      </w:r>
    </w:p>
  </w:footnote>
  <w:footnote w:id="359">
    <w:p w14:paraId="4F862F85" w14:textId="77777777" w:rsidR="00C311F9" w:rsidRDefault="00C311F9" w:rsidP="00F21624">
      <w:pPr>
        <w:pStyle w:val="FootnoteText"/>
      </w:pPr>
      <w:r>
        <w:rPr>
          <w:rStyle w:val="FootnoteReference"/>
        </w:rPr>
        <w:footnoteRef/>
      </w:r>
      <w:r>
        <w:t xml:space="preserve"> </w:t>
      </w:r>
      <w:proofErr w:type="spellStart"/>
      <w:r>
        <w:t>Nedu</w:t>
      </w:r>
      <w:proofErr w:type="spellEnd"/>
      <w:r>
        <w:t xml:space="preserve"> (2008), 82</w:t>
      </w:r>
    </w:p>
  </w:footnote>
  <w:footnote w:id="360">
    <w:p w14:paraId="69D9F17B" w14:textId="77777777" w:rsidR="00C311F9" w:rsidRDefault="00C311F9" w:rsidP="00F21624">
      <w:pPr>
        <w:pStyle w:val="FootnoteText"/>
      </w:pPr>
      <w:r>
        <w:rPr>
          <w:rStyle w:val="FootnoteReference"/>
        </w:rPr>
        <w:footnoteRef/>
      </w:r>
      <w:r>
        <w:t xml:space="preserve"> </w:t>
      </w:r>
      <w:proofErr w:type="spellStart"/>
      <w:r>
        <w:t>livy</w:t>
      </w:r>
      <w:proofErr w:type="spellEnd"/>
      <w:r>
        <w:t xml:space="preserve"> (</w:t>
      </w:r>
      <w:r>
        <w:rPr>
          <w:i/>
          <w:iCs/>
        </w:rPr>
        <w:t>per</w:t>
      </w:r>
      <w:r>
        <w:t xml:space="preserve"> 14; 21.10.8</w:t>
      </w:r>
    </w:p>
  </w:footnote>
  <w:footnote w:id="361">
    <w:p w14:paraId="6911F8A9" w14:textId="77777777" w:rsidR="00C311F9" w:rsidRDefault="00C311F9" w:rsidP="00F21624">
      <w:pPr>
        <w:pStyle w:val="FootnoteText"/>
      </w:pPr>
      <w:r>
        <w:rPr>
          <w:rStyle w:val="FootnoteReference"/>
        </w:rPr>
        <w:footnoteRef/>
      </w:r>
      <w:r>
        <w:t xml:space="preserve"> Lazenby (1996), 34</w:t>
      </w:r>
    </w:p>
  </w:footnote>
  <w:footnote w:id="362">
    <w:p w14:paraId="717D6AB2" w14:textId="77777777" w:rsidR="00C311F9" w:rsidRDefault="00C311F9" w:rsidP="00F21624">
      <w:pPr>
        <w:pStyle w:val="FootnoteText"/>
      </w:pPr>
      <w:r>
        <w:rPr>
          <w:rStyle w:val="FootnoteReference"/>
        </w:rPr>
        <w:footnoteRef/>
      </w:r>
      <w:r>
        <w:t xml:space="preserve"> Lazenby (1996), 35</w:t>
      </w:r>
    </w:p>
  </w:footnote>
  <w:footnote w:id="363">
    <w:p w14:paraId="22980677" w14:textId="77777777" w:rsidR="00C311F9" w:rsidRDefault="00C311F9" w:rsidP="00F21624">
      <w:pPr>
        <w:pStyle w:val="FootnoteText"/>
      </w:pPr>
      <w:r>
        <w:rPr>
          <w:rStyle w:val="FootnoteReference"/>
        </w:rPr>
        <w:footnoteRef/>
      </w:r>
      <w:r>
        <w:t xml:space="preserve"> Diod. 22.7.5</w:t>
      </w:r>
    </w:p>
  </w:footnote>
  <w:footnote w:id="364">
    <w:p w14:paraId="3D3CDAF9" w14:textId="77777777" w:rsidR="00C311F9" w:rsidRDefault="00C311F9" w:rsidP="00F21624">
      <w:pPr>
        <w:pStyle w:val="FootnoteText"/>
      </w:pPr>
      <w:r>
        <w:rPr>
          <w:rStyle w:val="FootnoteReference"/>
        </w:rPr>
        <w:footnoteRef/>
      </w:r>
      <w:r>
        <w:t xml:space="preserve"> Scullard (1990). 535</w:t>
      </w:r>
    </w:p>
  </w:footnote>
  <w:footnote w:id="365">
    <w:p w14:paraId="62A950D5" w14:textId="77777777" w:rsidR="00C311F9" w:rsidRDefault="00C311F9" w:rsidP="00F21624">
      <w:pPr>
        <w:pStyle w:val="FootnoteText"/>
      </w:pPr>
      <w:r>
        <w:rPr>
          <w:rStyle w:val="FootnoteReference"/>
        </w:rPr>
        <w:footnoteRef/>
      </w:r>
      <w:r>
        <w:t xml:space="preserve"> Lazenby (1996), 34</w:t>
      </w:r>
    </w:p>
  </w:footnote>
  <w:footnote w:id="366">
    <w:p w14:paraId="148ED512" w14:textId="77777777" w:rsidR="00C311F9" w:rsidRDefault="00C311F9" w:rsidP="00F21624">
      <w:pPr>
        <w:pStyle w:val="FootnoteText"/>
      </w:pPr>
      <w:r>
        <w:rPr>
          <w:rStyle w:val="FootnoteReference"/>
        </w:rPr>
        <w:footnoteRef/>
      </w:r>
      <w:r>
        <w:t xml:space="preserve"> </w:t>
      </w:r>
      <w:proofErr w:type="spellStart"/>
      <w:r>
        <w:t>Oros</w:t>
      </w:r>
      <w:proofErr w:type="spellEnd"/>
      <w:r>
        <w:t>. 4.5.2</w:t>
      </w:r>
    </w:p>
  </w:footnote>
  <w:footnote w:id="367">
    <w:p w14:paraId="4690D746" w14:textId="77777777" w:rsidR="00C311F9" w:rsidRDefault="00C311F9" w:rsidP="00F21624">
      <w:pPr>
        <w:pStyle w:val="FootnoteText"/>
      </w:pPr>
      <w:r>
        <w:rPr>
          <w:rStyle w:val="FootnoteReference"/>
        </w:rPr>
        <w:footnoteRef/>
      </w:r>
      <w:r>
        <w:t xml:space="preserve"> Harris (1979), 184</w:t>
      </w:r>
    </w:p>
  </w:footnote>
  <w:footnote w:id="368">
    <w:p w14:paraId="2A1A854A" w14:textId="1F9EECD7" w:rsidR="00C311F9" w:rsidRDefault="00C311F9" w:rsidP="00F21624">
      <w:pPr>
        <w:pStyle w:val="FootnoteText"/>
      </w:pPr>
      <w:r>
        <w:rPr>
          <w:rStyle w:val="FootnoteReference"/>
        </w:rPr>
        <w:footnoteRef/>
      </w:r>
      <w:r>
        <w:t xml:space="preserve"> Plb. 3.25.4-5</w:t>
      </w:r>
    </w:p>
  </w:footnote>
  <w:footnote w:id="369">
    <w:p w14:paraId="56783AAD" w14:textId="77777777" w:rsidR="00C311F9" w:rsidRDefault="00C311F9" w:rsidP="00F21624">
      <w:pPr>
        <w:pStyle w:val="FootnoteText"/>
      </w:pPr>
      <w:r>
        <w:rPr>
          <w:rStyle w:val="FootnoteReference"/>
        </w:rPr>
        <w:footnoteRef/>
      </w:r>
      <w:r>
        <w:t xml:space="preserve"> </w:t>
      </w:r>
      <w:proofErr w:type="spellStart"/>
      <w:r>
        <w:t>Nedu</w:t>
      </w:r>
      <w:proofErr w:type="spellEnd"/>
      <w:r>
        <w:t xml:space="preserve"> (2008), 82</w:t>
      </w:r>
    </w:p>
  </w:footnote>
  <w:footnote w:id="370">
    <w:p w14:paraId="5D6FF409" w14:textId="77777777" w:rsidR="00C311F9" w:rsidRDefault="00C311F9" w:rsidP="00F21624">
      <w:pPr>
        <w:pStyle w:val="FootnoteText"/>
      </w:pPr>
      <w:r>
        <w:rPr>
          <w:rStyle w:val="FootnoteReference"/>
        </w:rPr>
        <w:footnoteRef/>
      </w:r>
      <w:r>
        <w:t xml:space="preserve"> </w:t>
      </w:r>
      <w:proofErr w:type="spellStart"/>
      <w:r>
        <w:t>Dio</w:t>
      </w:r>
      <w:proofErr w:type="spellEnd"/>
      <w:r>
        <w:t xml:space="preserve">. Fr. 43.1 and </w:t>
      </w:r>
      <w:proofErr w:type="spellStart"/>
      <w:r>
        <w:t>Zon</w:t>
      </w:r>
      <w:proofErr w:type="spellEnd"/>
      <w:r>
        <w:t>. 8.6</w:t>
      </w:r>
    </w:p>
  </w:footnote>
  <w:footnote w:id="371">
    <w:p w14:paraId="2AF1DA68" w14:textId="77777777" w:rsidR="00C311F9" w:rsidRDefault="00C311F9" w:rsidP="00F21624">
      <w:pPr>
        <w:pStyle w:val="FootnoteText"/>
      </w:pPr>
      <w:r>
        <w:rPr>
          <w:rStyle w:val="FootnoteReference"/>
        </w:rPr>
        <w:footnoteRef/>
      </w:r>
      <w:r>
        <w:t xml:space="preserve"> </w:t>
      </w:r>
      <w:proofErr w:type="spellStart"/>
      <w:r>
        <w:t>Zon</w:t>
      </w:r>
      <w:proofErr w:type="spellEnd"/>
      <w:r>
        <w:t xml:space="preserve">. 8.6 </w:t>
      </w:r>
    </w:p>
  </w:footnote>
  <w:footnote w:id="372">
    <w:p w14:paraId="1B549928" w14:textId="77777777" w:rsidR="00C311F9" w:rsidRDefault="00C311F9" w:rsidP="00F21624">
      <w:pPr>
        <w:pStyle w:val="FootnoteText"/>
      </w:pPr>
      <w:r>
        <w:rPr>
          <w:rStyle w:val="FootnoteReference"/>
        </w:rPr>
        <w:footnoteRef/>
      </w:r>
      <w:r>
        <w:t xml:space="preserve"> Plb. 10.2</w:t>
      </w:r>
    </w:p>
  </w:footnote>
  <w:footnote w:id="373">
    <w:p w14:paraId="1784510D" w14:textId="77777777" w:rsidR="00C311F9" w:rsidRDefault="00C311F9" w:rsidP="00F21624">
      <w:pPr>
        <w:pStyle w:val="FootnoteText"/>
      </w:pPr>
      <w:r>
        <w:rPr>
          <w:rStyle w:val="FootnoteReference"/>
        </w:rPr>
        <w:footnoteRef/>
      </w:r>
      <w:r>
        <w:t xml:space="preserve"> Lazenby (1996), 35</w:t>
      </w:r>
    </w:p>
  </w:footnote>
  <w:footnote w:id="374">
    <w:p w14:paraId="7BD429CE" w14:textId="77777777" w:rsidR="00C311F9" w:rsidRDefault="00C311F9" w:rsidP="00F21624">
      <w:pPr>
        <w:pStyle w:val="FootnoteText"/>
      </w:pPr>
      <w:r>
        <w:rPr>
          <w:rStyle w:val="FootnoteReference"/>
        </w:rPr>
        <w:footnoteRef/>
      </w:r>
      <w:r>
        <w:t xml:space="preserve"> Hoyos (2011), 141</w:t>
      </w:r>
    </w:p>
  </w:footnote>
  <w:footnote w:id="375">
    <w:p w14:paraId="0ABDC031" w14:textId="4DC6F8FF" w:rsidR="00C311F9" w:rsidRDefault="00C311F9">
      <w:pPr>
        <w:pStyle w:val="FootnoteText"/>
      </w:pPr>
      <w:r>
        <w:rPr>
          <w:rStyle w:val="FootnoteReference"/>
        </w:rPr>
        <w:footnoteRef/>
      </w:r>
      <w:r>
        <w:t xml:space="preserve"> Diod. 20.15</w:t>
      </w:r>
    </w:p>
  </w:footnote>
  <w:footnote w:id="376">
    <w:p w14:paraId="71DA2F64" w14:textId="77777777" w:rsidR="00C311F9" w:rsidRDefault="00C311F9" w:rsidP="00F21624">
      <w:pPr>
        <w:pStyle w:val="FootnoteText"/>
      </w:pPr>
      <w:r>
        <w:rPr>
          <w:rStyle w:val="FootnoteReference"/>
        </w:rPr>
        <w:footnoteRef/>
      </w:r>
      <w:r>
        <w:t xml:space="preserve"> Eckstein (2006), 156</w:t>
      </w:r>
    </w:p>
  </w:footnote>
  <w:footnote w:id="377">
    <w:p w14:paraId="5A590C02" w14:textId="77777777" w:rsidR="00C311F9" w:rsidRDefault="00C311F9" w:rsidP="00F21624">
      <w:pPr>
        <w:pStyle w:val="FootnoteText"/>
      </w:pPr>
      <w:r>
        <w:rPr>
          <w:rStyle w:val="FootnoteReference"/>
        </w:rPr>
        <w:footnoteRef/>
      </w:r>
      <w:r>
        <w:t xml:space="preserve"> Tan (2017), 95</w:t>
      </w:r>
    </w:p>
  </w:footnote>
  <w:footnote w:id="378">
    <w:p w14:paraId="252E8C29" w14:textId="77777777" w:rsidR="00C311F9" w:rsidRDefault="00C311F9" w:rsidP="00F21624">
      <w:pPr>
        <w:pStyle w:val="FootnoteText"/>
      </w:pPr>
      <w:r>
        <w:rPr>
          <w:rStyle w:val="FootnoteReference"/>
        </w:rPr>
        <w:footnoteRef/>
      </w:r>
      <w:r>
        <w:t xml:space="preserve"> </w:t>
      </w:r>
      <w:proofErr w:type="spellStart"/>
      <w:r>
        <w:t>Ameling</w:t>
      </w:r>
      <w:proofErr w:type="spellEnd"/>
      <w:r>
        <w:t xml:space="preserve"> (2011), 56</w:t>
      </w:r>
    </w:p>
  </w:footnote>
  <w:footnote w:id="379">
    <w:p w14:paraId="05C3B5CC" w14:textId="77777777" w:rsidR="00C311F9" w:rsidRDefault="00C311F9" w:rsidP="00F21624">
      <w:pPr>
        <w:pStyle w:val="FootnoteText"/>
      </w:pPr>
      <w:r>
        <w:rPr>
          <w:rStyle w:val="FootnoteReference"/>
        </w:rPr>
        <w:footnoteRef/>
      </w:r>
      <w:r>
        <w:t xml:space="preserve"> Franke (1990), 479</w:t>
      </w:r>
    </w:p>
  </w:footnote>
  <w:footnote w:id="380">
    <w:p w14:paraId="40220FBA" w14:textId="77777777" w:rsidR="00C311F9" w:rsidRDefault="00C311F9" w:rsidP="00F21624">
      <w:pPr>
        <w:pStyle w:val="FootnoteText"/>
      </w:pPr>
      <w:r>
        <w:rPr>
          <w:rStyle w:val="FootnoteReference"/>
        </w:rPr>
        <w:footnoteRef/>
      </w:r>
      <w:r>
        <w:t xml:space="preserve"> Rainey (2004), 191</w:t>
      </w:r>
    </w:p>
  </w:footnote>
  <w:footnote w:id="381">
    <w:p w14:paraId="75C22A62" w14:textId="77777777" w:rsidR="00C311F9" w:rsidRDefault="00C311F9" w:rsidP="00F21624">
      <w:pPr>
        <w:pStyle w:val="FootnoteText"/>
      </w:pPr>
      <w:r>
        <w:rPr>
          <w:rStyle w:val="FootnoteReference"/>
        </w:rPr>
        <w:footnoteRef/>
      </w:r>
      <w:r>
        <w:t xml:space="preserve"> Harris (1979), 184</w:t>
      </w:r>
    </w:p>
  </w:footnote>
  <w:footnote w:id="382">
    <w:p w14:paraId="41591944" w14:textId="77777777" w:rsidR="00C311F9" w:rsidRDefault="00C311F9" w:rsidP="00F21624">
      <w:pPr>
        <w:pStyle w:val="FootnoteText"/>
      </w:pPr>
      <w:r>
        <w:rPr>
          <w:rStyle w:val="FootnoteReference"/>
        </w:rPr>
        <w:footnoteRef/>
      </w:r>
      <w:r>
        <w:t xml:space="preserve"> Diod. 22.13.3.6-7</w:t>
      </w:r>
    </w:p>
  </w:footnote>
  <w:footnote w:id="383">
    <w:p w14:paraId="122B2A7C" w14:textId="77777777" w:rsidR="00C311F9" w:rsidRDefault="00C311F9" w:rsidP="00F21624">
      <w:pPr>
        <w:pStyle w:val="FootnoteText"/>
      </w:pPr>
      <w:r>
        <w:rPr>
          <w:rStyle w:val="FootnoteReference"/>
        </w:rPr>
        <w:footnoteRef/>
      </w:r>
      <w:r>
        <w:t xml:space="preserve"> Livy. 9.7-9 and Diod. 22.13</w:t>
      </w:r>
    </w:p>
  </w:footnote>
  <w:footnote w:id="384">
    <w:p w14:paraId="1D09964A" w14:textId="77777777" w:rsidR="00C311F9" w:rsidRDefault="00C311F9" w:rsidP="00F21624">
      <w:pPr>
        <w:pStyle w:val="FootnoteText"/>
      </w:pPr>
      <w:r>
        <w:rPr>
          <w:rStyle w:val="FootnoteReference"/>
        </w:rPr>
        <w:footnoteRef/>
      </w:r>
      <w:r>
        <w:t xml:space="preserve"> Diod. 22.13.1-8 and Plb. 1.10.1</w:t>
      </w:r>
    </w:p>
  </w:footnote>
  <w:footnote w:id="385">
    <w:p w14:paraId="13D7540D" w14:textId="77777777" w:rsidR="00C311F9" w:rsidRDefault="00C311F9" w:rsidP="00F21624">
      <w:pPr>
        <w:pStyle w:val="FootnoteText"/>
      </w:pPr>
      <w:r>
        <w:rPr>
          <w:rStyle w:val="FootnoteReference"/>
        </w:rPr>
        <w:footnoteRef/>
      </w:r>
      <w:r>
        <w:t xml:space="preserve"> Plb. 1.11.4</w:t>
      </w:r>
    </w:p>
  </w:footnote>
  <w:footnote w:id="386">
    <w:p w14:paraId="46C02EEB" w14:textId="77777777" w:rsidR="00C311F9" w:rsidRDefault="00C311F9" w:rsidP="00F21624">
      <w:pPr>
        <w:pStyle w:val="FootnoteText"/>
      </w:pPr>
      <w:r>
        <w:rPr>
          <w:rStyle w:val="FootnoteReference"/>
        </w:rPr>
        <w:footnoteRef/>
      </w:r>
      <w:r>
        <w:t xml:space="preserve"> Plb. 10.2 and </w:t>
      </w:r>
      <w:proofErr w:type="spellStart"/>
      <w:r>
        <w:t>zon</w:t>
      </w:r>
      <w:proofErr w:type="spellEnd"/>
      <w:r>
        <w:t>. 8.8</w:t>
      </w:r>
    </w:p>
  </w:footnote>
  <w:footnote w:id="387">
    <w:p w14:paraId="55D4D00D" w14:textId="77777777" w:rsidR="00C311F9" w:rsidRDefault="00C311F9" w:rsidP="00F21624">
      <w:pPr>
        <w:pStyle w:val="FootnoteText"/>
      </w:pPr>
      <w:r>
        <w:rPr>
          <w:rStyle w:val="FootnoteReference"/>
        </w:rPr>
        <w:footnoteRef/>
      </w:r>
      <w:r>
        <w:t xml:space="preserve"> Hoyos (2011), 145</w:t>
      </w:r>
    </w:p>
  </w:footnote>
  <w:footnote w:id="388">
    <w:p w14:paraId="603E6507" w14:textId="77777777" w:rsidR="00C311F9" w:rsidRDefault="00C311F9" w:rsidP="00F21624">
      <w:pPr>
        <w:pStyle w:val="FootnoteText"/>
      </w:pPr>
      <w:r>
        <w:rPr>
          <w:rStyle w:val="FootnoteReference"/>
        </w:rPr>
        <w:footnoteRef/>
      </w:r>
      <w:r>
        <w:t xml:space="preserve"> </w:t>
      </w:r>
      <w:proofErr w:type="spellStart"/>
      <w:r>
        <w:t>Zon</w:t>
      </w:r>
      <w:proofErr w:type="spellEnd"/>
      <w:r>
        <w:t>. 8.6</w:t>
      </w:r>
    </w:p>
  </w:footnote>
  <w:footnote w:id="389">
    <w:p w14:paraId="54B6A35F" w14:textId="77777777" w:rsidR="00C311F9" w:rsidRDefault="00C311F9" w:rsidP="00F21624">
      <w:pPr>
        <w:pStyle w:val="FootnoteText"/>
      </w:pPr>
      <w:r>
        <w:rPr>
          <w:rStyle w:val="FootnoteReference"/>
        </w:rPr>
        <w:footnoteRef/>
      </w:r>
      <w:r>
        <w:t xml:space="preserve"> Hoyos (2011), 144</w:t>
      </w:r>
    </w:p>
  </w:footnote>
  <w:footnote w:id="390">
    <w:p w14:paraId="7DA64794" w14:textId="77777777" w:rsidR="00C311F9" w:rsidRDefault="00C311F9" w:rsidP="00F21624">
      <w:pPr>
        <w:pStyle w:val="FootnoteText"/>
      </w:pPr>
      <w:r>
        <w:rPr>
          <w:rStyle w:val="FootnoteReference"/>
        </w:rPr>
        <w:footnoteRef/>
      </w:r>
      <w:r>
        <w:t xml:space="preserve"> Diod. 22.13.2</w:t>
      </w:r>
    </w:p>
  </w:footnote>
  <w:footnote w:id="391">
    <w:p w14:paraId="6F14F153" w14:textId="77777777" w:rsidR="00C311F9" w:rsidRDefault="00C311F9" w:rsidP="00F21624">
      <w:pPr>
        <w:pStyle w:val="FootnoteText"/>
      </w:pPr>
      <w:r>
        <w:rPr>
          <w:rStyle w:val="FootnoteReference"/>
        </w:rPr>
        <w:footnoteRef/>
      </w:r>
      <w:r>
        <w:t xml:space="preserve"> Leigh (2010), 268</w:t>
      </w:r>
    </w:p>
  </w:footnote>
  <w:footnote w:id="392">
    <w:p w14:paraId="117AE109" w14:textId="77777777" w:rsidR="00C311F9" w:rsidRDefault="00C311F9" w:rsidP="00F21624">
      <w:pPr>
        <w:pStyle w:val="FootnoteText"/>
      </w:pPr>
      <w:r>
        <w:rPr>
          <w:rStyle w:val="FootnoteReference"/>
        </w:rPr>
        <w:footnoteRef/>
      </w:r>
      <w:r>
        <w:t xml:space="preserve"> Plb. 7.8</w:t>
      </w:r>
    </w:p>
  </w:footnote>
  <w:footnote w:id="393">
    <w:p w14:paraId="3217CEB1" w14:textId="77777777" w:rsidR="00C311F9" w:rsidRDefault="00C311F9" w:rsidP="00F21624">
      <w:pPr>
        <w:pStyle w:val="FootnoteText"/>
      </w:pPr>
      <w:r>
        <w:rPr>
          <w:rStyle w:val="FootnoteReference"/>
        </w:rPr>
        <w:footnoteRef/>
      </w:r>
      <w:r>
        <w:t xml:space="preserve"> Livy. 0er. 11</w:t>
      </w:r>
    </w:p>
  </w:footnote>
  <w:footnote w:id="394">
    <w:p w14:paraId="56612D86" w14:textId="77777777" w:rsidR="00C311F9" w:rsidRDefault="00C311F9" w:rsidP="00F21624">
      <w:pPr>
        <w:pStyle w:val="FootnoteText"/>
      </w:pPr>
      <w:r>
        <w:rPr>
          <w:rStyle w:val="FootnoteReference"/>
        </w:rPr>
        <w:footnoteRef/>
      </w:r>
      <w:r>
        <w:t xml:space="preserve"> </w:t>
      </w:r>
      <w:proofErr w:type="spellStart"/>
      <w:r>
        <w:t>Nedu</w:t>
      </w:r>
      <w:proofErr w:type="spellEnd"/>
      <w:r>
        <w:t xml:space="preserve"> (2008), 82</w:t>
      </w:r>
    </w:p>
  </w:footnote>
  <w:footnote w:id="395">
    <w:p w14:paraId="691C439F" w14:textId="77777777" w:rsidR="00C311F9" w:rsidRDefault="00C311F9" w:rsidP="00F21624">
      <w:pPr>
        <w:pStyle w:val="FootnoteText"/>
      </w:pPr>
      <w:r>
        <w:rPr>
          <w:rStyle w:val="FootnoteReference"/>
        </w:rPr>
        <w:footnoteRef/>
      </w:r>
      <w:r>
        <w:t xml:space="preserve"> Harris (1979), 190</w:t>
      </w:r>
    </w:p>
  </w:footnote>
  <w:footnote w:id="396">
    <w:p w14:paraId="7C5B11B6" w14:textId="77777777" w:rsidR="00C311F9" w:rsidRDefault="00C311F9" w:rsidP="00F21624">
      <w:pPr>
        <w:pStyle w:val="FootnoteText"/>
      </w:pPr>
      <w:r>
        <w:rPr>
          <w:rStyle w:val="FootnoteReference"/>
        </w:rPr>
        <w:footnoteRef/>
      </w:r>
      <w:r>
        <w:t xml:space="preserve"> Plb. 1.11.12</w:t>
      </w:r>
    </w:p>
  </w:footnote>
  <w:footnote w:id="397">
    <w:p w14:paraId="4CC362FC" w14:textId="77777777" w:rsidR="00C311F9" w:rsidRDefault="00C311F9" w:rsidP="00F21624">
      <w:pPr>
        <w:pStyle w:val="FootnoteText"/>
      </w:pPr>
      <w:r>
        <w:rPr>
          <w:rStyle w:val="FootnoteReference"/>
        </w:rPr>
        <w:footnoteRef/>
      </w:r>
      <w:r>
        <w:t xml:space="preserve"> Plb. 11.2 and Raaflaub (1996), 279</w:t>
      </w:r>
    </w:p>
  </w:footnote>
  <w:footnote w:id="398">
    <w:p w14:paraId="23A855F7" w14:textId="77777777" w:rsidR="00C311F9" w:rsidRDefault="00C311F9" w:rsidP="00F21624">
      <w:pPr>
        <w:pStyle w:val="FootnoteText"/>
      </w:pPr>
      <w:r>
        <w:rPr>
          <w:rStyle w:val="FootnoteReference"/>
        </w:rPr>
        <w:footnoteRef/>
      </w:r>
      <w:r>
        <w:t xml:space="preserve"> Harris (1979), 185</w:t>
      </w:r>
    </w:p>
  </w:footnote>
  <w:footnote w:id="399">
    <w:p w14:paraId="0BF6A9E5" w14:textId="77777777" w:rsidR="00C311F9" w:rsidRDefault="00C311F9" w:rsidP="00F21624">
      <w:pPr>
        <w:pStyle w:val="FootnoteText"/>
      </w:pPr>
      <w:r>
        <w:rPr>
          <w:rStyle w:val="FootnoteReference"/>
        </w:rPr>
        <w:footnoteRef/>
      </w:r>
      <w:r>
        <w:t xml:space="preserve"> Plb. 1.17.1-2</w:t>
      </w:r>
    </w:p>
  </w:footnote>
  <w:footnote w:id="400">
    <w:p w14:paraId="0A45CDB0" w14:textId="77777777" w:rsidR="00C311F9" w:rsidRDefault="00C311F9" w:rsidP="00F21624">
      <w:pPr>
        <w:pStyle w:val="FootnoteText"/>
      </w:pPr>
      <w:r>
        <w:rPr>
          <w:rStyle w:val="FootnoteReference"/>
        </w:rPr>
        <w:footnoteRef/>
      </w:r>
      <w:r>
        <w:t xml:space="preserve"> Dion. Hal. 19.4; Livy. Per. 12; Flor. 1.13.3-5; App. Sam. 7.1</w:t>
      </w:r>
    </w:p>
  </w:footnote>
  <w:footnote w:id="401">
    <w:p w14:paraId="32F08C7D" w14:textId="77777777" w:rsidR="00C311F9" w:rsidRDefault="00C311F9" w:rsidP="00F21624">
      <w:pPr>
        <w:pStyle w:val="FootnoteText"/>
      </w:pPr>
      <w:r>
        <w:rPr>
          <w:rStyle w:val="FootnoteReference"/>
        </w:rPr>
        <w:footnoteRef/>
      </w:r>
      <w:r>
        <w:t xml:space="preserve"> Diod. 22.13.7</w:t>
      </w:r>
    </w:p>
  </w:footnote>
  <w:footnote w:id="402">
    <w:p w14:paraId="0637B2B4" w14:textId="7F514C72" w:rsidR="00C311F9" w:rsidRDefault="00C311F9">
      <w:pPr>
        <w:pStyle w:val="FootnoteText"/>
      </w:pPr>
      <w:r>
        <w:rPr>
          <w:rStyle w:val="FootnoteReference"/>
        </w:rPr>
        <w:footnoteRef/>
      </w:r>
      <w:r>
        <w:t xml:space="preserve"> </w:t>
      </w:r>
      <w:proofErr w:type="spellStart"/>
      <w:r w:rsidR="006A5C51">
        <w:t>Oros</w:t>
      </w:r>
      <w:proofErr w:type="spellEnd"/>
      <w:r w:rsidR="006A5C51">
        <w:t>. 3.22.13-14</w:t>
      </w:r>
    </w:p>
  </w:footnote>
  <w:footnote w:id="403">
    <w:p w14:paraId="2FB977FE" w14:textId="77777777" w:rsidR="00C311F9" w:rsidRDefault="00C311F9" w:rsidP="00F21624">
      <w:pPr>
        <w:pStyle w:val="FootnoteText"/>
      </w:pPr>
      <w:r>
        <w:rPr>
          <w:rStyle w:val="FootnoteReference"/>
        </w:rPr>
        <w:footnoteRef/>
      </w:r>
      <w:r>
        <w:t xml:space="preserve"> Harris (1979), 110</w:t>
      </w:r>
    </w:p>
  </w:footnote>
  <w:footnote w:id="404">
    <w:p w14:paraId="38166E9B" w14:textId="77777777" w:rsidR="00C311F9" w:rsidRDefault="00C311F9" w:rsidP="00F21624">
      <w:pPr>
        <w:pStyle w:val="FootnoteText"/>
      </w:pPr>
      <w:r>
        <w:rPr>
          <w:rStyle w:val="FootnoteReference"/>
        </w:rPr>
        <w:footnoteRef/>
      </w:r>
      <w:r>
        <w:t xml:space="preserve"> Hoyos (2011), 139</w:t>
      </w:r>
    </w:p>
  </w:footnote>
  <w:footnote w:id="405">
    <w:p w14:paraId="4F9E0E0B" w14:textId="77777777" w:rsidR="00C311F9" w:rsidRDefault="00C311F9" w:rsidP="00F21624">
      <w:pPr>
        <w:pStyle w:val="FootnoteText"/>
      </w:pPr>
      <w:r>
        <w:rPr>
          <w:rStyle w:val="FootnoteReference"/>
        </w:rPr>
        <w:footnoteRef/>
      </w:r>
      <w:r>
        <w:t xml:space="preserve"> Lancel (1995), 89</w:t>
      </w:r>
    </w:p>
  </w:footnote>
  <w:footnote w:id="406">
    <w:p w14:paraId="7D8D9EC0" w14:textId="77777777" w:rsidR="00C311F9" w:rsidRDefault="00C311F9" w:rsidP="00F21624">
      <w:pPr>
        <w:pStyle w:val="FootnoteText"/>
      </w:pPr>
      <w:r>
        <w:rPr>
          <w:rStyle w:val="FootnoteReference"/>
        </w:rPr>
        <w:footnoteRef/>
      </w:r>
      <w:r>
        <w:t xml:space="preserve"> Plb. 1.11.10-12 and Diod. 23.1.4-2.1</w:t>
      </w:r>
    </w:p>
  </w:footnote>
  <w:footnote w:id="407">
    <w:p w14:paraId="3D101506" w14:textId="77777777" w:rsidR="00C311F9" w:rsidRDefault="00C311F9" w:rsidP="00F21624">
      <w:pPr>
        <w:pStyle w:val="FootnoteText"/>
      </w:pPr>
      <w:r>
        <w:rPr>
          <w:rStyle w:val="FootnoteReference"/>
        </w:rPr>
        <w:footnoteRef/>
      </w:r>
      <w:r>
        <w:t xml:space="preserve"> Hoyos (2011), 142+</w:t>
      </w:r>
    </w:p>
  </w:footnote>
  <w:footnote w:id="408">
    <w:p w14:paraId="76DE80C7" w14:textId="77777777" w:rsidR="00C311F9" w:rsidRDefault="00C311F9" w:rsidP="00F21624">
      <w:pPr>
        <w:pStyle w:val="FootnoteText"/>
      </w:pPr>
      <w:r>
        <w:rPr>
          <w:rStyle w:val="FootnoteReference"/>
        </w:rPr>
        <w:footnoteRef/>
      </w:r>
      <w:r>
        <w:t xml:space="preserve"> Lancel (1995), 365</w:t>
      </w:r>
    </w:p>
  </w:footnote>
  <w:footnote w:id="409">
    <w:p w14:paraId="50FF4336" w14:textId="77777777" w:rsidR="00C311F9" w:rsidRDefault="00C311F9" w:rsidP="00F21624">
      <w:pPr>
        <w:pStyle w:val="FootnoteText"/>
      </w:pPr>
      <w:r>
        <w:rPr>
          <w:rStyle w:val="FootnoteReference"/>
        </w:rPr>
        <w:footnoteRef/>
      </w:r>
      <w:r>
        <w:t xml:space="preserve"> Lancel (1995), 365</w:t>
      </w:r>
    </w:p>
  </w:footnote>
  <w:footnote w:id="410">
    <w:p w14:paraId="6BC23E43" w14:textId="77777777" w:rsidR="00C311F9" w:rsidRDefault="00C311F9" w:rsidP="00F21624">
      <w:pPr>
        <w:pStyle w:val="FootnoteText"/>
      </w:pPr>
      <w:r>
        <w:rPr>
          <w:rStyle w:val="FootnoteReference"/>
        </w:rPr>
        <w:footnoteRef/>
      </w:r>
      <w:r>
        <w:t xml:space="preserve"> Plb. 1.59</w:t>
      </w:r>
    </w:p>
  </w:footnote>
  <w:footnote w:id="411">
    <w:p w14:paraId="15DB93C4" w14:textId="77777777" w:rsidR="00C311F9" w:rsidRDefault="00C311F9" w:rsidP="00F21624">
      <w:pPr>
        <w:pStyle w:val="FootnoteText"/>
      </w:pPr>
      <w:r>
        <w:rPr>
          <w:rStyle w:val="FootnoteReference"/>
        </w:rPr>
        <w:footnoteRef/>
      </w:r>
      <w:r>
        <w:t xml:space="preserve"> Hoyos (2011), 134</w:t>
      </w:r>
    </w:p>
  </w:footnote>
  <w:footnote w:id="412">
    <w:p w14:paraId="2AC0EF39" w14:textId="108DD489" w:rsidR="00C311F9" w:rsidRDefault="00C311F9">
      <w:pPr>
        <w:pStyle w:val="FootnoteText"/>
      </w:pPr>
      <w:r>
        <w:rPr>
          <w:rStyle w:val="FootnoteReference"/>
        </w:rPr>
        <w:footnoteRef/>
      </w:r>
      <w:r>
        <w:t xml:space="preserve"> Raaflaub (1996), 278</w:t>
      </w:r>
    </w:p>
  </w:footnote>
  <w:footnote w:id="413">
    <w:p w14:paraId="1B316207" w14:textId="77777777" w:rsidR="00C311F9" w:rsidRDefault="00C311F9" w:rsidP="00F21624">
      <w:pPr>
        <w:pStyle w:val="FootnoteText"/>
      </w:pPr>
      <w:r>
        <w:rPr>
          <w:rStyle w:val="FootnoteReference"/>
        </w:rPr>
        <w:footnoteRef/>
      </w:r>
      <w:r>
        <w:t xml:space="preserve"> </w:t>
      </w:r>
      <w:proofErr w:type="spellStart"/>
      <w:r>
        <w:t>Zon</w:t>
      </w:r>
      <w:proofErr w:type="spellEnd"/>
      <w:r>
        <w:t xml:space="preserve">. 8.8.2 and </w:t>
      </w:r>
      <w:proofErr w:type="spellStart"/>
      <w:r>
        <w:t>florus</w:t>
      </w:r>
      <w:proofErr w:type="spellEnd"/>
      <w:r>
        <w:t>. 1.18.2-4</w:t>
      </w:r>
    </w:p>
  </w:footnote>
  <w:footnote w:id="414">
    <w:p w14:paraId="508A7A16" w14:textId="40818555" w:rsidR="00C311F9" w:rsidRDefault="00C311F9" w:rsidP="00F21624">
      <w:pPr>
        <w:pStyle w:val="FootnoteText"/>
      </w:pPr>
      <w:r>
        <w:rPr>
          <w:rStyle w:val="FootnoteReference"/>
        </w:rPr>
        <w:footnoteRef/>
      </w:r>
      <w:r>
        <w:t xml:space="preserve"> Oakley (1993),33</w:t>
      </w:r>
    </w:p>
  </w:footnote>
  <w:footnote w:id="415">
    <w:p w14:paraId="6B7A8C22" w14:textId="77777777" w:rsidR="00C311F9" w:rsidRDefault="00C311F9" w:rsidP="00F21624">
      <w:pPr>
        <w:pStyle w:val="FootnoteText"/>
      </w:pPr>
      <w:r>
        <w:rPr>
          <w:rStyle w:val="FootnoteReference"/>
        </w:rPr>
        <w:footnoteRef/>
      </w:r>
      <w:r>
        <w:t xml:space="preserve"> Lazenby (1996), 35</w:t>
      </w:r>
    </w:p>
  </w:footnote>
  <w:footnote w:id="416">
    <w:p w14:paraId="575EF501" w14:textId="77777777" w:rsidR="00C311F9" w:rsidRDefault="00C311F9" w:rsidP="00F21624">
      <w:pPr>
        <w:pStyle w:val="FootnoteText"/>
      </w:pPr>
      <w:r>
        <w:rPr>
          <w:rStyle w:val="FootnoteReference"/>
        </w:rPr>
        <w:footnoteRef/>
      </w:r>
      <w:r>
        <w:t xml:space="preserve"> Lazenby (1996), 38</w:t>
      </w:r>
    </w:p>
  </w:footnote>
  <w:footnote w:id="417">
    <w:p w14:paraId="09EDBCBD" w14:textId="32D245D0" w:rsidR="00C311F9" w:rsidRDefault="00C311F9">
      <w:pPr>
        <w:pStyle w:val="FootnoteText"/>
      </w:pPr>
      <w:r>
        <w:rPr>
          <w:rStyle w:val="FootnoteReference"/>
        </w:rPr>
        <w:footnoteRef/>
      </w:r>
      <w:r>
        <w:t xml:space="preserve"> </w:t>
      </w:r>
      <w:r w:rsidR="006A5C51">
        <w:t>Hoyos (</w:t>
      </w:r>
      <w:r w:rsidR="006A5C51">
        <w:t>2011</w:t>
      </w:r>
      <w:bookmarkStart w:id="4" w:name="_GoBack"/>
      <w:bookmarkEnd w:id="4"/>
      <w:r w:rsidR="006A5C51">
        <w:t>), 141</w:t>
      </w:r>
    </w:p>
  </w:footnote>
  <w:footnote w:id="418">
    <w:p w14:paraId="70E9FC8E" w14:textId="77777777" w:rsidR="00C311F9" w:rsidRDefault="00C311F9" w:rsidP="00F21624">
      <w:pPr>
        <w:pStyle w:val="FootnoteText"/>
      </w:pPr>
      <w:r>
        <w:rPr>
          <w:rStyle w:val="FootnoteReference"/>
        </w:rPr>
        <w:footnoteRef/>
      </w:r>
      <w:r>
        <w:t xml:space="preserve"> Lazenby (1996), 5 and Plb. 10.6</w:t>
      </w:r>
    </w:p>
  </w:footnote>
  <w:footnote w:id="419">
    <w:p w14:paraId="5B8AC194" w14:textId="77777777" w:rsidR="00C311F9" w:rsidRDefault="00C311F9" w:rsidP="00F21624">
      <w:pPr>
        <w:pStyle w:val="FootnoteText"/>
      </w:pPr>
      <w:r>
        <w:rPr>
          <w:rStyle w:val="FootnoteReference"/>
        </w:rPr>
        <w:footnoteRef/>
      </w:r>
      <w:r>
        <w:t xml:space="preserve"> Eckstein (2006), 25</w:t>
      </w:r>
    </w:p>
  </w:footnote>
  <w:footnote w:id="420">
    <w:p w14:paraId="75313D7A" w14:textId="77777777" w:rsidR="00C311F9" w:rsidRDefault="00C311F9" w:rsidP="00F21624">
      <w:pPr>
        <w:pStyle w:val="FootnoteText"/>
      </w:pPr>
      <w:r>
        <w:rPr>
          <w:rStyle w:val="FootnoteReference"/>
        </w:rPr>
        <w:footnoteRef/>
      </w:r>
      <w:r>
        <w:t xml:space="preserve"> Eckstein (2006), 50</w:t>
      </w:r>
    </w:p>
  </w:footnote>
  <w:footnote w:id="421">
    <w:p w14:paraId="2D696FD8" w14:textId="77777777" w:rsidR="00C311F9" w:rsidRDefault="00C311F9" w:rsidP="00E327DB">
      <w:pPr>
        <w:pStyle w:val="FootnoteText"/>
      </w:pPr>
      <w:r>
        <w:rPr>
          <w:rStyle w:val="FootnoteReference"/>
        </w:rPr>
        <w:footnoteRef/>
      </w:r>
      <w:r>
        <w:t xml:space="preserve"> Hoyos (2010), 43</w:t>
      </w:r>
    </w:p>
  </w:footnote>
  <w:footnote w:id="422">
    <w:p w14:paraId="40F47A60" w14:textId="77777777" w:rsidR="00C311F9" w:rsidRDefault="00C311F9" w:rsidP="00E327DB">
      <w:pPr>
        <w:pStyle w:val="FootnoteText"/>
      </w:pPr>
      <w:r>
        <w:rPr>
          <w:rStyle w:val="FootnoteReference"/>
        </w:rPr>
        <w:footnoteRef/>
      </w:r>
      <w:r>
        <w:t xml:space="preserve"> Lancel (1995), 85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4107F"/>
    <w:multiLevelType w:val="hybridMultilevel"/>
    <w:tmpl w:val="2E085A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4B421C"/>
    <w:multiLevelType w:val="hybridMultilevel"/>
    <w:tmpl w:val="DCD20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F2383D"/>
    <w:multiLevelType w:val="hybridMultilevel"/>
    <w:tmpl w:val="50928B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BA247A"/>
    <w:multiLevelType w:val="hybridMultilevel"/>
    <w:tmpl w:val="5DA4C964"/>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num>
  <w:num w:numId="2">
    <w:abstractNumId w:val="2"/>
  </w:num>
  <w:num w:numId="3">
    <w:abstractNumId w:val="1"/>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ED5"/>
    <w:rsid w:val="00001DAC"/>
    <w:rsid w:val="0000753C"/>
    <w:rsid w:val="00007AEA"/>
    <w:rsid w:val="0001101B"/>
    <w:rsid w:val="00023B47"/>
    <w:rsid w:val="000323CE"/>
    <w:rsid w:val="0003607E"/>
    <w:rsid w:val="000442D8"/>
    <w:rsid w:val="00045234"/>
    <w:rsid w:val="00046633"/>
    <w:rsid w:val="000532AB"/>
    <w:rsid w:val="00055FB2"/>
    <w:rsid w:val="00061BC8"/>
    <w:rsid w:val="000633BD"/>
    <w:rsid w:val="00086987"/>
    <w:rsid w:val="00090589"/>
    <w:rsid w:val="0009058B"/>
    <w:rsid w:val="000918E6"/>
    <w:rsid w:val="000946C0"/>
    <w:rsid w:val="000B30D2"/>
    <w:rsid w:val="000B6765"/>
    <w:rsid w:val="000C04E2"/>
    <w:rsid w:val="000C0A4A"/>
    <w:rsid w:val="000C1EFE"/>
    <w:rsid w:val="000C2C78"/>
    <w:rsid w:val="000C2ED5"/>
    <w:rsid w:val="000C57B7"/>
    <w:rsid w:val="000C7606"/>
    <w:rsid w:val="000D08E5"/>
    <w:rsid w:val="000D2FFF"/>
    <w:rsid w:val="000D66BA"/>
    <w:rsid w:val="000E46AB"/>
    <w:rsid w:val="000E4942"/>
    <w:rsid w:val="000E5354"/>
    <w:rsid w:val="000E5D45"/>
    <w:rsid w:val="000F0D8F"/>
    <w:rsid w:val="000F4CE7"/>
    <w:rsid w:val="000F5506"/>
    <w:rsid w:val="001022A3"/>
    <w:rsid w:val="001039CC"/>
    <w:rsid w:val="00104DC6"/>
    <w:rsid w:val="001106B3"/>
    <w:rsid w:val="00110877"/>
    <w:rsid w:val="001113E7"/>
    <w:rsid w:val="00111D01"/>
    <w:rsid w:val="001213D4"/>
    <w:rsid w:val="001241EE"/>
    <w:rsid w:val="00125F0C"/>
    <w:rsid w:val="001268E9"/>
    <w:rsid w:val="00126EE7"/>
    <w:rsid w:val="00131EA7"/>
    <w:rsid w:val="00134B1D"/>
    <w:rsid w:val="00137755"/>
    <w:rsid w:val="001400AD"/>
    <w:rsid w:val="00140256"/>
    <w:rsid w:val="00141E13"/>
    <w:rsid w:val="00151E98"/>
    <w:rsid w:val="00162BAD"/>
    <w:rsid w:val="00170CCE"/>
    <w:rsid w:val="00174B06"/>
    <w:rsid w:val="0017742E"/>
    <w:rsid w:val="00181398"/>
    <w:rsid w:val="0018610C"/>
    <w:rsid w:val="00195856"/>
    <w:rsid w:val="001B15B5"/>
    <w:rsid w:val="001B2407"/>
    <w:rsid w:val="001B5582"/>
    <w:rsid w:val="001D0FB5"/>
    <w:rsid w:val="001E2035"/>
    <w:rsid w:val="001E2D65"/>
    <w:rsid w:val="001F73DA"/>
    <w:rsid w:val="00200B38"/>
    <w:rsid w:val="00205C80"/>
    <w:rsid w:val="00206508"/>
    <w:rsid w:val="00206574"/>
    <w:rsid w:val="00206E88"/>
    <w:rsid w:val="0021139D"/>
    <w:rsid w:val="0021235D"/>
    <w:rsid w:val="002129C3"/>
    <w:rsid w:val="00215856"/>
    <w:rsid w:val="00223932"/>
    <w:rsid w:val="00227329"/>
    <w:rsid w:val="00243B9F"/>
    <w:rsid w:val="002516E1"/>
    <w:rsid w:val="00262801"/>
    <w:rsid w:val="00267081"/>
    <w:rsid w:val="002704BD"/>
    <w:rsid w:val="00270774"/>
    <w:rsid w:val="00271C24"/>
    <w:rsid w:val="002757BF"/>
    <w:rsid w:val="002765AF"/>
    <w:rsid w:val="002B0F06"/>
    <w:rsid w:val="002B1DA5"/>
    <w:rsid w:val="002B6330"/>
    <w:rsid w:val="002B7B96"/>
    <w:rsid w:val="002C1548"/>
    <w:rsid w:val="002C2122"/>
    <w:rsid w:val="002C5119"/>
    <w:rsid w:val="002C5439"/>
    <w:rsid w:val="002C790E"/>
    <w:rsid w:val="002C796A"/>
    <w:rsid w:val="002D041A"/>
    <w:rsid w:val="002E22D8"/>
    <w:rsid w:val="002E5928"/>
    <w:rsid w:val="002E6069"/>
    <w:rsid w:val="002F332C"/>
    <w:rsid w:val="002F400D"/>
    <w:rsid w:val="00301634"/>
    <w:rsid w:val="00303F38"/>
    <w:rsid w:val="003152A2"/>
    <w:rsid w:val="00315BFD"/>
    <w:rsid w:val="0032745D"/>
    <w:rsid w:val="003327D9"/>
    <w:rsid w:val="003378D4"/>
    <w:rsid w:val="00337BA8"/>
    <w:rsid w:val="0034061B"/>
    <w:rsid w:val="003431DF"/>
    <w:rsid w:val="003448CC"/>
    <w:rsid w:val="00347A58"/>
    <w:rsid w:val="00350652"/>
    <w:rsid w:val="0035373B"/>
    <w:rsid w:val="00353B82"/>
    <w:rsid w:val="003729A3"/>
    <w:rsid w:val="00372B73"/>
    <w:rsid w:val="00373777"/>
    <w:rsid w:val="00377543"/>
    <w:rsid w:val="00377A5B"/>
    <w:rsid w:val="003864FC"/>
    <w:rsid w:val="003916C9"/>
    <w:rsid w:val="00395550"/>
    <w:rsid w:val="003A6E07"/>
    <w:rsid w:val="003B0D94"/>
    <w:rsid w:val="003C3F6D"/>
    <w:rsid w:val="003C4FD6"/>
    <w:rsid w:val="003C5349"/>
    <w:rsid w:val="003D4360"/>
    <w:rsid w:val="003D4EF4"/>
    <w:rsid w:val="003E3464"/>
    <w:rsid w:val="003F2794"/>
    <w:rsid w:val="003F2D4B"/>
    <w:rsid w:val="003F49FF"/>
    <w:rsid w:val="00401408"/>
    <w:rsid w:val="0041384A"/>
    <w:rsid w:val="004267B9"/>
    <w:rsid w:val="00426BA0"/>
    <w:rsid w:val="00427098"/>
    <w:rsid w:val="00433631"/>
    <w:rsid w:val="00433906"/>
    <w:rsid w:val="00440982"/>
    <w:rsid w:val="004444AA"/>
    <w:rsid w:val="004506A5"/>
    <w:rsid w:val="00453304"/>
    <w:rsid w:val="004541B0"/>
    <w:rsid w:val="00454D15"/>
    <w:rsid w:val="00470C1D"/>
    <w:rsid w:val="00477FFD"/>
    <w:rsid w:val="00490146"/>
    <w:rsid w:val="00490500"/>
    <w:rsid w:val="00494507"/>
    <w:rsid w:val="004A7355"/>
    <w:rsid w:val="004B59DF"/>
    <w:rsid w:val="004B7237"/>
    <w:rsid w:val="004B73D2"/>
    <w:rsid w:val="004B7D2B"/>
    <w:rsid w:val="004D3280"/>
    <w:rsid w:val="004E25A7"/>
    <w:rsid w:val="004E4260"/>
    <w:rsid w:val="004F0ED8"/>
    <w:rsid w:val="00501BB0"/>
    <w:rsid w:val="005047EB"/>
    <w:rsid w:val="00513900"/>
    <w:rsid w:val="00513C78"/>
    <w:rsid w:val="005162A0"/>
    <w:rsid w:val="00517B70"/>
    <w:rsid w:val="00522224"/>
    <w:rsid w:val="005368F0"/>
    <w:rsid w:val="00553BE8"/>
    <w:rsid w:val="005604A0"/>
    <w:rsid w:val="00571B72"/>
    <w:rsid w:val="00583721"/>
    <w:rsid w:val="00585397"/>
    <w:rsid w:val="00590014"/>
    <w:rsid w:val="00592003"/>
    <w:rsid w:val="0059561B"/>
    <w:rsid w:val="00597547"/>
    <w:rsid w:val="005A09C0"/>
    <w:rsid w:val="005A64D4"/>
    <w:rsid w:val="005C4221"/>
    <w:rsid w:val="005C7E39"/>
    <w:rsid w:val="005D2290"/>
    <w:rsid w:val="005E378B"/>
    <w:rsid w:val="005E4B5C"/>
    <w:rsid w:val="005F1C07"/>
    <w:rsid w:val="005F610C"/>
    <w:rsid w:val="00603001"/>
    <w:rsid w:val="006040D4"/>
    <w:rsid w:val="00606C05"/>
    <w:rsid w:val="00607B53"/>
    <w:rsid w:val="00615D71"/>
    <w:rsid w:val="00621114"/>
    <w:rsid w:val="00634442"/>
    <w:rsid w:val="00642986"/>
    <w:rsid w:val="00647268"/>
    <w:rsid w:val="006509F1"/>
    <w:rsid w:val="00651073"/>
    <w:rsid w:val="0066599F"/>
    <w:rsid w:val="00665FE8"/>
    <w:rsid w:val="006664BF"/>
    <w:rsid w:val="006706A9"/>
    <w:rsid w:val="006717FD"/>
    <w:rsid w:val="00676803"/>
    <w:rsid w:val="00681C87"/>
    <w:rsid w:val="00693F10"/>
    <w:rsid w:val="006A0E93"/>
    <w:rsid w:val="006A378F"/>
    <w:rsid w:val="006A4E9C"/>
    <w:rsid w:val="006A5C51"/>
    <w:rsid w:val="006A6A3E"/>
    <w:rsid w:val="006B033F"/>
    <w:rsid w:val="006B389B"/>
    <w:rsid w:val="006B4866"/>
    <w:rsid w:val="006B5486"/>
    <w:rsid w:val="006D1E39"/>
    <w:rsid w:val="006D699C"/>
    <w:rsid w:val="006E5495"/>
    <w:rsid w:val="006F2A9F"/>
    <w:rsid w:val="006F5B92"/>
    <w:rsid w:val="006F67FA"/>
    <w:rsid w:val="007074C2"/>
    <w:rsid w:val="00711868"/>
    <w:rsid w:val="00712FC5"/>
    <w:rsid w:val="0071688D"/>
    <w:rsid w:val="00723AE5"/>
    <w:rsid w:val="0072634F"/>
    <w:rsid w:val="00730612"/>
    <w:rsid w:val="007308E5"/>
    <w:rsid w:val="00730A96"/>
    <w:rsid w:val="00734DCA"/>
    <w:rsid w:val="00745B7B"/>
    <w:rsid w:val="0075210D"/>
    <w:rsid w:val="0075297A"/>
    <w:rsid w:val="0075552E"/>
    <w:rsid w:val="007570EE"/>
    <w:rsid w:val="00757ABD"/>
    <w:rsid w:val="00760E73"/>
    <w:rsid w:val="007643A5"/>
    <w:rsid w:val="0077114D"/>
    <w:rsid w:val="0077255D"/>
    <w:rsid w:val="007734A4"/>
    <w:rsid w:val="00780DF5"/>
    <w:rsid w:val="00784BF3"/>
    <w:rsid w:val="00784F3D"/>
    <w:rsid w:val="00793C64"/>
    <w:rsid w:val="00795E37"/>
    <w:rsid w:val="007A0E71"/>
    <w:rsid w:val="007A3E17"/>
    <w:rsid w:val="007A4F6A"/>
    <w:rsid w:val="007B0BE0"/>
    <w:rsid w:val="007B4D11"/>
    <w:rsid w:val="007B6221"/>
    <w:rsid w:val="007B76DE"/>
    <w:rsid w:val="007C45FF"/>
    <w:rsid w:val="007C54FB"/>
    <w:rsid w:val="007D15C4"/>
    <w:rsid w:val="007D1C28"/>
    <w:rsid w:val="007D7197"/>
    <w:rsid w:val="007D79D0"/>
    <w:rsid w:val="007E0A2B"/>
    <w:rsid w:val="007E32BF"/>
    <w:rsid w:val="007E3DCF"/>
    <w:rsid w:val="007E40C0"/>
    <w:rsid w:val="007F7254"/>
    <w:rsid w:val="00800325"/>
    <w:rsid w:val="0080107C"/>
    <w:rsid w:val="00802B94"/>
    <w:rsid w:val="00804EBB"/>
    <w:rsid w:val="0080769F"/>
    <w:rsid w:val="00807DA4"/>
    <w:rsid w:val="008123F9"/>
    <w:rsid w:val="00820087"/>
    <w:rsid w:val="0082021C"/>
    <w:rsid w:val="00824ABD"/>
    <w:rsid w:val="00827B4C"/>
    <w:rsid w:val="00830453"/>
    <w:rsid w:val="00836C5E"/>
    <w:rsid w:val="00840704"/>
    <w:rsid w:val="00840E66"/>
    <w:rsid w:val="00844A44"/>
    <w:rsid w:val="00850A61"/>
    <w:rsid w:val="0085361E"/>
    <w:rsid w:val="00853750"/>
    <w:rsid w:val="008537E2"/>
    <w:rsid w:val="0085479C"/>
    <w:rsid w:val="00856F16"/>
    <w:rsid w:val="00860C9A"/>
    <w:rsid w:val="0086388C"/>
    <w:rsid w:val="0086525C"/>
    <w:rsid w:val="0086770A"/>
    <w:rsid w:val="008719E4"/>
    <w:rsid w:val="008755E1"/>
    <w:rsid w:val="008769EC"/>
    <w:rsid w:val="0088063B"/>
    <w:rsid w:val="00880F47"/>
    <w:rsid w:val="008936EA"/>
    <w:rsid w:val="00896B86"/>
    <w:rsid w:val="00897062"/>
    <w:rsid w:val="008973B5"/>
    <w:rsid w:val="008A3487"/>
    <w:rsid w:val="008A7443"/>
    <w:rsid w:val="008A7B01"/>
    <w:rsid w:val="008B5BB1"/>
    <w:rsid w:val="008B745A"/>
    <w:rsid w:val="008C0BD7"/>
    <w:rsid w:val="008C1B70"/>
    <w:rsid w:val="008D02B0"/>
    <w:rsid w:val="008E2244"/>
    <w:rsid w:val="008E3922"/>
    <w:rsid w:val="008E4B50"/>
    <w:rsid w:val="008F21AE"/>
    <w:rsid w:val="008F27E3"/>
    <w:rsid w:val="008F4E91"/>
    <w:rsid w:val="00900CA4"/>
    <w:rsid w:val="00904FB5"/>
    <w:rsid w:val="00910703"/>
    <w:rsid w:val="009125FB"/>
    <w:rsid w:val="00930B08"/>
    <w:rsid w:val="009363C0"/>
    <w:rsid w:val="009405B1"/>
    <w:rsid w:val="009419A1"/>
    <w:rsid w:val="009428A2"/>
    <w:rsid w:val="0094369E"/>
    <w:rsid w:val="0094373E"/>
    <w:rsid w:val="009442DD"/>
    <w:rsid w:val="009473E0"/>
    <w:rsid w:val="00955386"/>
    <w:rsid w:val="009564D4"/>
    <w:rsid w:val="00974071"/>
    <w:rsid w:val="00976E34"/>
    <w:rsid w:val="00982884"/>
    <w:rsid w:val="009912E5"/>
    <w:rsid w:val="009A7AE1"/>
    <w:rsid w:val="009B0C4A"/>
    <w:rsid w:val="009B2771"/>
    <w:rsid w:val="009B37AD"/>
    <w:rsid w:val="009B69EA"/>
    <w:rsid w:val="009C66AD"/>
    <w:rsid w:val="009C7B39"/>
    <w:rsid w:val="009E2805"/>
    <w:rsid w:val="009E5516"/>
    <w:rsid w:val="009F09B5"/>
    <w:rsid w:val="009F3C77"/>
    <w:rsid w:val="009F54B7"/>
    <w:rsid w:val="009F7804"/>
    <w:rsid w:val="009F7EEB"/>
    <w:rsid w:val="00A02C6E"/>
    <w:rsid w:val="00A04384"/>
    <w:rsid w:val="00A07CC7"/>
    <w:rsid w:val="00A10F6C"/>
    <w:rsid w:val="00A15948"/>
    <w:rsid w:val="00A40538"/>
    <w:rsid w:val="00A43EDC"/>
    <w:rsid w:val="00A46CC7"/>
    <w:rsid w:val="00A52273"/>
    <w:rsid w:val="00A54A8E"/>
    <w:rsid w:val="00A55F37"/>
    <w:rsid w:val="00A63738"/>
    <w:rsid w:val="00A647CD"/>
    <w:rsid w:val="00A67236"/>
    <w:rsid w:val="00A7082C"/>
    <w:rsid w:val="00A74F6B"/>
    <w:rsid w:val="00A9325A"/>
    <w:rsid w:val="00AA6C27"/>
    <w:rsid w:val="00AB356D"/>
    <w:rsid w:val="00AB5D22"/>
    <w:rsid w:val="00AB6B97"/>
    <w:rsid w:val="00AD1DCE"/>
    <w:rsid w:val="00AD4884"/>
    <w:rsid w:val="00AE1C77"/>
    <w:rsid w:val="00AF1847"/>
    <w:rsid w:val="00B03549"/>
    <w:rsid w:val="00B038FA"/>
    <w:rsid w:val="00B043C7"/>
    <w:rsid w:val="00B07618"/>
    <w:rsid w:val="00B31D7B"/>
    <w:rsid w:val="00B35130"/>
    <w:rsid w:val="00B404EE"/>
    <w:rsid w:val="00B40971"/>
    <w:rsid w:val="00B4215C"/>
    <w:rsid w:val="00B45353"/>
    <w:rsid w:val="00B54911"/>
    <w:rsid w:val="00B54D86"/>
    <w:rsid w:val="00B60703"/>
    <w:rsid w:val="00B636F0"/>
    <w:rsid w:val="00B6559E"/>
    <w:rsid w:val="00B659C0"/>
    <w:rsid w:val="00B67951"/>
    <w:rsid w:val="00B70D68"/>
    <w:rsid w:val="00B90196"/>
    <w:rsid w:val="00B91282"/>
    <w:rsid w:val="00BA0F8A"/>
    <w:rsid w:val="00BA19E0"/>
    <w:rsid w:val="00BA30BC"/>
    <w:rsid w:val="00BA344F"/>
    <w:rsid w:val="00BA3B7B"/>
    <w:rsid w:val="00BA5C93"/>
    <w:rsid w:val="00BC096C"/>
    <w:rsid w:val="00BC52D7"/>
    <w:rsid w:val="00BC6D53"/>
    <w:rsid w:val="00BD07E5"/>
    <w:rsid w:val="00BD3A12"/>
    <w:rsid w:val="00BE0043"/>
    <w:rsid w:val="00BE101D"/>
    <w:rsid w:val="00BE2253"/>
    <w:rsid w:val="00BE632A"/>
    <w:rsid w:val="00BE7FB4"/>
    <w:rsid w:val="00BF3321"/>
    <w:rsid w:val="00BF736D"/>
    <w:rsid w:val="00C01C84"/>
    <w:rsid w:val="00C11D0F"/>
    <w:rsid w:val="00C1797F"/>
    <w:rsid w:val="00C17C3B"/>
    <w:rsid w:val="00C25AF0"/>
    <w:rsid w:val="00C310E1"/>
    <w:rsid w:val="00C311F9"/>
    <w:rsid w:val="00C3700C"/>
    <w:rsid w:val="00C4127B"/>
    <w:rsid w:val="00C46A1A"/>
    <w:rsid w:val="00C51ED7"/>
    <w:rsid w:val="00C53A9F"/>
    <w:rsid w:val="00C54443"/>
    <w:rsid w:val="00C605B3"/>
    <w:rsid w:val="00C63884"/>
    <w:rsid w:val="00C64900"/>
    <w:rsid w:val="00C710F9"/>
    <w:rsid w:val="00C73232"/>
    <w:rsid w:val="00C74371"/>
    <w:rsid w:val="00C750CE"/>
    <w:rsid w:val="00C7636F"/>
    <w:rsid w:val="00C857DB"/>
    <w:rsid w:val="00C918E2"/>
    <w:rsid w:val="00C91AAB"/>
    <w:rsid w:val="00C93764"/>
    <w:rsid w:val="00C97675"/>
    <w:rsid w:val="00CA1876"/>
    <w:rsid w:val="00CB107C"/>
    <w:rsid w:val="00CB292F"/>
    <w:rsid w:val="00CB4CBF"/>
    <w:rsid w:val="00CC057A"/>
    <w:rsid w:val="00CC0FC7"/>
    <w:rsid w:val="00CC28EF"/>
    <w:rsid w:val="00CC677A"/>
    <w:rsid w:val="00CC6FA9"/>
    <w:rsid w:val="00CD11A2"/>
    <w:rsid w:val="00CD387E"/>
    <w:rsid w:val="00CD5F9C"/>
    <w:rsid w:val="00CD6E1B"/>
    <w:rsid w:val="00CE2011"/>
    <w:rsid w:val="00CE6591"/>
    <w:rsid w:val="00CF34A3"/>
    <w:rsid w:val="00D00B34"/>
    <w:rsid w:val="00D028DA"/>
    <w:rsid w:val="00D10960"/>
    <w:rsid w:val="00D1284A"/>
    <w:rsid w:val="00D13CF2"/>
    <w:rsid w:val="00D16B0B"/>
    <w:rsid w:val="00D21B5F"/>
    <w:rsid w:val="00D24DCC"/>
    <w:rsid w:val="00D25284"/>
    <w:rsid w:val="00D37457"/>
    <w:rsid w:val="00D405FC"/>
    <w:rsid w:val="00D428DA"/>
    <w:rsid w:val="00D44139"/>
    <w:rsid w:val="00D47B52"/>
    <w:rsid w:val="00D5362B"/>
    <w:rsid w:val="00D55939"/>
    <w:rsid w:val="00D65719"/>
    <w:rsid w:val="00D663A8"/>
    <w:rsid w:val="00D67CF8"/>
    <w:rsid w:val="00D70311"/>
    <w:rsid w:val="00D7216F"/>
    <w:rsid w:val="00D83105"/>
    <w:rsid w:val="00D85E44"/>
    <w:rsid w:val="00D862EB"/>
    <w:rsid w:val="00D914E3"/>
    <w:rsid w:val="00D92834"/>
    <w:rsid w:val="00DB3B21"/>
    <w:rsid w:val="00DB4888"/>
    <w:rsid w:val="00DC16DB"/>
    <w:rsid w:val="00DD1DC2"/>
    <w:rsid w:val="00DD3050"/>
    <w:rsid w:val="00DD3ABA"/>
    <w:rsid w:val="00DD4F58"/>
    <w:rsid w:val="00E06C34"/>
    <w:rsid w:val="00E06D37"/>
    <w:rsid w:val="00E11B38"/>
    <w:rsid w:val="00E16F01"/>
    <w:rsid w:val="00E263D8"/>
    <w:rsid w:val="00E327DB"/>
    <w:rsid w:val="00E43AA1"/>
    <w:rsid w:val="00E46144"/>
    <w:rsid w:val="00E47936"/>
    <w:rsid w:val="00E479E5"/>
    <w:rsid w:val="00E53564"/>
    <w:rsid w:val="00E56335"/>
    <w:rsid w:val="00E67F72"/>
    <w:rsid w:val="00E706EF"/>
    <w:rsid w:val="00E746D0"/>
    <w:rsid w:val="00E770A9"/>
    <w:rsid w:val="00E80CB4"/>
    <w:rsid w:val="00E80F98"/>
    <w:rsid w:val="00E81E45"/>
    <w:rsid w:val="00E83593"/>
    <w:rsid w:val="00E91E00"/>
    <w:rsid w:val="00EA0D6C"/>
    <w:rsid w:val="00EA21F3"/>
    <w:rsid w:val="00EA300E"/>
    <w:rsid w:val="00EA427F"/>
    <w:rsid w:val="00EA5C70"/>
    <w:rsid w:val="00EA6087"/>
    <w:rsid w:val="00EA7CD5"/>
    <w:rsid w:val="00EB035D"/>
    <w:rsid w:val="00EB3599"/>
    <w:rsid w:val="00EB3917"/>
    <w:rsid w:val="00EB4C31"/>
    <w:rsid w:val="00EC2F4D"/>
    <w:rsid w:val="00ED04BB"/>
    <w:rsid w:val="00EE7928"/>
    <w:rsid w:val="00EF6960"/>
    <w:rsid w:val="00F01821"/>
    <w:rsid w:val="00F11EAE"/>
    <w:rsid w:val="00F17DB7"/>
    <w:rsid w:val="00F21624"/>
    <w:rsid w:val="00F3057B"/>
    <w:rsid w:val="00F4448F"/>
    <w:rsid w:val="00F460C7"/>
    <w:rsid w:val="00F50CC3"/>
    <w:rsid w:val="00F566CA"/>
    <w:rsid w:val="00F61C34"/>
    <w:rsid w:val="00F64239"/>
    <w:rsid w:val="00F668A1"/>
    <w:rsid w:val="00F715D5"/>
    <w:rsid w:val="00F729CA"/>
    <w:rsid w:val="00F8361E"/>
    <w:rsid w:val="00F8487C"/>
    <w:rsid w:val="00F87E6C"/>
    <w:rsid w:val="00F95799"/>
    <w:rsid w:val="00F97328"/>
    <w:rsid w:val="00F97D56"/>
    <w:rsid w:val="00FA5E00"/>
    <w:rsid w:val="00FB1E0C"/>
    <w:rsid w:val="00FB2883"/>
    <w:rsid w:val="00FB5287"/>
    <w:rsid w:val="00FB5B06"/>
    <w:rsid w:val="00FC1B7B"/>
    <w:rsid w:val="00FD0107"/>
    <w:rsid w:val="00FD3A66"/>
    <w:rsid w:val="00FD615D"/>
    <w:rsid w:val="00FE22F9"/>
    <w:rsid w:val="00FE249A"/>
    <w:rsid w:val="00FE4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16108B"/>
  <w15:chartTrackingRefBased/>
  <w15:docId w15:val="{90DE3708-13B0-443C-B7AA-319804A73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D24DC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9419A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2ED5"/>
    <w:pPr>
      <w:ind w:left="720"/>
      <w:contextualSpacing/>
    </w:pPr>
  </w:style>
  <w:style w:type="paragraph" w:styleId="FootnoteText">
    <w:name w:val="footnote text"/>
    <w:basedOn w:val="Normal"/>
    <w:link w:val="FootnoteTextChar"/>
    <w:uiPriority w:val="99"/>
    <w:semiHidden/>
    <w:unhideWhenUsed/>
    <w:rsid w:val="000B676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B6765"/>
    <w:rPr>
      <w:sz w:val="20"/>
      <w:szCs w:val="20"/>
    </w:rPr>
  </w:style>
  <w:style w:type="character" w:styleId="FootnoteReference">
    <w:name w:val="footnote reference"/>
    <w:basedOn w:val="DefaultParagraphFont"/>
    <w:uiPriority w:val="99"/>
    <w:semiHidden/>
    <w:unhideWhenUsed/>
    <w:rsid w:val="000B6765"/>
    <w:rPr>
      <w:vertAlign w:val="superscript"/>
    </w:rPr>
  </w:style>
  <w:style w:type="character" w:customStyle="1" w:styleId="Heading1Char">
    <w:name w:val="Heading 1 Char"/>
    <w:basedOn w:val="DefaultParagraphFont"/>
    <w:link w:val="Heading1"/>
    <w:uiPriority w:val="9"/>
    <w:rsid w:val="00D24DCC"/>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9419A1"/>
    <w:rPr>
      <w:rFonts w:asciiTheme="majorHAnsi" w:eastAsiaTheme="majorEastAsia" w:hAnsiTheme="majorHAnsi" w:cstheme="majorBidi"/>
      <w:color w:val="1F3763" w:themeColor="accent1" w:themeShade="7F"/>
      <w:sz w:val="24"/>
      <w:szCs w:val="24"/>
    </w:rPr>
  </w:style>
  <w:style w:type="paragraph" w:styleId="NormalWeb">
    <w:name w:val="Normal (Web)"/>
    <w:basedOn w:val="Normal"/>
    <w:rsid w:val="009419A1"/>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206E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6E88"/>
  </w:style>
  <w:style w:type="paragraph" w:styleId="Footer">
    <w:name w:val="footer"/>
    <w:basedOn w:val="Normal"/>
    <w:link w:val="FooterChar"/>
    <w:uiPriority w:val="99"/>
    <w:unhideWhenUsed/>
    <w:rsid w:val="00206E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6E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285">
      <w:bodyDiv w:val="1"/>
      <w:marLeft w:val="0"/>
      <w:marRight w:val="0"/>
      <w:marTop w:val="0"/>
      <w:marBottom w:val="0"/>
      <w:divBdr>
        <w:top w:val="none" w:sz="0" w:space="0" w:color="auto"/>
        <w:left w:val="none" w:sz="0" w:space="0" w:color="auto"/>
        <w:bottom w:val="none" w:sz="0" w:space="0" w:color="auto"/>
        <w:right w:val="none" w:sz="0" w:space="0" w:color="auto"/>
      </w:divBdr>
    </w:div>
    <w:div w:id="285743757">
      <w:bodyDiv w:val="1"/>
      <w:marLeft w:val="0"/>
      <w:marRight w:val="0"/>
      <w:marTop w:val="0"/>
      <w:marBottom w:val="0"/>
      <w:divBdr>
        <w:top w:val="none" w:sz="0" w:space="0" w:color="auto"/>
        <w:left w:val="none" w:sz="0" w:space="0" w:color="auto"/>
        <w:bottom w:val="none" w:sz="0" w:space="0" w:color="auto"/>
        <w:right w:val="none" w:sz="0" w:space="0" w:color="auto"/>
      </w:divBdr>
    </w:div>
    <w:div w:id="510678626">
      <w:bodyDiv w:val="1"/>
      <w:marLeft w:val="0"/>
      <w:marRight w:val="0"/>
      <w:marTop w:val="0"/>
      <w:marBottom w:val="0"/>
      <w:divBdr>
        <w:top w:val="none" w:sz="0" w:space="0" w:color="auto"/>
        <w:left w:val="none" w:sz="0" w:space="0" w:color="auto"/>
        <w:bottom w:val="none" w:sz="0" w:space="0" w:color="auto"/>
        <w:right w:val="none" w:sz="0" w:space="0" w:color="auto"/>
      </w:divBdr>
    </w:div>
    <w:div w:id="696857490">
      <w:bodyDiv w:val="1"/>
      <w:marLeft w:val="0"/>
      <w:marRight w:val="0"/>
      <w:marTop w:val="0"/>
      <w:marBottom w:val="0"/>
      <w:divBdr>
        <w:top w:val="none" w:sz="0" w:space="0" w:color="auto"/>
        <w:left w:val="none" w:sz="0" w:space="0" w:color="auto"/>
        <w:bottom w:val="none" w:sz="0" w:space="0" w:color="auto"/>
        <w:right w:val="none" w:sz="0" w:space="0" w:color="auto"/>
      </w:divBdr>
    </w:div>
    <w:div w:id="741680071">
      <w:bodyDiv w:val="1"/>
      <w:marLeft w:val="0"/>
      <w:marRight w:val="0"/>
      <w:marTop w:val="0"/>
      <w:marBottom w:val="0"/>
      <w:divBdr>
        <w:top w:val="none" w:sz="0" w:space="0" w:color="auto"/>
        <w:left w:val="none" w:sz="0" w:space="0" w:color="auto"/>
        <w:bottom w:val="none" w:sz="0" w:space="0" w:color="auto"/>
        <w:right w:val="none" w:sz="0" w:space="0" w:color="auto"/>
      </w:divBdr>
    </w:div>
    <w:div w:id="781656649">
      <w:bodyDiv w:val="1"/>
      <w:marLeft w:val="0"/>
      <w:marRight w:val="0"/>
      <w:marTop w:val="0"/>
      <w:marBottom w:val="0"/>
      <w:divBdr>
        <w:top w:val="none" w:sz="0" w:space="0" w:color="auto"/>
        <w:left w:val="none" w:sz="0" w:space="0" w:color="auto"/>
        <w:bottom w:val="none" w:sz="0" w:space="0" w:color="auto"/>
        <w:right w:val="none" w:sz="0" w:space="0" w:color="auto"/>
      </w:divBdr>
      <w:divsChild>
        <w:div w:id="960528306">
          <w:marLeft w:val="0"/>
          <w:marRight w:val="0"/>
          <w:marTop w:val="0"/>
          <w:marBottom w:val="0"/>
          <w:divBdr>
            <w:top w:val="none" w:sz="0" w:space="0" w:color="auto"/>
            <w:left w:val="none" w:sz="0" w:space="0" w:color="auto"/>
            <w:bottom w:val="none" w:sz="0" w:space="0" w:color="auto"/>
            <w:right w:val="none" w:sz="0" w:space="0" w:color="auto"/>
          </w:divBdr>
        </w:div>
        <w:div w:id="2104639977">
          <w:marLeft w:val="0"/>
          <w:marRight w:val="0"/>
          <w:marTop w:val="0"/>
          <w:marBottom w:val="0"/>
          <w:divBdr>
            <w:top w:val="none" w:sz="0" w:space="0" w:color="auto"/>
            <w:left w:val="none" w:sz="0" w:space="0" w:color="auto"/>
            <w:bottom w:val="none" w:sz="0" w:space="0" w:color="auto"/>
            <w:right w:val="none" w:sz="0" w:space="0" w:color="auto"/>
          </w:divBdr>
        </w:div>
        <w:div w:id="515117304">
          <w:marLeft w:val="0"/>
          <w:marRight w:val="0"/>
          <w:marTop w:val="0"/>
          <w:marBottom w:val="0"/>
          <w:divBdr>
            <w:top w:val="none" w:sz="0" w:space="0" w:color="auto"/>
            <w:left w:val="none" w:sz="0" w:space="0" w:color="auto"/>
            <w:bottom w:val="none" w:sz="0" w:space="0" w:color="auto"/>
            <w:right w:val="none" w:sz="0" w:space="0" w:color="auto"/>
          </w:divBdr>
        </w:div>
        <w:div w:id="236675793">
          <w:marLeft w:val="0"/>
          <w:marRight w:val="0"/>
          <w:marTop w:val="0"/>
          <w:marBottom w:val="0"/>
          <w:divBdr>
            <w:top w:val="none" w:sz="0" w:space="0" w:color="auto"/>
            <w:left w:val="none" w:sz="0" w:space="0" w:color="auto"/>
            <w:bottom w:val="none" w:sz="0" w:space="0" w:color="auto"/>
            <w:right w:val="none" w:sz="0" w:space="0" w:color="auto"/>
          </w:divBdr>
        </w:div>
        <w:div w:id="212737244">
          <w:marLeft w:val="0"/>
          <w:marRight w:val="0"/>
          <w:marTop w:val="0"/>
          <w:marBottom w:val="0"/>
          <w:divBdr>
            <w:top w:val="none" w:sz="0" w:space="0" w:color="auto"/>
            <w:left w:val="none" w:sz="0" w:space="0" w:color="auto"/>
            <w:bottom w:val="none" w:sz="0" w:space="0" w:color="auto"/>
            <w:right w:val="none" w:sz="0" w:space="0" w:color="auto"/>
          </w:divBdr>
        </w:div>
      </w:divsChild>
    </w:div>
    <w:div w:id="1141338162">
      <w:bodyDiv w:val="1"/>
      <w:marLeft w:val="0"/>
      <w:marRight w:val="0"/>
      <w:marTop w:val="0"/>
      <w:marBottom w:val="0"/>
      <w:divBdr>
        <w:top w:val="none" w:sz="0" w:space="0" w:color="auto"/>
        <w:left w:val="none" w:sz="0" w:space="0" w:color="auto"/>
        <w:bottom w:val="none" w:sz="0" w:space="0" w:color="auto"/>
        <w:right w:val="none" w:sz="0" w:space="0" w:color="auto"/>
      </w:divBdr>
    </w:div>
    <w:div w:id="1566184650">
      <w:bodyDiv w:val="1"/>
      <w:marLeft w:val="0"/>
      <w:marRight w:val="0"/>
      <w:marTop w:val="0"/>
      <w:marBottom w:val="0"/>
      <w:divBdr>
        <w:top w:val="none" w:sz="0" w:space="0" w:color="auto"/>
        <w:left w:val="none" w:sz="0" w:space="0" w:color="auto"/>
        <w:bottom w:val="none" w:sz="0" w:space="0" w:color="auto"/>
        <w:right w:val="none" w:sz="0" w:space="0" w:color="auto"/>
      </w:divBdr>
    </w:div>
    <w:div w:id="2079935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9C669-4FFC-45C8-A423-2EC4B9CC2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82</Pages>
  <Words>16432</Words>
  <Characters>93665</Characters>
  <Application>Microsoft Office Word</Application>
  <DocSecurity>0</DocSecurity>
  <Lines>780</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Ward</dc:creator>
  <cp:keywords/>
  <dc:description/>
  <cp:lastModifiedBy>Stuart Ward</cp:lastModifiedBy>
  <cp:revision>2</cp:revision>
  <dcterms:created xsi:type="dcterms:W3CDTF">2019-09-28T20:18:00Z</dcterms:created>
  <dcterms:modified xsi:type="dcterms:W3CDTF">2019-09-28T20:18:00Z</dcterms:modified>
</cp:coreProperties>
</file>