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55AB7" w:rsidP="74655B85" w:rsidRDefault="1A4F4001" w14:paraId="5DF7B695" w14:textId="202A71EC" w14:noSpellErr="1">
      <w:pPr>
        <w:spacing w:before="240" w:line="276" w:lineRule="auto"/>
      </w:pPr>
      <w:r w:rsidRPr="74655B85" w:rsidR="1A4F4001">
        <w:rPr>
          <w:rFonts w:ascii="Helvetica" w:hAnsi="Helvetica" w:eastAsia="Helvetica" w:cs="Helvetica"/>
          <w:b w:val="1"/>
          <w:bCs w:val="1"/>
          <w:color w:val="215F9A"/>
          <w:u w:val="single"/>
        </w:rPr>
        <w:t>Assignment 2: The professional practitioner.</w:t>
      </w:r>
    </w:p>
    <w:p w:rsidR="00555AB7" w:rsidP="74655B85" w:rsidRDefault="506B057B" w14:paraId="2960C250" w14:textId="4C0BFDF4" w14:noSpellErr="1">
      <w:pPr>
        <w:spacing w:before="240" w:line="360" w:lineRule="auto"/>
        <w:rPr>
          <w:rFonts w:ascii="Helvetica" w:hAnsi="Helvetica" w:eastAsia="Helvetica" w:cs="Helvetica"/>
          <w:b w:val="1"/>
          <w:bCs w:val="1"/>
          <w:color w:val="215F9A"/>
        </w:rPr>
      </w:pPr>
      <w:r w:rsidRPr="74655B85" w:rsidR="506B057B">
        <w:rPr>
          <w:rFonts w:ascii="Helvetica" w:hAnsi="Helvetica" w:eastAsia="Helvetica" w:cs="Helvetica"/>
          <w:b w:val="1"/>
          <w:bCs w:val="1"/>
          <w:color w:val="215F9A"/>
        </w:rPr>
        <w:t>Part 1: Personal development plan (500 words).</w:t>
      </w:r>
    </w:p>
    <w:p w:rsidR="00555AB7" w:rsidP="1A0967CC" w:rsidRDefault="506B057B" w14:paraId="13362B5D" w14:textId="7975C067">
      <w:pPr>
        <w:spacing w:before="240"/>
        <w:rPr>
          <w:rFonts w:ascii="Helvetica" w:hAnsi="Helvetica" w:eastAsia="Helvetica" w:cs="Helvetica"/>
        </w:rPr>
      </w:pPr>
      <w:r w:rsidRPr="1A0967CC">
        <w:rPr>
          <w:rFonts w:ascii="Helvetica" w:hAnsi="Helvetica" w:eastAsia="Helvetica" w:cs="Helvetica"/>
        </w:rPr>
        <w:t xml:space="preserve">For my first objective I will focus on developing my understanding of sensory play. I </w:t>
      </w:r>
      <w:r w:rsidRPr="1A0967CC" w:rsidR="1A4F4001">
        <w:rPr>
          <w:rFonts w:ascii="Helvetica" w:hAnsi="Helvetica" w:eastAsia="Helvetica" w:cs="Helvetica"/>
        </w:rPr>
        <w:t xml:space="preserve">will achieve this by taking the time to research the different benefits of ensure play, as well as the ups/ cons and to discover ways I can implement this into my professional work. I will reinforce it by observing sensory play within an early years class which will allow me to visualise how sensory play works and will allow me to see the effects it has myself. To do this I will need plenty of research material. I will use the library on campus to find different books that can help me reach my aim as well as using the other facilities from the university to give myself a calm and quiet environment to carry out the research. As well as books I will also look online to view different articles and E-books which I will be able to access at any time. Although I personally feel like his goal will be something I will continue to develop throughout not only my time at university but throughout my career too, I do feel that a suitable time to have a good understanding of sensory play would be by the end of my first </w:t>
      </w:r>
      <w:r w:rsidRPr="1A0967CC" w:rsidR="5D099A12">
        <w:rPr>
          <w:rFonts w:ascii="Helvetica" w:hAnsi="Helvetica" w:eastAsia="Helvetica" w:cs="Helvetica"/>
        </w:rPr>
        <w:t>year. I</w:t>
      </w:r>
      <w:r w:rsidRPr="1A0967CC" w:rsidR="1A4F4001">
        <w:rPr>
          <w:rFonts w:ascii="Helvetica" w:hAnsi="Helvetica" w:eastAsia="Helvetica" w:cs="Helvetica"/>
        </w:rPr>
        <w:t xml:space="preserve"> can then use this knowledge throughout my course and placement and will have a strong knowledge base I can grow and expand on. will know I have reached these criteria by being able to fully understand and implement sensory play into my professional practice. The target date for my goal is after my first year at university, at which time I will know I have reached the criteria within myself by feeling confident about sensory play. However, the best way to know certainly that I have reached the criteria and that it was done to a high standard will be when I can put it to practice.</w:t>
      </w:r>
    </w:p>
    <w:p w:rsidR="29534E88" w:rsidP="5B835D6F" w:rsidRDefault="29534E88" w14:paraId="6E7A0D22" w14:textId="2A9EA792">
      <w:pPr>
        <w:spacing w:before="240"/>
        <w:rPr>
          <w:rFonts w:ascii="Helvetica" w:hAnsi="Helvetica" w:eastAsia="Helvetica" w:cs="Helvetica"/>
        </w:rPr>
      </w:pPr>
      <w:r w:rsidRPr="5B835D6F">
        <w:rPr>
          <w:rFonts w:ascii="Helvetica" w:hAnsi="Helvetica" w:eastAsia="Helvetica" w:cs="Helvetica"/>
        </w:rPr>
        <w:t xml:space="preserve">My next objective is to </w:t>
      </w:r>
      <w:r w:rsidRPr="5B835D6F" w:rsidR="2F4DC443">
        <w:rPr>
          <w:rFonts w:ascii="Helvetica" w:hAnsi="Helvetica" w:eastAsia="Helvetica" w:cs="Helvetica"/>
        </w:rPr>
        <w:t xml:space="preserve">complete my level 3 in safeguarding. </w:t>
      </w:r>
      <w:r w:rsidRPr="5B835D6F" w:rsidR="62738AF0">
        <w:rPr>
          <w:rFonts w:ascii="Helvetica" w:hAnsi="Helvetica" w:eastAsia="Helvetica" w:cs="Helvetica"/>
        </w:rPr>
        <w:t>To</w:t>
      </w:r>
      <w:r w:rsidRPr="5B835D6F" w:rsidR="2F4DC443">
        <w:rPr>
          <w:rFonts w:ascii="Helvetica" w:hAnsi="Helvetica" w:eastAsia="Helvetica" w:cs="Helvetica"/>
        </w:rPr>
        <w:t xml:space="preserve"> achieve a level 3 in safeguarding I will need to </w:t>
      </w:r>
      <w:r w:rsidRPr="5B835D6F" w:rsidR="054F1740">
        <w:rPr>
          <w:rFonts w:ascii="Helvetica" w:hAnsi="Helvetica" w:eastAsia="Helvetica" w:cs="Helvetica"/>
        </w:rPr>
        <w:t xml:space="preserve">go through the Swansea council website </w:t>
      </w:r>
      <w:r w:rsidRPr="5B835D6F" w:rsidR="6588826F">
        <w:rPr>
          <w:rFonts w:ascii="Helvetica" w:hAnsi="Helvetica" w:eastAsia="Helvetica" w:cs="Helvetica"/>
        </w:rPr>
        <w:t>and apply through their FIS training programme.</w:t>
      </w:r>
      <w:r w:rsidRPr="5B835D6F" w:rsidR="499DBC74">
        <w:rPr>
          <w:rFonts w:ascii="Helvetica" w:hAnsi="Helvetica" w:eastAsia="Helvetica" w:cs="Helvetica"/>
        </w:rPr>
        <w:t xml:space="preserve"> I will need to choose a date that suits me and get booked onto a course </w:t>
      </w:r>
      <w:r w:rsidRPr="5B835D6F" w:rsidR="0B817B0F">
        <w:rPr>
          <w:rFonts w:ascii="Helvetica" w:hAnsi="Helvetica" w:eastAsia="Helvetica" w:cs="Helvetica"/>
        </w:rPr>
        <w:t>via teams.</w:t>
      </w:r>
      <w:r w:rsidRPr="5B835D6F" w:rsidR="499DBC74">
        <w:rPr>
          <w:rFonts w:ascii="Helvetica" w:hAnsi="Helvetica" w:eastAsia="Helvetica" w:cs="Helvetica"/>
        </w:rPr>
        <w:t xml:space="preserve"> I</w:t>
      </w:r>
      <w:r w:rsidRPr="5B835D6F" w:rsidR="078F4137">
        <w:rPr>
          <w:rFonts w:ascii="Helvetica" w:hAnsi="Helvetica" w:eastAsia="Helvetica" w:cs="Helvetica"/>
        </w:rPr>
        <w:t xml:space="preserve"> will ensure I have a brief knowledge base beforehand </w:t>
      </w:r>
      <w:r w:rsidRPr="5B835D6F" w:rsidR="09EA8A77">
        <w:rPr>
          <w:rFonts w:ascii="Helvetica" w:hAnsi="Helvetica" w:eastAsia="Helvetica" w:cs="Helvetica"/>
        </w:rPr>
        <w:t xml:space="preserve">so that I am </w:t>
      </w:r>
      <w:r w:rsidRPr="5B835D6F" w:rsidR="64B3C5E5">
        <w:rPr>
          <w:rFonts w:ascii="Helvetica" w:hAnsi="Helvetica" w:eastAsia="Helvetica" w:cs="Helvetica"/>
        </w:rPr>
        <w:t>prepared and</w:t>
      </w:r>
      <w:r w:rsidRPr="5B835D6F" w:rsidR="09EA8A77">
        <w:rPr>
          <w:rFonts w:ascii="Helvetica" w:hAnsi="Helvetica" w:eastAsia="Helvetica" w:cs="Helvetica"/>
        </w:rPr>
        <w:t xml:space="preserve"> will make sure I am set up in a</w:t>
      </w:r>
      <w:r w:rsidRPr="5B835D6F" w:rsidR="740750DF">
        <w:rPr>
          <w:rFonts w:ascii="Helvetica" w:hAnsi="Helvetica" w:eastAsia="Helvetica" w:cs="Helvetica"/>
        </w:rPr>
        <w:t xml:space="preserve">n </w:t>
      </w:r>
      <w:r w:rsidRPr="5B835D6F" w:rsidR="3215B1E0">
        <w:rPr>
          <w:rFonts w:ascii="Helvetica" w:hAnsi="Helvetica" w:eastAsia="Helvetica" w:cs="Helvetica"/>
        </w:rPr>
        <w:t>appropriate</w:t>
      </w:r>
      <w:r w:rsidRPr="5B835D6F" w:rsidR="740750DF">
        <w:rPr>
          <w:rFonts w:ascii="Helvetica" w:hAnsi="Helvetica" w:eastAsia="Helvetica" w:cs="Helvetica"/>
        </w:rPr>
        <w:t xml:space="preserve"> environment </w:t>
      </w:r>
      <w:r w:rsidRPr="5B835D6F" w:rsidR="47BC6141">
        <w:rPr>
          <w:rFonts w:ascii="Helvetica" w:hAnsi="Helvetica" w:eastAsia="Helvetica" w:cs="Helvetica"/>
        </w:rPr>
        <w:t xml:space="preserve">with a pen and paper at hand to take notes </w:t>
      </w:r>
      <w:r w:rsidRPr="5B835D6F" w:rsidR="740750DF">
        <w:rPr>
          <w:rFonts w:ascii="Helvetica" w:hAnsi="Helvetica" w:eastAsia="Helvetica" w:cs="Helvetica"/>
        </w:rPr>
        <w:t>so that I can focus completely.</w:t>
      </w:r>
      <w:r w:rsidRPr="5B835D6F" w:rsidR="5E8A6BD8">
        <w:rPr>
          <w:rFonts w:ascii="Helvetica" w:hAnsi="Helvetica" w:eastAsia="Helvetica" w:cs="Helvetica"/>
        </w:rPr>
        <w:t xml:space="preserve"> </w:t>
      </w:r>
      <w:r w:rsidRPr="5B835D6F" w:rsidR="7A87E748">
        <w:rPr>
          <w:rFonts w:ascii="Helvetica" w:hAnsi="Helvetica" w:eastAsia="Helvetica" w:cs="Helvetica"/>
        </w:rPr>
        <w:t>In terms of a timeframe to complete this by, I will aim to book and complete the course by the end of the year. I think this is an appropr</w:t>
      </w:r>
      <w:r w:rsidRPr="5B835D6F" w:rsidR="123B5FC7">
        <w:rPr>
          <w:rFonts w:ascii="Helvetica" w:hAnsi="Helvetica" w:eastAsia="Helvetica" w:cs="Helvetica"/>
        </w:rPr>
        <w:t>iate timeframe as it allows me enough time to</w:t>
      </w:r>
      <w:r w:rsidRPr="5B835D6F" w:rsidR="76B9FFDD">
        <w:rPr>
          <w:rFonts w:ascii="Helvetica" w:hAnsi="Helvetica" w:eastAsia="Helvetica" w:cs="Helvetica"/>
        </w:rPr>
        <w:t xml:space="preserve"> free up an afternoon to complete it and will prevent me from putting it off and </w:t>
      </w:r>
      <w:r w:rsidRPr="5B835D6F" w:rsidR="2CA361E0">
        <w:rPr>
          <w:rFonts w:ascii="Helvetica" w:hAnsi="Helvetica" w:eastAsia="Helvetica" w:cs="Helvetica"/>
        </w:rPr>
        <w:t xml:space="preserve">with a clear time frame to </w:t>
      </w:r>
      <w:r w:rsidRPr="5B835D6F" w:rsidR="26FE560E">
        <w:rPr>
          <w:rFonts w:ascii="Helvetica" w:hAnsi="Helvetica" w:eastAsia="Helvetica" w:cs="Helvetica"/>
        </w:rPr>
        <w:t>achieve this goal by will make sure I am able to get it done, as it is something I know I will be proud of.</w:t>
      </w:r>
      <w:r w:rsidRPr="5B835D6F" w:rsidR="0CCEF320">
        <w:rPr>
          <w:rFonts w:ascii="Helvetica" w:hAnsi="Helvetica" w:eastAsia="Helvetica" w:cs="Helvetica"/>
        </w:rPr>
        <w:t xml:space="preserve"> Finally, I will</w:t>
      </w:r>
      <w:r w:rsidRPr="5B835D6F" w:rsidR="58E1C764">
        <w:rPr>
          <w:rFonts w:ascii="Helvetica" w:hAnsi="Helvetica" w:eastAsia="Helvetica" w:cs="Helvetica"/>
        </w:rPr>
        <w:t xml:space="preserve"> know I've achieved my aim when i receive the certificate of completion for the course. </w:t>
      </w:r>
    </w:p>
    <w:p w:rsidR="00F9286D" w:rsidP="5B835D6F" w:rsidRDefault="00F9286D" w14:paraId="17440DFB" w14:textId="77777777">
      <w:pPr>
        <w:spacing w:before="240"/>
        <w:rPr>
          <w:rFonts w:ascii="Helvetica" w:hAnsi="Helvetica" w:eastAsia="Helvetica" w:cs="Helvetica"/>
        </w:rPr>
      </w:pPr>
    </w:p>
    <w:p w:rsidR="00F9286D" w:rsidP="5B835D6F" w:rsidRDefault="00F9286D" w14:paraId="2BFACB8C" w14:textId="77777777">
      <w:pPr>
        <w:spacing w:before="240"/>
        <w:rPr>
          <w:rFonts w:ascii="Helvetica" w:hAnsi="Helvetica" w:eastAsia="Helvetica" w:cs="Helvetica"/>
        </w:rPr>
      </w:pPr>
    </w:p>
    <w:p w:rsidR="00F9286D" w:rsidP="5B835D6F" w:rsidRDefault="00F9286D" w14:paraId="1E9B63C2" w14:textId="77777777">
      <w:pPr>
        <w:spacing w:before="240"/>
        <w:rPr>
          <w:rFonts w:ascii="Helvetica" w:hAnsi="Helvetica" w:eastAsia="Helvetica" w:cs="Helvetica"/>
        </w:rPr>
      </w:pPr>
    </w:p>
    <w:p w:rsidRPr="002413D7" w:rsidR="00F9286D" w:rsidP="5B835D6F" w:rsidRDefault="4851FE6E" w14:paraId="50031D1D" w14:textId="77777777">
      <w:pPr>
        <w:spacing w:before="240"/>
        <w:rPr>
          <w:rFonts w:eastAsia="Helvetica" w:cs="Helvetica"/>
          <w:color w:val="215E99" w:themeColor="text2" w:themeTint="BF"/>
          <w:sz w:val="28"/>
          <w:szCs w:val="28"/>
          <w:u w:val="single"/>
        </w:rPr>
      </w:pPr>
      <w:r w:rsidRPr="002413D7">
        <w:rPr>
          <w:rFonts w:eastAsia="Helvetica" w:cs="Helvetica"/>
          <w:color w:val="215E99" w:themeColor="text2" w:themeTint="BF"/>
          <w:sz w:val="28"/>
          <w:szCs w:val="28"/>
          <w:u w:val="single"/>
        </w:rPr>
        <w:t>Part 2: The importance of reflective practice.</w:t>
      </w:r>
    </w:p>
    <w:p w:rsidRPr="002413D7" w:rsidR="00F9286D" w:rsidP="5B835D6F" w:rsidRDefault="00F9286D" w14:paraId="3B70F450" w14:textId="77777777">
      <w:pPr>
        <w:spacing w:before="240"/>
        <w:rPr>
          <w:rFonts w:eastAsia="Helvetica" w:cs="Helvetica"/>
          <w:sz w:val="28"/>
          <w:szCs w:val="28"/>
          <w:u w:val="single"/>
        </w:rPr>
      </w:pPr>
      <w:r w:rsidRPr="002413D7">
        <w:rPr>
          <w:rFonts w:eastAsia="Helvetica" w:cs="Helvetica"/>
          <w:sz w:val="28"/>
          <w:szCs w:val="28"/>
          <w:u w:val="single"/>
        </w:rPr>
        <w:t>What is reflective practice?</w:t>
      </w:r>
    </w:p>
    <w:p w:rsidRPr="002413D7" w:rsidR="00FD1B79" w:rsidP="00555B2E" w:rsidRDefault="00555B2E" w14:paraId="7155D6D3" w14:textId="2804DAA7">
      <w:pPr>
        <w:pStyle w:val="p1"/>
        <w:rPr>
          <w:rFonts w:asciiTheme="minorHAnsi" w:hAnsiTheme="minorHAnsi"/>
          <w:sz w:val="28"/>
          <w:szCs w:val="28"/>
        </w:rPr>
      </w:pPr>
      <w:r w:rsidRPr="002413D7">
        <w:rPr>
          <w:rStyle w:val="s1"/>
          <w:rFonts w:asciiTheme="minorHAnsi" w:hAnsiTheme="minorHAnsi"/>
          <w:sz w:val="28"/>
          <w:szCs w:val="28"/>
        </w:rPr>
        <w:t xml:space="preserve">Reflective practice involves looking back on your actions and experiences to gain insight into your professional development. According to the Education Workforce Council of Wales (no date), it is a key part of improving professional standards. Thompson and Thompson (2023, cited in Campbell and </w:t>
      </w:r>
      <w:proofErr w:type="spellStart"/>
      <w:r w:rsidRPr="002413D7">
        <w:rPr>
          <w:rStyle w:val="s1"/>
          <w:rFonts w:asciiTheme="minorHAnsi" w:hAnsiTheme="minorHAnsi"/>
          <w:sz w:val="28"/>
          <w:szCs w:val="28"/>
        </w:rPr>
        <w:t>Ceau</w:t>
      </w:r>
      <w:proofErr w:type="spellEnd"/>
      <w:r w:rsidRPr="002413D7">
        <w:rPr>
          <w:rStyle w:val="s1"/>
          <w:rFonts w:asciiTheme="minorHAnsi" w:hAnsiTheme="minorHAnsi"/>
          <w:sz w:val="28"/>
          <w:szCs w:val="28"/>
        </w:rPr>
        <w:t xml:space="preserve">, 2023) explain that reflective practice can be broken down into three key parts. The first is </w:t>
      </w:r>
      <w:r w:rsidRPr="002413D7">
        <w:rPr>
          <w:rStyle w:val="s2"/>
          <w:rFonts w:asciiTheme="minorHAnsi" w:hAnsiTheme="minorHAnsi"/>
          <w:sz w:val="28"/>
          <w:szCs w:val="28"/>
        </w:rPr>
        <w:t>reflection for action</w:t>
      </w:r>
      <w:r w:rsidRPr="002413D7">
        <w:rPr>
          <w:rStyle w:val="s1"/>
          <w:rFonts w:asciiTheme="minorHAnsi" w:hAnsiTheme="minorHAnsi"/>
          <w:sz w:val="28"/>
          <w:szCs w:val="28"/>
        </w:rPr>
        <w:t xml:space="preserve">, which involves planning or thinking through what you are going to do before carrying it out. The second is </w:t>
      </w:r>
      <w:r w:rsidRPr="002413D7">
        <w:rPr>
          <w:rStyle w:val="s2"/>
          <w:rFonts w:asciiTheme="minorHAnsi" w:hAnsiTheme="minorHAnsi"/>
          <w:sz w:val="28"/>
          <w:szCs w:val="28"/>
        </w:rPr>
        <w:t>reflection in action</w:t>
      </w:r>
      <w:r w:rsidRPr="002413D7">
        <w:rPr>
          <w:rStyle w:val="s1"/>
          <w:rFonts w:asciiTheme="minorHAnsi" w:hAnsiTheme="minorHAnsi"/>
          <w:sz w:val="28"/>
          <w:szCs w:val="28"/>
        </w:rPr>
        <w:t xml:space="preserve">, where you think critically and draw on your professional knowledge while actively working. The third is </w:t>
      </w:r>
      <w:r w:rsidRPr="002413D7">
        <w:rPr>
          <w:rStyle w:val="s2"/>
          <w:rFonts w:asciiTheme="minorHAnsi" w:hAnsiTheme="minorHAnsi"/>
          <w:sz w:val="28"/>
          <w:szCs w:val="28"/>
        </w:rPr>
        <w:t>reflection on action</w:t>
      </w:r>
      <w:r w:rsidRPr="002413D7">
        <w:rPr>
          <w:rStyle w:val="s1"/>
          <w:rFonts w:asciiTheme="minorHAnsi" w:hAnsiTheme="minorHAnsi"/>
          <w:sz w:val="28"/>
          <w:szCs w:val="28"/>
        </w:rPr>
        <w:t>, which takes place after the event, using what you have learned to inform future practice. This highlights how reflection is not limited to one moment, but is part of a continuous cycle that affects all stages of professional work and even everyday decisions. Reflective practice helps educators become more thoughtful and intentional in their actions, leading to better outcomes for children and more confident, competent professionals.</w:t>
      </w:r>
    </w:p>
    <w:p w:rsidRPr="002413D7" w:rsidR="001B1449" w:rsidP="5B835D6F" w:rsidRDefault="001B1449" w14:paraId="40FD7013" w14:textId="6C24F4D8">
      <w:pPr>
        <w:spacing w:before="240"/>
        <w:rPr>
          <w:sz w:val="28"/>
          <w:szCs w:val="28"/>
        </w:rPr>
      </w:pPr>
      <w:r w:rsidRPr="002413D7">
        <w:rPr>
          <w:sz w:val="28"/>
          <w:szCs w:val="28"/>
          <w:u w:val="single"/>
        </w:rPr>
        <w:t>Why is reflective practice important in early years practice?</w:t>
      </w:r>
    </w:p>
    <w:p w:rsidRPr="002413D7" w:rsidR="00096E19" w:rsidRDefault="00096E19" w14:paraId="643F31C0" w14:textId="60E68045">
      <w:pPr>
        <w:pStyle w:val="p1"/>
        <w:rPr>
          <w:rStyle w:val="s1"/>
          <w:rFonts w:asciiTheme="minorHAnsi" w:hAnsiTheme="minorHAnsi"/>
          <w:sz w:val="28"/>
          <w:szCs w:val="28"/>
        </w:rPr>
      </w:pPr>
      <w:r w:rsidRPr="002413D7">
        <w:rPr>
          <w:rStyle w:val="s1"/>
          <w:rFonts w:asciiTheme="minorHAnsi" w:hAnsiTheme="minorHAnsi"/>
          <w:sz w:val="28"/>
          <w:szCs w:val="28"/>
        </w:rPr>
        <w:t>In early years practice, engaging in reflective practice allows educators to evaluate their interactions, teaching strategies, and the learning environment, helping them adapt and respond to the diverse needs of young children. It is a vital part of education and forms the foundation for professional development (</w:t>
      </w:r>
      <w:proofErr w:type="spellStart"/>
      <w:r w:rsidRPr="002413D7">
        <w:rPr>
          <w:rStyle w:val="s1"/>
          <w:rFonts w:asciiTheme="minorHAnsi" w:hAnsiTheme="minorHAnsi"/>
          <w:sz w:val="28"/>
          <w:szCs w:val="28"/>
        </w:rPr>
        <w:t>Schön</w:t>
      </w:r>
      <w:proofErr w:type="spellEnd"/>
      <w:r w:rsidRPr="002413D7">
        <w:rPr>
          <w:rStyle w:val="s1"/>
          <w:rFonts w:asciiTheme="minorHAnsi" w:hAnsiTheme="minorHAnsi"/>
          <w:sz w:val="28"/>
          <w:szCs w:val="28"/>
        </w:rPr>
        <w:t xml:space="preserve">, 1983). This process promotes a deeper understanding of children’s developmental stages, supports inclusive practices, and encourages more intentional teaching (Dewey, 1933). Reflective practice also helps educators question their own actions and become more open to trying </w:t>
      </w:r>
      <w:r w:rsidRPr="002413D7" w:rsidR="003B59A4">
        <w:rPr>
          <w:rStyle w:val="s1"/>
          <w:rFonts w:asciiTheme="minorHAnsi" w:hAnsiTheme="minorHAnsi"/>
          <w:sz w:val="28"/>
          <w:szCs w:val="28"/>
        </w:rPr>
        <w:t>innovative approaches</w:t>
      </w:r>
      <w:r w:rsidRPr="002413D7">
        <w:rPr>
          <w:rStyle w:val="s1"/>
          <w:rFonts w:asciiTheme="minorHAnsi" w:hAnsiTheme="minorHAnsi"/>
          <w:sz w:val="28"/>
          <w:szCs w:val="28"/>
        </w:rPr>
        <w:t>, which is especially important in a diverse setting like early years education (</w:t>
      </w:r>
      <w:proofErr w:type="spellStart"/>
      <w:r w:rsidRPr="002413D7">
        <w:rPr>
          <w:rStyle w:val="s1"/>
          <w:rFonts w:asciiTheme="minorHAnsi" w:hAnsiTheme="minorHAnsi"/>
          <w:sz w:val="28"/>
          <w:szCs w:val="28"/>
        </w:rPr>
        <w:t>MacNaughton</w:t>
      </w:r>
      <w:proofErr w:type="spellEnd"/>
      <w:r w:rsidRPr="002413D7">
        <w:rPr>
          <w:rStyle w:val="s1"/>
          <w:rFonts w:asciiTheme="minorHAnsi" w:hAnsiTheme="minorHAnsi"/>
          <w:sz w:val="28"/>
          <w:szCs w:val="28"/>
        </w:rPr>
        <w:t>, 2003).</w:t>
      </w:r>
    </w:p>
    <w:p w:rsidRPr="002413D7" w:rsidR="008F2B8B" w:rsidRDefault="00EF1017" w14:paraId="6FCDA4C9" w14:textId="0CCE14DF">
      <w:pPr>
        <w:pStyle w:val="p1"/>
        <w:rPr>
          <w:rStyle w:val="s1"/>
          <w:rFonts w:asciiTheme="minorHAnsi" w:hAnsiTheme="minorHAnsi"/>
          <w:sz w:val="28"/>
          <w:szCs w:val="28"/>
          <w:u w:val="single"/>
        </w:rPr>
      </w:pPr>
      <w:r w:rsidRPr="002413D7">
        <w:rPr>
          <w:rStyle w:val="s1"/>
          <w:rFonts w:asciiTheme="minorHAnsi" w:hAnsiTheme="minorHAnsi"/>
          <w:sz w:val="28"/>
          <w:szCs w:val="28"/>
          <w:u w:val="single"/>
        </w:rPr>
        <w:t>The theory of reflective practice.</w:t>
      </w:r>
    </w:p>
    <w:p w:rsidR="00924563" w:rsidP="15F6D070" w:rsidRDefault="00924563" w14:paraId="5584121A" w14:textId="69A85B1A">
      <w:pPr>
        <w:pStyle w:val="p1"/>
        <w:rPr>
          <w:rStyle w:val="s1"/>
          <w:rFonts w:ascii="Aptos" w:hAnsi="Aptos" w:asciiTheme="minorAscii" w:hAnsiTheme="minorAscii"/>
          <w:sz w:val="28"/>
          <w:szCs w:val="28"/>
        </w:rPr>
      </w:pPr>
      <w:r w:rsidRPr="15F6D070" w:rsidR="00924563">
        <w:rPr>
          <w:rStyle w:val="s1"/>
          <w:rFonts w:ascii="Aptos" w:hAnsi="Aptos" w:asciiTheme="minorAscii" w:hAnsiTheme="minorAscii"/>
          <w:sz w:val="28"/>
          <w:szCs w:val="28"/>
        </w:rPr>
        <w:t xml:space="preserve">Reflective practice is a theory by </w:t>
      </w:r>
      <w:r w:rsidRPr="15F6D070" w:rsidR="00924563">
        <w:rPr>
          <w:rStyle w:val="s1"/>
          <w:rFonts w:ascii="Aptos" w:hAnsi="Aptos" w:asciiTheme="minorAscii" w:hAnsiTheme="minorAscii"/>
          <w:sz w:val="28"/>
          <w:szCs w:val="28"/>
        </w:rPr>
        <w:t>Schön</w:t>
      </w:r>
      <w:r w:rsidRPr="15F6D070" w:rsidR="00924563">
        <w:rPr>
          <w:rStyle w:val="s1"/>
          <w:rFonts w:ascii="Aptos" w:hAnsi="Aptos" w:asciiTheme="minorAscii" w:hAnsiTheme="minorAscii"/>
          <w:sz w:val="28"/>
          <w:szCs w:val="28"/>
        </w:rPr>
        <w:t xml:space="preserve"> (1983). It </w:t>
      </w:r>
      <w:r w:rsidRPr="15F6D070" w:rsidR="00C1257F">
        <w:rPr>
          <w:rStyle w:val="s1"/>
          <w:rFonts w:ascii="Aptos" w:hAnsi="Aptos" w:asciiTheme="minorAscii" w:hAnsiTheme="minorAscii"/>
          <w:sz w:val="28"/>
          <w:szCs w:val="28"/>
        </w:rPr>
        <w:t xml:space="preserve">refers to the practice of </w:t>
      </w:r>
      <w:r w:rsidRPr="15F6D070" w:rsidR="00924563">
        <w:rPr>
          <w:rStyle w:val="s1"/>
          <w:rFonts w:ascii="Aptos" w:hAnsi="Aptos" w:asciiTheme="minorAscii" w:hAnsiTheme="minorAscii"/>
          <w:sz w:val="28"/>
          <w:szCs w:val="28"/>
        </w:rPr>
        <w:t>thinking about what you</w:t>
      </w:r>
      <w:r w:rsidRPr="15F6D070" w:rsidR="003228FD">
        <w:rPr>
          <w:rStyle w:val="s1"/>
          <w:rFonts w:ascii="Aptos" w:hAnsi="Aptos" w:asciiTheme="minorAscii" w:hAnsiTheme="minorAscii"/>
          <w:sz w:val="28"/>
          <w:szCs w:val="28"/>
        </w:rPr>
        <w:t xml:space="preserve"> have</w:t>
      </w:r>
      <w:r w:rsidRPr="15F6D070" w:rsidR="00924563">
        <w:rPr>
          <w:rStyle w:val="s1"/>
          <w:rFonts w:ascii="Aptos" w:hAnsi="Aptos" w:asciiTheme="minorAscii" w:hAnsiTheme="minorAscii"/>
          <w:sz w:val="28"/>
          <w:szCs w:val="28"/>
        </w:rPr>
        <w:t xml:space="preserve"> done</w:t>
      </w:r>
      <w:r w:rsidRPr="15F6D070" w:rsidR="003228FD">
        <w:rPr>
          <w:rStyle w:val="s1"/>
          <w:rFonts w:ascii="Aptos" w:hAnsi="Aptos" w:asciiTheme="minorAscii" w:hAnsiTheme="minorAscii"/>
          <w:sz w:val="28"/>
          <w:szCs w:val="28"/>
        </w:rPr>
        <w:t xml:space="preserve"> and reflecting on what </w:t>
      </w:r>
      <w:r w:rsidRPr="15F6D070" w:rsidR="00924563">
        <w:rPr>
          <w:rStyle w:val="s1"/>
          <w:rFonts w:ascii="Aptos" w:hAnsi="Aptos" w:asciiTheme="minorAscii" w:hAnsiTheme="minorAscii"/>
          <w:sz w:val="28"/>
          <w:szCs w:val="28"/>
        </w:rPr>
        <w:t xml:space="preserve">went well, and </w:t>
      </w:r>
      <w:r w:rsidRPr="15F6D070" w:rsidR="00924563">
        <w:rPr>
          <w:rStyle w:val="s1"/>
          <w:rFonts w:ascii="Aptos" w:hAnsi="Aptos" w:asciiTheme="minorAscii" w:hAnsiTheme="minorAscii"/>
          <w:sz w:val="28"/>
          <w:szCs w:val="28"/>
        </w:rPr>
        <w:t xml:space="preserve">what you could do differently next time. </w:t>
      </w:r>
      <w:r w:rsidRPr="15F6D070" w:rsidR="00924563">
        <w:rPr>
          <w:rStyle w:val="s1"/>
          <w:rFonts w:ascii="Aptos" w:hAnsi="Aptos" w:asciiTheme="minorAscii" w:hAnsiTheme="minorAscii"/>
          <w:sz w:val="28"/>
          <w:szCs w:val="28"/>
        </w:rPr>
        <w:t>Schön</w:t>
      </w:r>
      <w:r w:rsidRPr="15F6D070" w:rsidR="00924563">
        <w:rPr>
          <w:rStyle w:val="s1"/>
          <w:rFonts w:ascii="Aptos" w:hAnsi="Aptos" w:asciiTheme="minorAscii" w:hAnsiTheme="minorAscii"/>
          <w:sz w:val="28"/>
          <w:szCs w:val="28"/>
        </w:rPr>
        <w:t xml:space="preserve"> talks about two types of reflection: </w:t>
      </w:r>
      <w:r w:rsidRPr="15F6D070" w:rsidR="00924563">
        <w:rPr>
          <w:rStyle w:val="s2"/>
          <w:rFonts w:ascii="Aptos" w:hAnsi="Aptos" w:asciiTheme="minorAscii" w:hAnsiTheme="minorAscii"/>
          <w:sz w:val="28"/>
          <w:szCs w:val="28"/>
        </w:rPr>
        <w:t>reflection</w:t>
      </w:r>
      <w:r w:rsidRPr="15F6D070" w:rsidR="00A40E78">
        <w:rPr>
          <w:rStyle w:val="s2"/>
          <w:rFonts w:ascii="Aptos" w:hAnsi="Aptos" w:asciiTheme="minorAscii" w:hAnsiTheme="minorAscii"/>
          <w:sz w:val="28"/>
          <w:szCs w:val="28"/>
        </w:rPr>
        <w:t xml:space="preserve"> in action</w:t>
      </w:r>
      <w:r w:rsidRPr="15F6D070" w:rsidR="00924563">
        <w:rPr>
          <w:rStyle w:val="s1"/>
          <w:rFonts w:ascii="Aptos" w:hAnsi="Aptos" w:asciiTheme="minorAscii" w:hAnsiTheme="minorAscii"/>
          <w:sz w:val="28"/>
          <w:szCs w:val="28"/>
        </w:rPr>
        <w:t xml:space="preserve">, which is thinking while </w:t>
      </w:r>
      <w:r w:rsidRPr="15F6D070" w:rsidR="00A40E78">
        <w:rPr>
          <w:rStyle w:val="s1"/>
          <w:rFonts w:ascii="Aptos" w:hAnsi="Aptos" w:asciiTheme="minorAscii" w:hAnsiTheme="minorAscii"/>
          <w:sz w:val="28"/>
          <w:szCs w:val="28"/>
        </w:rPr>
        <w:t>you are</w:t>
      </w:r>
      <w:r w:rsidRPr="15F6D070" w:rsidR="00924563">
        <w:rPr>
          <w:rStyle w:val="s1"/>
          <w:rFonts w:ascii="Aptos" w:hAnsi="Aptos" w:asciiTheme="minorAscii" w:hAnsiTheme="minorAscii"/>
          <w:sz w:val="28"/>
          <w:szCs w:val="28"/>
        </w:rPr>
        <w:t xml:space="preserve"> doing something, and </w:t>
      </w:r>
      <w:r w:rsidRPr="15F6D070" w:rsidR="00924563">
        <w:rPr>
          <w:rStyle w:val="s2"/>
          <w:rFonts w:ascii="Aptos" w:hAnsi="Aptos" w:asciiTheme="minorAscii" w:hAnsiTheme="minorAscii"/>
          <w:sz w:val="28"/>
          <w:szCs w:val="28"/>
        </w:rPr>
        <w:t>reflectio</w:t>
      </w:r>
      <w:r w:rsidRPr="15F6D070" w:rsidR="00A40E78">
        <w:rPr>
          <w:rStyle w:val="s2"/>
          <w:rFonts w:ascii="Aptos" w:hAnsi="Aptos" w:asciiTheme="minorAscii" w:hAnsiTheme="minorAscii"/>
          <w:sz w:val="28"/>
          <w:szCs w:val="28"/>
        </w:rPr>
        <w:t xml:space="preserve">n on </w:t>
      </w:r>
      <w:r w:rsidRPr="15F6D070" w:rsidR="00924563">
        <w:rPr>
          <w:rStyle w:val="s2"/>
          <w:rFonts w:ascii="Aptos" w:hAnsi="Aptos" w:asciiTheme="minorAscii" w:hAnsiTheme="minorAscii"/>
          <w:sz w:val="28"/>
          <w:szCs w:val="28"/>
        </w:rPr>
        <w:t>action</w:t>
      </w:r>
      <w:r w:rsidRPr="15F6D070" w:rsidR="00924563">
        <w:rPr>
          <w:rStyle w:val="s1"/>
          <w:rFonts w:ascii="Aptos" w:hAnsi="Aptos" w:asciiTheme="minorAscii" w:hAnsiTheme="minorAscii"/>
          <w:sz w:val="28"/>
          <w:szCs w:val="28"/>
        </w:rPr>
        <w:t xml:space="preserve">, which is thinking back after </w:t>
      </w:r>
      <w:r w:rsidRPr="15F6D070" w:rsidR="00A40E78">
        <w:rPr>
          <w:rStyle w:val="s1"/>
          <w:rFonts w:ascii="Aptos" w:hAnsi="Aptos" w:asciiTheme="minorAscii" w:hAnsiTheme="minorAscii"/>
          <w:sz w:val="28"/>
          <w:szCs w:val="28"/>
        </w:rPr>
        <w:t>it is</w:t>
      </w:r>
      <w:r w:rsidRPr="15F6D070" w:rsidR="00924563">
        <w:rPr>
          <w:rStyle w:val="s1"/>
          <w:rFonts w:ascii="Aptos" w:hAnsi="Aptos" w:asciiTheme="minorAscii" w:hAnsiTheme="minorAscii"/>
          <w:sz w:val="28"/>
          <w:szCs w:val="28"/>
        </w:rPr>
        <w:t xml:space="preserve"> done. This helps professionals to keep learning and improving. In early years education, </w:t>
      </w:r>
      <w:r w:rsidRPr="15F6D070" w:rsidR="00A40E78">
        <w:rPr>
          <w:rStyle w:val="s1"/>
          <w:rFonts w:ascii="Aptos" w:hAnsi="Aptos" w:asciiTheme="minorAscii" w:hAnsiTheme="minorAscii"/>
          <w:sz w:val="28"/>
          <w:szCs w:val="28"/>
        </w:rPr>
        <w:t>it is</w:t>
      </w:r>
      <w:r w:rsidRPr="15F6D070" w:rsidR="00924563">
        <w:rPr>
          <w:rStyle w:val="s1"/>
          <w:rFonts w:ascii="Aptos" w:hAnsi="Aptos" w:asciiTheme="minorAscii" w:hAnsiTheme="minorAscii"/>
          <w:sz w:val="28"/>
          <w:szCs w:val="28"/>
        </w:rPr>
        <w:t xml:space="preserve"> useful because it helps staff to think about their work and make better choices for the children they work with</w:t>
      </w:r>
      <w:r w:rsidRPr="15F6D070" w:rsidR="00716428">
        <w:rPr>
          <w:rStyle w:val="s1"/>
          <w:rFonts w:ascii="Aptos" w:hAnsi="Aptos" w:asciiTheme="minorAscii" w:hAnsiTheme="minorAscii"/>
          <w:sz w:val="28"/>
          <w:szCs w:val="28"/>
        </w:rPr>
        <w:t>.</w:t>
      </w:r>
      <w:r w:rsidRPr="15F6D070" w:rsidR="0DB79290">
        <w:rPr>
          <w:rStyle w:val="s1"/>
          <w:rFonts w:ascii="Aptos" w:hAnsi="Aptos" w:asciiTheme="minorAscii" w:hAnsiTheme="minorAscii"/>
          <w:sz w:val="28"/>
          <w:szCs w:val="28"/>
        </w:rPr>
        <w:t xml:space="preserve"> It will also allow practitioners to learn from their own experiences which can lead to more effective and thoughtful </w:t>
      </w:r>
      <w:r w:rsidRPr="15F6D070" w:rsidR="539C4395">
        <w:rPr>
          <w:rStyle w:val="s1"/>
          <w:rFonts w:ascii="Aptos" w:hAnsi="Aptos" w:asciiTheme="minorAscii" w:hAnsiTheme="minorAscii"/>
          <w:sz w:val="28"/>
          <w:szCs w:val="28"/>
        </w:rPr>
        <w:t>progression within their profession</w:t>
      </w:r>
    </w:p>
    <w:p w:rsidR="15F6D070" w:rsidP="15F6D070" w:rsidRDefault="15F6D070" w14:paraId="338FEFD7" w14:textId="1828D234">
      <w:pPr>
        <w:spacing w:before="0" w:beforeAutospacing="off" w:after="0" w:afterAutospacing="off"/>
      </w:pPr>
    </w:p>
    <w:p w:rsidR="15F6D070" w:rsidP="15F6D070" w:rsidRDefault="15F6D070" w14:paraId="5A3E777B" w14:textId="0A745794">
      <w:pPr>
        <w:pStyle w:val="p1"/>
        <w:rPr>
          <w:rStyle w:val="s1"/>
          <w:rFonts w:ascii="Aptos" w:hAnsi="Aptos" w:asciiTheme="minorAscii" w:hAnsiTheme="minorAscii"/>
          <w:sz w:val="28"/>
          <w:szCs w:val="28"/>
        </w:rPr>
      </w:pPr>
    </w:p>
    <w:p w:rsidRPr="002413D7" w:rsidR="002413D7" w:rsidRDefault="002413D7" w14:paraId="7881B7FE" w14:textId="77777777">
      <w:pPr>
        <w:pStyle w:val="p1"/>
        <w:rPr>
          <w:rStyle w:val="s1"/>
          <w:rFonts w:asciiTheme="minorHAnsi" w:hAnsiTheme="minorHAnsi"/>
          <w:sz w:val="28"/>
          <w:szCs w:val="28"/>
        </w:rPr>
      </w:pPr>
    </w:p>
    <w:p w:rsidR="00716428" w:rsidRDefault="00716428" w14:paraId="04EB79F3" w14:textId="78672812">
      <w:pPr>
        <w:pStyle w:val="p1"/>
        <w:rPr>
          <w:rStyle w:val="s1"/>
          <w:rFonts w:asciiTheme="minorHAnsi" w:hAnsiTheme="minorHAnsi"/>
        </w:rPr>
      </w:pPr>
    </w:p>
    <w:p w:rsidRPr="00C1257F" w:rsidR="00716428" w:rsidRDefault="00281146" w14:paraId="2628BAF0" w14:textId="4A22386D">
      <w:pPr>
        <w:pStyle w:val="p1"/>
        <w:rPr>
          <w:rFonts w:asciiTheme="minorHAnsi" w:hAnsiTheme="minorHAnsi"/>
        </w:rPr>
      </w:pPr>
      <w:r>
        <w:rPr>
          <w:noProof/>
        </w:rPr>
        <w:drawing>
          <wp:anchor distT="0" distB="0" distL="114300" distR="114300" simplePos="0" relativeHeight="251665408" behindDoc="0" locked="0" layoutInCell="1" allowOverlap="1" wp14:anchorId="2FCBCAE1" wp14:editId="06887A02">
            <wp:simplePos x="0" y="0"/>
            <wp:positionH relativeFrom="column">
              <wp:posOffset>3352710</wp:posOffset>
            </wp:positionH>
            <wp:positionV relativeFrom="paragraph">
              <wp:posOffset>362585</wp:posOffset>
            </wp:positionV>
            <wp:extent cx="2394585" cy="2394585"/>
            <wp:effectExtent l="0" t="0" r="5715" b="5715"/>
            <wp:wrapTopAndBottom/>
            <wp:docPr id="152834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46315" name=""/>
                    <pic:cNvPicPr/>
                  </pic:nvPicPr>
                  <pic:blipFill>
                    <a:blip r:embed="rId5"/>
                    <a:stretch>
                      <a:fillRect/>
                    </a:stretch>
                  </pic:blipFill>
                  <pic:spPr>
                    <a:xfrm>
                      <a:off x="0" y="0"/>
                      <a:ext cx="2394585" cy="2394585"/>
                    </a:xfrm>
                    <a:prstGeom prst="rect">
                      <a:avLst/>
                    </a:prstGeom>
                  </pic:spPr>
                </pic:pic>
              </a:graphicData>
            </a:graphic>
            <wp14:sizeRelH relativeFrom="margin">
              <wp14:pctWidth>0</wp14:pctWidth>
            </wp14:sizeRelH>
            <wp14:sizeRelV relativeFrom="margin">
              <wp14:pctHeight>0</wp14:pctHeight>
            </wp14:sizeRelV>
          </wp:anchor>
        </w:drawing>
      </w:r>
      <w:r w:rsidR="00025797">
        <w:rPr>
          <w:noProof/>
        </w:rPr>
        <w:drawing>
          <wp:anchor distT="0" distB="0" distL="114300" distR="114300" simplePos="0" relativeHeight="251663360" behindDoc="0" locked="0" layoutInCell="1" allowOverlap="1" wp14:anchorId="7369AD98" wp14:editId="0F59821B">
            <wp:simplePos x="0" y="0"/>
            <wp:positionH relativeFrom="column">
              <wp:posOffset>0</wp:posOffset>
            </wp:positionH>
            <wp:positionV relativeFrom="paragraph">
              <wp:posOffset>362585</wp:posOffset>
            </wp:positionV>
            <wp:extent cx="2743200" cy="2143125"/>
            <wp:effectExtent l="0" t="0" r="0" b="3175"/>
            <wp:wrapTopAndBottom/>
            <wp:docPr id="461177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77961" name=""/>
                    <pic:cNvPicPr/>
                  </pic:nvPicPr>
                  <pic:blipFill>
                    <a:blip r:embed="rId6"/>
                    <a:stretch>
                      <a:fillRect/>
                    </a:stretch>
                  </pic:blipFill>
                  <pic:spPr>
                    <a:xfrm>
                      <a:off x="0" y="0"/>
                      <a:ext cx="2743200" cy="2143125"/>
                    </a:xfrm>
                    <a:prstGeom prst="rect">
                      <a:avLst/>
                    </a:prstGeom>
                  </pic:spPr>
                </pic:pic>
              </a:graphicData>
            </a:graphic>
            <wp14:sizeRelH relativeFrom="margin">
              <wp14:pctWidth>0</wp14:pctWidth>
            </wp14:sizeRelH>
            <wp14:sizeRelV relativeFrom="margin">
              <wp14:pctHeight>0</wp14:pctHeight>
            </wp14:sizeRelV>
          </wp:anchor>
        </w:drawing>
      </w:r>
      <w:r w:rsidRPr="0086144A" w:rsidR="0086144A">
        <w:rPr>
          <w:noProof/>
        </w:rPr>
        <w:t xml:space="preserve"> </w:t>
      </w:r>
    </w:p>
    <w:p w:rsidRPr="00C1257F" w:rsidR="00EF1017" w:rsidRDefault="00630D47" w14:paraId="72C09D40" w14:textId="628AAAD1">
      <w:pPr>
        <w:pStyle w:val="p1"/>
        <w:rPr>
          <w:rFonts w:asciiTheme="minorHAnsi" w:hAnsiTheme="minorHAnsi"/>
          <w:u w:val="single"/>
        </w:rPr>
      </w:pPr>
      <w:r w:rsidRPr="00630D47">
        <w:rPr>
          <w:noProof/>
        </w:rPr>
        <w:t xml:space="preserve"> </w:t>
      </w:r>
    </w:p>
    <w:p w:rsidRPr="00B16101" w:rsidR="001B1449" w:rsidP="5B835D6F" w:rsidRDefault="001B1449" w14:paraId="712DEFB7" w14:textId="3B85ABC8">
      <w:pPr>
        <w:spacing w:before="240"/>
        <w:rPr>
          <w:u w:val="single"/>
        </w:rPr>
      </w:pPr>
    </w:p>
    <w:p w:rsidRPr="003736BC" w:rsidR="00D349B2" w:rsidP="5B835D6F" w:rsidRDefault="003626C2" w14:paraId="40E0FD90" w14:textId="34C0F8B1">
      <w:pPr>
        <w:spacing w:before="240"/>
        <w:rPr>
          <w:b/>
          <w:bCs/>
          <w:color w:val="1A1A1A" w:themeColor="background1" w:themeShade="1A"/>
          <w:u w:val="single"/>
        </w:rPr>
      </w:pPr>
      <w:r w:rsidRPr="003736BC">
        <w:rPr>
          <w:b/>
          <w:bCs/>
          <w:color w:val="1A1A1A" w:themeColor="background1" w:themeShade="1A"/>
          <w:u w:val="single"/>
        </w:rPr>
        <w:t xml:space="preserve">The Gibbs/ </w:t>
      </w:r>
      <w:proofErr w:type="spellStart"/>
      <w:r w:rsidRPr="003736BC">
        <w:rPr>
          <w:b/>
          <w:bCs/>
          <w:color w:val="1A1A1A" w:themeColor="background1" w:themeShade="1A"/>
          <w:u w:val="single"/>
        </w:rPr>
        <w:t>Kolb’s</w:t>
      </w:r>
      <w:proofErr w:type="spellEnd"/>
      <w:r w:rsidRPr="003736BC">
        <w:rPr>
          <w:b/>
          <w:bCs/>
          <w:color w:val="1A1A1A" w:themeColor="background1" w:themeShade="1A"/>
          <w:u w:val="single"/>
        </w:rPr>
        <w:t xml:space="preserve"> </w:t>
      </w:r>
      <w:r w:rsidRPr="003736BC" w:rsidR="0003307D">
        <w:rPr>
          <w:b/>
          <w:bCs/>
          <w:color w:val="1A1A1A" w:themeColor="background1" w:themeShade="1A"/>
          <w:u w:val="single"/>
        </w:rPr>
        <w:t>cycle.</w:t>
      </w:r>
    </w:p>
    <w:p w:rsidRPr="001051AF" w:rsidR="0003307D" w:rsidP="15F6D070" w:rsidRDefault="0003307D" w14:paraId="489D65EA" w14:textId="0BC9C3A1">
      <w:pPr>
        <w:pStyle w:val="p1"/>
        <w:spacing w:before="240" w:beforeAutospacing="off" w:after="180" w:afterAutospacing="off"/>
        <w:rPr>
          <w:rStyle w:val="s1"/>
          <w:rFonts w:ascii="Aptos" w:hAnsi="Aptos" w:asciiTheme="minorAscii" w:hAnsiTheme="minorAscii"/>
          <w:sz w:val="28"/>
          <w:szCs w:val="28"/>
        </w:rPr>
      </w:pPr>
      <w:r w:rsidRPr="15F6D070" w:rsidR="006B7F63">
        <w:rPr>
          <w:rStyle w:val="s1"/>
          <w:rFonts w:ascii="Aptos" w:hAnsi="Aptos" w:asciiTheme="minorAscii" w:hAnsiTheme="minorAscii"/>
          <w:sz w:val="28"/>
          <w:szCs w:val="28"/>
        </w:rPr>
        <w:t>The</w:t>
      </w:r>
      <w:r w:rsidRPr="15F6D070" w:rsidR="792EEFF0">
        <w:rPr>
          <w:rStyle w:val="s1"/>
          <w:rFonts w:ascii="Aptos" w:hAnsi="Aptos" w:asciiTheme="minorAscii" w:hAnsiTheme="minorAscii"/>
          <w:sz w:val="28"/>
          <w:szCs w:val="28"/>
        </w:rPr>
        <w:t xml:space="preserve"> G</w:t>
      </w:r>
      <w:r w:rsidRPr="15F6D070" w:rsidR="006B7F63">
        <w:rPr>
          <w:rStyle w:val="s1"/>
          <w:rFonts w:ascii="Aptos" w:hAnsi="Aptos" w:asciiTheme="minorAscii" w:hAnsiTheme="minorAscii"/>
          <w:sz w:val="28"/>
          <w:szCs w:val="28"/>
        </w:rPr>
        <w:t>ibbs</w:t>
      </w:r>
      <w:r w:rsidRPr="15F6D070" w:rsidR="006B7F63">
        <w:rPr>
          <w:rStyle w:val="s1"/>
          <w:rFonts w:ascii="Aptos" w:hAnsi="Aptos" w:asciiTheme="minorAscii" w:hAnsiTheme="minorAscii"/>
          <w:sz w:val="28"/>
          <w:szCs w:val="28"/>
        </w:rPr>
        <w:t xml:space="preserve"> cycle allows a simple step by step process on how to reflect</w:t>
      </w:r>
      <w:r w:rsidRPr="15F6D070" w:rsidR="005245FF">
        <w:rPr>
          <w:rStyle w:val="s1"/>
          <w:rFonts w:ascii="Aptos" w:hAnsi="Aptos" w:asciiTheme="minorAscii" w:hAnsiTheme="minorAscii"/>
          <w:sz w:val="28"/>
          <w:szCs w:val="28"/>
        </w:rPr>
        <w:t xml:space="preserve">. </w:t>
      </w:r>
      <w:r w:rsidRPr="15F6D070" w:rsidR="001051AF">
        <w:rPr>
          <w:rStyle w:val="s1"/>
          <w:rFonts w:ascii="Aptos" w:hAnsi="Aptos" w:asciiTheme="minorAscii" w:hAnsiTheme="minorAscii"/>
          <w:sz w:val="28"/>
          <w:szCs w:val="28"/>
        </w:rPr>
        <w:t xml:space="preserve">He breaks it down into 6 sections which are </w:t>
      </w:r>
      <w:r w:rsidRPr="15F6D070" w:rsidR="005245FF">
        <w:rPr>
          <w:rStyle w:val="s1"/>
          <w:rFonts w:ascii="Aptos" w:hAnsi="Aptos" w:asciiTheme="minorAscii" w:hAnsiTheme="minorAscii"/>
          <w:sz w:val="28"/>
          <w:szCs w:val="28"/>
        </w:rPr>
        <w:t>description, feelings, evaluation, analysis, conclusion, and action plan</w:t>
      </w:r>
      <w:r w:rsidRPr="15F6D070" w:rsidR="002D6F90">
        <w:rPr>
          <w:rStyle w:val="s1"/>
          <w:rFonts w:ascii="Aptos" w:hAnsi="Aptos" w:asciiTheme="minorAscii" w:hAnsiTheme="minorAscii"/>
          <w:sz w:val="28"/>
          <w:szCs w:val="28"/>
        </w:rPr>
        <w:t xml:space="preserve">, these steps allow a simple structure that professionals can follow </w:t>
      </w:r>
      <w:r w:rsidRPr="15F6D070" w:rsidR="00D01A89">
        <w:rPr>
          <w:rStyle w:val="s1"/>
          <w:rFonts w:ascii="Aptos" w:hAnsi="Aptos" w:asciiTheme="minorAscii" w:hAnsiTheme="minorAscii"/>
          <w:sz w:val="28"/>
          <w:szCs w:val="28"/>
        </w:rPr>
        <w:t xml:space="preserve">with </w:t>
      </w:r>
      <w:r w:rsidRPr="15F6D070" w:rsidR="00A7649B">
        <w:rPr>
          <w:rStyle w:val="s1"/>
          <w:rFonts w:ascii="Aptos" w:hAnsi="Aptos" w:asciiTheme="minorAscii" w:hAnsiTheme="minorAscii"/>
          <w:sz w:val="28"/>
          <w:szCs w:val="28"/>
        </w:rPr>
        <w:t>ease and allows them to reflect on what went well and what they can improve</w:t>
      </w:r>
      <w:r w:rsidRPr="15F6D070" w:rsidR="00D01A89">
        <w:rPr>
          <w:rStyle w:val="s1"/>
          <w:rFonts w:ascii="Aptos" w:hAnsi="Aptos" w:asciiTheme="minorAscii" w:hAnsiTheme="minorAscii"/>
          <w:sz w:val="28"/>
          <w:szCs w:val="28"/>
        </w:rPr>
        <w:t>. (</w:t>
      </w:r>
      <w:r w:rsidRPr="15F6D070" w:rsidR="005245FF">
        <w:rPr>
          <w:rStyle w:val="s1"/>
          <w:rFonts w:ascii="Aptos" w:hAnsi="Aptos" w:asciiTheme="minorAscii" w:hAnsiTheme="minorAscii"/>
          <w:sz w:val="28"/>
          <w:szCs w:val="28"/>
        </w:rPr>
        <w:t>Bulman</w:t>
      </w:r>
      <w:r w:rsidRPr="15F6D070" w:rsidR="005245FF">
        <w:rPr>
          <w:rStyle w:val="s1"/>
          <w:rFonts w:ascii="Aptos" w:hAnsi="Aptos" w:asciiTheme="minorAscii" w:hAnsiTheme="minorAscii"/>
          <w:sz w:val="28"/>
          <w:szCs w:val="28"/>
        </w:rPr>
        <w:t xml:space="preserve"> and </w:t>
      </w:r>
      <w:r w:rsidRPr="15F6D070" w:rsidR="005245FF">
        <w:rPr>
          <w:rStyle w:val="s1"/>
          <w:rFonts w:ascii="Aptos" w:hAnsi="Aptos" w:asciiTheme="minorAscii" w:hAnsiTheme="minorAscii"/>
          <w:sz w:val="28"/>
          <w:szCs w:val="28"/>
        </w:rPr>
        <w:t>Schutz</w:t>
      </w:r>
      <w:r w:rsidRPr="15F6D070" w:rsidR="005245FF">
        <w:rPr>
          <w:rStyle w:val="s1"/>
          <w:rFonts w:ascii="Aptos" w:hAnsi="Aptos" w:asciiTheme="minorAscii" w:hAnsiTheme="minorAscii"/>
          <w:sz w:val="28"/>
          <w:szCs w:val="28"/>
        </w:rPr>
        <w:t xml:space="preserve">, 2013). This can lead to better </w:t>
      </w:r>
      <w:r w:rsidRPr="15F6D070" w:rsidR="009606E2">
        <w:rPr>
          <w:rStyle w:val="s1"/>
          <w:rFonts w:ascii="Aptos" w:hAnsi="Aptos" w:asciiTheme="minorAscii" w:hAnsiTheme="minorAscii"/>
          <w:sz w:val="28"/>
          <w:szCs w:val="28"/>
        </w:rPr>
        <w:t>decision makin</w:t>
      </w:r>
      <w:r w:rsidRPr="15F6D070" w:rsidR="005245FF">
        <w:rPr>
          <w:rStyle w:val="s1"/>
          <w:rFonts w:ascii="Aptos" w:hAnsi="Aptos" w:asciiTheme="minorAscii" w:hAnsiTheme="minorAscii"/>
          <w:sz w:val="28"/>
          <w:szCs w:val="28"/>
        </w:rPr>
        <w:t>g and more thoughtful responses to children’s needs. However, some critics argue that the model focuses too much on emotions rather than deep analysis (</w:t>
      </w:r>
      <w:r w:rsidRPr="15F6D070" w:rsidR="005245FF">
        <w:rPr>
          <w:rStyle w:val="s1"/>
          <w:rFonts w:ascii="Aptos" w:hAnsi="Aptos" w:asciiTheme="minorAscii" w:hAnsiTheme="minorAscii"/>
          <w:sz w:val="28"/>
          <w:szCs w:val="28"/>
        </w:rPr>
        <w:t>Bassot</w:t>
      </w:r>
      <w:r w:rsidRPr="15F6D070" w:rsidR="005245FF">
        <w:rPr>
          <w:rStyle w:val="s1"/>
          <w:rFonts w:ascii="Aptos" w:hAnsi="Aptos" w:asciiTheme="minorAscii" w:hAnsiTheme="minorAscii"/>
          <w:sz w:val="28"/>
          <w:szCs w:val="28"/>
        </w:rPr>
        <w:t xml:space="preserve">, 2016). </w:t>
      </w:r>
      <w:r w:rsidRPr="15F6D070" w:rsidR="00D25074">
        <w:rPr>
          <w:rStyle w:val="s1"/>
          <w:rFonts w:ascii="Aptos" w:hAnsi="Aptos" w:asciiTheme="minorAscii" w:hAnsiTheme="minorAscii"/>
          <w:sz w:val="28"/>
          <w:szCs w:val="28"/>
        </w:rPr>
        <w:t xml:space="preserve">This approach </w:t>
      </w:r>
      <w:r w:rsidRPr="15F6D070" w:rsidR="008B5ADB">
        <w:rPr>
          <w:rStyle w:val="s1"/>
          <w:rFonts w:ascii="Aptos" w:hAnsi="Aptos" w:asciiTheme="minorAscii" w:hAnsiTheme="minorAscii"/>
          <w:sz w:val="28"/>
          <w:szCs w:val="28"/>
        </w:rPr>
        <w:t xml:space="preserve">despite being simple may not appeal to everyone, in which case </w:t>
      </w:r>
      <w:r w:rsidRPr="15F6D070" w:rsidR="008B5ADB">
        <w:rPr>
          <w:rStyle w:val="s1"/>
          <w:rFonts w:ascii="Aptos" w:hAnsi="Aptos" w:asciiTheme="minorAscii" w:hAnsiTheme="minorAscii"/>
          <w:sz w:val="28"/>
          <w:szCs w:val="28"/>
        </w:rPr>
        <w:t>kolbs</w:t>
      </w:r>
      <w:r w:rsidRPr="15F6D070" w:rsidR="008B5ADB">
        <w:rPr>
          <w:rStyle w:val="s1"/>
          <w:rFonts w:ascii="Aptos" w:hAnsi="Aptos" w:asciiTheme="minorAscii" w:hAnsiTheme="minorAscii"/>
          <w:sz w:val="28"/>
          <w:szCs w:val="28"/>
        </w:rPr>
        <w:t xml:space="preserve"> model may be more </w:t>
      </w:r>
      <w:r w:rsidRPr="15F6D070" w:rsidR="008B5ADB">
        <w:rPr>
          <w:rStyle w:val="s1"/>
          <w:rFonts w:ascii="Aptos" w:hAnsi="Aptos" w:asciiTheme="minorAscii" w:hAnsiTheme="minorAscii"/>
          <w:sz w:val="28"/>
          <w:szCs w:val="28"/>
        </w:rPr>
        <w:t>appropriate</w:t>
      </w:r>
      <w:r w:rsidRPr="15F6D070" w:rsidR="008B5ADB">
        <w:rPr>
          <w:rStyle w:val="s1"/>
          <w:rFonts w:ascii="Aptos" w:hAnsi="Aptos" w:asciiTheme="minorAscii" w:hAnsiTheme="minorAscii"/>
          <w:sz w:val="28"/>
          <w:szCs w:val="28"/>
        </w:rPr>
        <w:t xml:space="preserve">. </w:t>
      </w:r>
      <w:r w:rsidRPr="15F6D070" w:rsidR="0DBE1481">
        <w:rPr>
          <w:rStyle w:val="s1"/>
          <w:rFonts w:ascii="Aptos" w:hAnsi="Aptos" w:asciiTheme="minorAscii" w:hAnsiTheme="minorAscii"/>
          <w:sz w:val="28"/>
          <w:szCs w:val="28"/>
        </w:rPr>
        <w:t xml:space="preserve">I think this because the </w:t>
      </w:r>
      <w:r w:rsidRPr="15F6D070" w:rsidR="0DBE1481">
        <w:rPr>
          <w:rStyle w:val="s1"/>
          <w:rFonts w:ascii="Aptos" w:hAnsi="Aptos" w:asciiTheme="minorAscii" w:hAnsiTheme="minorAscii"/>
          <w:sz w:val="28"/>
          <w:szCs w:val="28"/>
        </w:rPr>
        <w:t>Ko</w:t>
      </w:r>
      <w:r w:rsidRPr="15F6D070" w:rsidR="7EC5F997">
        <w:rPr>
          <w:rStyle w:val="s1"/>
          <w:rFonts w:ascii="Aptos" w:hAnsi="Aptos" w:asciiTheme="minorAscii" w:hAnsiTheme="minorAscii"/>
          <w:sz w:val="28"/>
          <w:szCs w:val="28"/>
        </w:rPr>
        <w:t>lbs</w:t>
      </w:r>
      <w:r w:rsidRPr="15F6D070" w:rsidR="7EC5F997">
        <w:rPr>
          <w:rStyle w:val="s1"/>
          <w:rFonts w:ascii="Aptos" w:hAnsi="Aptos" w:asciiTheme="minorAscii" w:hAnsiTheme="minorAscii"/>
          <w:sz w:val="28"/>
          <w:szCs w:val="28"/>
        </w:rPr>
        <w:t xml:space="preserve"> </w:t>
      </w:r>
      <w:r w:rsidRPr="15F6D070" w:rsidR="0DBE1481">
        <w:rPr>
          <w:rStyle w:val="s1"/>
          <w:rFonts w:ascii="Aptos" w:hAnsi="Aptos" w:asciiTheme="minorAscii" w:hAnsiTheme="minorAscii"/>
          <w:sz w:val="28"/>
          <w:szCs w:val="28"/>
        </w:rPr>
        <w:t xml:space="preserve">cycle is more logical and is based on stages and theories. His cycle will suit more logical thinkers than </w:t>
      </w:r>
      <w:r w:rsidRPr="15F6D070" w:rsidR="0DBE1481">
        <w:rPr>
          <w:rStyle w:val="s1"/>
          <w:rFonts w:ascii="Aptos" w:hAnsi="Aptos" w:asciiTheme="minorAscii" w:hAnsiTheme="minorAscii"/>
          <w:sz w:val="28"/>
          <w:szCs w:val="28"/>
        </w:rPr>
        <w:t>gibbs</w:t>
      </w:r>
      <w:r w:rsidRPr="15F6D070" w:rsidR="0DBE1481">
        <w:rPr>
          <w:rStyle w:val="s1"/>
          <w:rFonts w:ascii="Aptos" w:hAnsi="Aptos" w:asciiTheme="minorAscii" w:hAnsiTheme="minorAscii"/>
          <w:sz w:val="28"/>
          <w:szCs w:val="28"/>
        </w:rPr>
        <w:t xml:space="preserve"> because </w:t>
      </w:r>
      <w:r w:rsidRPr="15F6D070" w:rsidR="02D5E7A0">
        <w:rPr>
          <w:rStyle w:val="s1"/>
          <w:rFonts w:ascii="Aptos" w:hAnsi="Aptos" w:asciiTheme="minorAscii" w:hAnsiTheme="minorAscii"/>
          <w:sz w:val="28"/>
          <w:szCs w:val="28"/>
        </w:rPr>
        <w:t xml:space="preserve">it has a </w:t>
      </w:r>
      <w:r w:rsidRPr="15F6D070" w:rsidR="6D5B0E72">
        <w:rPr>
          <w:rStyle w:val="s1"/>
          <w:rFonts w:ascii="Aptos" w:hAnsi="Aptos" w:asciiTheme="minorAscii" w:hAnsiTheme="minorAscii"/>
          <w:sz w:val="28"/>
          <w:szCs w:val="28"/>
        </w:rPr>
        <w:t>vaguer</w:t>
      </w:r>
      <w:r w:rsidRPr="15F6D070" w:rsidR="02D5E7A0">
        <w:rPr>
          <w:rStyle w:val="s1"/>
          <w:rFonts w:ascii="Aptos" w:hAnsi="Aptos" w:asciiTheme="minorAscii" w:hAnsiTheme="minorAscii"/>
          <w:sz w:val="28"/>
          <w:szCs w:val="28"/>
        </w:rPr>
        <w:t xml:space="preserve"> and focuses more on thinking and testing ideas. (Ko</w:t>
      </w:r>
      <w:r w:rsidRPr="15F6D070" w:rsidR="056E1C60">
        <w:rPr>
          <w:rStyle w:val="s1"/>
          <w:rFonts w:ascii="Aptos" w:hAnsi="Aptos" w:asciiTheme="minorAscii" w:hAnsiTheme="minorAscii"/>
          <w:sz w:val="28"/>
          <w:szCs w:val="28"/>
        </w:rPr>
        <w:t xml:space="preserve">lb </w:t>
      </w:r>
      <w:r w:rsidRPr="15F6D070" w:rsidR="02D5E7A0">
        <w:rPr>
          <w:rStyle w:val="s1"/>
          <w:rFonts w:ascii="Aptos" w:hAnsi="Aptos" w:asciiTheme="minorAscii" w:hAnsiTheme="minorAscii"/>
          <w:sz w:val="28"/>
          <w:szCs w:val="28"/>
        </w:rPr>
        <w:t xml:space="preserve">1984). </w:t>
      </w:r>
      <w:r w:rsidRPr="15F6D070" w:rsidR="5209C3E1">
        <w:rPr>
          <w:rStyle w:val="s1"/>
          <w:rFonts w:ascii="Aptos" w:hAnsi="Aptos" w:asciiTheme="minorAscii" w:hAnsiTheme="minorAscii"/>
          <w:sz w:val="28"/>
          <w:szCs w:val="28"/>
        </w:rPr>
        <w:t xml:space="preserve">Some find that a downside of this cycle is that </w:t>
      </w:r>
      <w:r w:rsidRPr="15F6D070" w:rsidR="5209C3E1">
        <w:rPr>
          <w:rStyle w:val="s1"/>
          <w:rFonts w:ascii="Aptos" w:hAnsi="Aptos" w:asciiTheme="minorAscii" w:hAnsiTheme="minorAscii"/>
          <w:sz w:val="28"/>
          <w:szCs w:val="28"/>
        </w:rPr>
        <w:t>it's</w:t>
      </w:r>
      <w:r w:rsidRPr="15F6D070" w:rsidR="5209C3E1">
        <w:rPr>
          <w:rStyle w:val="s1"/>
          <w:rFonts w:ascii="Aptos" w:hAnsi="Aptos" w:asciiTheme="minorAscii" w:hAnsiTheme="minorAscii"/>
          <w:sz w:val="28"/>
          <w:szCs w:val="28"/>
        </w:rPr>
        <w:t xml:space="preserve"> too simple and </w:t>
      </w:r>
      <w:r w:rsidRPr="15F6D070" w:rsidR="5209C3E1">
        <w:rPr>
          <w:rStyle w:val="s1"/>
          <w:rFonts w:ascii="Aptos" w:hAnsi="Aptos" w:asciiTheme="minorAscii" w:hAnsiTheme="minorAscii"/>
          <w:sz w:val="28"/>
          <w:szCs w:val="28"/>
        </w:rPr>
        <w:t>doesn't</w:t>
      </w:r>
      <w:r w:rsidRPr="15F6D070" w:rsidR="5209C3E1">
        <w:rPr>
          <w:rStyle w:val="s1"/>
          <w:rFonts w:ascii="Aptos" w:hAnsi="Aptos" w:asciiTheme="minorAscii" w:hAnsiTheme="minorAscii"/>
          <w:sz w:val="28"/>
          <w:szCs w:val="28"/>
        </w:rPr>
        <w:t xml:space="preserve"> show how complex reflection can be.</w:t>
      </w:r>
      <w:r w:rsidRPr="15F6D070" w:rsidR="1FD5B3D5">
        <w:rPr>
          <w:rStyle w:val="s1"/>
          <w:rFonts w:ascii="Aptos" w:hAnsi="Aptos" w:asciiTheme="minorAscii" w:hAnsiTheme="minorAscii"/>
          <w:sz w:val="28"/>
          <w:szCs w:val="28"/>
        </w:rPr>
        <w:t xml:space="preserve"> (Healey and Jenkins, 2000).</w:t>
      </w:r>
      <w:r>
        <w:br/>
      </w:r>
      <w:r>
        <w:br/>
      </w:r>
      <w:r w:rsidRPr="15F6D070" w:rsidR="212D8F4F">
        <w:rPr>
          <w:rStyle w:val="s1"/>
          <w:rFonts w:ascii="Aptos" w:hAnsi="Aptos" w:asciiTheme="minorAscii" w:hAnsiTheme="minorAscii"/>
          <w:sz w:val="28"/>
          <w:szCs w:val="28"/>
        </w:rPr>
        <w:t xml:space="preserve">To conclude, both Gibbs and Kohls offer useful methods of reflection, and they both have different strengths and weaknesses. Gibbs is more </w:t>
      </w:r>
      <w:r w:rsidRPr="15F6D070" w:rsidR="212D8F4F">
        <w:rPr>
          <w:rStyle w:val="s1"/>
          <w:rFonts w:ascii="Aptos" w:hAnsi="Aptos" w:asciiTheme="minorAscii" w:hAnsiTheme="minorAscii"/>
          <w:sz w:val="28"/>
          <w:szCs w:val="28"/>
        </w:rPr>
        <w:t>st</w:t>
      </w:r>
      <w:r w:rsidRPr="15F6D070" w:rsidR="33FA6894">
        <w:rPr>
          <w:rStyle w:val="s1"/>
          <w:rFonts w:ascii="Aptos" w:hAnsi="Aptos" w:asciiTheme="minorAscii" w:hAnsiTheme="minorAscii"/>
          <w:sz w:val="28"/>
          <w:szCs w:val="28"/>
        </w:rPr>
        <w:t>ructured</w:t>
      </w:r>
      <w:r w:rsidRPr="15F6D070" w:rsidR="33FA6894">
        <w:rPr>
          <w:rStyle w:val="s1"/>
          <w:rFonts w:ascii="Aptos" w:hAnsi="Aptos" w:asciiTheme="minorAscii" w:hAnsiTheme="minorAscii"/>
          <w:sz w:val="28"/>
          <w:szCs w:val="28"/>
        </w:rPr>
        <w:t xml:space="preserve"> and emotion based which some people find easier to follow. However, may not encourage as much of a deep analysis as </w:t>
      </w:r>
      <w:r w:rsidRPr="15F6D070" w:rsidR="33FA6894">
        <w:rPr>
          <w:rStyle w:val="s1"/>
          <w:rFonts w:ascii="Aptos" w:hAnsi="Aptos" w:asciiTheme="minorAscii" w:hAnsiTheme="minorAscii"/>
          <w:sz w:val="28"/>
          <w:szCs w:val="28"/>
        </w:rPr>
        <w:t>Ko</w:t>
      </w:r>
      <w:r w:rsidRPr="15F6D070" w:rsidR="0CC3EB18">
        <w:rPr>
          <w:rStyle w:val="s1"/>
          <w:rFonts w:ascii="Aptos" w:hAnsi="Aptos" w:asciiTheme="minorAscii" w:hAnsiTheme="minorAscii"/>
          <w:sz w:val="28"/>
          <w:szCs w:val="28"/>
        </w:rPr>
        <w:t>lbs</w:t>
      </w:r>
      <w:r w:rsidRPr="15F6D070" w:rsidR="0CC3EB18">
        <w:rPr>
          <w:rStyle w:val="s1"/>
          <w:rFonts w:ascii="Aptos" w:hAnsi="Aptos" w:asciiTheme="minorAscii" w:hAnsiTheme="minorAscii"/>
          <w:sz w:val="28"/>
          <w:szCs w:val="28"/>
        </w:rPr>
        <w:t xml:space="preserve">. </w:t>
      </w:r>
      <w:r w:rsidRPr="15F6D070" w:rsidR="0CC3EB18">
        <w:rPr>
          <w:rStyle w:val="s1"/>
          <w:rFonts w:ascii="Aptos" w:hAnsi="Aptos" w:asciiTheme="minorAscii" w:hAnsiTheme="minorAscii"/>
          <w:sz w:val="28"/>
          <w:szCs w:val="28"/>
        </w:rPr>
        <w:t>Kolbs</w:t>
      </w:r>
      <w:r w:rsidRPr="15F6D070" w:rsidR="0CC3EB18">
        <w:rPr>
          <w:rStyle w:val="s1"/>
          <w:rFonts w:ascii="Aptos" w:hAnsi="Aptos" w:asciiTheme="minorAscii" w:hAnsiTheme="minorAscii"/>
          <w:sz w:val="28"/>
          <w:szCs w:val="28"/>
        </w:rPr>
        <w:t xml:space="preserve"> cycle is more </w:t>
      </w:r>
      <w:r w:rsidRPr="15F6D070" w:rsidR="0CC3EB18">
        <w:rPr>
          <w:rStyle w:val="s1"/>
          <w:rFonts w:ascii="Aptos" w:hAnsi="Aptos" w:asciiTheme="minorAscii" w:hAnsiTheme="minorAscii"/>
          <w:sz w:val="28"/>
          <w:szCs w:val="28"/>
        </w:rPr>
        <w:t>logical</w:t>
      </w:r>
      <w:r w:rsidRPr="15F6D070" w:rsidR="0CC3EB18">
        <w:rPr>
          <w:rStyle w:val="s1"/>
          <w:rFonts w:ascii="Aptos" w:hAnsi="Aptos" w:asciiTheme="minorAscii" w:hAnsiTheme="minorAscii"/>
          <w:sz w:val="28"/>
          <w:szCs w:val="28"/>
        </w:rPr>
        <w:t xml:space="preserve"> and theory based which some people will find more effective. I think that </w:t>
      </w:r>
      <w:r w:rsidRPr="15F6D070" w:rsidR="2008459F">
        <w:rPr>
          <w:rStyle w:val="s1"/>
          <w:rFonts w:ascii="Aptos" w:hAnsi="Aptos" w:asciiTheme="minorAscii" w:hAnsiTheme="minorAscii"/>
          <w:sz w:val="28"/>
          <w:szCs w:val="28"/>
        </w:rPr>
        <w:t>overall,</w:t>
      </w:r>
      <w:r w:rsidRPr="15F6D070" w:rsidR="0CC3EB18">
        <w:rPr>
          <w:rStyle w:val="s1"/>
          <w:rFonts w:ascii="Aptos" w:hAnsi="Aptos" w:asciiTheme="minorAscii" w:hAnsiTheme="minorAscii"/>
          <w:sz w:val="28"/>
          <w:szCs w:val="28"/>
        </w:rPr>
        <w:t xml:space="preserve"> there is no better or worse, it is simply based on which method suits your learning style </w:t>
      </w:r>
      <w:r w:rsidRPr="15F6D070" w:rsidR="66822FE1">
        <w:rPr>
          <w:rStyle w:val="s1"/>
          <w:rFonts w:ascii="Aptos" w:hAnsi="Aptos" w:asciiTheme="minorAscii" w:hAnsiTheme="minorAscii"/>
          <w:sz w:val="28"/>
          <w:szCs w:val="28"/>
        </w:rPr>
        <w:t xml:space="preserve">and which type of reflection will suit what it is you are reflecting upon. I personally believe </w:t>
      </w:r>
      <w:r w:rsidRPr="15F6D070" w:rsidR="66822FE1">
        <w:rPr>
          <w:rStyle w:val="s1"/>
          <w:rFonts w:ascii="Aptos" w:hAnsi="Aptos" w:asciiTheme="minorAscii" w:hAnsiTheme="minorAscii"/>
          <w:sz w:val="28"/>
          <w:szCs w:val="28"/>
        </w:rPr>
        <w:t>it's</w:t>
      </w:r>
      <w:r w:rsidRPr="15F6D070" w:rsidR="66822FE1">
        <w:rPr>
          <w:rStyle w:val="s1"/>
          <w:rFonts w:ascii="Aptos" w:hAnsi="Aptos" w:asciiTheme="minorAscii" w:hAnsiTheme="minorAscii"/>
          <w:sz w:val="28"/>
          <w:szCs w:val="28"/>
        </w:rPr>
        <w:t xml:space="preserve"> important to you trial and error to find out which model works better for you. As </w:t>
      </w:r>
      <w:r w:rsidRPr="15F6D070" w:rsidR="66822FE1">
        <w:rPr>
          <w:rStyle w:val="s1"/>
          <w:rFonts w:ascii="Aptos" w:hAnsi="Aptos" w:asciiTheme="minorAscii" w:hAnsiTheme="minorAscii"/>
          <w:sz w:val="28"/>
          <w:szCs w:val="28"/>
        </w:rPr>
        <w:t>i</w:t>
      </w:r>
      <w:r w:rsidRPr="15F6D070" w:rsidR="66822FE1">
        <w:rPr>
          <w:rStyle w:val="s1"/>
          <w:rFonts w:ascii="Aptos" w:hAnsi="Aptos" w:asciiTheme="minorAscii" w:hAnsiTheme="minorAscii"/>
          <w:sz w:val="28"/>
          <w:szCs w:val="28"/>
        </w:rPr>
        <w:t xml:space="preserve"> develop my reflective skills I will be </w:t>
      </w:r>
      <w:r w:rsidRPr="15F6D070" w:rsidR="5952CB5F">
        <w:rPr>
          <w:rStyle w:val="s1"/>
          <w:rFonts w:ascii="Aptos" w:hAnsi="Aptos" w:asciiTheme="minorAscii" w:hAnsiTheme="minorAscii"/>
          <w:sz w:val="28"/>
          <w:szCs w:val="28"/>
        </w:rPr>
        <w:t xml:space="preserve">using both methods until </w:t>
      </w:r>
      <w:r w:rsidRPr="15F6D070" w:rsidR="5952CB5F">
        <w:rPr>
          <w:rStyle w:val="s1"/>
          <w:rFonts w:ascii="Aptos" w:hAnsi="Aptos" w:asciiTheme="minorAscii" w:hAnsiTheme="minorAscii"/>
          <w:sz w:val="28"/>
          <w:szCs w:val="28"/>
        </w:rPr>
        <w:t>i</w:t>
      </w:r>
      <w:r w:rsidRPr="15F6D070" w:rsidR="5952CB5F">
        <w:rPr>
          <w:rStyle w:val="s1"/>
          <w:rFonts w:ascii="Aptos" w:hAnsi="Aptos" w:asciiTheme="minorAscii" w:hAnsiTheme="minorAscii"/>
          <w:sz w:val="28"/>
          <w:szCs w:val="28"/>
        </w:rPr>
        <w:t xml:space="preserve"> find which will </w:t>
      </w:r>
      <w:r w:rsidRPr="15F6D070" w:rsidR="2B634FBE">
        <w:rPr>
          <w:rStyle w:val="s1"/>
          <w:rFonts w:ascii="Aptos" w:hAnsi="Aptos" w:asciiTheme="minorAscii" w:hAnsiTheme="minorAscii"/>
          <w:sz w:val="28"/>
          <w:szCs w:val="28"/>
        </w:rPr>
        <w:t>help me</w:t>
      </w:r>
      <w:r w:rsidRPr="15F6D070" w:rsidR="5952CB5F">
        <w:rPr>
          <w:rStyle w:val="s1"/>
          <w:rFonts w:ascii="Aptos" w:hAnsi="Aptos" w:asciiTheme="minorAscii" w:hAnsiTheme="minorAscii"/>
          <w:sz w:val="28"/>
          <w:szCs w:val="28"/>
        </w:rPr>
        <w:t xml:space="preserve"> more with my learning and development, and which will best improve my professional practice. </w:t>
      </w:r>
    </w:p>
    <w:p w:rsidRPr="001051AF" w:rsidR="0003307D" w:rsidP="15F6D070" w:rsidRDefault="0003307D" w14:paraId="7A3A1E53" w14:textId="7ED66087">
      <w:pPr>
        <w:spacing w:before="0" w:beforeAutospacing="off" w:after="0" w:afterAutospacing="off"/>
      </w:pPr>
    </w:p>
    <w:p w:rsidRPr="001051AF" w:rsidR="0003307D" w:rsidP="15F6D070" w:rsidRDefault="0003307D" w14:paraId="30A716D6" w14:textId="213340D2">
      <w:pPr>
        <w:pStyle w:val="p1"/>
        <w:spacing w:before="240" w:beforeAutospacing="off" w:after="180" w:afterAutospacing="off"/>
        <w:rPr>
          <w:rFonts w:ascii="Times New Roman" w:hAnsi="Times New Roman" w:eastAsia="Times New Roman" w:cs="Times New Roman"/>
          <w:i w:val="0"/>
          <w:iCs w:val="0"/>
          <w:noProof w:val="0"/>
          <w:lang w:val="en-GB"/>
        </w:rPr>
      </w:pPr>
      <w:r>
        <w:br/>
      </w:r>
    </w:p>
    <w:p w:rsidRPr="001051AF" w:rsidR="0003307D" w:rsidP="74655B85" w:rsidRDefault="0003307D" w14:paraId="3AE31952" w14:textId="03E05AFC">
      <w:pPr>
        <w:spacing w:before="0" w:beforeAutospacing="off" w:after="0" w:afterAutospacing="off"/>
      </w:pPr>
    </w:p>
    <w:p w:rsidRPr="001051AF" w:rsidR="0003307D" w:rsidP="74655B85" w:rsidRDefault="0003307D" w14:paraId="65A80E3D" w14:textId="3FC4342E">
      <w:pPr>
        <w:pStyle w:val="p1"/>
        <w:spacing w:before="240"/>
        <w:rPr>
          <w:rStyle w:val="s1"/>
          <w:rFonts w:ascii="Aptos" w:hAnsi="Aptos" w:asciiTheme="minorAscii" w:hAnsiTheme="minorAscii"/>
          <w:sz w:val="28"/>
          <w:szCs w:val="28"/>
        </w:rPr>
      </w:pPr>
    </w:p>
    <w:p w:rsidRPr="0083666F" w:rsidR="0003307D" w:rsidP="5B835D6F" w:rsidRDefault="0003307D" w14:paraId="3BC7A86A" w14:textId="77777777">
      <w:pPr>
        <w:spacing w:before="240"/>
      </w:pPr>
    </w:p>
    <w:p w:rsidR="007039A7" w:rsidP="5B835D6F" w:rsidRDefault="007039A7" w14:paraId="13B3B6D5" w14:textId="77777777">
      <w:pPr>
        <w:spacing w:before="240"/>
      </w:pPr>
    </w:p>
    <w:p w:rsidR="00B4790B" w:rsidP="5B835D6F" w:rsidRDefault="00B4790B" w14:paraId="683D1628" w14:textId="77777777">
      <w:pPr>
        <w:spacing w:before="240"/>
      </w:pPr>
    </w:p>
    <w:p w:rsidR="00B4790B" w:rsidP="5B835D6F" w:rsidRDefault="00B4790B" w14:paraId="1BF7E0FE" w14:textId="77777777">
      <w:pPr>
        <w:spacing w:before="240"/>
      </w:pPr>
    </w:p>
    <w:p w:rsidR="00B4790B" w:rsidP="5B835D6F" w:rsidRDefault="00B4790B" w14:paraId="1C2C472F" w14:textId="77777777">
      <w:pPr>
        <w:spacing w:before="240"/>
      </w:pPr>
    </w:p>
    <w:p w:rsidR="00B4790B" w:rsidP="5B835D6F" w:rsidRDefault="00B4790B" w14:paraId="278879B5" w14:textId="77777777">
      <w:pPr>
        <w:spacing w:before="240"/>
      </w:pPr>
    </w:p>
    <w:p w:rsidRPr="003736BC" w:rsidR="00B4790B" w:rsidP="5B835D6F" w:rsidRDefault="00B4790B" w14:paraId="772FB083" w14:textId="3B104B05">
      <w:pPr>
        <w:spacing w:before="240"/>
        <w:rPr>
          <w:b/>
          <w:bCs/>
          <w:color w:val="0A2F41" w:themeColor="accent1" w:themeShade="80"/>
          <w:u w:val="single"/>
        </w:rPr>
      </w:pPr>
      <w:r w:rsidRPr="003736BC">
        <w:rPr>
          <w:b/>
          <w:bCs/>
          <w:color w:val="0A2F41" w:themeColor="accent1" w:themeShade="80"/>
          <w:u w:val="single"/>
        </w:rPr>
        <w:t>References .</w:t>
      </w:r>
    </w:p>
    <w:p w:rsidRPr="003736BC" w:rsidR="007039A7" w:rsidP="5B835D6F" w:rsidRDefault="007039A7" w14:paraId="0B151ACD" w14:textId="18AC570B">
      <w:pPr>
        <w:spacing w:before="240"/>
        <w:rPr>
          <w:color w:val="0A2F41" w:themeColor="accent1" w:themeShade="80"/>
        </w:rPr>
      </w:pPr>
      <w:hyperlink w:history="1" r:id="rId7">
        <w:r w:rsidRPr="003736BC">
          <w:rPr>
            <w:rStyle w:val="Hyperlink"/>
            <w:color w:val="0A2F41" w:themeColor="accent1" w:themeShade="80"/>
          </w:rPr>
          <w:t>https://www.ewc.wales/site/index.php/en/fitness-to-practise/good-practice-guides/good-practice-guide-reflective-practice</w:t>
        </w:r>
      </w:hyperlink>
      <w:r w:rsidRPr="003736BC">
        <w:rPr>
          <w:color w:val="0A2F41" w:themeColor="accent1" w:themeShade="80"/>
        </w:rPr>
        <w:t xml:space="preserve"> </w:t>
      </w:r>
    </w:p>
    <w:p w:rsidRPr="003736BC" w:rsidR="00C24FE0" w:rsidP="5B835D6F" w:rsidRDefault="00C24FE0" w14:paraId="0212B91B" w14:textId="1C6D7DC2">
      <w:pPr>
        <w:spacing w:before="240"/>
        <w:rPr>
          <w:rFonts w:eastAsia="Times New Roman" w:cs="Times New Roman"/>
          <w:color w:val="0A2F41" w:themeColor="accent1" w:themeShade="80"/>
          <w:lang w:eastAsia="en-GB"/>
        </w:rPr>
      </w:pPr>
      <w:r w:rsidRPr="003736BC">
        <w:rPr>
          <w:rFonts w:eastAsia="Times New Roman" w:cs="Poppins"/>
          <w:color w:val="0A2F41" w:themeColor="accent1" w:themeShade="80"/>
          <w:shd w:val="clear" w:color="auto" w:fill="FFFFFF"/>
          <w:lang w:eastAsia="en-GB"/>
        </w:rPr>
        <w:t xml:space="preserve">Campbell, C and </w:t>
      </w:r>
      <w:proofErr w:type="spellStart"/>
      <w:r w:rsidRPr="003736BC">
        <w:rPr>
          <w:rFonts w:eastAsia="Times New Roman" w:cs="Poppins"/>
          <w:color w:val="0A2F41" w:themeColor="accent1" w:themeShade="80"/>
          <w:shd w:val="clear" w:color="auto" w:fill="FFFFFF"/>
          <w:lang w:eastAsia="en-GB"/>
        </w:rPr>
        <w:t>Ceau</w:t>
      </w:r>
      <w:proofErr w:type="spellEnd"/>
      <w:r w:rsidRPr="003736BC">
        <w:rPr>
          <w:rFonts w:eastAsia="Times New Roman" w:cs="Poppins"/>
          <w:color w:val="0A2F41" w:themeColor="accent1" w:themeShade="80"/>
          <w:shd w:val="clear" w:color="auto" w:fill="FFFFFF"/>
          <w:lang w:eastAsia="en-GB"/>
        </w:rPr>
        <w:t>, M (2023): </w:t>
      </w:r>
      <w:hyperlink w:history="1" r:id="rId8">
        <w:r w:rsidRPr="003736BC">
          <w:rPr>
            <w:rFonts w:eastAsia="Times New Roman" w:cs="Poppins"/>
            <w:color w:val="0A2F41" w:themeColor="accent1" w:themeShade="80"/>
            <w:u w:val="single"/>
            <w:lang w:eastAsia="en-GB"/>
          </w:rPr>
          <w:t>Leading Reflective Practice – Reviewing the Evidence. Paper Commissioned by the Education Workforce Council and National Academy for Education Leadership Wales</w:t>
        </w:r>
      </w:hyperlink>
      <w:r w:rsidRPr="003736BC">
        <w:rPr>
          <w:rFonts w:eastAsia="Times New Roman" w:cs="Times New Roman"/>
          <w:color w:val="0A2F41" w:themeColor="accent1" w:themeShade="80"/>
          <w:lang w:eastAsia="en-GB"/>
        </w:rPr>
        <w:t xml:space="preserve"> </w:t>
      </w:r>
    </w:p>
    <w:p w:rsidRPr="003736BC" w:rsidR="007A26AA" w:rsidRDefault="007A26AA" w14:paraId="12EC8D51" w14:textId="77777777">
      <w:pPr>
        <w:pStyle w:val="p1"/>
        <w:rPr>
          <w:rStyle w:val="s1"/>
          <w:rFonts w:asciiTheme="minorHAnsi" w:hAnsiTheme="minorHAnsi"/>
          <w:color w:val="0A2F41" w:themeColor="accent1" w:themeShade="80"/>
        </w:rPr>
      </w:pPr>
      <w:proofErr w:type="spellStart"/>
      <w:r w:rsidRPr="003736BC">
        <w:rPr>
          <w:rStyle w:val="s1"/>
          <w:rFonts w:asciiTheme="minorHAnsi" w:hAnsiTheme="minorHAnsi"/>
          <w:color w:val="0A2F41" w:themeColor="accent1" w:themeShade="80"/>
        </w:rPr>
        <w:t>Schön</w:t>
      </w:r>
      <w:proofErr w:type="spellEnd"/>
      <w:r w:rsidRPr="003736BC">
        <w:rPr>
          <w:rStyle w:val="s1"/>
          <w:rFonts w:asciiTheme="minorHAnsi" w:hAnsiTheme="minorHAnsi"/>
          <w:color w:val="0A2F41" w:themeColor="accent1" w:themeShade="80"/>
        </w:rPr>
        <w:t xml:space="preserve">, D.A. (1983) </w:t>
      </w:r>
      <w:r w:rsidRPr="003736BC">
        <w:rPr>
          <w:rStyle w:val="s2"/>
          <w:rFonts w:asciiTheme="minorHAnsi" w:hAnsiTheme="minorHAnsi"/>
          <w:color w:val="0A2F41" w:themeColor="accent1" w:themeShade="80"/>
        </w:rPr>
        <w:t>The Reflective Practitioner: How Professionals Think in Action</w:t>
      </w:r>
      <w:r w:rsidRPr="003736BC">
        <w:rPr>
          <w:rStyle w:val="s1"/>
          <w:rFonts w:asciiTheme="minorHAnsi" w:hAnsiTheme="minorHAnsi"/>
          <w:color w:val="0A2F41" w:themeColor="accent1" w:themeShade="80"/>
        </w:rPr>
        <w:t>. New York: Basic Books.</w:t>
      </w:r>
    </w:p>
    <w:p w:rsidRPr="003736BC" w:rsidR="00964BDB" w:rsidRDefault="00964BDB" w14:paraId="7210FD4E" w14:textId="77777777">
      <w:pPr>
        <w:pStyle w:val="p1"/>
        <w:rPr>
          <w:rStyle w:val="s1"/>
          <w:rFonts w:asciiTheme="minorHAnsi" w:hAnsiTheme="minorHAnsi"/>
          <w:color w:val="0A2F41" w:themeColor="accent1" w:themeShade="80"/>
        </w:rPr>
      </w:pPr>
      <w:r w:rsidRPr="003736BC">
        <w:rPr>
          <w:rStyle w:val="s1"/>
          <w:rFonts w:asciiTheme="minorHAnsi" w:hAnsiTheme="minorHAnsi"/>
          <w:color w:val="0A2F41" w:themeColor="accent1" w:themeShade="80"/>
        </w:rPr>
        <w:t xml:space="preserve">Dewey, J. (1933) </w:t>
      </w:r>
      <w:r w:rsidRPr="003736BC">
        <w:rPr>
          <w:rStyle w:val="s2"/>
          <w:rFonts w:asciiTheme="minorHAnsi" w:hAnsiTheme="minorHAnsi"/>
          <w:color w:val="0A2F41" w:themeColor="accent1" w:themeShade="80"/>
        </w:rPr>
        <w:t>How We Think</w:t>
      </w:r>
      <w:r w:rsidRPr="003736BC">
        <w:rPr>
          <w:rStyle w:val="s1"/>
          <w:rFonts w:asciiTheme="minorHAnsi" w:hAnsiTheme="minorHAnsi"/>
          <w:color w:val="0A2F41" w:themeColor="accent1" w:themeShade="80"/>
        </w:rPr>
        <w:t>. Boston: D.C. Heath and Co.</w:t>
      </w:r>
    </w:p>
    <w:p w:rsidRPr="003736BC" w:rsidR="00090DBA" w:rsidRDefault="00090DBA" w14:paraId="03F5FB15" w14:textId="440592D2">
      <w:pPr>
        <w:pStyle w:val="p1"/>
        <w:rPr>
          <w:rStyle w:val="s1"/>
          <w:rFonts w:asciiTheme="minorHAnsi" w:hAnsiTheme="minorHAnsi"/>
          <w:color w:val="0A2F41" w:themeColor="accent1" w:themeShade="80"/>
        </w:rPr>
      </w:pPr>
      <w:proofErr w:type="spellStart"/>
      <w:r w:rsidRPr="003736BC">
        <w:rPr>
          <w:rStyle w:val="s1"/>
          <w:rFonts w:asciiTheme="minorHAnsi" w:hAnsiTheme="minorHAnsi"/>
          <w:color w:val="0A2F41" w:themeColor="accent1" w:themeShade="80"/>
        </w:rPr>
        <w:t>Bulman</w:t>
      </w:r>
      <w:proofErr w:type="spellEnd"/>
      <w:r w:rsidRPr="003736BC">
        <w:rPr>
          <w:rStyle w:val="s1"/>
          <w:rFonts w:asciiTheme="minorHAnsi" w:hAnsiTheme="minorHAnsi"/>
          <w:color w:val="0A2F41" w:themeColor="accent1" w:themeShade="80"/>
        </w:rPr>
        <w:t xml:space="preserve">, C. and </w:t>
      </w:r>
      <w:proofErr w:type="spellStart"/>
      <w:r w:rsidRPr="003736BC">
        <w:rPr>
          <w:rStyle w:val="s1"/>
          <w:rFonts w:asciiTheme="minorHAnsi" w:hAnsiTheme="minorHAnsi"/>
          <w:color w:val="0A2F41" w:themeColor="accent1" w:themeShade="80"/>
        </w:rPr>
        <w:t>Schutz</w:t>
      </w:r>
      <w:proofErr w:type="spellEnd"/>
      <w:r w:rsidRPr="003736BC">
        <w:rPr>
          <w:rStyle w:val="s1"/>
          <w:rFonts w:asciiTheme="minorHAnsi" w:hAnsiTheme="minorHAnsi"/>
          <w:color w:val="0A2F41" w:themeColor="accent1" w:themeShade="80"/>
        </w:rPr>
        <w:t xml:space="preserve">, S. (2013) </w:t>
      </w:r>
      <w:r w:rsidRPr="003736BC">
        <w:rPr>
          <w:rStyle w:val="s2"/>
          <w:rFonts w:asciiTheme="minorHAnsi" w:hAnsiTheme="minorHAnsi"/>
          <w:color w:val="0A2F41" w:themeColor="accent1" w:themeShade="80"/>
        </w:rPr>
        <w:t>Reflective Practice in Nursing</w:t>
      </w:r>
      <w:r w:rsidRPr="003736BC">
        <w:rPr>
          <w:rStyle w:val="s1"/>
          <w:rFonts w:asciiTheme="minorHAnsi" w:hAnsiTheme="minorHAnsi"/>
          <w:color w:val="0A2F41" w:themeColor="accent1" w:themeShade="80"/>
        </w:rPr>
        <w:t xml:space="preserve">. 5th </w:t>
      </w:r>
      <w:proofErr w:type="spellStart"/>
      <w:r w:rsidRPr="003736BC">
        <w:rPr>
          <w:rStyle w:val="s1"/>
          <w:rFonts w:asciiTheme="minorHAnsi" w:hAnsiTheme="minorHAnsi"/>
          <w:color w:val="0A2F41" w:themeColor="accent1" w:themeShade="80"/>
        </w:rPr>
        <w:t>edn</w:t>
      </w:r>
      <w:proofErr w:type="spellEnd"/>
      <w:r w:rsidRPr="003736BC">
        <w:rPr>
          <w:rStyle w:val="s1"/>
          <w:rFonts w:asciiTheme="minorHAnsi" w:hAnsiTheme="minorHAnsi"/>
          <w:color w:val="0A2F41" w:themeColor="accent1" w:themeShade="80"/>
        </w:rPr>
        <w:t>. Oxford: Wiley-Blackwell.</w:t>
      </w:r>
    </w:p>
    <w:p w:rsidRPr="003736BC" w:rsidR="003736BC" w:rsidRDefault="003736BC" w14:paraId="53FAB25E" w14:textId="77777777">
      <w:pPr>
        <w:pStyle w:val="p1"/>
        <w:rPr>
          <w:rFonts w:asciiTheme="minorHAnsi" w:hAnsiTheme="minorHAnsi"/>
          <w:color w:val="0A2F41" w:themeColor="accent1" w:themeShade="80"/>
        </w:rPr>
      </w:pPr>
      <w:proofErr w:type="spellStart"/>
      <w:r w:rsidRPr="003736BC">
        <w:rPr>
          <w:rStyle w:val="s1"/>
          <w:rFonts w:asciiTheme="minorHAnsi" w:hAnsiTheme="minorHAnsi"/>
          <w:color w:val="0A2F41" w:themeColor="accent1" w:themeShade="80"/>
        </w:rPr>
        <w:t>Bassot</w:t>
      </w:r>
      <w:proofErr w:type="spellEnd"/>
      <w:r w:rsidRPr="003736BC">
        <w:rPr>
          <w:rStyle w:val="s1"/>
          <w:rFonts w:asciiTheme="minorHAnsi" w:hAnsiTheme="minorHAnsi"/>
          <w:color w:val="0A2F41" w:themeColor="accent1" w:themeShade="80"/>
        </w:rPr>
        <w:t xml:space="preserve">, B. (2016) </w:t>
      </w:r>
      <w:r w:rsidRPr="003736BC">
        <w:rPr>
          <w:rStyle w:val="s2"/>
          <w:rFonts w:asciiTheme="minorHAnsi" w:hAnsiTheme="minorHAnsi"/>
          <w:color w:val="0A2F41" w:themeColor="accent1" w:themeShade="80"/>
        </w:rPr>
        <w:t>The Reflective Practice Guide</w:t>
      </w:r>
      <w:r w:rsidRPr="003736BC">
        <w:rPr>
          <w:rStyle w:val="s1"/>
          <w:rFonts w:asciiTheme="minorHAnsi" w:hAnsiTheme="minorHAnsi"/>
          <w:color w:val="0A2F41" w:themeColor="accent1" w:themeShade="80"/>
        </w:rPr>
        <w:t xml:space="preserve">. London: </w:t>
      </w:r>
      <w:proofErr w:type="spellStart"/>
      <w:r w:rsidRPr="003736BC">
        <w:rPr>
          <w:rStyle w:val="s1"/>
          <w:rFonts w:asciiTheme="minorHAnsi" w:hAnsiTheme="minorHAnsi"/>
          <w:color w:val="0A2F41" w:themeColor="accent1" w:themeShade="80"/>
        </w:rPr>
        <w:t>Routledge</w:t>
      </w:r>
      <w:proofErr w:type="spellEnd"/>
      <w:r w:rsidRPr="003736BC">
        <w:rPr>
          <w:rStyle w:val="s1"/>
          <w:rFonts w:asciiTheme="minorHAnsi" w:hAnsiTheme="minorHAnsi"/>
          <w:color w:val="0A2F41" w:themeColor="accent1" w:themeShade="80"/>
        </w:rPr>
        <w:t>.</w:t>
      </w:r>
    </w:p>
    <w:p w:rsidRPr="003736BC" w:rsidR="003736BC" w:rsidRDefault="003736BC" w14:paraId="313ACDAA" w14:textId="77777777">
      <w:pPr>
        <w:pStyle w:val="p1"/>
        <w:rPr>
          <w:rStyle w:val="s1"/>
          <w:rFonts w:asciiTheme="minorHAnsi" w:hAnsiTheme="minorHAnsi"/>
          <w:color w:val="0A2F41" w:themeColor="accent1" w:themeShade="80"/>
        </w:rPr>
      </w:pPr>
    </w:p>
    <w:p w:rsidRPr="003736BC" w:rsidR="00FA32EA" w:rsidP="74655B85" w:rsidRDefault="00FA32EA" w14:paraId="5B47B2E1" w14:textId="77777777">
      <w:pPr>
        <w:pStyle w:val="p1"/>
        <w:rPr>
          <w:rFonts w:ascii="Aptos" w:hAnsi="Aptos" w:asciiTheme="minorAscii" w:hAnsiTheme="minorAscii"/>
          <w:color w:val="0A2F41" w:themeColor="accent1" w:themeShade="80"/>
        </w:rPr>
      </w:pPr>
      <w:r w:rsidRPr="15F6D070" w:rsidR="00FA32EA">
        <w:rPr>
          <w:rStyle w:val="s1"/>
          <w:rFonts w:ascii="Aptos" w:hAnsi="Aptos" w:asciiTheme="minorAscii" w:hAnsiTheme="minorAscii"/>
          <w:color w:val="0A2F41" w:themeColor="accent1" w:themeTint="FF" w:themeShade="80"/>
        </w:rPr>
        <w:t>MacNaughton</w:t>
      </w:r>
      <w:r w:rsidRPr="15F6D070" w:rsidR="00FA32EA">
        <w:rPr>
          <w:rStyle w:val="s1"/>
          <w:rFonts w:ascii="Aptos" w:hAnsi="Aptos" w:asciiTheme="minorAscii" w:hAnsiTheme="minorAscii"/>
          <w:color w:val="0A2F41" w:themeColor="accent1" w:themeTint="FF" w:themeShade="80"/>
        </w:rPr>
        <w:t xml:space="preserve">, G. (2003) </w:t>
      </w:r>
      <w:r w:rsidRPr="15F6D070" w:rsidR="00FA32EA">
        <w:rPr>
          <w:rStyle w:val="s2"/>
          <w:rFonts w:ascii="Aptos" w:hAnsi="Aptos" w:asciiTheme="minorAscii" w:hAnsiTheme="minorAscii"/>
          <w:color w:val="0A2F41" w:themeColor="accent1" w:themeTint="FF" w:themeShade="80"/>
        </w:rPr>
        <w:t>Shaping Early Childhood: Learners, Curriculum and Contexts</w:t>
      </w:r>
      <w:r w:rsidRPr="15F6D070" w:rsidR="00FA32EA">
        <w:rPr>
          <w:rStyle w:val="s1"/>
          <w:rFonts w:ascii="Aptos" w:hAnsi="Aptos" w:asciiTheme="minorAscii" w:hAnsiTheme="minorAscii"/>
          <w:color w:val="0A2F41" w:themeColor="accent1" w:themeTint="FF" w:themeShade="80"/>
        </w:rPr>
        <w:t>.</w:t>
      </w:r>
      <w:r w:rsidRPr="15F6D070" w:rsidR="00FA32EA">
        <w:rPr>
          <w:rStyle w:val="apple-converted-space"/>
          <w:rFonts w:ascii="Aptos" w:hAnsi="Aptos" w:asciiTheme="minorAscii" w:hAnsiTheme="minorAscii"/>
          <w:color w:val="0A2F41" w:themeColor="accent1" w:themeTint="FF" w:themeShade="80"/>
        </w:rPr>
        <w:t> </w:t>
      </w:r>
    </w:p>
    <w:p w:rsidR="15F6D070" w:rsidP="15F6D070" w:rsidRDefault="15F6D070" w14:paraId="4F19D2A1" w14:textId="79A92E0A">
      <w:pPr>
        <w:pStyle w:val="Normal"/>
        <w:rPr>
          <w:rFonts w:ascii="Times New Roman" w:hAnsi="Times New Roman" w:eastAsia="Times New Roman" w:cs="Times New Roman"/>
          <w:i w:val="0"/>
          <w:iCs w:val="0"/>
          <w:noProof w:val="0"/>
          <w:lang w:val="en-GB"/>
        </w:rPr>
      </w:pPr>
    </w:p>
    <w:p w:rsidRPr="003736BC" w:rsidR="00964BDB" w:rsidP="15F6D070" w:rsidRDefault="00964BDB" w14:paraId="522B3CBB" w14:textId="1DB0B38A">
      <w:pPr>
        <w:pStyle w:val="Normal"/>
        <w:rPr>
          <w:rFonts w:ascii="Times New Roman" w:hAnsi="Times New Roman" w:eastAsia="Times New Roman" w:cs="Times New Roman"/>
          <w:i w:val="0"/>
          <w:iCs w:val="0"/>
          <w:noProof w:val="0"/>
          <w:lang w:val="en-GB"/>
        </w:rPr>
      </w:pPr>
      <w:r w:rsidRPr="15F6D070" w:rsidR="43927C05">
        <w:rPr>
          <w:noProof w:val="0"/>
          <w:lang w:val="en-GB"/>
        </w:rPr>
        <w:t>Kolb, D.A. (1984) Experiential Learning: Experience as the Source of Learning and Development. Englewood Cliffs, NJ: Prentice Hall.</w:t>
      </w:r>
    </w:p>
    <w:p w:rsidRPr="003736BC" w:rsidR="00964BDB" w:rsidP="15F6D070" w:rsidRDefault="00964BDB" w14:paraId="1ECE516D" w14:textId="0BE63C7A">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15F6D070" w:rsidR="52C70FF6">
        <w:rPr>
          <w:rFonts w:ascii="Times New Roman" w:hAnsi="Times New Roman" w:eastAsia="Times New Roman" w:cs="Times New Roman"/>
          <w:i w:val="0"/>
          <w:iCs w:val="0"/>
          <w:noProof w:val="0"/>
          <w:sz w:val="24"/>
          <w:szCs w:val="24"/>
          <w:lang w:val="en-GB"/>
        </w:rPr>
        <w:t xml:space="preserve">Bassot, B. (2016) The Reflective Journal. 2nd </w:t>
      </w:r>
      <w:r w:rsidRPr="15F6D070" w:rsidR="52C70FF6">
        <w:rPr>
          <w:rFonts w:ascii="Times New Roman" w:hAnsi="Times New Roman" w:eastAsia="Times New Roman" w:cs="Times New Roman"/>
          <w:i w:val="0"/>
          <w:iCs w:val="0"/>
          <w:noProof w:val="0"/>
          <w:sz w:val="24"/>
          <w:szCs w:val="24"/>
          <w:lang w:val="en-GB"/>
        </w:rPr>
        <w:t>edn</w:t>
      </w:r>
      <w:r w:rsidRPr="15F6D070" w:rsidR="52C70FF6">
        <w:rPr>
          <w:rFonts w:ascii="Times New Roman" w:hAnsi="Times New Roman" w:eastAsia="Times New Roman" w:cs="Times New Roman"/>
          <w:i w:val="0"/>
          <w:iCs w:val="0"/>
          <w:noProof w:val="0"/>
          <w:sz w:val="24"/>
          <w:szCs w:val="24"/>
          <w:lang w:val="en-GB"/>
        </w:rPr>
        <w:t>. Basingstoke: Palgrave Macmillan.</w:t>
      </w:r>
    </w:p>
    <w:p w:rsidRPr="003736BC" w:rsidR="00964BDB" w:rsidP="15F6D070" w:rsidRDefault="00964BDB" w14:paraId="2B7D37CC" w14:textId="731BB09D">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Pr="003736BC" w:rsidR="00964BDB" w:rsidP="15F6D070" w:rsidRDefault="00964BDB" w14:paraId="6CE230FC" w14:textId="790CBAC3">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15F6D070" w:rsidR="52C70FF6">
        <w:rPr>
          <w:rFonts w:ascii="Times New Roman" w:hAnsi="Times New Roman" w:eastAsia="Times New Roman" w:cs="Times New Roman"/>
          <w:i w:val="0"/>
          <w:iCs w:val="0"/>
          <w:noProof w:val="0"/>
          <w:sz w:val="24"/>
          <w:szCs w:val="24"/>
          <w:lang w:val="en-GB"/>
        </w:rPr>
        <w:t xml:space="preserve">Bulman, </w:t>
      </w:r>
      <w:r w:rsidRPr="15F6D070" w:rsidR="52C70FF6">
        <w:rPr>
          <w:rFonts w:ascii="Times New Roman" w:hAnsi="Times New Roman" w:eastAsia="Times New Roman" w:cs="Times New Roman"/>
          <w:i w:val="0"/>
          <w:iCs w:val="0"/>
          <w:noProof w:val="0"/>
          <w:sz w:val="24"/>
          <w:szCs w:val="24"/>
          <w:lang w:val="en-GB"/>
        </w:rPr>
        <w:t>C.</w:t>
      </w:r>
      <w:r w:rsidRPr="15F6D070" w:rsidR="52C70FF6">
        <w:rPr>
          <w:rFonts w:ascii="Times New Roman" w:hAnsi="Times New Roman" w:eastAsia="Times New Roman" w:cs="Times New Roman"/>
          <w:i w:val="0"/>
          <w:iCs w:val="0"/>
          <w:noProof w:val="0"/>
          <w:sz w:val="24"/>
          <w:szCs w:val="24"/>
          <w:lang w:val="en-GB"/>
        </w:rPr>
        <w:t xml:space="preserve"> and Schutz, S. (2013) Reflective Practice in Nursing. 5th </w:t>
      </w:r>
      <w:r w:rsidRPr="15F6D070" w:rsidR="52C70FF6">
        <w:rPr>
          <w:rFonts w:ascii="Times New Roman" w:hAnsi="Times New Roman" w:eastAsia="Times New Roman" w:cs="Times New Roman"/>
          <w:i w:val="0"/>
          <w:iCs w:val="0"/>
          <w:noProof w:val="0"/>
          <w:sz w:val="24"/>
          <w:szCs w:val="24"/>
          <w:lang w:val="en-GB"/>
        </w:rPr>
        <w:t>edn</w:t>
      </w:r>
      <w:r w:rsidRPr="15F6D070" w:rsidR="52C70FF6">
        <w:rPr>
          <w:rFonts w:ascii="Times New Roman" w:hAnsi="Times New Roman" w:eastAsia="Times New Roman" w:cs="Times New Roman"/>
          <w:i w:val="0"/>
          <w:iCs w:val="0"/>
          <w:noProof w:val="0"/>
          <w:sz w:val="24"/>
          <w:szCs w:val="24"/>
          <w:lang w:val="en-GB"/>
        </w:rPr>
        <w:t>. Oxford: Wiley-Blackwell.</w:t>
      </w:r>
    </w:p>
    <w:p w:rsidRPr="003736BC" w:rsidR="00964BDB" w:rsidP="15F6D070" w:rsidRDefault="00964BDB" w14:paraId="534F8DB2" w14:textId="692D96E2">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p>
    <w:p w:rsidRPr="003736BC" w:rsidR="00964BDB" w:rsidP="15F6D070" w:rsidRDefault="00964BDB" w14:paraId="616D0EA3" w14:textId="78CD09D2">
      <w:pPr>
        <w:pStyle w:val="Normal"/>
        <w:spacing w:before="0" w:beforeAutospacing="off" w:after="0" w:afterAutospacing="off"/>
        <w:ind w:left="0"/>
        <w:rPr>
          <w:rFonts w:ascii="Times New Roman" w:hAnsi="Times New Roman" w:eastAsia="Times New Roman" w:cs="Times New Roman"/>
          <w:i w:val="0"/>
          <w:iCs w:val="0"/>
          <w:noProof w:val="0"/>
          <w:sz w:val="24"/>
          <w:szCs w:val="24"/>
          <w:lang w:val="en-GB"/>
        </w:rPr>
      </w:pPr>
      <w:r w:rsidRPr="15F6D070" w:rsidR="52C70FF6">
        <w:rPr>
          <w:rFonts w:ascii="Times New Roman" w:hAnsi="Times New Roman" w:eastAsia="Times New Roman" w:cs="Times New Roman"/>
          <w:i w:val="0"/>
          <w:iCs w:val="0"/>
          <w:noProof w:val="0"/>
          <w:sz w:val="24"/>
          <w:szCs w:val="24"/>
          <w:lang w:val="en-GB"/>
        </w:rPr>
        <w:t xml:space="preserve">Healey, M. and Jenkins, A. (2000) Learning cycles and learning styles: Learning styles and transferable skills. Available at: </w:t>
      </w:r>
      <w:hyperlink r:id="R1251f4b054a54e4c">
        <w:r w:rsidRPr="15F6D070" w:rsidR="52C70FF6">
          <w:rPr>
            <w:rStyle w:val="Hyperlink"/>
            <w:rFonts w:ascii="Times New Roman" w:hAnsi="Times New Roman" w:eastAsia="Times New Roman" w:cs="Times New Roman"/>
            <w:i w:val="0"/>
            <w:iCs w:val="0"/>
            <w:noProof w:val="0"/>
            <w:sz w:val="24"/>
            <w:szCs w:val="24"/>
            <w:lang w:val="en-GB"/>
          </w:rPr>
          <w:t>https://www.heacademy.ac.uk</w:t>
        </w:r>
      </w:hyperlink>
      <w:r w:rsidRPr="15F6D070" w:rsidR="52C70FF6">
        <w:rPr>
          <w:rFonts w:ascii="Times New Roman" w:hAnsi="Times New Roman" w:eastAsia="Times New Roman" w:cs="Times New Roman"/>
          <w:i w:val="0"/>
          <w:iCs w:val="0"/>
          <w:noProof w:val="0"/>
          <w:sz w:val="24"/>
          <w:szCs w:val="24"/>
          <w:lang w:val="en-GB"/>
        </w:rPr>
        <w:t xml:space="preserve"> (Accessed: [insert date you accessed it]).</w:t>
      </w:r>
    </w:p>
    <w:p w:rsidRPr="003736BC" w:rsidR="00964BDB" w:rsidP="15F6D070" w:rsidRDefault="00964BDB" w14:paraId="7D11FE3A" w14:textId="4B6AFBD1">
      <w:pPr>
        <w:spacing w:before="240" w:beforeAutospacing="off" w:after="180" w:afterAutospacing="off"/>
        <w:ind/>
      </w:pPr>
    </w:p>
    <w:p w:rsidRPr="003736BC" w:rsidR="00964BDB" w:rsidP="15F6D070" w:rsidRDefault="00964BDB" w14:paraId="620829E1" w14:textId="5030C1EA">
      <w:pPr>
        <w:pStyle w:val="Normal"/>
        <w:spacing w:before="0" w:beforeAutospacing="off" w:after="0" w:afterAutospacing="off"/>
        <w:ind w:left="0"/>
        <w:rPr>
          <w:rFonts w:ascii="Times New Roman" w:hAnsi="Times New Roman" w:eastAsia="Times New Roman" w:cs="Times New Roman"/>
          <w:i w:val="0"/>
          <w:iCs w:val="0"/>
          <w:noProof w:val="0"/>
          <w:lang w:val="en-GB"/>
        </w:rPr>
      </w:pPr>
    </w:p>
    <w:p w:rsidRPr="003736BC" w:rsidR="00964BDB" w:rsidP="74655B85" w:rsidRDefault="00964BDB" w14:paraId="60CD5B44" w14:textId="03C7572E">
      <w:pPr>
        <w:spacing w:before="240" w:beforeAutospacing="off" w:after="180" w:afterAutospacing="off"/>
      </w:pPr>
    </w:p>
    <w:p w:rsidRPr="003736BC" w:rsidR="00964BDB" w:rsidP="74655B85" w:rsidRDefault="00964BDB" w14:paraId="3767F8D2" w14:textId="141DD72D">
      <w:pPr>
        <w:pStyle w:val="p1"/>
        <w:rPr>
          <w:rFonts w:ascii="Aptos" w:hAnsi="Aptos" w:asciiTheme="minorAscii" w:hAnsiTheme="minorAscii"/>
          <w:color w:val="0A2F41" w:themeColor="accent1" w:themeShade="80"/>
        </w:rPr>
      </w:pPr>
    </w:p>
    <w:p w:rsidRPr="00B4790B" w:rsidR="00B4790B" w:rsidRDefault="00B4790B" w14:paraId="5118C9A4" w14:textId="77777777">
      <w:pPr>
        <w:pStyle w:val="p1"/>
        <w:rPr>
          <w:rFonts w:asciiTheme="minorHAnsi" w:hAnsiTheme="minorHAnsi"/>
          <w:color w:val="153D63" w:themeColor="text2" w:themeTint="E6"/>
        </w:rPr>
      </w:pPr>
    </w:p>
    <w:p w:rsidRPr="00D349B2" w:rsidR="007A26AA" w:rsidP="5B835D6F" w:rsidRDefault="007A26AA" w14:paraId="5226FA88" w14:textId="77777777">
      <w:pPr>
        <w:spacing w:before="240"/>
        <w:rPr>
          <w:color w:val="153D63" w:themeColor="text2" w:themeTint="E6"/>
        </w:rPr>
      </w:pPr>
    </w:p>
    <w:sectPr w:rsidRPr="00D349B2" w:rsidR="007A26AA">
      <w:pgSz w:w="11906" w:h="16838" w:orient="portrait"/>
      <w:pgMar w:top="1440" w:right="1440" w:bottom="1440" w:left="1440" w:header="720" w:footer="720" w:gutter="0"/>
      <w:cols w:space="720"/>
      <w:docGrid w:linePitch="360"/>
      <w:headerReference w:type="default" r:id="Ra1cf2b8d23974d44"/>
      <w:footerReference w:type="default" r:id="R2b597bf6e1e14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Poppins">
    <w:panose1 w:val="00000500000000000000"/>
    <w:charset w:val="4D"/>
    <w:family w:val="auto"/>
    <w:pitch w:val="variable"/>
    <w:sig w:usb0="00008007" w:usb1="00000000" w:usb2="00000000" w:usb3="00000000" w:csb0="00000093" w:csb1="00000000"/>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655B85" w:rsidTr="74655B85" w14:paraId="502B93CD">
      <w:trPr>
        <w:trHeight w:val="300"/>
      </w:trPr>
      <w:tc>
        <w:tcPr>
          <w:tcW w:w="3005" w:type="dxa"/>
          <w:tcMar/>
        </w:tcPr>
        <w:p w:rsidR="74655B85" w:rsidP="74655B85" w:rsidRDefault="74655B85" w14:paraId="6535AE0C" w14:textId="323E9A5D">
          <w:pPr>
            <w:pStyle w:val="Header"/>
            <w:bidi w:val="0"/>
            <w:ind w:left="-115"/>
            <w:jc w:val="left"/>
          </w:pPr>
        </w:p>
      </w:tc>
      <w:tc>
        <w:tcPr>
          <w:tcW w:w="3005" w:type="dxa"/>
          <w:tcMar/>
        </w:tcPr>
        <w:p w:rsidR="74655B85" w:rsidP="74655B85" w:rsidRDefault="74655B85" w14:paraId="34F86245" w14:textId="793957FD">
          <w:pPr>
            <w:pStyle w:val="Header"/>
            <w:bidi w:val="0"/>
            <w:jc w:val="center"/>
          </w:pPr>
        </w:p>
      </w:tc>
      <w:tc>
        <w:tcPr>
          <w:tcW w:w="3005" w:type="dxa"/>
          <w:tcMar/>
        </w:tcPr>
        <w:p w:rsidR="74655B85" w:rsidP="74655B85" w:rsidRDefault="74655B85" w14:paraId="0EAA2761" w14:textId="53FFE3C5">
          <w:pPr>
            <w:pStyle w:val="Header"/>
            <w:bidi w:val="0"/>
            <w:ind w:right="-115"/>
            <w:jc w:val="right"/>
          </w:pPr>
        </w:p>
      </w:tc>
    </w:tr>
  </w:tbl>
  <w:p w:rsidR="74655B85" w:rsidP="74655B85" w:rsidRDefault="74655B85" w14:paraId="428919DE" w14:textId="68D690E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655B85" w:rsidTr="74655B85" w14:paraId="7ABF38EC">
      <w:trPr>
        <w:trHeight w:val="300"/>
      </w:trPr>
      <w:tc>
        <w:tcPr>
          <w:tcW w:w="3005" w:type="dxa"/>
          <w:tcMar/>
        </w:tcPr>
        <w:p w:rsidR="74655B85" w:rsidP="74655B85" w:rsidRDefault="74655B85" w14:paraId="21255606" w14:textId="02B5BB2F">
          <w:pPr>
            <w:pStyle w:val="Header"/>
            <w:bidi w:val="0"/>
            <w:ind w:left="-115"/>
            <w:jc w:val="left"/>
          </w:pPr>
        </w:p>
      </w:tc>
      <w:tc>
        <w:tcPr>
          <w:tcW w:w="3005" w:type="dxa"/>
          <w:tcMar/>
        </w:tcPr>
        <w:p w:rsidR="74655B85" w:rsidP="74655B85" w:rsidRDefault="74655B85" w14:paraId="0516A986" w14:textId="7371577A">
          <w:pPr>
            <w:pStyle w:val="Header"/>
            <w:bidi w:val="0"/>
            <w:jc w:val="center"/>
          </w:pPr>
        </w:p>
      </w:tc>
      <w:tc>
        <w:tcPr>
          <w:tcW w:w="3005" w:type="dxa"/>
          <w:tcMar/>
        </w:tcPr>
        <w:p w:rsidR="74655B85" w:rsidP="74655B85" w:rsidRDefault="74655B85" w14:paraId="4BF0D22E" w14:textId="6BB8DDE4">
          <w:pPr>
            <w:pStyle w:val="Header"/>
            <w:bidi w:val="0"/>
            <w:ind w:right="-115"/>
            <w:jc w:val="right"/>
          </w:pPr>
        </w:p>
      </w:tc>
    </w:tr>
  </w:tbl>
  <w:p w:rsidR="74655B85" w:rsidP="74655B85" w:rsidRDefault="74655B85" w14:paraId="63BA34F7" w14:textId="6972621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53c26e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8c6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FE6C62"/>
    <w:rsid w:val="0000C2A4"/>
    <w:rsid w:val="00020477"/>
    <w:rsid w:val="00025797"/>
    <w:rsid w:val="0003307D"/>
    <w:rsid w:val="00090DBA"/>
    <w:rsid w:val="00096E19"/>
    <w:rsid w:val="000F15A5"/>
    <w:rsid w:val="001051AF"/>
    <w:rsid w:val="001B1449"/>
    <w:rsid w:val="001C6057"/>
    <w:rsid w:val="001D40F1"/>
    <w:rsid w:val="001E3B7F"/>
    <w:rsid w:val="002413D7"/>
    <w:rsid w:val="00281146"/>
    <w:rsid w:val="002A3C82"/>
    <w:rsid w:val="002D6F90"/>
    <w:rsid w:val="002F7DB4"/>
    <w:rsid w:val="003228FD"/>
    <w:rsid w:val="00330E93"/>
    <w:rsid w:val="0035079E"/>
    <w:rsid w:val="003626C2"/>
    <w:rsid w:val="003736BC"/>
    <w:rsid w:val="0037687F"/>
    <w:rsid w:val="003B59A4"/>
    <w:rsid w:val="00452740"/>
    <w:rsid w:val="00467911"/>
    <w:rsid w:val="00494C3B"/>
    <w:rsid w:val="004F47C9"/>
    <w:rsid w:val="005245FF"/>
    <w:rsid w:val="00540947"/>
    <w:rsid w:val="00543673"/>
    <w:rsid w:val="00555AB7"/>
    <w:rsid w:val="00555B2E"/>
    <w:rsid w:val="00583621"/>
    <w:rsid w:val="00630D47"/>
    <w:rsid w:val="006633E8"/>
    <w:rsid w:val="00672318"/>
    <w:rsid w:val="006B7F63"/>
    <w:rsid w:val="007039A7"/>
    <w:rsid w:val="00716428"/>
    <w:rsid w:val="00736A33"/>
    <w:rsid w:val="00762D87"/>
    <w:rsid w:val="007A26AA"/>
    <w:rsid w:val="00810608"/>
    <w:rsid w:val="008165E0"/>
    <w:rsid w:val="0083666F"/>
    <w:rsid w:val="0086144A"/>
    <w:rsid w:val="008B5ADB"/>
    <w:rsid w:val="008C6A56"/>
    <w:rsid w:val="008F2B8B"/>
    <w:rsid w:val="00924563"/>
    <w:rsid w:val="009533F5"/>
    <w:rsid w:val="009606E2"/>
    <w:rsid w:val="00964BDB"/>
    <w:rsid w:val="009A6B5C"/>
    <w:rsid w:val="00A254FD"/>
    <w:rsid w:val="00A40E78"/>
    <w:rsid w:val="00A7649B"/>
    <w:rsid w:val="00B071A8"/>
    <w:rsid w:val="00B16101"/>
    <w:rsid w:val="00B4790B"/>
    <w:rsid w:val="00B5574F"/>
    <w:rsid w:val="00BE022D"/>
    <w:rsid w:val="00BF1A33"/>
    <w:rsid w:val="00C049E1"/>
    <w:rsid w:val="00C1257F"/>
    <w:rsid w:val="00C21F7E"/>
    <w:rsid w:val="00C24FE0"/>
    <w:rsid w:val="00C37265"/>
    <w:rsid w:val="00C7091B"/>
    <w:rsid w:val="00C71D1B"/>
    <w:rsid w:val="00CE2AD4"/>
    <w:rsid w:val="00D01A89"/>
    <w:rsid w:val="00D07A67"/>
    <w:rsid w:val="00D115B6"/>
    <w:rsid w:val="00D25074"/>
    <w:rsid w:val="00D270F3"/>
    <w:rsid w:val="00D349B2"/>
    <w:rsid w:val="00D77E04"/>
    <w:rsid w:val="00D81CAE"/>
    <w:rsid w:val="00DD1840"/>
    <w:rsid w:val="00E415C1"/>
    <w:rsid w:val="00EA0E66"/>
    <w:rsid w:val="00EF1017"/>
    <w:rsid w:val="00F2222C"/>
    <w:rsid w:val="00F36026"/>
    <w:rsid w:val="00F9286D"/>
    <w:rsid w:val="00FA32EA"/>
    <w:rsid w:val="00FC420D"/>
    <w:rsid w:val="00FD1B79"/>
    <w:rsid w:val="00FE0938"/>
    <w:rsid w:val="00FF7923"/>
    <w:rsid w:val="0133D4ED"/>
    <w:rsid w:val="02D5E7A0"/>
    <w:rsid w:val="037159C4"/>
    <w:rsid w:val="038A6570"/>
    <w:rsid w:val="054F1740"/>
    <w:rsid w:val="056E1C60"/>
    <w:rsid w:val="06FE6C62"/>
    <w:rsid w:val="078F4137"/>
    <w:rsid w:val="09EA8A77"/>
    <w:rsid w:val="0B3C159E"/>
    <w:rsid w:val="0B817B0F"/>
    <w:rsid w:val="0CC3EB18"/>
    <w:rsid w:val="0CCEF320"/>
    <w:rsid w:val="0DB79290"/>
    <w:rsid w:val="0DBE1481"/>
    <w:rsid w:val="0F57B9AD"/>
    <w:rsid w:val="123B5FC7"/>
    <w:rsid w:val="15F6D070"/>
    <w:rsid w:val="18660C8A"/>
    <w:rsid w:val="19773B59"/>
    <w:rsid w:val="1A0967CC"/>
    <w:rsid w:val="1A4F4001"/>
    <w:rsid w:val="1A8DAB32"/>
    <w:rsid w:val="1B95DA2D"/>
    <w:rsid w:val="1CF1A770"/>
    <w:rsid w:val="1E1BD5E9"/>
    <w:rsid w:val="1F7A502A"/>
    <w:rsid w:val="1FD5B3D5"/>
    <w:rsid w:val="2008459F"/>
    <w:rsid w:val="212D8F4F"/>
    <w:rsid w:val="22999223"/>
    <w:rsid w:val="24B342AD"/>
    <w:rsid w:val="267F2C7F"/>
    <w:rsid w:val="26B2736B"/>
    <w:rsid w:val="26FE560E"/>
    <w:rsid w:val="29534E88"/>
    <w:rsid w:val="2AB7FA5D"/>
    <w:rsid w:val="2B0E27EE"/>
    <w:rsid w:val="2B634FBE"/>
    <w:rsid w:val="2CA361E0"/>
    <w:rsid w:val="2F4DC443"/>
    <w:rsid w:val="3215B1E0"/>
    <w:rsid w:val="33FA6894"/>
    <w:rsid w:val="34A423C2"/>
    <w:rsid w:val="3AC430CE"/>
    <w:rsid w:val="3ACAB34F"/>
    <w:rsid w:val="3B21DAC0"/>
    <w:rsid w:val="3B2A9A21"/>
    <w:rsid w:val="3B5779FD"/>
    <w:rsid w:val="3E5B540A"/>
    <w:rsid w:val="3F628F81"/>
    <w:rsid w:val="402A423D"/>
    <w:rsid w:val="42A49626"/>
    <w:rsid w:val="42FCB753"/>
    <w:rsid w:val="435BAFC6"/>
    <w:rsid w:val="43927C05"/>
    <w:rsid w:val="43ACDCAF"/>
    <w:rsid w:val="442C059E"/>
    <w:rsid w:val="4620D941"/>
    <w:rsid w:val="47BC6141"/>
    <w:rsid w:val="4851FE6E"/>
    <w:rsid w:val="49484311"/>
    <w:rsid w:val="499DBC74"/>
    <w:rsid w:val="4CAB62E6"/>
    <w:rsid w:val="4DC68F40"/>
    <w:rsid w:val="506B057B"/>
    <w:rsid w:val="51934E69"/>
    <w:rsid w:val="51BD520E"/>
    <w:rsid w:val="5209C3E1"/>
    <w:rsid w:val="52C70FF6"/>
    <w:rsid w:val="539C4395"/>
    <w:rsid w:val="55067E3E"/>
    <w:rsid w:val="567726E6"/>
    <w:rsid w:val="588886D3"/>
    <w:rsid w:val="58E1C764"/>
    <w:rsid w:val="5952CB5F"/>
    <w:rsid w:val="5B835D6F"/>
    <w:rsid w:val="5BEE5594"/>
    <w:rsid w:val="5C866C19"/>
    <w:rsid w:val="5D099A12"/>
    <w:rsid w:val="5E8A6BD8"/>
    <w:rsid w:val="5EF08952"/>
    <w:rsid w:val="62738AF0"/>
    <w:rsid w:val="64B3C5E5"/>
    <w:rsid w:val="650ACBA6"/>
    <w:rsid w:val="6588826F"/>
    <w:rsid w:val="65F37BB5"/>
    <w:rsid w:val="66822FE1"/>
    <w:rsid w:val="671D5392"/>
    <w:rsid w:val="683D0CE9"/>
    <w:rsid w:val="69250E84"/>
    <w:rsid w:val="6D5B0E72"/>
    <w:rsid w:val="6D729E6E"/>
    <w:rsid w:val="6E2BA41E"/>
    <w:rsid w:val="6EC5D2A7"/>
    <w:rsid w:val="704430BD"/>
    <w:rsid w:val="709DDCCA"/>
    <w:rsid w:val="71C8B0F0"/>
    <w:rsid w:val="7272925A"/>
    <w:rsid w:val="73636A40"/>
    <w:rsid w:val="740750DF"/>
    <w:rsid w:val="74655B85"/>
    <w:rsid w:val="752861CC"/>
    <w:rsid w:val="76B9FFDD"/>
    <w:rsid w:val="788D95FF"/>
    <w:rsid w:val="792EEFF0"/>
    <w:rsid w:val="7A147102"/>
    <w:rsid w:val="7A87E748"/>
    <w:rsid w:val="7BF417B3"/>
    <w:rsid w:val="7CBBB97F"/>
    <w:rsid w:val="7E86D438"/>
    <w:rsid w:val="7EC5F997"/>
    <w:rsid w:val="7F6AF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E6C62"/>
  <w15:chartTrackingRefBased/>
  <w15:docId w15:val="{F1A79DD6-AB1B-4A3C-AB91-F04A545D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039A7"/>
    <w:rPr>
      <w:color w:val="467886" w:themeColor="hyperlink"/>
      <w:u w:val="single"/>
    </w:rPr>
  </w:style>
  <w:style w:type="character" w:styleId="UnresolvedMention">
    <w:name w:val="Unresolved Mention"/>
    <w:basedOn w:val="DefaultParagraphFont"/>
    <w:uiPriority w:val="99"/>
    <w:semiHidden/>
    <w:unhideWhenUsed/>
    <w:rsid w:val="007039A7"/>
    <w:rPr>
      <w:color w:val="605E5C"/>
      <w:shd w:val="clear" w:color="auto" w:fill="E1DFDD"/>
    </w:rPr>
  </w:style>
  <w:style w:type="character" w:styleId="apple-converted-space" w:customStyle="1">
    <w:name w:val="apple-converted-space"/>
    <w:basedOn w:val="DefaultParagraphFont"/>
    <w:rsid w:val="00C24FE0"/>
  </w:style>
  <w:style w:type="paragraph" w:styleId="p1" w:customStyle="1">
    <w:name w:val="p1"/>
    <w:basedOn w:val="Normal"/>
    <w:rsid w:val="00540947"/>
    <w:pPr>
      <w:spacing w:before="100" w:beforeAutospacing="1" w:after="100" w:afterAutospacing="1" w:line="240" w:lineRule="auto"/>
    </w:pPr>
    <w:rPr>
      <w:rFonts w:ascii="Times New Roman" w:hAnsi="Times New Roman" w:cs="Times New Roman"/>
      <w:lang w:eastAsia="en-GB"/>
    </w:rPr>
  </w:style>
  <w:style w:type="character" w:styleId="s1" w:customStyle="1">
    <w:name w:val="s1"/>
    <w:basedOn w:val="DefaultParagraphFont"/>
    <w:rsid w:val="00540947"/>
  </w:style>
  <w:style w:type="character" w:styleId="s2" w:customStyle="1">
    <w:name w:val="s2"/>
    <w:basedOn w:val="DefaultParagraphFont"/>
    <w:rsid w:val="00555B2E"/>
  </w:style>
  <w:style w:type="paragraph" w:styleId="Header">
    <w:uiPriority w:val="99"/>
    <w:name w:val="header"/>
    <w:basedOn w:val="Normal"/>
    <w:unhideWhenUsed/>
    <w:rsid w:val="74655B85"/>
    <w:pPr>
      <w:tabs>
        <w:tab w:val="center" w:leader="none" w:pos="4680"/>
        <w:tab w:val="right" w:leader="none" w:pos="9360"/>
      </w:tabs>
      <w:spacing w:after="0" w:line="240" w:lineRule="auto"/>
    </w:pPr>
  </w:style>
  <w:style w:type="paragraph" w:styleId="Footer">
    <w:uiPriority w:val="99"/>
    <w:name w:val="footer"/>
    <w:basedOn w:val="Normal"/>
    <w:unhideWhenUsed/>
    <w:rsid w:val="74655B85"/>
    <w:pPr>
      <w:tabs>
        <w:tab w:val="center" w:leader="none" w:pos="4680"/>
        <w:tab w:val="right" w:leader="none" w:pos="9360"/>
      </w:tabs>
      <w:spacing w:after="0" w:line="240" w:lineRule="auto"/>
    </w:pPr>
  </w:style>
  <w:style w:type="paragraph" w:styleId="ListParagraph">
    <w:uiPriority w:val="34"/>
    <w:name w:val="List Paragraph"/>
    <w:basedOn w:val="Normal"/>
    <w:qFormat/>
    <w:rsid w:val="74655B8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ewc.wales/site/index.php/en/about-us/policy-and-research/leading-reflective-practice-reviewing-the-evidence" TargetMode="External" Id="rId8" /><Relationship Type="http://schemas.openxmlformats.org/officeDocument/2006/relationships/settings" Target="settings.xml" Id="rId3" /><Relationship Type="http://schemas.openxmlformats.org/officeDocument/2006/relationships/hyperlink" Target="https://www.ewc.wales/site/index.php/en/fitness-to-practise/good-practice-guides/good-practice-guide-reflective-practice"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a1cf2b8d23974d44" /><Relationship Type="http://schemas.openxmlformats.org/officeDocument/2006/relationships/footer" Target="footer.xml" Id="R2b597bf6e1e14709" /><Relationship Type="http://schemas.openxmlformats.org/officeDocument/2006/relationships/hyperlink" Target="https://www.heacademy.ac.uk/" TargetMode="External" Id="R1251f4b054a54e4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Summer Thomas (2516956)</dc:creator>
  <keywords/>
  <dc:description/>
  <lastModifiedBy>Summer Thomas (2516956)</lastModifiedBy>
  <revision>93</revision>
  <dcterms:created xsi:type="dcterms:W3CDTF">2025-10-06T17:18:00.0000000Z</dcterms:created>
  <dcterms:modified xsi:type="dcterms:W3CDTF">2025-10-20T14:03:11.1261720Z</dcterms:modified>
</coreProperties>
</file>