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59690381"/>
        <w:docPartObj>
          <w:docPartGallery w:val="Cover Pages"/>
          <w:docPartUnique/>
        </w:docPartObj>
      </w:sdtPr>
      <w:sdtEndPr>
        <w:rPr>
          <w:rFonts w:ascii="Arial" w:hAnsi="Arial" w:cs="Arial"/>
          <w:b/>
          <w:bCs/>
          <w:u w:val="single"/>
        </w:rPr>
      </w:sdtEndPr>
      <w:sdtContent>
        <w:p w14:paraId="07BDA0C3" w14:textId="3EE6CDA7" w:rsidR="003A2FDC" w:rsidRDefault="003A2FDC">
          <w:r>
            <w:rPr>
              <w:noProof/>
            </w:rPr>
            <mc:AlternateContent>
              <mc:Choice Requires="wpg">
                <w:drawing>
                  <wp:anchor distT="0" distB="0" distL="114300" distR="114300" simplePos="0" relativeHeight="251659264" behindDoc="1" locked="0" layoutInCell="1" allowOverlap="1" wp14:anchorId="10CD195B" wp14:editId="27527A9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1242701" w14:textId="15DD166C" w:rsidR="003A2FDC" w:rsidRDefault="003A2FDC">
                                      <w:pPr>
                                        <w:pStyle w:val="NoSpacing"/>
                                        <w:spacing w:before="120"/>
                                        <w:jc w:val="center"/>
                                        <w:rPr>
                                          <w:color w:val="FFFFFF" w:themeColor="background1"/>
                                        </w:rPr>
                                      </w:pPr>
                                      <w:r>
                                        <w:rPr>
                                          <w:color w:val="FFFFFF" w:themeColor="background1"/>
                                        </w:rPr>
                                        <w:t xml:space="preserve">Emma </w:t>
                                      </w:r>
                                      <w:proofErr w:type="spellStart"/>
                                      <w:r>
                                        <w:rPr>
                                          <w:color w:val="FFFFFF" w:themeColor="background1"/>
                                        </w:rPr>
                                        <w:t>Haggett</w:t>
                                      </w:r>
                                      <w:proofErr w:type="spellEnd"/>
                                      <w:r>
                                        <w:rPr>
                                          <w:color w:val="FFFFFF" w:themeColor="background1"/>
                                        </w:rPr>
                                        <w:t xml:space="preserve"> (2100501)</w:t>
                                      </w:r>
                                    </w:p>
                                  </w:sdtContent>
                                </w:sdt>
                                <w:p w14:paraId="12F94EB9" w14:textId="77777777" w:rsidR="003A2FDC"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3A2FDC">
                                        <w:rPr>
                                          <w:caps/>
                                          <w:color w:val="FFFFFF" w:themeColor="background1"/>
                                        </w:rPr>
                                        <w:t>[Company name]</w:t>
                                      </w:r>
                                    </w:sdtContent>
                                  </w:sdt>
                                  <w:r w:rsidR="003A2FD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3A2FDC">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sz w:val="32"/>
                                      <w:szCs w:val="32"/>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E8BCCC0" w14:textId="553B86AA" w:rsidR="003A2FDC" w:rsidRPr="003A2FDC" w:rsidRDefault="003A2FDC">
                                      <w:pPr>
                                        <w:pStyle w:val="NoSpacing"/>
                                        <w:jc w:val="center"/>
                                        <w:rPr>
                                          <w:rFonts w:asciiTheme="majorHAnsi" w:eastAsiaTheme="majorEastAsia" w:hAnsiTheme="majorHAnsi" w:cstheme="majorBidi"/>
                                          <w:caps/>
                                          <w:color w:val="4472C4" w:themeColor="accent1"/>
                                          <w:sz w:val="32"/>
                                          <w:szCs w:val="32"/>
                                        </w:rPr>
                                      </w:pPr>
                                      <w:r w:rsidRPr="003A2FDC">
                                        <w:rPr>
                                          <w:rFonts w:ascii="Arial" w:hAnsi="Arial" w:cs="Arial"/>
                                          <w:b/>
                                          <w:bCs/>
                                          <w:sz w:val="32"/>
                                          <w:szCs w:val="32"/>
                                          <w:u w:val="single"/>
                                        </w:rPr>
                                        <w:t>Critically explore the needs of victims of crime and the services that are available to them in England and Wales.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0CD195B"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1242701" w14:textId="15DD166C" w:rsidR="003A2FDC" w:rsidRDefault="003A2FDC">
                                <w:pPr>
                                  <w:pStyle w:val="NoSpacing"/>
                                  <w:spacing w:before="120"/>
                                  <w:jc w:val="center"/>
                                  <w:rPr>
                                    <w:color w:val="FFFFFF" w:themeColor="background1"/>
                                  </w:rPr>
                                </w:pPr>
                                <w:r>
                                  <w:rPr>
                                    <w:color w:val="FFFFFF" w:themeColor="background1"/>
                                  </w:rPr>
                                  <w:t xml:space="preserve">Emma </w:t>
                                </w:r>
                                <w:proofErr w:type="spellStart"/>
                                <w:r>
                                  <w:rPr>
                                    <w:color w:val="FFFFFF" w:themeColor="background1"/>
                                  </w:rPr>
                                  <w:t>Haggett</w:t>
                                </w:r>
                                <w:proofErr w:type="spellEnd"/>
                                <w:r>
                                  <w:rPr>
                                    <w:color w:val="FFFFFF" w:themeColor="background1"/>
                                  </w:rPr>
                                  <w:t xml:space="preserve"> (2100501)</w:t>
                                </w:r>
                              </w:p>
                            </w:sdtContent>
                          </w:sdt>
                          <w:p w14:paraId="12F94EB9" w14:textId="77777777" w:rsidR="003A2FDC"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3A2FDC">
                                  <w:rPr>
                                    <w:caps/>
                                    <w:color w:val="FFFFFF" w:themeColor="background1"/>
                                  </w:rPr>
                                  <w:t>[Company name]</w:t>
                                </w:r>
                              </w:sdtContent>
                            </w:sdt>
                            <w:r w:rsidR="003A2FD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3A2FDC">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Arial" w:hAnsi="Arial" w:cs="Arial"/>
                                <w:b/>
                                <w:bCs/>
                                <w:sz w:val="32"/>
                                <w:szCs w:val="32"/>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E8BCCC0" w14:textId="553B86AA" w:rsidR="003A2FDC" w:rsidRPr="003A2FDC" w:rsidRDefault="003A2FDC">
                                <w:pPr>
                                  <w:pStyle w:val="NoSpacing"/>
                                  <w:jc w:val="center"/>
                                  <w:rPr>
                                    <w:rFonts w:asciiTheme="majorHAnsi" w:eastAsiaTheme="majorEastAsia" w:hAnsiTheme="majorHAnsi" w:cstheme="majorBidi"/>
                                    <w:caps/>
                                    <w:color w:val="4472C4" w:themeColor="accent1"/>
                                    <w:sz w:val="32"/>
                                    <w:szCs w:val="32"/>
                                  </w:rPr>
                                </w:pPr>
                                <w:r w:rsidRPr="003A2FDC">
                                  <w:rPr>
                                    <w:rFonts w:ascii="Arial" w:hAnsi="Arial" w:cs="Arial"/>
                                    <w:b/>
                                    <w:bCs/>
                                    <w:sz w:val="32"/>
                                    <w:szCs w:val="32"/>
                                    <w:u w:val="single"/>
                                  </w:rPr>
                                  <w:t>Critically explore the needs of victims of crime and the services that are available to them in England and Wales.</w:t>
                                </w:r>
                              </w:p>
                            </w:sdtContent>
                          </w:sdt>
                        </w:txbxContent>
                      </v:textbox>
                    </v:shape>
                    <w10:wrap anchorx="page" anchory="page"/>
                  </v:group>
                </w:pict>
              </mc:Fallback>
            </mc:AlternateContent>
          </w:r>
        </w:p>
        <w:p w14:paraId="05AAD91C" w14:textId="23A25609" w:rsidR="003A2FDC" w:rsidRDefault="003A2FDC">
          <w:pPr>
            <w:rPr>
              <w:rFonts w:ascii="Arial" w:hAnsi="Arial" w:cs="Arial"/>
              <w:b/>
              <w:bCs/>
              <w:u w:val="single"/>
            </w:rPr>
          </w:pPr>
          <w:r>
            <w:rPr>
              <w:rFonts w:ascii="Arial" w:hAnsi="Arial" w:cs="Arial"/>
              <w:b/>
              <w:bCs/>
              <w:u w:val="single"/>
            </w:rPr>
            <w:br w:type="page"/>
          </w:r>
        </w:p>
      </w:sdtContent>
    </w:sdt>
    <w:p w14:paraId="1A2961C0" w14:textId="2B1063F9" w:rsidR="002172D5" w:rsidRDefault="00D079A5" w:rsidP="002244F1">
      <w:pPr>
        <w:spacing w:line="480" w:lineRule="auto"/>
        <w:rPr>
          <w:rFonts w:ascii="Arial" w:hAnsi="Arial" w:cs="Arial"/>
        </w:rPr>
      </w:pPr>
      <w:r>
        <w:rPr>
          <w:rFonts w:ascii="Arial" w:hAnsi="Arial" w:cs="Arial"/>
        </w:rPr>
        <w:lastRenderedPageBreak/>
        <w:t xml:space="preserve">This assignment will discuss what is believed to be a victim, victim’s wants and rights, </w:t>
      </w:r>
      <w:r w:rsidR="002172D5">
        <w:rPr>
          <w:rFonts w:ascii="Arial" w:hAnsi="Arial" w:cs="Arial"/>
        </w:rPr>
        <w:t>legislation surrounding victims as well as the services available for victims</w:t>
      </w:r>
      <w:r w:rsidR="00B5512B">
        <w:rPr>
          <w:rFonts w:ascii="Arial" w:hAnsi="Arial" w:cs="Arial"/>
        </w:rPr>
        <w:t xml:space="preserve"> and will discuss vulnerable individuals.</w:t>
      </w:r>
    </w:p>
    <w:p w14:paraId="3BE76CFF" w14:textId="37DE04BC" w:rsidR="002244F1" w:rsidRDefault="00FC6F58" w:rsidP="002244F1">
      <w:pPr>
        <w:spacing w:line="480" w:lineRule="auto"/>
        <w:rPr>
          <w:rFonts w:ascii="Arial" w:hAnsi="Arial" w:cs="Arial"/>
        </w:rPr>
      </w:pPr>
      <w:r>
        <w:rPr>
          <w:rFonts w:ascii="Arial" w:hAnsi="Arial" w:cs="Arial"/>
        </w:rPr>
        <w:t>According to the Crown Prosecution Service (2021), a victim is defined as “</w:t>
      </w:r>
      <w:r w:rsidRPr="00B5512B">
        <w:rPr>
          <w:rFonts w:ascii="Arial" w:hAnsi="Arial" w:cs="Arial"/>
          <w:i/>
          <w:iCs/>
        </w:rPr>
        <w:t>a person who has suffered harm, including physical, mental or emotional harm or economic loss which was directly caused by a criminal offence</w:t>
      </w:r>
      <w:r w:rsidR="008F48B6">
        <w:rPr>
          <w:rFonts w:ascii="Arial" w:hAnsi="Arial" w:cs="Arial"/>
        </w:rPr>
        <w:t xml:space="preserve">”. </w:t>
      </w:r>
      <w:r w:rsidR="00405B40">
        <w:rPr>
          <w:rFonts w:ascii="Arial" w:hAnsi="Arial" w:cs="Arial"/>
        </w:rPr>
        <w:t xml:space="preserve">Davies et al. (2017: </w:t>
      </w:r>
      <w:r w:rsidR="00B5512B">
        <w:rPr>
          <w:rFonts w:ascii="Arial" w:hAnsi="Arial" w:cs="Arial"/>
        </w:rPr>
        <w:t xml:space="preserve">p. </w:t>
      </w:r>
      <w:r w:rsidR="00E33C8C">
        <w:rPr>
          <w:rFonts w:ascii="Arial" w:hAnsi="Arial" w:cs="Arial"/>
        </w:rPr>
        <w:t xml:space="preserve">34) </w:t>
      </w:r>
      <w:r w:rsidR="00EE5FA8">
        <w:rPr>
          <w:rFonts w:ascii="Arial" w:hAnsi="Arial" w:cs="Arial"/>
        </w:rPr>
        <w:t>reported that when defining a victim, there are certain stereotypes that makes individuals “</w:t>
      </w:r>
      <w:r w:rsidR="00EE5FA8" w:rsidRPr="005626C7">
        <w:rPr>
          <w:rFonts w:ascii="Arial" w:hAnsi="Arial" w:cs="Arial"/>
          <w:i/>
          <w:iCs/>
        </w:rPr>
        <w:t>deserving</w:t>
      </w:r>
      <w:r w:rsidR="00EE5FA8">
        <w:rPr>
          <w:rFonts w:ascii="Arial" w:hAnsi="Arial" w:cs="Arial"/>
        </w:rPr>
        <w:t>” and “</w:t>
      </w:r>
      <w:r w:rsidR="00EE5FA8" w:rsidRPr="005626C7">
        <w:rPr>
          <w:rFonts w:ascii="Arial" w:hAnsi="Arial" w:cs="Arial"/>
          <w:i/>
          <w:iCs/>
        </w:rPr>
        <w:t>under</w:t>
      </w:r>
      <w:r w:rsidR="00413E18" w:rsidRPr="005626C7">
        <w:rPr>
          <w:rFonts w:ascii="Arial" w:hAnsi="Arial" w:cs="Arial"/>
          <w:i/>
          <w:iCs/>
        </w:rPr>
        <w:t>serving victims</w:t>
      </w:r>
      <w:r w:rsidR="00413E18">
        <w:rPr>
          <w:rFonts w:ascii="Arial" w:hAnsi="Arial" w:cs="Arial"/>
        </w:rPr>
        <w:t xml:space="preserve">” which </w:t>
      </w:r>
      <w:r w:rsidR="003D559B">
        <w:rPr>
          <w:rFonts w:ascii="Arial" w:hAnsi="Arial" w:cs="Arial"/>
        </w:rPr>
        <w:t>led</w:t>
      </w:r>
      <w:r w:rsidR="00413E18">
        <w:rPr>
          <w:rFonts w:ascii="Arial" w:hAnsi="Arial" w:cs="Arial"/>
        </w:rPr>
        <w:t xml:space="preserve"> Carrabin</w:t>
      </w:r>
      <w:r w:rsidR="003D559B">
        <w:rPr>
          <w:rFonts w:ascii="Arial" w:hAnsi="Arial" w:cs="Arial"/>
        </w:rPr>
        <w:t xml:space="preserve">e </w:t>
      </w:r>
      <w:r w:rsidR="00413E18">
        <w:rPr>
          <w:rFonts w:ascii="Arial" w:hAnsi="Arial" w:cs="Arial"/>
        </w:rPr>
        <w:t>et al. (2004</w:t>
      </w:r>
      <w:r w:rsidR="003D559B">
        <w:rPr>
          <w:rFonts w:ascii="Arial" w:hAnsi="Arial" w:cs="Arial"/>
        </w:rPr>
        <w:t>) to discuss a “</w:t>
      </w:r>
      <w:r w:rsidR="003D559B" w:rsidRPr="005626C7">
        <w:rPr>
          <w:rFonts w:ascii="Arial" w:hAnsi="Arial" w:cs="Arial"/>
          <w:i/>
          <w:iCs/>
        </w:rPr>
        <w:t>hierarchy of victimisation</w:t>
      </w:r>
      <w:r w:rsidR="005626C7">
        <w:rPr>
          <w:rFonts w:ascii="Arial" w:hAnsi="Arial" w:cs="Arial"/>
        </w:rPr>
        <w:t>”</w:t>
      </w:r>
      <w:r w:rsidR="00732514">
        <w:rPr>
          <w:rFonts w:ascii="Arial" w:hAnsi="Arial" w:cs="Arial"/>
        </w:rPr>
        <w:t xml:space="preserve">. </w:t>
      </w:r>
      <w:r w:rsidR="00252C52">
        <w:rPr>
          <w:rFonts w:ascii="Arial" w:hAnsi="Arial" w:cs="Arial"/>
        </w:rPr>
        <w:t xml:space="preserve">Moreover, Dignan (2005) and Furedi (2013) have stated that </w:t>
      </w:r>
      <w:r w:rsidR="00973011">
        <w:rPr>
          <w:rFonts w:ascii="Arial" w:hAnsi="Arial" w:cs="Arial"/>
        </w:rPr>
        <w:t>an individual is a victim through “</w:t>
      </w:r>
      <w:r w:rsidR="00973011" w:rsidRPr="005626C7">
        <w:rPr>
          <w:rFonts w:ascii="Arial" w:hAnsi="Arial" w:cs="Arial"/>
          <w:i/>
          <w:iCs/>
        </w:rPr>
        <w:t>no fault of his/ her own</w:t>
      </w:r>
      <w:r w:rsidR="00973011">
        <w:rPr>
          <w:rFonts w:ascii="Arial" w:hAnsi="Arial" w:cs="Arial"/>
        </w:rPr>
        <w:t xml:space="preserve">” (Davies et al., 2017: </w:t>
      </w:r>
      <w:r w:rsidR="005626C7">
        <w:rPr>
          <w:rFonts w:ascii="Arial" w:hAnsi="Arial" w:cs="Arial"/>
        </w:rPr>
        <w:t xml:space="preserve">p. </w:t>
      </w:r>
      <w:r w:rsidR="00973011">
        <w:rPr>
          <w:rFonts w:ascii="Arial" w:hAnsi="Arial" w:cs="Arial"/>
        </w:rPr>
        <w:t>32).</w:t>
      </w:r>
      <w:r w:rsidR="00EF0A6E">
        <w:rPr>
          <w:rFonts w:ascii="Arial" w:hAnsi="Arial" w:cs="Arial"/>
        </w:rPr>
        <w:t xml:space="preserve"> Furthermore, Jones</w:t>
      </w:r>
      <w:r w:rsidR="008611D5">
        <w:rPr>
          <w:rFonts w:ascii="Arial" w:hAnsi="Arial" w:cs="Arial"/>
        </w:rPr>
        <w:t xml:space="preserve"> (2021: </w:t>
      </w:r>
      <w:r w:rsidR="005626C7">
        <w:rPr>
          <w:rFonts w:ascii="Arial" w:hAnsi="Arial" w:cs="Arial"/>
        </w:rPr>
        <w:t xml:space="preserve">p. </w:t>
      </w:r>
      <w:r w:rsidR="008611D5">
        <w:rPr>
          <w:rFonts w:ascii="Arial" w:hAnsi="Arial" w:cs="Arial"/>
        </w:rPr>
        <w:t>52) stated that “</w:t>
      </w:r>
      <w:r w:rsidR="008611D5" w:rsidRPr="005626C7">
        <w:rPr>
          <w:rFonts w:ascii="Arial" w:hAnsi="Arial" w:cs="Arial"/>
          <w:i/>
          <w:iCs/>
        </w:rPr>
        <w:t>everybody is a victim of crime</w:t>
      </w:r>
      <w:r w:rsidR="008611D5">
        <w:rPr>
          <w:rFonts w:ascii="Arial" w:hAnsi="Arial" w:cs="Arial"/>
        </w:rPr>
        <w:t>”, however only some are victims of indictable offences.</w:t>
      </w:r>
    </w:p>
    <w:p w14:paraId="5B24FFE7" w14:textId="36F3C05B" w:rsidR="004D547E" w:rsidRDefault="004D547E" w:rsidP="002244F1">
      <w:pPr>
        <w:spacing w:line="480" w:lineRule="auto"/>
        <w:rPr>
          <w:rFonts w:ascii="Arial" w:hAnsi="Arial" w:cs="Arial"/>
        </w:rPr>
      </w:pPr>
      <w:r>
        <w:rPr>
          <w:rFonts w:ascii="Arial" w:hAnsi="Arial" w:cs="Arial"/>
        </w:rPr>
        <w:t>Previously, when theorists aimed to explain victimology</w:t>
      </w:r>
      <w:r w:rsidR="00B804CC">
        <w:rPr>
          <w:rFonts w:ascii="Arial" w:hAnsi="Arial" w:cs="Arial"/>
        </w:rPr>
        <w:t xml:space="preserve">, </w:t>
      </w:r>
      <w:r w:rsidR="00A503E2">
        <w:rPr>
          <w:rFonts w:ascii="Arial" w:hAnsi="Arial" w:cs="Arial"/>
        </w:rPr>
        <w:t>it</w:t>
      </w:r>
      <w:r w:rsidR="0067598F">
        <w:rPr>
          <w:rFonts w:ascii="Arial" w:hAnsi="Arial" w:cs="Arial"/>
        </w:rPr>
        <w:t xml:space="preserve"> often</w:t>
      </w:r>
      <w:r w:rsidR="00A503E2">
        <w:rPr>
          <w:rFonts w:ascii="Arial" w:hAnsi="Arial" w:cs="Arial"/>
        </w:rPr>
        <w:t xml:space="preserve"> victim blame</w:t>
      </w:r>
      <w:r w:rsidR="0067598F">
        <w:rPr>
          <w:rFonts w:ascii="Arial" w:hAnsi="Arial" w:cs="Arial"/>
        </w:rPr>
        <w:t>d</w:t>
      </w:r>
      <w:r w:rsidR="00A503E2">
        <w:rPr>
          <w:rFonts w:ascii="Arial" w:hAnsi="Arial" w:cs="Arial"/>
        </w:rPr>
        <w:t xml:space="preserve">. Victimology was first used in the 1940s and </w:t>
      </w:r>
      <w:r w:rsidR="0046793C">
        <w:rPr>
          <w:rFonts w:ascii="Arial" w:hAnsi="Arial" w:cs="Arial"/>
        </w:rPr>
        <w:t>focused more on how they victim’s lifestyle might have “</w:t>
      </w:r>
      <w:r w:rsidR="0046793C" w:rsidRPr="0067598F">
        <w:rPr>
          <w:rFonts w:ascii="Arial" w:hAnsi="Arial" w:cs="Arial"/>
          <w:i/>
          <w:iCs/>
        </w:rPr>
        <w:t>encouraged crime</w:t>
      </w:r>
      <w:r w:rsidR="0046793C">
        <w:rPr>
          <w:rFonts w:ascii="Arial" w:hAnsi="Arial" w:cs="Arial"/>
        </w:rPr>
        <w:t>”</w:t>
      </w:r>
      <w:r w:rsidR="0072539B">
        <w:rPr>
          <w:rFonts w:ascii="Arial" w:hAnsi="Arial" w:cs="Arial"/>
        </w:rPr>
        <w:t xml:space="preserve">, as seen with Von Hentig (1948) who claimed that victims were to blame for being victims of crime as they often made the first move (mainly that of violent crime) which made individuals </w:t>
      </w:r>
      <w:r w:rsidR="0072539B" w:rsidRPr="007B5E35">
        <w:rPr>
          <w:rFonts w:ascii="Arial" w:hAnsi="Arial" w:cs="Arial"/>
          <w:i/>
          <w:iCs/>
        </w:rPr>
        <w:t>“victim- prone</w:t>
      </w:r>
      <w:r w:rsidR="0072539B">
        <w:rPr>
          <w:rFonts w:ascii="Arial" w:hAnsi="Arial" w:cs="Arial"/>
        </w:rPr>
        <w:t xml:space="preserve">” </w:t>
      </w:r>
      <w:r w:rsidR="0046793C">
        <w:rPr>
          <w:rFonts w:ascii="Arial" w:hAnsi="Arial" w:cs="Arial"/>
        </w:rPr>
        <w:t xml:space="preserve">(Jones, 2021: </w:t>
      </w:r>
      <w:r w:rsidR="007B5E35">
        <w:rPr>
          <w:rFonts w:ascii="Arial" w:hAnsi="Arial" w:cs="Arial"/>
        </w:rPr>
        <w:t xml:space="preserve">p. </w:t>
      </w:r>
      <w:r w:rsidR="0046793C">
        <w:rPr>
          <w:rFonts w:ascii="Arial" w:hAnsi="Arial" w:cs="Arial"/>
        </w:rPr>
        <w:t xml:space="preserve">220). </w:t>
      </w:r>
      <w:r w:rsidR="00A31573">
        <w:rPr>
          <w:rFonts w:ascii="Arial" w:hAnsi="Arial" w:cs="Arial"/>
        </w:rPr>
        <w:t xml:space="preserve">Hentig </w:t>
      </w:r>
      <w:r w:rsidR="00764F51">
        <w:rPr>
          <w:rFonts w:ascii="Arial" w:hAnsi="Arial" w:cs="Arial"/>
        </w:rPr>
        <w:t>also identified 13</w:t>
      </w:r>
      <w:r w:rsidR="00561319">
        <w:rPr>
          <w:rFonts w:ascii="Arial" w:hAnsi="Arial" w:cs="Arial"/>
        </w:rPr>
        <w:t xml:space="preserve"> predispositions, such as: young people, females, the elderly,</w:t>
      </w:r>
      <w:r w:rsidR="00D92B65">
        <w:rPr>
          <w:rFonts w:ascii="Arial" w:hAnsi="Arial" w:cs="Arial"/>
        </w:rPr>
        <w:t xml:space="preserve"> mentally ill or intellectually disabled (Sanchez, ND).</w:t>
      </w:r>
      <w:r w:rsidR="005D7B3C">
        <w:rPr>
          <w:rFonts w:ascii="Arial" w:hAnsi="Arial" w:cs="Arial"/>
        </w:rPr>
        <w:t xml:space="preserve"> This </w:t>
      </w:r>
      <w:r w:rsidR="003632D1">
        <w:rPr>
          <w:rFonts w:ascii="Arial" w:hAnsi="Arial" w:cs="Arial"/>
        </w:rPr>
        <w:t>theory was supported by Wolfgang (1958) who found that 26% of cases were victim- initiated.</w:t>
      </w:r>
      <w:r w:rsidR="006E20F9">
        <w:rPr>
          <w:rFonts w:ascii="Arial" w:hAnsi="Arial" w:cs="Arial"/>
        </w:rPr>
        <w:t xml:space="preserve"> Furthermore, Menachem (1971) also reported that 19% of rapes were “</w:t>
      </w:r>
      <w:r w:rsidR="006E20F9" w:rsidRPr="007B5E35">
        <w:rPr>
          <w:rFonts w:ascii="Arial" w:hAnsi="Arial" w:cs="Arial"/>
          <w:i/>
          <w:iCs/>
        </w:rPr>
        <w:t>victim precipitated</w:t>
      </w:r>
      <w:r w:rsidR="006E20F9">
        <w:rPr>
          <w:rFonts w:ascii="Arial" w:hAnsi="Arial" w:cs="Arial"/>
        </w:rPr>
        <w:t>”</w:t>
      </w:r>
      <w:r w:rsidR="00F50F06">
        <w:rPr>
          <w:rFonts w:ascii="Arial" w:hAnsi="Arial" w:cs="Arial"/>
        </w:rPr>
        <w:t xml:space="preserve"> (Davies et al., 2017: </w:t>
      </w:r>
      <w:r w:rsidR="007B5E35">
        <w:rPr>
          <w:rFonts w:ascii="Arial" w:hAnsi="Arial" w:cs="Arial"/>
        </w:rPr>
        <w:t xml:space="preserve">p. </w:t>
      </w:r>
      <w:r w:rsidR="00F50F06">
        <w:rPr>
          <w:rFonts w:ascii="Arial" w:hAnsi="Arial" w:cs="Arial"/>
        </w:rPr>
        <w:t>32). Early theorists believed there were two types of victims: innocent and blameworthy. The innocent victim</w:t>
      </w:r>
      <w:r w:rsidR="005C4092">
        <w:rPr>
          <w:rFonts w:ascii="Arial" w:hAnsi="Arial" w:cs="Arial"/>
        </w:rPr>
        <w:t xml:space="preserve"> was believed to be the elderly or children</w:t>
      </w:r>
      <w:r w:rsidR="00774B50">
        <w:rPr>
          <w:rFonts w:ascii="Arial" w:hAnsi="Arial" w:cs="Arial"/>
        </w:rPr>
        <w:t xml:space="preserve">, </w:t>
      </w:r>
      <w:r w:rsidR="007E3E7B">
        <w:rPr>
          <w:rFonts w:ascii="Arial" w:hAnsi="Arial" w:cs="Arial"/>
        </w:rPr>
        <w:t>and victims who are blameworthy</w:t>
      </w:r>
      <w:r w:rsidR="006601E3">
        <w:rPr>
          <w:rFonts w:ascii="Arial" w:hAnsi="Arial" w:cs="Arial"/>
        </w:rPr>
        <w:t xml:space="preserve"> were believed </w:t>
      </w:r>
      <w:r w:rsidR="00A16402">
        <w:rPr>
          <w:rFonts w:ascii="Arial" w:hAnsi="Arial" w:cs="Arial"/>
        </w:rPr>
        <w:t>to be women dressed in provocative manor and was “</w:t>
      </w:r>
      <w:r w:rsidR="00A16402" w:rsidRPr="002409AF">
        <w:rPr>
          <w:rFonts w:ascii="Arial" w:hAnsi="Arial" w:cs="Arial"/>
          <w:i/>
          <w:iCs/>
        </w:rPr>
        <w:t xml:space="preserve">asking for </w:t>
      </w:r>
      <w:r w:rsidR="00EA250C" w:rsidRPr="002409AF">
        <w:rPr>
          <w:rFonts w:ascii="Arial" w:hAnsi="Arial" w:cs="Arial"/>
          <w:i/>
          <w:iCs/>
        </w:rPr>
        <w:t>it”</w:t>
      </w:r>
      <w:r w:rsidR="00227B5B" w:rsidRPr="002409AF">
        <w:rPr>
          <w:rFonts w:ascii="Arial" w:hAnsi="Arial" w:cs="Arial"/>
          <w:i/>
          <w:iCs/>
        </w:rPr>
        <w:t>.</w:t>
      </w:r>
      <w:r w:rsidR="00227B5B">
        <w:rPr>
          <w:rFonts w:ascii="Arial" w:hAnsi="Arial" w:cs="Arial"/>
        </w:rPr>
        <w:t xml:space="preserve"> </w:t>
      </w:r>
      <w:r w:rsidR="0066500E">
        <w:rPr>
          <w:rFonts w:ascii="Arial" w:hAnsi="Arial" w:cs="Arial"/>
        </w:rPr>
        <w:lastRenderedPageBreak/>
        <w:t>According to Hale et al. (2013), Walklate and Mawby (1994) questioned if victims have needs or rights</w:t>
      </w:r>
      <w:r w:rsidR="0077773E">
        <w:rPr>
          <w:rFonts w:ascii="Arial" w:hAnsi="Arial" w:cs="Arial"/>
        </w:rPr>
        <w:t>. Walklate also put forward the idea that men can also be victims of crime.</w:t>
      </w:r>
      <w:r w:rsidR="00D07E18">
        <w:rPr>
          <w:rFonts w:ascii="Arial" w:hAnsi="Arial" w:cs="Arial"/>
        </w:rPr>
        <w:t xml:space="preserve"> </w:t>
      </w:r>
    </w:p>
    <w:p w14:paraId="1EFB1F60" w14:textId="54DE55D8" w:rsidR="008277E3" w:rsidRPr="002409AF" w:rsidRDefault="003F5A57" w:rsidP="002244F1">
      <w:pPr>
        <w:spacing w:line="480" w:lineRule="auto"/>
        <w:rPr>
          <w:rFonts w:ascii="Arial" w:hAnsi="Arial" w:cs="Arial"/>
          <w:i/>
          <w:iCs/>
        </w:rPr>
      </w:pPr>
      <w:r>
        <w:rPr>
          <w:rFonts w:ascii="Arial" w:hAnsi="Arial" w:cs="Arial"/>
        </w:rPr>
        <w:t xml:space="preserve">According to Ceredigion County </w:t>
      </w:r>
      <w:r w:rsidR="00437324">
        <w:rPr>
          <w:rFonts w:ascii="Arial" w:hAnsi="Arial" w:cs="Arial"/>
        </w:rPr>
        <w:t xml:space="preserve">Council (2023), </w:t>
      </w:r>
      <w:r w:rsidR="00C04047">
        <w:rPr>
          <w:rFonts w:ascii="Arial" w:hAnsi="Arial" w:cs="Arial"/>
        </w:rPr>
        <w:t xml:space="preserve">anyone can be a vulnerable individual and become a victim of </w:t>
      </w:r>
      <w:r w:rsidR="00774B50">
        <w:rPr>
          <w:rFonts w:ascii="Arial" w:hAnsi="Arial" w:cs="Arial"/>
        </w:rPr>
        <w:t>crime and</w:t>
      </w:r>
      <w:r w:rsidR="0067459F">
        <w:rPr>
          <w:rFonts w:ascii="Arial" w:hAnsi="Arial" w:cs="Arial"/>
        </w:rPr>
        <w:t xml:space="preserve"> be because of personal or situational circumstances</w:t>
      </w:r>
      <w:r w:rsidR="00913B8D">
        <w:rPr>
          <w:rFonts w:ascii="Arial" w:hAnsi="Arial" w:cs="Arial"/>
        </w:rPr>
        <w:t xml:space="preserve">. Personal circumstances </w:t>
      </w:r>
      <w:r w:rsidR="008F5646">
        <w:rPr>
          <w:rFonts w:ascii="Arial" w:hAnsi="Arial" w:cs="Arial"/>
        </w:rPr>
        <w:t>include</w:t>
      </w:r>
      <w:r w:rsidR="00913B8D">
        <w:rPr>
          <w:rFonts w:ascii="Arial" w:hAnsi="Arial" w:cs="Arial"/>
        </w:rPr>
        <w:t xml:space="preserve"> disability, ethnicity, </w:t>
      </w:r>
      <w:r w:rsidR="008F5646">
        <w:rPr>
          <w:rFonts w:ascii="Arial" w:hAnsi="Arial" w:cs="Arial"/>
        </w:rPr>
        <w:t xml:space="preserve">gender, sexual orientation, </w:t>
      </w:r>
      <w:r w:rsidR="00F06A23">
        <w:rPr>
          <w:rFonts w:ascii="Arial" w:hAnsi="Arial" w:cs="Arial"/>
        </w:rPr>
        <w:t xml:space="preserve">and age. </w:t>
      </w:r>
      <w:r w:rsidR="008F5646">
        <w:rPr>
          <w:rFonts w:ascii="Arial" w:hAnsi="Arial" w:cs="Arial"/>
        </w:rPr>
        <w:t xml:space="preserve">Situation circumstances include illness, job loss, lack of power or support, </w:t>
      </w:r>
      <w:r w:rsidR="00F06A23">
        <w:rPr>
          <w:rFonts w:ascii="Arial" w:hAnsi="Arial" w:cs="Arial"/>
        </w:rPr>
        <w:t>and</w:t>
      </w:r>
      <w:r w:rsidR="008F5646">
        <w:rPr>
          <w:rFonts w:ascii="Arial" w:hAnsi="Arial" w:cs="Arial"/>
        </w:rPr>
        <w:t xml:space="preserve"> abuse. </w:t>
      </w:r>
      <w:r w:rsidR="00846AD5">
        <w:rPr>
          <w:rFonts w:ascii="Arial" w:hAnsi="Arial" w:cs="Arial"/>
        </w:rPr>
        <w:t xml:space="preserve">The College of Policing </w:t>
      </w:r>
      <w:r w:rsidR="00E63C0F">
        <w:rPr>
          <w:rFonts w:ascii="Arial" w:hAnsi="Arial" w:cs="Arial"/>
        </w:rPr>
        <w:t xml:space="preserve">(2021) </w:t>
      </w:r>
      <w:r w:rsidR="00846AD5">
        <w:rPr>
          <w:rFonts w:ascii="Arial" w:hAnsi="Arial" w:cs="Arial"/>
        </w:rPr>
        <w:t xml:space="preserve">stated that </w:t>
      </w:r>
      <w:r w:rsidR="00F73775">
        <w:rPr>
          <w:rFonts w:ascii="Arial" w:hAnsi="Arial" w:cs="Arial"/>
        </w:rPr>
        <w:t xml:space="preserve">vulnerability- related risk is based on individuals who </w:t>
      </w:r>
      <w:r w:rsidR="00E63C0F">
        <w:rPr>
          <w:rFonts w:ascii="Arial" w:hAnsi="Arial" w:cs="Arial"/>
        </w:rPr>
        <w:t xml:space="preserve">can experience </w:t>
      </w:r>
      <w:r w:rsidR="00F4400B">
        <w:rPr>
          <w:rFonts w:ascii="Arial" w:hAnsi="Arial" w:cs="Arial"/>
        </w:rPr>
        <w:t>“</w:t>
      </w:r>
      <w:r w:rsidR="00F4400B" w:rsidRPr="002409AF">
        <w:rPr>
          <w:rFonts w:ascii="Arial" w:hAnsi="Arial" w:cs="Arial"/>
          <w:i/>
          <w:iCs/>
        </w:rPr>
        <w:t xml:space="preserve">harm- or risk of harm- occurs when relevant vulnerabilities interact </w:t>
      </w:r>
      <w:r w:rsidR="002B66A7" w:rsidRPr="002409AF">
        <w:rPr>
          <w:rFonts w:ascii="Arial" w:hAnsi="Arial" w:cs="Arial"/>
          <w:i/>
          <w:iCs/>
        </w:rPr>
        <w:t>with the individual’s situation</w:t>
      </w:r>
      <w:r w:rsidR="002B66A7">
        <w:rPr>
          <w:rFonts w:ascii="Arial" w:hAnsi="Arial" w:cs="Arial"/>
        </w:rPr>
        <w:t xml:space="preserve">”. </w:t>
      </w:r>
      <w:r w:rsidR="005308BB">
        <w:rPr>
          <w:rFonts w:ascii="Arial" w:hAnsi="Arial" w:cs="Arial"/>
        </w:rPr>
        <w:t xml:space="preserve">According to the </w:t>
      </w:r>
      <w:r w:rsidR="00E63C0F">
        <w:rPr>
          <w:rFonts w:ascii="Arial" w:hAnsi="Arial" w:cs="Arial"/>
        </w:rPr>
        <w:t>College of Policing (2021)</w:t>
      </w:r>
      <w:r w:rsidR="00463821">
        <w:rPr>
          <w:rFonts w:ascii="Arial" w:hAnsi="Arial" w:cs="Arial"/>
        </w:rPr>
        <w:t xml:space="preserve">, a vulnerable person </w:t>
      </w:r>
      <w:r w:rsidR="004E7865">
        <w:rPr>
          <w:rFonts w:ascii="Arial" w:hAnsi="Arial" w:cs="Arial"/>
        </w:rPr>
        <w:t>is</w:t>
      </w:r>
      <w:r w:rsidR="00463821">
        <w:rPr>
          <w:rFonts w:ascii="Arial" w:hAnsi="Arial" w:cs="Arial"/>
        </w:rPr>
        <w:t xml:space="preserve"> “</w:t>
      </w:r>
      <w:r w:rsidR="00463821" w:rsidRPr="002409AF">
        <w:rPr>
          <w:rFonts w:ascii="Arial" w:hAnsi="Arial" w:cs="Arial"/>
          <w:i/>
          <w:iCs/>
        </w:rPr>
        <w:t>unable to care of or protect themselves or other</w:t>
      </w:r>
      <w:r w:rsidR="001A236B" w:rsidRPr="002409AF">
        <w:rPr>
          <w:rFonts w:ascii="Arial" w:hAnsi="Arial" w:cs="Arial"/>
          <w:i/>
          <w:iCs/>
        </w:rPr>
        <w:t xml:space="preserve">s from harm or exploitation”. </w:t>
      </w:r>
    </w:p>
    <w:p w14:paraId="03EEBB1D" w14:textId="05CB177E" w:rsidR="00D50A8D" w:rsidRDefault="004B5CB7" w:rsidP="002244F1">
      <w:pPr>
        <w:spacing w:line="480" w:lineRule="auto"/>
        <w:rPr>
          <w:rFonts w:ascii="Arial" w:hAnsi="Arial" w:cs="Arial"/>
        </w:rPr>
      </w:pPr>
      <w:r>
        <w:rPr>
          <w:rFonts w:ascii="Arial" w:hAnsi="Arial" w:cs="Arial"/>
        </w:rPr>
        <w:t xml:space="preserve">According to Davies et al. (2017: </w:t>
      </w:r>
      <w:r w:rsidR="002409AF">
        <w:rPr>
          <w:rFonts w:ascii="Arial" w:hAnsi="Arial" w:cs="Arial"/>
        </w:rPr>
        <w:t xml:space="preserve">p. </w:t>
      </w:r>
      <w:r>
        <w:rPr>
          <w:rFonts w:ascii="Arial" w:hAnsi="Arial" w:cs="Arial"/>
        </w:rPr>
        <w:t>20)</w:t>
      </w:r>
      <w:r w:rsidR="002A707A">
        <w:rPr>
          <w:rFonts w:ascii="Arial" w:hAnsi="Arial" w:cs="Arial"/>
        </w:rPr>
        <w:t>, v</w:t>
      </w:r>
      <w:r>
        <w:rPr>
          <w:rFonts w:ascii="Arial" w:hAnsi="Arial" w:cs="Arial"/>
        </w:rPr>
        <w:t>ictims are of</w:t>
      </w:r>
      <w:r w:rsidR="002A707A">
        <w:rPr>
          <w:rFonts w:ascii="Arial" w:hAnsi="Arial" w:cs="Arial"/>
        </w:rPr>
        <w:t xml:space="preserve"> vital importance to the criminal justice system for </w:t>
      </w:r>
      <w:r w:rsidR="00156B71">
        <w:rPr>
          <w:rFonts w:ascii="Arial" w:hAnsi="Arial" w:cs="Arial"/>
        </w:rPr>
        <w:t>several</w:t>
      </w:r>
      <w:r w:rsidR="002A707A">
        <w:rPr>
          <w:rFonts w:ascii="Arial" w:hAnsi="Arial" w:cs="Arial"/>
        </w:rPr>
        <w:t xml:space="preserve"> reasons, such as: reporting </w:t>
      </w:r>
      <w:r w:rsidR="00BA7039">
        <w:rPr>
          <w:rFonts w:ascii="Arial" w:hAnsi="Arial" w:cs="Arial"/>
        </w:rPr>
        <w:t>the crime(s)</w:t>
      </w:r>
      <w:r w:rsidR="005A28F9">
        <w:rPr>
          <w:rFonts w:ascii="Arial" w:hAnsi="Arial" w:cs="Arial"/>
        </w:rPr>
        <w:t xml:space="preserve"> and to share information with the police to build enough evidence against an offender when the case goes to court. When a</w:t>
      </w:r>
      <w:r w:rsidR="0062543E">
        <w:rPr>
          <w:rFonts w:ascii="Arial" w:hAnsi="Arial" w:cs="Arial"/>
        </w:rPr>
        <w:t xml:space="preserve"> victim reports the crime, they become known as “</w:t>
      </w:r>
      <w:r w:rsidR="0062543E" w:rsidRPr="00E34C59">
        <w:rPr>
          <w:rFonts w:ascii="Arial" w:hAnsi="Arial" w:cs="Arial"/>
          <w:i/>
          <w:iCs/>
        </w:rPr>
        <w:t>visible victims</w:t>
      </w:r>
      <w:r w:rsidR="0062543E">
        <w:rPr>
          <w:rFonts w:ascii="Arial" w:hAnsi="Arial" w:cs="Arial"/>
        </w:rPr>
        <w:t xml:space="preserve">” (Davies et al., 2017: </w:t>
      </w:r>
      <w:r w:rsidR="00E34C59">
        <w:rPr>
          <w:rFonts w:ascii="Arial" w:hAnsi="Arial" w:cs="Arial"/>
        </w:rPr>
        <w:t xml:space="preserve">p. </w:t>
      </w:r>
      <w:r w:rsidR="0062543E">
        <w:rPr>
          <w:rFonts w:ascii="Arial" w:hAnsi="Arial" w:cs="Arial"/>
        </w:rPr>
        <w:t>20).</w:t>
      </w:r>
      <w:r w:rsidR="0079787E">
        <w:rPr>
          <w:rFonts w:ascii="Arial" w:hAnsi="Arial" w:cs="Arial"/>
        </w:rPr>
        <w:t xml:space="preserve"> However, victims </w:t>
      </w:r>
      <w:r w:rsidR="00082C5B">
        <w:rPr>
          <w:rFonts w:ascii="Arial" w:hAnsi="Arial" w:cs="Arial"/>
        </w:rPr>
        <w:t>that report</w:t>
      </w:r>
      <w:r w:rsidR="00B362B1">
        <w:rPr>
          <w:rFonts w:ascii="Arial" w:hAnsi="Arial" w:cs="Arial"/>
        </w:rPr>
        <w:t xml:space="preserve"> the crime can also experience Secondary Victimisation</w:t>
      </w:r>
      <w:r w:rsidR="00C02A6B">
        <w:rPr>
          <w:rFonts w:ascii="Arial" w:hAnsi="Arial" w:cs="Arial"/>
        </w:rPr>
        <w:t xml:space="preserve">. </w:t>
      </w:r>
      <w:r w:rsidR="008E7551">
        <w:rPr>
          <w:rFonts w:ascii="Arial" w:hAnsi="Arial" w:cs="Arial"/>
        </w:rPr>
        <w:t xml:space="preserve">Victims </w:t>
      </w:r>
      <w:r w:rsidR="0079787E">
        <w:rPr>
          <w:rFonts w:ascii="Arial" w:hAnsi="Arial" w:cs="Arial"/>
        </w:rPr>
        <w:t xml:space="preserve">can experience Secondary Victimisation </w:t>
      </w:r>
      <w:r w:rsidR="00082C5B">
        <w:rPr>
          <w:rFonts w:ascii="Arial" w:hAnsi="Arial" w:cs="Arial"/>
        </w:rPr>
        <w:t xml:space="preserve">in </w:t>
      </w:r>
      <w:r w:rsidR="000F0C83">
        <w:rPr>
          <w:rFonts w:ascii="Arial" w:hAnsi="Arial" w:cs="Arial"/>
        </w:rPr>
        <w:t>several</w:t>
      </w:r>
      <w:r w:rsidR="00082C5B">
        <w:rPr>
          <w:rFonts w:ascii="Arial" w:hAnsi="Arial" w:cs="Arial"/>
        </w:rPr>
        <w:t xml:space="preserve"> ways, mainly due to how they are being treate</w:t>
      </w:r>
      <w:r w:rsidR="00A826EC">
        <w:rPr>
          <w:rFonts w:ascii="Arial" w:hAnsi="Arial" w:cs="Arial"/>
        </w:rPr>
        <w:t>d</w:t>
      </w:r>
      <w:r w:rsidR="000E3CFA">
        <w:rPr>
          <w:rFonts w:ascii="Arial" w:hAnsi="Arial" w:cs="Arial"/>
        </w:rPr>
        <w:t xml:space="preserve">; </w:t>
      </w:r>
      <w:r w:rsidR="00A826EC">
        <w:rPr>
          <w:rFonts w:ascii="Arial" w:hAnsi="Arial" w:cs="Arial"/>
        </w:rPr>
        <w:t>Secondary Victimisation</w:t>
      </w:r>
      <w:r w:rsidR="0027686F">
        <w:rPr>
          <w:rFonts w:ascii="Arial" w:hAnsi="Arial" w:cs="Arial"/>
        </w:rPr>
        <w:t xml:space="preserve"> can further traumatise and victimise </w:t>
      </w:r>
      <w:r w:rsidR="00EF0AA3">
        <w:rPr>
          <w:rFonts w:ascii="Arial" w:hAnsi="Arial" w:cs="Arial"/>
        </w:rPr>
        <w:t xml:space="preserve">individuals. Furthermore, </w:t>
      </w:r>
      <w:r w:rsidR="00393FB1">
        <w:rPr>
          <w:rFonts w:ascii="Arial" w:hAnsi="Arial" w:cs="Arial"/>
        </w:rPr>
        <w:t xml:space="preserve">Victim Support initiated Witness Service support between 1989 and </w:t>
      </w:r>
      <w:r w:rsidR="009256D7">
        <w:rPr>
          <w:rFonts w:ascii="Arial" w:hAnsi="Arial" w:cs="Arial"/>
        </w:rPr>
        <w:t>2015 which was used in all criminal courts in England and Wales in 2003. The a</w:t>
      </w:r>
      <w:r w:rsidR="00FD7F2A">
        <w:rPr>
          <w:rFonts w:ascii="Arial" w:hAnsi="Arial" w:cs="Arial"/>
        </w:rPr>
        <w:t>im was to make the experience of court “</w:t>
      </w:r>
      <w:r w:rsidR="00FD7F2A" w:rsidRPr="001C5FAD">
        <w:rPr>
          <w:rFonts w:ascii="Arial" w:hAnsi="Arial" w:cs="Arial"/>
          <w:i/>
          <w:iCs/>
        </w:rPr>
        <w:t>less daunting and confusing</w:t>
      </w:r>
      <w:r w:rsidR="00FD7F2A">
        <w:rPr>
          <w:rFonts w:ascii="Arial" w:hAnsi="Arial" w:cs="Arial"/>
        </w:rPr>
        <w:t xml:space="preserve">”, as well as offer emotional support (Davies et al., 2017: </w:t>
      </w:r>
      <w:r w:rsidR="001C5FAD">
        <w:rPr>
          <w:rFonts w:ascii="Arial" w:hAnsi="Arial" w:cs="Arial"/>
        </w:rPr>
        <w:t xml:space="preserve">p. </w:t>
      </w:r>
      <w:r w:rsidR="00FD7F2A">
        <w:rPr>
          <w:rFonts w:ascii="Arial" w:hAnsi="Arial" w:cs="Arial"/>
        </w:rPr>
        <w:t>20).</w:t>
      </w:r>
      <w:r w:rsidR="001F5B08">
        <w:rPr>
          <w:rFonts w:ascii="Arial" w:hAnsi="Arial" w:cs="Arial"/>
        </w:rPr>
        <w:t xml:space="preserve"> </w:t>
      </w:r>
      <w:r w:rsidR="00DF0A69">
        <w:rPr>
          <w:rFonts w:ascii="Arial" w:hAnsi="Arial" w:cs="Arial"/>
        </w:rPr>
        <w:t xml:space="preserve">Furthermore, Hale et al. (2013: </w:t>
      </w:r>
      <w:r w:rsidR="001C5FAD">
        <w:rPr>
          <w:rFonts w:ascii="Arial" w:hAnsi="Arial" w:cs="Arial"/>
        </w:rPr>
        <w:t>p. 4</w:t>
      </w:r>
      <w:r w:rsidR="00DF0A69">
        <w:rPr>
          <w:rFonts w:ascii="Arial" w:hAnsi="Arial" w:cs="Arial"/>
        </w:rPr>
        <w:t>66)</w:t>
      </w:r>
      <w:r w:rsidR="003D7B4A">
        <w:rPr>
          <w:rFonts w:ascii="Arial" w:hAnsi="Arial" w:cs="Arial"/>
        </w:rPr>
        <w:t xml:space="preserve"> stated that </w:t>
      </w:r>
      <w:r w:rsidR="00DF0A69">
        <w:rPr>
          <w:rFonts w:ascii="Arial" w:hAnsi="Arial" w:cs="Arial"/>
        </w:rPr>
        <w:t xml:space="preserve">the treatment of victims was </w:t>
      </w:r>
      <w:r w:rsidR="00612E81">
        <w:rPr>
          <w:rFonts w:ascii="Arial" w:hAnsi="Arial" w:cs="Arial"/>
        </w:rPr>
        <w:t xml:space="preserve">also a significant issue, primarily in rape cases. It was </w:t>
      </w:r>
      <w:r w:rsidR="00612E81">
        <w:rPr>
          <w:rFonts w:ascii="Arial" w:hAnsi="Arial" w:cs="Arial"/>
        </w:rPr>
        <w:lastRenderedPageBreak/>
        <w:t>reported that the treatment of victims was “</w:t>
      </w:r>
      <w:r w:rsidR="00612E81" w:rsidRPr="001C5FAD">
        <w:rPr>
          <w:rFonts w:ascii="Arial" w:hAnsi="Arial" w:cs="Arial"/>
          <w:i/>
          <w:iCs/>
        </w:rPr>
        <w:t>so poor</w:t>
      </w:r>
      <w:r w:rsidR="00612E81">
        <w:rPr>
          <w:rFonts w:ascii="Arial" w:hAnsi="Arial" w:cs="Arial"/>
        </w:rPr>
        <w:t>”, there was a “</w:t>
      </w:r>
      <w:r w:rsidR="00612E81" w:rsidRPr="001C5FAD">
        <w:rPr>
          <w:rFonts w:ascii="Arial" w:hAnsi="Arial" w:cs="Arial"/>
          <w:i/>
          <w:iCs/>
        </w:rPr>
        <w:t>change in police practice</w:t>
      </w:r>
      <w:r w:rsidR="00612E81">
        <w:rPr>
          <w:rFonts w:ascii="Arial" w:hAnsi="Arial" w:cs="Arial"/>
        </w:rPr>
        <w:t>”.</w:t>
      </w:r>
      <w:r w:rsidR="008277E3">
        <w:rPr>
          <w:rFonts w:ascii="Arial" w:hAnsi="Arial" w:cs="Arial"/>
        </w:rPr>
        <w:t xml:space="preserve"> </w:t>
      </w:r>
    </w:p>
    <w:p w14:paraId="692FE6D3" w14:textId="3FA6B6AE" w:rsidR="005A6923" w:rsidRDefault="006064B9" w:rsidP="002244F1">
      <w:pPr>
        <w:spacing w:line="480" w:lineRule="auto"/>
        <w:rPr>
          <w:rFonts w:ascii="Arial" w:hAnsi="Arial" w:cs="Arial"/>
        </w:rPr>
      </w:pPr>
      <w:r>
        <w:rPr>
          <w:rFonts w:ascii="Arial" w:hAnsi="Arial" w:cs="Arial"/>
        </w:rPr>
        <w:t>According to Hale et al. (2013</w:t>
      </w:r>
      <w:r w:rsidR="005E0442">
        <w:rPr>
          <w:rFonts w:ascii="Arial" w:hAnsi="Arial" w:cs="Arial"/>
        </w:rPr>
        <w:t xml:space="preserve">: p. </w:t>
      </w:r>
      <w:r w:rsidR="000878FB">
        <w:rPr>
          <w:rFonts w:ascii="Arial" w:hAnsi="Arial" w:cs="Arial"/>
        </w:rPr>
        <w:t>464</w:t>
      </w:r>
      <w:r>
        <w:rPr>
          <w:rFonts w:ascii="Arial" w:hAnsi="Arial" w:cs="Arial"/>
        </w:rPr>
        <w:t>), although victims play a vital role in the criminal justice system</w:t>
      </w:r>
      <w:r w:rsidR="004D59F3">
        <w:rPr>
          <w:rFonts w:ascii="Arial" w:hAnsi="Arial" w:cs="Arial"/>
        </w:rPr>
        <w:t>, the criminal justice system has “</w:t>
      </w:r>
      <w:r w:rsidR="004D59F3" w:rsidRPr="000878FB">
        <w:rPr>
          <w:rFonts w:ascii="Arial" w:hAnsi="Arial" w:cs="Arial"/>
          <w:i/>
          <w:iCs/>
        </w:rPr>
        <w:t>given little attention</w:t>
      </w:r>
      <w:r w:rsidR="004D59F3">
        <w:rPr>
          <w:rFonts w:ascii="Arial" w:hAnsi="Arial" w:cs="Arial"/>
        </w:rPr>
        <w:t xml:space="preserve">” to the rights and needs of victims of </w:t>
      </w:r>
      <w:r w:rsidR="00A403E6">
        <w:rPr>
          <w:rFonts w:ascii="Arial" w:hAnsi="Arial" w:cs="Arial"/>
        </w:rPr>
        <w:t>crime.</w:t>
      </w:r>
      <w:r w:rsidR="00B25349">
        <w:rPr>
          <w:rFonts w:ascii="Arial" w:hAnsi="Arial" w:cs="Arial"/>
        </w:rPr>
        <w:t xml:space="preserve"> </w:t>
      </w:r>
      <w:r w:rsidR="00B666E8" w:rsidRPr="00B666E8">
        <w:rPr>
          <w:rFonts w:ascii="Arial" w:hAnsi="Arial" w:cs="Arial"/>
        </w:rPr>
        <w:t>The wants and needs of victims has been of "</w:t>
      </w:r>
      <w:r w:rsidR="00B666E8" w:rsidRPr="000878FB">
        <w:rPr>
          <w:rFonts w:ascii="Arial" w:hAnsi="Arial" w:cs="Arial"/>
          <w:i/>
          <w:iCs/>
        </w:rPr>
        <w:t>critical scrutiny",</w:t>
      </w:r>
      <w:r w:rsidR="00B666E8" w:rsidRPr="00B666E8">
        <w:rPr>
          <w:rFonts w:ascii="Arial" w:hAnsi="Arial" w:cs="Arial"/>
        </w:rPr>
        <w:t xml:space="preserve"> therefore there have been many changes since the 1990's to "</w:t>
      </w:r>
      <w:r w:rsidR="00B666E8" w:rsidRPr="000878FB">
        <w:rPr>
          <w:rFonts w:ascii="Arial" w:hAnsi="Arial" w:cs="Arial"/>
          <w:i/>
          <w:iCs/>
        </w:rPr>
        <w:t>rebalance</w:t>
      </w:r>
      <w:r w:rsidR="00B666E8" w:rsidRPr="00B666E8">
        <w:rPr>
          <w:rFonts w:ascii="Arial" w:hAnsi="Arial" w:cs="Arial"/>
        </w:rPr>
        <w:t>" the criminal justice system and to put more focus on victims</w:t>
      </w:r>
      <w:r w:rsidR="00B666E8">
        <w:rPr>
          <w:rFonts w:ascii="Arial" w:hAnsi="Arial" w:cs="Arial"/>
        </w:rPr>
        <w:t xml:space="preserve">. </w:t>
      </w:r>
      <w:r w:rsidR="00441398">
        <w:rPr>
          <w:rFonts w:ascii="Arial" w:hAnsi="Arial" w:cs="Arial"/>
        </w:rPr>
        <w:t>According to Baird (2022), it has been reported that victims “</w:t>
      </w:r>
      <w:r w:rsidR="00441398" w:rsidRPr="000878FB">
        <w:rPr>
          <w:rFonts w:ascii="Arial" w:hAnsi="Arial" w:cs="Arial"/>
          <w:i/>
          <w:iCs/>
        </w:rPr>
        <w:t>find their treatment by the criminal justice system worse</w:t>
      </w:r>
      <w:r w:rsidR="00441398">
        <w:rPr>
          <w:rFonts w:ascii="Arial" w:hAnsi="Arial" w:cs="Arial"/>
        </w:rPr>
        <w:t>” than the actual crime</w:t>
      </w:r>
      <w:r w:rsidR="00FA6223">
        <w:rPr>
          <w:rFonts w:ascii="Arial" w:hAnsi="Arial" w:cs="Arial"/>
        </w:rPr>
        <w:t xml:space="preserve">. Due to the treatment victims experience by the criminal justice system, </w:t>
      </w:r>
      <w:r w:rsidR="00D5253E">
        <w:rPr>
          <w:rFonts w:ascii="Arial" w:hAnsi="Arial" w:cs="Arial"/>
        </w:rPr>
        <w:t xml:space="preserve">the relationship and trust between </w:t>
      </w:r>
      <w:r w:rsidR="00C20043">
        <w:rPr>
          <w:rFonts w:ascii="Arial" w:hAnsi="Arial" w:cs="Arial"/>
        </w:rPr>
        <w:t>public, victims and the criminal justice system is “</w:t>
      </w:r>
      <w:r w:rsidR="00C20043" w:rsidRPr="004133F8">
        <w:rPr>
          <w:rFonts w:ascii="Arial" w:hAnsi="Arial" w:cs="Arial"/>
          <w:i/>
          <w:iCs/>
        </w:rPr>
        <w:t>breaking down</w:t>
      </w:r>
      <w:r w:rsidR="00C20043">
        <w:rPr>
          <w:rFonts w:ascii="Arial" w:hAnsi="Arial" w:cs="Arial"/>
        </w:rPr>
        <w:t xml:space="preserve">”. Baird (2022) stated that victims are </w:t>
      </w:r>
      <w:r w:rsidR="004133F8">
        <w:rPr>
          <w:rFonts w:ascii="Arial" w:hAnsi="Arial" w:cs="Arial"/>
        </w:rPr>
        <w:t xml:space="preserve">necessary to prosecute offenders </w:t>
      </w:r>
      <w:r w:rsidR="00C20043">
        <w:rPr>
          <w:rFonts w:ascii="Arial" w:hAnsi="Arial" w:cs="Arial"/>
        </w:rPr>
        <w:t>and the criminal justice system would “</w:t>
      </w:r>
      <w:r w:rsidR="00C20043" w:rsidRPr="004133F8">
        <w:rPr>
          <w:rFonts w:ascii="Arial" w:hAnsi="Arial" w:cs="Arial"/>
          <w:i/>
          <w:iCs/>
        </w:rPr>
        <w:t>cease to function</w:t>
      </w:r>
      <w:r w:rsidR="005E1FEF">
        <w:rPr>
          <w:rFonts w:ascii="Arial" w:hAnsi="Arial" w:cs="Arial"/>
        </w:rPr>
        <w:t>”.</w:t>
      </w:r>
      <w:r w:rsidR="00D5334C">
        <w:rPr>
          <w:rFonts w:ascii="Arial" w:hAnsi="Arial" w:cs="Arial"/>
        </w:rPr>
        <w:t xml:space="preserve"> V</w:t>
      </w:r>
      <w:r w:rsidR="00D53F63">
        <w:rPr>
          <w:rFonts w:ascii="Arial" w:hAnsi="Arial" w:cs="Arial"/>
        </w:rPr>
        <w:t xml:space="preserve">ictims </w:t>
      </w:r>
      <w:r w:rsidR="00563D60">
        <w:rPr>
          <w:rFonts w:ascii="Arial" w:hAnsi="Arial" w:cs="Arial"/>
        </w:rPr>
        <w:t>want to experience “</w:t>
      </w:r>
      <w:r w:rsidR="00563D60" w:rsidRPr="004133F8">
        <w:rPr>
          <w:rFonts w:ascii="Arial" w:hAnsi="Arial" w:cs="Arial"/>
          <w:i/>
          <w:iCs/>
        </w:rPr>
        <w:t>decent treatment</w:t>
      </w:r>
      <w:r w:rsidR="00563D60">
        <w:rPr>
          <w:rFonts w:ascii="Arial" w:hAnsi="Arial" w:cs="Arial"/>
        </w:rPr>
        <w:t>” by the justice system and to be “</w:t>
      </w:r>
      <w:r w:rsidR="00563D60" w:rsidRPr="004133F8">
        <w:rPr>
          <w:rFonts w:ascii="Arial" w:hAnsi="Arial" w:cs="Arial"/>
          <w:i/>
          <w:iCs/>
        </w:rPr>
        <w:t>seen, heard and helped</w:t>
      </w:r>
      <w:r w:rsidR="00563D60">
        <w:rPr>
          <w:rFonts w:ascii="Arial" w:hAnsi="Arial" w:cs="Arial"/>
        </w:rPr>
        <w:t>”</w:t>
      </w:r>
      <w:r w:rsidR="00A9504B">
        <w:rPr>
          <w:rFonts w:ascii="Arial" w:hAnsi="Arial" w:cs="Arial"/>
        </w:rPr>
        <w:t xml:space="preserve">. Often victims’ </w:t>
      </w:r>
      <w:r w:rsidR="00DD40D9">
        <w:rPr>
          <w:rFonts w:ascii="Arial" w:hAnsi="Arial" w:cs="Arial"/>
        </w:rPr>
        <w:t>needs have been “</w:t>
      </w:r>
      <w:r w:rsidR="00DD40D9" w:rsidRPr="004133F8">
        <w:rPr>
          <w:rFonts w:ascii="Arial" w:hAnsi="Arial" w:cs="Arial"/>
          <w:i/>
          <w:iCs/>
        </w:rPr>
        <w:t>side-lined</w:t>
      </w:r>
      <w:r w:rsidR="00DD40D9">
        <w:rPr>
          <w:rFonts w:ascii="Arial" w:hAnsi="Arial" w:cs="Arial"/>
        </w:rPr>
        <w:t xml:space="preserve">” as the criminal justice system is believed to be more </w:t>
      </w:r>
      <w:r w:rsidR="00D04A74">
        <w:rPr>
          <w:rFonts w:ascii="Arial" w:hAnsi="Arial" w:cs="Arial"/>
        </w:rPr>
        <w:t xml:space="preserve">defendant- focused, as seen in the case </w:t>
      </w:r>
      <w:r w:rsidR="0027334C">
        <w:rPr>
          <w:rFonts w:ascii="Arial" w:hAnsi="Arial" w:cs="Arial"/>
        </w:rPr>
        <w:t xml:space="preserve">of the </w:t>
      </w:r>
      <w:r w:rsidR="00101F34" w:rsidRPr="0027334C">
        <w:rPr>
          <w:rFonts w:ascii="Arial" w:hAnsi="Arial" w:cs="Arial"/>
        </w:rPr>
        <w:t>S</w:t>
      </w:r>
      <w:r w:rsidR="00101F34">
        <w:rPr>
          <w:rFonts w:ascii="Arial" w:hAnsi="Arial" w:cs="Arial"/>
        </w:rPr>
        <w:t>t</w:t>
      </w:r>
      <w:r w:rsidR="00101F34" w:rsidRPr="0027334C">
        <w:rPr>
          <w:rFonts w:ascii="Arial" w:hAnsi="Arial" w:cs="Arial"/>
        </w:rPr>
        <w:t>anford</w:t>
      </w:r>
      <w:r w:rsidR="0027334C" w:rsidRPr="0027334C">
        <w:rPr>
          <w:rFonts w:ascii="Arial" w:hAnsi="Arial" w:cs="Arial"/>
        </w:rPr>
        <w:t xml:space="preserve"> rape victim</w:t>
      </w:r>
      <w:r w:rsidR="00FE624B">
        <w:rPr>
          <w:rFonts w:ascii="Arial" w:hAnsi="Arial" w:cs="Arial"/>
        </w:rPr>
        <w:t xml:space="preserve">. </w:t>
      </w:r>
      <w:r w:rsidR="00E505B1">
        <w:rPr>
          <w:rFonts w:ascii="Arial" w:hAnsi="Arial" w:cs="Arial"/>
        </w:rPr>
        <w:t>According to Wells (2016), t</w:t>
      </w:r>
      <w:r w:rsidR="00C9526B">
        <w:rPr>
          <w:rFonts w:ascii="Arial" w:hAnsi="Arial" w:cs="Arial"/>
        </w:rPr>
        <w:t xml:space="preserve">he </w:t>
      </w:r>
      <w:r w:rsidR="001834CB">
        <w:rPr>
          <w:rFonts w:ascii="Arial" w:hAnsi="Arial" w:cs="Arial"/>
        </w:rPr>
        <w:t>victim felt they were being “</w:t>
      </w:r>
      <w:r w:rsidR="001834CB" w:rsidRPr="0058287C">
        <w:rPr>
          <w:rFonts w:ascii="Arial" w:hAnsi="Arial" w:cs="Arial"/>
          <w:i/>
          <w:iCs/>
        </w:rPr>
        <w:t>interrogated</w:t>
      </w:r>
      <w:r w:rsidR="001834CB">
        <w:rPr>
          <w:rFonts w:ascii="Arial" w:hAnsi="Arial" w:cs="Arial"/>
        </w:rPr>
        <w:t>” and that the offender’</w:t>
      </w:r>
      <w:r w:rsidR="00C273FB">
        <w:rPr>
          <w:rFonts w:ascii="Arial" w:hAnsi="Arial" w:cs="Arial"/>
        </w:rPr>
        <w:t>s wellbeing and future was prioritised over her own. The Judge stated that a longer sentence could have a “</w:t>
      </w:r>
      <w:r w:rsidR="00C273FB" w:rsidRPr="0058287C">
        <w:rPr>
          <w:rFonts w:ascii="Arial" w:hAnsi="Arial" w:cs="Arial"/>
          <w:i/>
          <w:iCs/>
        </w:rPr>
        <w:t>severe</w:t>
      </w:r>
      <w:r w:rsidR="00C273FB">
        <w:rPr>
          <w:rFonts w:ascii="Arial" w:hAnsi="Arial" w:cs="Arial"/>
        </w:rPr>
        <w:t xml:space="preserve"> </w:t>
      </w:r>
      <w:r w:rsidR="00C273FB" w:rsidRPr="0058287C">
        <w:rPr>
          <w:rFonts w:ascii="Arial" w:hAnsi="Arial" w:cs="Arial"/>
          <w:i/>
          <w:iCs/>
        </w:rPr>
        <w:t>impact</w:t>
      </w:r>
      <w:r w:rsidR="00C273FB">
        <w:rPr>
          <w:rFonts w:ascii="Arial" w:hAnsi="Arial" w:cs="Arial"/>
        </w:rPr>
        <w:t>” on the offender’s life</w:t>
      </w:r>
      <w:r w:rsidR="00EC2BEE">
        <w:rPr>
          <w:rFonts w:ascii="Arial" w:hAnsi="Arial" w:cs="Arial"/>
        </w:rPr>
        <w:t xml:space="preserve"> and </w:t>
      </w:r>
      <w:r w:rsidR="00F35217">
        <w:rPr>
          <w:rFonts w:ascii="Arial" w:hAnsi="Arial" w:cs="Arial"/>
        </w:rPr>
        <w:t xml:space="preserve">the Judge victim- blamed and asked the victim </w:t>
      </w:r>
      <w:r w:rsidR="00943876">
        <w:rPr>
          <w:rFonts w:ascii="Arial" w:hAnsi="Arial" w:cs="Arial"/>
        </w:rPr>
        <w:t>how much she had to drink</w:t>
      </w:r>
      <w:r w:rsidR="00E505B1">
        <w:rPr>
          <w:rFonts w:ascii="Arial" w:hAnsi="Arial" w:cs="Arial"/>
        </w:rPr>
        <w:t xml:space="preserve"> (Wells, 2016). </w:t>
      </w:r>
      <w:r w:rsidR="00277784">
        <w:rPr>
          <w:rFonts w:ascii="Arial" w:hAnsi="Arial" w:cs="Arial"/>
        </w:rPr>
        <w:t>The 2021 Victim Survey showed that victims want to be “</w:t>
      </w:r>
      <w:r w:rsidR="00277784" w:rsidRPr="0058287C">
        <w:rPr>
          <w:rFonts w:ascii="Arial" w:hAnsi="Arial" w:cs="Arial"/>
          <w:i/>
          <w:iCs/>
        </w:rPr>
        <w:t>treated with fairness and</w:t>
      </w:r>
      <w:r w:rsidR="00277784">
        <w:rPr>
          <w:rFonts w:ascii="Arial" w:hAnsi="Arial" w:cs="Arial"/>
        </w:rPr>
        <w:t xml:space="preserve"> </w:t>
      </w:r>
      <w:r w:rsidR="00277784" w:rsidRPr="0058287C">
        <w:rPr>
          <w:rFonts w:ascii="Arial" w:hAnsi="Arial" w:cs="Arial"/>
          <w:i/>
          <w:iCs/>
        </w:rPr>
        <w:t>respect</w:t>
      </w:r>
      <w:r w:rsidR="00277784">
        <w:rPr>
          <w:rFonts w:ascii="Arial" w:hAnsi="Arial" w:cs="Arial"/>
        </w:rPr>
        <w:t xml:space="preserve">” and to be regularly </w:t>
      </w:r>
      <w:r w:rsidR="002F21DA">
        <w:rPr>
          <w:rFonts w:ascii="Arial" w:hAnsi="Arial" w:cs="Arial"/>
        </w:rPr>
        <w:t xml:space="preserve">up to date with their case (Baird, 2022). The Victim’s Code describes how victims </w:t>
      </w:r>
      <w:r w:rsidR="0089797F">
        <w:rPr>
          <w:rFonts w:ascii="Arial" w:hAnsi="Arial" w:cs="Arial"/>
        </w:rPr>
        <w:t>should be treated;</w:t>
      </w:r>
      <w:r w:rsidR="002F21DA">
        <w:rPr>
          <w:rFonts w:ascii="Arial" w:hAnsi="Arial" w:cs="Arial"/>
        </w:rPr>
        <w:t xml:space="preserve"> however, </w:t>
      </w:r>
      <w:r w:rsidR="00D5024E">
        <w:rPr>
          <w:rFonts w:ascii="Arial" w:hAnsi="Arial" w:cs="Arial"/>
        </w:rPr>
        <w:t xml:space="preserve">the justice system is not legally required to follow the treatment of victims in accordance </w:t>
      </w:r>
      <w:r w:rsidR="0030745E">
        <w:rPr>
          <w:rFonts w:ascii="Arial" w:hAnsi="Arial" w:cs="Arial"/>
        </w:rPr>
        <w:t>with</w:t>
      </w:r>
      <w:r w:rsidR="00D5024E">
        <w:rPr>
          <w:rFonts w:ascii="Arial" w:hAnsi="Arial" w:cs="Arial"/>
        </w:rPr>
        <w:t xml:space="preserve"> the Victim’ code</w:t>
      </w:r>
      <w:r w:rsidR="00472333">
        <w:rPr>
          <w:rFonts w:ascii="Arial" w:hAnsi="Arial" w:cs="Arial"/>
        </w:rPr>
        <w:t>, t</w:t>
      </w:r>
      <w:r w:rsidR="0089797F">
        <w:rPr>
          <w:rFonts w:ascii="Arial" w:hAnsi="Arial" w:cs="Arial"/>
        </w:rPr>
        <w:t xml:space="preserve">herefore, some victims </w:t>
      </w:r>
      <w:r w:rsidR="0030745E">
        <w:rPr>
          <w:rFonts w:ascii="Arial" w:hAnsi="Arial" w:cs="Arial"/>
        </w:rPr>
        <w:t xml:space="preserve">often do not experience </w:t>
      </w:r>
      <w:r w:rsidR="0030745E">
        <w:rPr>
          <w:rFonts w:ascii="Arial" w:hAnsi="Arial" w:cs="Arial"/>
        </w:rPr>
        <w:lastRenderedPageBreak/>
        <w:t>what they are entitled to and are ultimately left without the support or help they need (Baird, 2022)</w:t>
      </w:r>
      <w:r w:rsidR="004C1E0F">
        <w:rPr>
          <w:rFonts w:ascii="Arial" w:hAnsi="Arial" w:cs="Arial"/>
        </w:rPr>
        <w:t>.</w:t>
      </w:r>
    </w:p>
    <w:p w14:paraId="31205809" w14:textId="5BCCFC06" w:rsidR="005917DA" w:rsidRDefault="005038A4" w:rsidP="002244F1">
      <w:pPr>
        <w:spacing w:line="480" w:lineRule="auto"/>
        <w:rPr>
          <w:rFonts w:ascii="Arial" w:hAnsi="Arial" w:cs="Arial"/>
        </w:rPr>
      </w:pPr>
      <w:r>
        <w:rPr>
          <w:rFonts w:ascii="Arial" w:hAnsi="Arial" w:cs="Arial"/>
        </w:rPr>
        <w:t>Hale</w:t>
      </w:r>
      <w:r w:rsidR="00907FA2">
        <w:rPr>
          <w:rFonts w:ascii="Arial" w:hAnsi="Arial" w:cs="Arial"/>
        </w:rPr>
        <w:t xml:space="preserve"> et al. (2013), </w:t>
      </w:r>
      <w:r w:rsidR="00472333">
        <w:rPr>
          <w:rFonts w:ascii="Arial" w:hAnsi="Arial" w:cs="Arial"/>
        </w:rPr>
        <w:t xml:space="preserve">stated that </w:t>
      </w:r>
      <w:r w:rsidR="00907FA2">
        <w:rPr>
          <w:rFonts w:ascii="Arial" w:hAnsi="Arial" w:cs="Arial"/>
        </w:rPr>
        <w:t>t</w:t>
      </w:r>
      <w:r w:rsidR="00BE1C6B">
        <w:rPr>
          <w:rFonts w:ascii="Arial" w:hAnsi="Arial" w:cs="Arial"/>
        </w:rPr>
        <w:t>he first piece of legislation or service in the UK for victims of crime was in 1964 and was the Criminal Injuries Compensation Board which created the Criminal Injuries Compensation Scheme (CICS)</w:t>
      </w:r>
      <w:r w:rsidR="00B75677">
        <w:rPr>
          <w:rFonts w:ascii="Arial" w:hAnsi="Arial" w:cs="Arial"/>
        </w:rPr>
        <w:t xml:space="preserve">. The first </w:t>
      </w:r>
      <w:r w:rsidR="00995333">
        <w:rPr>
          <w:rFonts w:ascii="Arial" w:hAnsi="Arial" w:cs="Arial"/>
        </w:rPr>
        <w:t>female-based</w:t>
      </w:r>
      <w:r w:rsidR="00B75677">
        <w:rPr>
          <w:rFonts w:ascii="Arial" w:hAnsi="Arial" w:cs="Arial"/>
        </w:rPr>
        <w:t xml:space="preserve"> service was created in 1972 and was the first UK Women’s Aid refuge for female victims, and the most recent service for vict</w:t>
      </w:r>
      <w:r w:rsidR="00995333">
        <w:rPr>
          <w:rFonts w:ascii="Arial" w:hAnsi="Arial" w:cs="Arial"/>
        </w:rPr>
        <w:t>ims is the Victim’s Service Alliance that was created in 2011</w:t>
      </w:r>
      <w:r w:rsidR="00907FA2">
        <w:rPr>
          <w:rFonts w:ascii="Arial" w:hAnsi="Arial" w:cs="Arial"/>
        </w:rPr>
        <w:t xml:space="preserve"> (Hale et al., 2013).</w:t>
      </w:r>
      <w:r w:rsidR="00995333">
        <w:rPr>
          <w:rFonts w:ascii="Arial" w:hAnsi="Arial" w:cs="Arial"/>
        </w:rPr>
        <w:t xml:space="preserve"> </w:t>
      </w:r>
      <w:r w:rsidR="005821D6">
        <w:rPr>
          <w:rFonts w:ascii="Arial" w:hAnsi="Arial" w:cs="Arial"/>
        </w:rPr>
        <w:t>Baird (2022) stated that the Victim’s Code sets out the “</w:t>
      </w:r>
      <w:r w:rsidR="005821D6" w:rsidRPr="00C921C8">
        <w:rPr>
          <w:rFonts w:ascii="Arial" w:hAnsi="Arial" w:cs="Arial"/>
          <w:i/>
          <w:iCs/>
        </w:rPr>
        <w:t>minimum standard of service</w:t>
      </w:r>
      <w:r w:rsidR="005821D6">
        <w:rPr>
          <w:rFonts w:ascii="Arial" w:hAnsi="Arial" w:cs="Arial"/>
        </w:rPr>
        <w:t>” that victims should experience</w:t>
      </w:r>
      <w:r w:rsidR="00526B92">
        <w:rPr>
          <w:rFonts w:ascii="Arial" w:hAnsi="Arial" w:cs="Arial"/>
        </w:rPr>
        <w:t>, however, only 23% of victims in 2019- 2020</w:t>
      </w:r>
      <w:r w:rsidR="008F3F40">
        <w:rPr>
          <w:rFonts w:ascii="Arial" w:hAnsi="Arial" w:cs="Arial"/>
        </w:rPr>
        <w:t xml:space="preserve"> has heard of the Victim’s </w:t>
      </w:r>
      <w:r w:rsidR="00A57FEA">
        <w:rPr>
          <w:rFonts w:ascii="Arial" w:hAnsi="Arial" w:cs="Arial"/>
        </w:rPr>
        <w:t>Cod</w:t>
      </w:r>
      <w:r w:rsidR="00D752BD">
        <w:rPr>
          <w:rFonts w:ascii="Arial" w:hAnsi="Arial" w:cs="Arial"/>
        </w:rPr>
        <w:t>e</w:t>
      </w:r>
      <w:r w:rsidR="008F3F40">
        <w:rPr>
          <w:rFonts w:ascii="Arial" w:hAnsi="Arial" w:cs="Arial"/>
        </w:rPr>
        <w:t xml:space="preserve">. </w:t>
      </w:r>
      <w:r w:rsidR="00A57FEA">
        <w:rPr>
          <w:rFonts w:ascii="Arial" w:hAnsi="Arial" w:cs="Arial"/>
        </w:rPr>
        <w:t xml:space="preserve">The Code of Practice of Crime (2013) contains </w:t>
      </w:r>
      <w:r w:rsidR="00C529F1">
        <w:rPr>
          <w:rFonts w:ascii="Arial" w:hAnsi="Arial" w:cs="Arial"/>
        </w:rPr>
        <w:t>19 entitlements for victims of crime and aims to put “</w:t>
      </w:r>
      <w:r w:rsidR="00C529F1" w:rsidRPr="00C921C8">
        <w:rPr>
          <w:rFonts w:ascii="Arial" w:hAnsi="Arial" w:cs="Arial"/>
          <w:i/>
          <w:iCs/>
        </w:rPr>
        <w:t>victims first</w:t>
      </w:r>
      <w:r w:rsidR="00C529F1">
        <w:rPr>
          <w:rFonts w:ascii="Arial" w:hAnsi="Arial" w:cs="Arial"/>
        </w:rPr>
        <w:t>” and discusses “</w:t>
      </w:r>
      <w:r w:rsidR="00C529F1" w:rsidRPr="00C921C8">
        <w:rPr>
          <w:rFonts w:ascii="Arial" w:hAnsi="Arial" w:cs="Arial"/>
          <w:i/>
          <w:iCs/>
        </w:rPr>
        <w:t>vulnerable victims</w:t>
      </w:r>
      <w:r w:rsidR="00C529F1">
        <w:rPr>
          <w:rFonts w:ascii="Arial" w:hAnsi="Arial" w:cs="Arial"/>
        </w:rPr>
        <w:t xml:space="preserve">” (Davies et al., </w:t>
      </w:r>
      <w:r w:rsidR="00073725">
        <w:rPr>
          <w:rFonts w:ascii="Arial" w:hAnsi="Arial" w:cs="Arial"/>
        </w:rPr>
        <w:t xml:space="preserve">2017: </w:t>
      </w:r>
      <w:r w:rsidR="00C921C8">
        <w:rPr>
          <w:rFonts w:ascii="Arial" w:hAnsi="Arial" w:cs="Arial"/>
        </w:rPr>
        <w:t xml:space="preserve">p. </w:t>
      </w:r>
      <w:r w:rsidR="00073725">
        <w:rPr>
          <w:rFonts w:ascii="Arial" w:hAnsi="Arial" w:cs="Arial"/>
        </w:rPr>
        <w:t>23)</w:t>
      </w:r>
      <w:r w:rsidR="00D079A5">
        <w:rPr>
          <w:rFonts w:ascii="Arial" w:hAnsi="Arial" w:cs="Arial"/>
        </w:rPr>
        <w:t>.</w:t>
      </w:r>
      <w:r w:rsidR="006E104B">
        <w:rPr>
          <w:rFonts w:ascii="Arial" w:hAnsi="Arial" w:cs="Arial"/>
        </w:rPr>
        <w:t xml:space="preserve"> </w:t>
      </w:r>
      <w:r w:rsidR="00814671">
        <w:rPr>
          <w:rFonts w:ascii="Arial" w:hAnsi="Arial" w:cs="Arial"/>
        </w:rPr>
        <w:t xml:space="preserve">Under the code, organisations such as the Police, Crime Commissioners, Crown Prosecution Service, The Criminal Cases </w:t>
      </w:r>
      <w:r w:rsidR="0096767A">
        <w:rPr>
          <w:rFonts w:ascii="Arial" w:hAnsi="Arial" w:cs="Arial"/>
        </w:rPr>
        <w:t>Review Commission and Youth Offending Teams must meet the rights set out under this Code</w:t>
      </w:r>
      <w:r w:rsidR="001F42A0">
        <w:rPr>
          <w:rFonts w:ascii="Arial" w:hAnsi="Arial" w:cs="Arial"/>
        </w:rPr>
        <w:t xml:space="preserve"> (Ministry of Justice, 2013). </w:t>
      </w:r>
      <w:r w:rsidR="00822C68">
        <w:rPr>
          <w:rFonts w:ascii="Arial" w:hAnsi="Arial" w:cs="Arial"/>
        </w:rPr>
        <w:t xml:space="preserve">According to Jones </w:t>
      </w:r>
      <w:r w:rsidR="008E1A03">
        <w:rPr>
          <w:rFonts w:ascii="Arial" w:hAnsi="Arial" w:cs="Arial"/>
        </w:rPr>
        <w:t xml:space="preserve">(2021: </w:t>
      </w:r>
      <w:r w:rsidR="002E4D5B">
        <w:rPr>
          <w:rFonts w:ascii="Arial" w:hAnsi="Arial" w:cs="Arial"/>
        </w:rPr>
        <w:t xml:space="preserve">p. </w:t>
      </w:r>
      <w:r w:rsidR="008E1A03">
        <w:rPr>
          <w:rFonts w:ascii="Arial" w:hAnsi="Arial" w:cs="Arial"/>
        </w:rPr>
        <w:t xml:space="preserve">223), </w:t>
      </w:r>
      <w:r w:rsidR="007675CA">
        <w:rPr>
          <w:rFonts w:ascii="Arial" w:hAnsi="Arial" w:cs="Arial"/>
        </w:rPr>
        <w:t>The Home Office (1990) created a “</w:t>
      </w:r>
      <w:r w:rsidR="007675CA" w:rsidRPr="002E4D5B">
        <w:rPr>
          <w:rFonts w:ascii="Arial" w:hAnsi="Arial" w:cs="Arial"/>
          <w:i/>
          <w:iCs/>
        </w:rPr>
        <w:t>victims charter</w:t>
      </w:r>
      <w:r w:rsidR="007675CA">
        <w:rPr>
          <w:rFonts w:ascii="Arial" w:hAnsi="Arial" w:cs="Arial"/>
        </w:rPr>
        <w:t xml:space="preserve">” that includes </w:t>
      </w:r>
      <w:r w:rsidR="00822C68">
        <w:rPr>
          <w:rFonts w:ascii="Arial" w:hAnsi="Arial" w:cs="Arial"/>
        </w:rPr>
        <w:t>basic rights the victims should receive from the criminal justice</w:t>
      </w:r>
      <w:r w:rsidR="00AB3725">
        <w:rPr>
          <w:rFonts w:ascii="Arial" w:hAnsi="Arial" w:cs="Arial"/>
        </w:rPr>
        <w:t>, such as the process of the case</w:t>
      </w:r>
      <w:r w:rsidR="00273C71">
        <w:rPr>
          <w:rFonts w:ascii="Arial" w:hAnsi="Arial" w:cs="Arial"/>
        </w:rPr>
        <w:t xml:space="preserve">. With the developments of the policy and legislation, it has changed </w:t>
      </w:r>
      <w:r w:rsidR="00501E00">
        <w:rPr>
          <w:rFonts w:ascii="Arial" w:hAnsi="Arial" w:cs="Arial"/>
        </w:rPr>
        <w:t xml:space="preserve">how the criminal justice system looks at victims and treats them, as well as improving victim’s experiences (Hale et al., </w:t>
      </w:r>
      <w:r w:rsidR="006D4627">
        <w:rPr>
          <w:rFonts w:ascii="Arial" w:hAnsi="Arial" w:cs="Arial"/>
        </w:rPr>
        <w:t xml:space="preserve">2013: </w:t>
      </w:r>
      <w:r w:rsidR="002E4D5B">
        <w:rPr>
          <w:rFonts w:ascii="Arial" w:hAnsi="Arial" w:cs="Arial"/>
        </w:rPr>
        <w:t xml:space="preserve">p. </w:t>
      </w:r>
      <w:r w:rsidR="006D4627">
        <w:rPr>
          <w:rFonts w:ascii="Arial" w:hAnsi="Arial" w:cs="Arial"/>
        </w:rPr>
        <w:t xml:space="preserve">457). </w:t>
      </w:r>
      <w:r w:rsidR="004A4032">
        <w:rPr>
          <w:rFonts w:ascii="Arial" w:hAnsi="Arial" w:cs="Arial"/>
        </w:rPr>
        <w:t>Alongside the criminal justice organisations, there are other “</w:t>
      </w:r>
      <w:r w:rsidR="004A4032" w:rsidRPr="002E4D5B">
        <w:rPr>
          <w:rFonts w:ascii="Arial" w:hAnsi="Arial" w:cs="Arial"/>
          <w:i/>
          <w:iCs/>
        </w:rPr>
        <w:t>service providers</w:t>
      </w:r>
      <w:r w:rsidR="004A4032">
        <w:rPr>
          <w:rFonts w:ascii="Arial" w:hAnsi="Arial" w:cs="Arial"/>
        </w:rPr>
        <w:t xml:space="preserve">” </w:t>
      </w:r>
      <w:r w:rsidR="00F764B5">
        <w:rPr>
          <w:rFonts w:ascii="Arial" w:hAnsi="Arial" w:cs="Arial"/>
        </w:rPr>
        <w:t xml:space="preserve">that aim to support victims such as: The Heath and Safety Executive, Her Majesty’s Revenue and Customs and The National Crime Agency (Ministry of Justice, 2013). </w:t>
      </w:r>
    </w:p>
    <w:p w14:paraId="397013A5" w14:textId="31EFAFA2" w:rsidR="003D037B" w:rsidRDefault="003D037B" w:rsidP="002244F1">
      <w:pPr>
        <w:spacing w:line="480" w:lineRule="auto"/>
        <w:rPr>
          <w:rFonts w:ascii="Arial" w:hAnsi="Arial" w:cs="Arial"/>
        </w:rPr>
      </w:pPr>
      <w:r>
        <w:rPr>
          <w:rFonts w:ascii="Arial" w:hAnsi="Arial" w:cs="Arial"/>
        </w:rPr>
        <w:lastRenderedPageBreak/>
        <w:t xml:space="preserve">Under the Code of Practice </w:t>
      </w:r>
      <w:r w:rsidR="00FC0304">
        <w:rPr>
          <w:rFonts w:ascii="Arial" w:hAnsi="Arial" w:cs="Arial"/>
        </w:rPr>
        <w:t>for Victims of Crime, there are 12 rights of a victim including to be able to understand and understood, to be given information</w:t>
      </w:r>
      <w:r w:rsidR="006E1A7D">
        <w:rPr>
          <w:rFonts w:ascii="Arial" w:hAnsi="Arial" w:cs="Arial"/>
        </w:rPr>
        <w:t>, to be given information about the investigation, and to make a Victim Personal Statement</w:t>
      </w:r>
      <w:r w:rsidR="007E3662">
        <w:rPr>
          <w:rFonts w:ascii="Arial" w:hAnsi="Arial" w:cs="Arial"/>
        </w:rPr>
        <w:t xml:space="preserve"> (Ministry of Justice, 2022)</w:t>
      </w:r>
      <w:r w:rsidR="00393973">
        <w:rPr>
          <w:rFonts w:ascii="Arial" w:hAnsi="Arial" w:cs="Arial"/>
        </w:rPr>
        <w:t>. Victims have the right to be treated with respect, sensitivity</w:t>
      </w:r>
      <w:r w:rsidR="00113B7D">
        <w:rPr>
          <w:rFonts w:ascii="Arial" w:hAnsi="Arial" w:cs="Arial"/>
        </w:rPr>
        <w:t xml:space="preserve">, and compassion; to be respected, </w:t>
      </w:r>
      <w:r w:rsidR="00554A5C">
        <w:rPr>
          <w:rFonts w:ascii="Arial" w:hAnsi="Arial" w:cs="Arial"/>
        </w:rPr>
        <w:t xml:space="preserve">and </w:t>
      </w:r>
      <w:r w:rsidR="004F415F">
        <w:rPr>
          <w:rFonts w:ascii="Arial" w:hAnsi="Arial" w:cs="Arial"/>
        </w:rPr>
        <w:t>have services and support given to you without any discrimination</w:t>
      </w:r>
      <w:r w:rsidR="004A2F91">
        <w:rPr>
          <w:rFonts w:ascii="Arial" w:hAnsi="Arial" w:cs="Arial"/>
        </w:rPr>
        <w:t xml:space="preserve"> (Ministry of Justice, 2020). </w:t>
      </w:r>
    </w:p>
    <w:p w14:paraId="0BD88AD8" w14:textId="69AB6846" w:rsidR="00DD1AD1" w:rsidRDefault="00DD1AD1" w:rsidP="002244F1">
      <w:pPr>
        <w:spacing w:line="480" w:lineRule="auto"/>
        <w:rPr>
          <w:rFonts w:ascii="Arial" w:hAnsi="Arial" w:cs="Arial"/>
        </w:rPr>
      </w:pPr>
      <w:r>
        <w:rPr>
          <w:rFonts w:ascii="Arial" w:hAnsi="Arial" w:cs="Arial"/>
        </w:rPr>
        <w:t>There are also acts to protect vulnerable individuals</w:t>
      </w:r>
      <w:r w:rsidR="0043065D">
        <w:rPr>
          <w:rFonts w:ascii="Arial" w:hAnsi="Arial" w:cs="Arial"/>
        </w:rPr>
        <w:t xml:space="preserve"> to protect them and ensure they are not taken advantage o</w:t>
      </w:r>
      <w:r w:rsidR="00A152D1">
        <w:rPr>
          <w:rFonts w:ascii="Arial" w:hAnsi="Arial" w:cs="Arial"/>
        </w:rPr>
        <w:t xml:space="preserve">f. </w:t>
      </w:r>
      <w:r w:rsidR="0063686E">
        <w:rPr>
          <w:rFonts w:ascii="Arial" w:hAnsi="Arial" w:cs="Arial"/>
        </w:rPr>
        <w:t xml:space="preserve">The care </w:t>
      </w:r>
      <w:r w:rsidR="00A30894">
        <w:rPr>
          <w:rFonts w:ascii="Arial" w:hAnsi="Arial" w:cs="Arial"/>
        </w:rPr>
        <w:t xml:space="preserve">Act (2014) which promotes the well- being of individuals, the Sexual Offences Act (2003) which does not allow any sexual activity between </w:t>
      </w:r>
      <w:r w:rsidR="00A23003">
        <w:rPr>
          <w:rFonts w:ascii="Arial" w:hAnsi="Arial" w:cs="Arial"/>
        </w:rPr>
        <w:t>a care worker and an individual with any mental disorder, and the Safeguarding Vulnerable Groups Act 2006 and the Protection of Freedoms Bill</w:t>
      </w:r>
      <w:r w:rsidR="00123416">
        <w:rPr>
          <w:rFonts w:ascii="Arial" w:hAnsi="Arial" w:cs="Arial"/>
        </w:rPr>
        <w:t xml:space="preserve"> which helps vulnerable individuals to avoid harm, or risk of harm and prevent those who are unable to work with children and/ or vulnerable adults (Social Care Institute for Excellence</w:t>
      </w:r>
      <w:r w:rsidR="00142DD7">
        <w:rPr>
          <w:rFonts w:ascii="Arial" w:hAnsi="Arial" w:cs="Arial"/>
        </w:rPr>
        <w:t xml:space="preserve">, ND). </w:t>
      </w:r>
      <w:r w:rsidR="00980C45">
        <w:rPr>
          <w:rFonts w:ascii="Arial" w:hAnsi="Arial" w:cs="Arial"/>
        </w:rPr>
        <w:t xml:space="preserve">However, although there are acts put in place to prevent vulnerable individuals </w:t>
      </w:r>
      <w:r w:rsidR="0097455D">
        <w:rPr>
          <w:rFonts w:ascii="Arial" w:hAnsi="Arial" w:cs="Arial"/>
        </w:rPr>
        <w:t xml:space="preserve">to become victims of crime, there are many cases that questions if enough is being done to support vulnerable individuals and prevent them from becoming victims. The elderly are listed as being vulnerable, however, </w:t>
      </w:r>
      <w:r w:rsidR="00C92D47">
        <w:rPr>
          <w:rFonts w:ascii="Arial" w:hAnsi="Arial" w:cs="Arial"/>
        </w:rPr>
        <w:t>there have been many cases elderly individuals have been a victim of crime.</w:t>
      </w:r>
      <w:r w:rsidR="00E139C1">
        <w:rPr>
          <w:rFonts w:ascii="Arial" w:hAnsi="Arial" w:cs="Arial"/>
        </w:rPr>
        <w:t xml:space="preserve"> </w:t>
      </w:r>
      <w:r w:rsidR="004B6D8F">
        <w:rPr>
          <w:rFonts w:ascii="Arial" w:hAnsi="Arial" w:cs="Arial"/>
        </w:rPr>
        <w:t xml:space="preserve">The elderly often </w:t>
      </w:r>
      <w:r w:rsidR="005B58F6">
        <w:rPr>
          <w:rFonts w:ascii="Arial" w:hAnsi="Arial" w:cs="Arial"/>
        </w:rPr>
        <w:t>experience</w:t>
      </w:r>
      <w:r w:rsidR="004B6D8F">
        <w:rPr>
          <w:rFonts w:ascii="Arial" w:hAnsi="Arial" w:cs="Arial"/>
        </w:rPr>
        <w:t xml:space="preserve"> cases of abuse, as seen in the case of Ann King, who</w:t>
      </w:r>
      <w:r w:rsidR="005B58F6">
        <w:rPr>
          <w:rFonts w:ascii="Arial" w:hAnsi="Arial" w:cs="Arial"/>
        </w:rPr>
        <w:t xml:space="preserve"> has dementia and experienced abuse numerous times during her time at a “</w:t>
      </w:r>
      <w:r w:rsidR="005B58F6" w:rsidRPr="007E4547">
        <w:rPr>
          <w:rFonts w:ascii="Arial" w:hAnsi="Arial" w:cs="Arial"/>
          <w:i/>
          <w:iCs/>
        </w:rPr>
        <w:t>luxury care home</w:t>
      </w:r>
      <w:r w:rsidR="005B58F6">
        <w:rPr>
          <w:rFonts w:ascii="Arial" w:hAnsi="Arial" w:cs="Arial"/>
        </w:rPr>
        <w:t xml:space="preserve">” (Booth, 2014). It was only when the Guardian posted secret camera footage of Ann King’s experience than an investigation into the care home took place. Booth (2014) </w:t>
      </w:r>
      <w:r w:rsidR="00E42A93">
        <w:rPr>
          <w:rFonts w:ascii="Arial" w:hAnsi="Arial" w:cs="Arial"/>
        </w:rPr>
        <w:t>stated that the acts committed by the abusers were described as “</w:t>
      </w:r>
      <w:r w:rsidR="00E42A93" w:rsidRPr="007E4547">
        <w:rPr>
          <w:rFonts w:ascii="Arial" w:hAnsi="Arial" w:cs="Arial"/>
          <w:i/>
          <w:iCs/>
        </w:rPr>
        <w:t>disturbing</w:t>
      </w:r>
      <w:r w:rsidR="00E42A93">
        <w:rPr>
          <w:rFonts w:ascii="Arial" w:hAnsi="Arial" w:cs="Arial"/>
        </w:rPr>
        <w:t>”, “</w:t>
      </w:r>
      <w:r w:rsidR="00E42A93" w:rsidRPr="007E4547">
        <w:rPr>
          <w:rFonts w:ascii="Arial" w:hAnsi="Arial" w:cs="Arial"/>
          <w:i/>
          <w:iCs/>
        </w:rPr>
        <w:t>devastating</w:t>
      </w:r>
      <w:r w:rsidR="00E42A93">
        <w:rPr>
          <w:rFonts w:ascii="Arial" w:hAnsi="Arial" w:cs="Arial"/>
        </w:rPr>
        <w:t>”, and “</w:t>
      </w:r>
      <w:r w:rsidR="00E42A93" w:rsidRPr="007E4547">
        <w:rPr>
          <w:rFonts w:ascii="Arial" w:hAnsi="Arial" w:cs="Arial"/>
          <w:i/>
          <w:iCs/>
        </w:rPr>
        <w:t>appalling</w:t>
      </w:r>
      <w:r w:rsidR="00E42A93">
        <w:rPr>
          <w:rFonts w:ascii="Arial" w:hAnsi="Arial" w:cs="Arial"/>
        </w:rPr>
        <w:t xml:space="preserve">”. </w:t>
      </w:r>
    </w:p>
    <w:p w14:paraId="6FCC30CD" w14:textId="25C0B44F" w:rsidR="00EA5098" w:rsidRDefault="00EA5098" w:rsidP="002244F1">
      <w:pPr>
        <w:spacing w:line="480" w:lineRule="auto"/>
        <w:rPr>
          <w:rFonts w:ascii="Arial" w:hAnsi="Arial" w:cs="Arial"/>
        </w:rPr>
      </w:pPr>
      <w:r>
        <w:rPr>
          <w:rFonts w:ascii="Arial" w:hAnsi="Arial" w:cs="Arial"/>
        </w:rPr>
        <w:lastRenderedPageBreak/>
        <w:t xml:space="preserve">There are many services available for victims of crime. Victim Support was established in </w:t>
      </w:r>
      <w:r w:rsidR="00786500">
        <w:rPr>
          <w:rFonts w:ascii="Arial" w:hAnsi="Arial" w:cs="Arial"/>
        </w:rPr>
        <w:t>the 1970’s and offers help and support to victims of almost all crime. Developments and changes played a significant role “</w:t>
      </w:r>
      <w:r w:rsidR="00786500" w:rsidRPr="007E4547">
        <w:rPr>
          <w:rFonts w:ascii="Arial" w:hAnsi="Arial" w:cs="Arial"/>
          <w:i/>
          <w:iCs/>
        </w:rPr>
        <w:t>in changing political and policy landscape for victims</w:t>
      </w:r>
      <w:r w:rsidR="00786500">
        <w:rPr>
          <w:rFonts w:ascii="Arial" w:hAnsi="Arial" w:cs="Arial"/>
        </w:rPr>
        <w:t xml:space="preserve">” (Davies et al., 2017: p. 22). </w:t>
      </w:r>
      <w:r w:rsidR="00CC217A">
        <w:rPr>
          <w:rFonts w:ascii="Arial" w:hAnsi="Arial" w:cs="Arial"/>
        </w:rPr>
        <w:t>Newburn (2017) reported that it was found that</w:t>
      </w:r>
      <w:r w:rsidR="00FD6013">
        <w:rPr>
          <w:rFonts w:ascii="Arial" w:hAnsi="Arial" w:cs="Arial"/>
        </w:rPr>
        <w:t>, when it was first created, V</w:t>
      </w:r>
      <w:r w:rsidR="00CC217A">
        <w:rPr>
          <w:rFonts w:ascii="Arial" w:hAnsi="Arial" w:cs="Arial"/>
        </w:rPr>
        <w:t xml:space="preserve">ictim </w:t>
      </w:r>
      <w:r w:rsidR="00FD6013">
        <w:rPr>
          <w:rFonts w:ascii="Arial" w:hAnsi="Arial" w:cs="Arial"/>
        </w:rPr>
        <w:t>S</w:t>
      </w:r>
      <w:r w:rsidR="00CC217A">
        <w:rPr>
          <w:rFonts w:ascii="Arial" w:hAnsi="Arial" w:cs="Arial"/>
        </w:rPr>
        <w:t xml:space="preserve">upport </w:t>
      </w:r>
      <w:r w:rsidR="009139E9">
        <w:rPr>
          <w:rFonts w:ascii="Arial" w:hAnsi="Arial" w:cs="Arial"/>
        </w:rPr>
        <w:t xml:space="preserve">(VS) </w:t>
      </w:r>
      <w:r w:rsidR="00CC217A">
        <w:rPr>
          <w:rFonts w:ascii="Arial" w:hAnsi="Arial" w:cs="Arial"/>
        </w:rPr>
        <w:t xml:space="preserve">was in high demand due </w:t>
      </w:r>
      <w:r w:rsidR="00FD6013">
        <w:rPr>
          <w:rFonts w:ascii="Arial" w:hAnsi="Arial" w:cs="Arial"/>
        </w:rPr>
        <w:t xml:space="preserve">to the support it provided for victims. </w:t>
      </w:r>
      <w:r w:rsidR="009139E9">
        <w:rPr>
          <w:rFonts w:ascii="Arial" w:hAnsi="Arial" w:cs="Arial"/>
        </w:rPr>
        <w:t>For VS to run effectively, they started recruiting volunteers. By 1977, there were 13 schemes in England and Wales across England and Wales</w:t>
      </w:r>
      <w:r w:rsidR="006E0AEC">
        <w:rPr>
          <w:rFonts w:ascii="Arial" w:hAnsi="Arial" w:cs="Arial"/>
        </w:rPr>
        <w:t>, however, there were struggles financially due to fundraising. VS</w:t>
      </w:r>
      <w:r w:rsidR="000F5198">
        <w:rPr>
          <w:rFonts w:ascii="Arial" w:hAnsi="Arial" w:cs="Arial"/>
        </w:rPr>
        <w:t xml:space="preserve"> increased with quantity as well as </w:t>
      </w:r>
      <w:r w:rsidR="000C0A88">
        <w:rPr>
          <w:rFonts w:ascii="Arial" w:hAnsi="Arial" w:cs="Arial"/>
        </w:rPr>
        <w:t>with the support they can offer victims, including summary and indictable offence such as rape and murder (Newburn, 2017). By 1990, there were victim</w:t>
      </w:r>
      <w:r w:rsidR="00712815">
        <w:rPr>
          <w:rFonts w:ascii="Arial" w:hAnsi="Arial" w:cs="Arial"/>
        </w:rPr>
        <w:t xml:space="preserve"> and witness support programmes in </w:t>
      </w:r>
      <w:r w:rsidR="00B7599E">
        <w:rPr>
          <w:rFonts w:ascii="Arial" w:hAnsi="Arial" w:cs="Arial"/>
        </w:rPr>
        <w:t>several</w:t>
      </w:r>
      <w:r w:rsidR="00712815">
        <w:rPr>
          <w:rFonts w:ascii="Arial" w:hAnsi="Arial" w:cs="Arial"/>
        </w:rPr>
        <w:t xml:space="preserve"> Crown Court centres in England and Wales. </w:t>
      </w:r>
      <w:r w:rsidR="00C240A6">
        <w:rPr>
          <w:rFonts w:ascii="Arial" w:hAnsi="Arial" w:cs="Arial"/>
        </w:rPr>
        <w:t>Hale et al. (2013: p. 465) stated that “</w:t>
      </w:r>
      <w:r w:rsidR="00C240A6" w:rsidRPr="006F49AA">
        <w:rPr>
          <w:rFonts w:ascii="Arial" w:hAnsi="Arial" w:cs="Arial"/>
          <w:i/>
          <w:iCs/>
        </w:rPr>
        <w:t>provisions and victim assistance schemes</w:t>
      </w:r>
      <w:r w:rsidR="00C240A6">
        <w:rPr>
          <w:rFonts w:ascii="Arial" w:hAnsi="Arial" w:cs="Arial"/>
        </w:rPr>
        <w:t xml:space="preserve">” are now seen across the world which are available </w:t>
      </w:r>
      <w:r w:rsidR="00B7599E">
        <w:rPr>
          <w:rFonts w:ascii="Arial" w:hAnsi="Arial" w:cs="Arial"/>
        </w:rPr>
        <w:t xml:space="preserve">under statute or through charities and voluntary groups. </w:t>
      </w:r>
    </w:p>
    <w:p w14:paraId="07AD9BA4" w14:textId="44C91134" w:rsidR="00B7599E" w:rsidRDefault="00B7599E" w:rsidP="002244F1">
      <w:pPr>
        <w:spacing w:line="480" w:lineRule="auto"/>
        <w:rPr>
          <w:rFonts w:ascii="Arial" w:hAnsi="Arial" w:cs="Arial"/>
        </w:rPr>
      </w:pPr>
      <w:r>
        <w:rPr>
          <w:rFonts w:ascii="Arial" w:hAnsi="Arial" w:cs="Arial"/>
        </w:rPr>
        <w:t xml:space="preserve">The Mayor’s Office for Policing and Crime </w:t>
      </w:r>
      <w:r w:rsidR="00823A30">
        <w:rPr>
          <w:rFonts w:ascii="Arial" w:hAnsi="Arial" w:cs="Arial"/>
        </w:rPr>
        <w:t>(MOPAC) offers “</w:t>
      </w:r>
      <w:r w:rsidR="00823A30" w:rsidRPr="006F49AA">
        <w:rPr>
          <w:rFonts w:ascii="Arial" w:hAnsi="Arial" w:cs="Arial"/>
          <w:i/>
          <w:iCs/>
        </w:rPr>
        <w:t>support and interventions</w:t>
      </w:r>
      <w:r w:rsidR="00823A30">
        <w:rPr>
          <w:rFonts w:ascii="Arial" w:hAnsi="Arial" w:cs="Arial"/>
        </w:rPr>
        <w:t xml:space="preserve">” for victims and witnesses of crime. The MOPAC purely focuses </w:t>
      </w:r>
      <w:r w:rsidR="00DD3029">
        <w:rPr>
          <w:rFonts w:ascii="Arial" w:hAnsi="Arial" w:cs="Arial"/>
        </w:rPr>
        <w:t>on the support of adult victims and witnesses and provides specific services for specific crimes such as rape and sexual violence, stalking, sexual abuse, exploitation and more. The support includes emotional and practical support</w:t>
      </w:r>
      <w:r w:rsidR="005E7FF2">
        <w:rPr>
          <w:rFonts w:ascii="Arial" w:hAnsi="Arial" w:cs="Arial"/>
        </w:rPr>
        <w:t>, as well as advice, “</w:t>
      </w:r>
      <w:r w:rsidR="005E7FF2" w:rsidRPr="006F49AA">
        <w:rPr>
          <w:rFonts w:ascii="Arial" w:hAnsi="Arial" w:cs="Arial"/>
          <w:i/>
          <w:iCs/>
        </w:rPr>
        <w:t>access to Restorative justice</w:t>
      </w:r>
      <w:r w:rsidR="005E7FF2">
        <w:rPr>
          <w:rFonts w:ascii="Arial" w:hAnsi="Arial" w:cs="Arial"/>
        </w:rPr>
        <w:t>”, and “</w:t>
      </w:r>
      <w:r w:rsidR="005E7FF2" w:rsidRPr="006F49AA">
        <w:rPr>
          <w:rFonts w:ascii="Arial" w:hAnsi="Arial" w:cs="Arial"/>
          <w:i/>
          <w:iCs/>
        </w:rPr>
        <w:t>Pre-trial support for witnesses</w:t>
      </w:r>
      <w:r w:rsidR="005E7FF2">
        <w:rPr>
          <w:rFonts w:ascii="Arial" w:hAnsi="Arial" w:cs="Arial"/>
        </w:rPr>
        <w:t>” (Mayor of London, 2023).</w:t>
      </w:r>
      <w:r>
        <w:rPr>
          <w:rFonts w:ascii="Arial" w:hAnsi="Arial" w:cs="Arial"/>
        </w:rPr>
        <w:t xml:space="preserve"> </w:t>
      </w:r>
    </w:p>
    <w:p w14:paraId="70A5DE77" w14:textId="24C42132" w:rsidR="007160C1" w:rsidRDefault="005A6C2B" w:rsidP="002244F1">
      <w:pPr>
        <w:spacing w:line="480" w:lineRule="auto"/>
        <w:rPr>
          <w:rFonts w:ascii="Arial" w:hAnsi="Arial" w:cs="Arial"/>
        </w:rPr>
      </w:pPr>
      <w:r>
        <w:rPr>
          <w:rFonts w:ascii="Arial" w:hAnsi="Arial" w:cs="Arial"/>
        </w:rPr>
        <w:t xml:space="preserve">According to the NSPCC (2022), England </w:t>
      </w:r>
      <w:r w:rsidR="00AF198E">
        <w:rPr>
          <w:rFonts w:ascii="Arial" w:hAnsi="Arial" w:cs="Arial"/>
        </w:rPr>
        <w:t xml:space="preserve">defines </w:t>
      </w:r>
      <w:r>
        <w:rPr>
          <w:rFonts w:ascii="Arial" w:hAnsi="Arial" w:cs="Arial"/>
        </w:rPr>
        <w:t>a child as “</w:t>
      </w:r>
      <w:r w:rsidRPr="006F49AA">
        <w:rPr>
          <w:rFonts w:ascii="Arial" w:hAnsi="Arial" w:cs="Arial"/>
          <w:i/>
          <w:iCs/>
        </w:rPr>
        <w:t>anyone who has not reached their 18</w:t>
      </w:r>
      <w:r w:rsidRPr="006F49AA">
        <w:rPr>
          <w:rFonts w:ascii="Arial" w:hAnsi="Arial" w:cs="Arial"/>
          <w:i/>
          <w:iCs/>
          <w:vertAlign w:val="superscript"/>
        </w:rPr>
        <w:t>th</w:t>
      </w:r>
      <w:r w:rsidRPr="006F49AA">
        <w:rPr>
          <w:rFonts w:ascii="Arial" w:hAnsi="Arial" w:cs="Arial"/>
          <w:i/>
          <w:iCs/>
        </w:rPr>
        <w:t xml:space="preserve"> birthday</w:t>
      </w:r>
      <w:r>
        <w:rPr>
          <w:rFonts w:ascii="Arial" w:hAnsi="Arial" w:cs="Arial"/>
        </w:rPr>
        <w:t>” and Wales; “</w:t>
      </w:r>
      <w:r w:rsidRPr="006F49AA">
        <w:rPr>
          <w:rFonts w:ascii="Arial" w:hAnsi="Arial" w:cs="Arial"/>
          <w:i/>
          <w:iCs/>
        </w:rPr>
        <w:t>a person who is aged under 18</w:t>
      </w:r>
      <w:r>
        <w:rPr>
          <w:rFonts w:ascii="Arial" w:hAnsi="Arial" w:cs="Arial"/>
        </w:rPr>
        <w:t>”.</w:t>
      </w:r>
      <w:r w:rsidR="00AF198E">
        <w:rPr>
          <w:rFonts w:ascii="Arial" w:hAnsi="Arial" w:cs="Arial"/>
        </w:rPr>
        <w:t xml:space="preserve"> </w:t>
      </w:r>
      <w:r w:rsidR="00350C59">
        <w:rPr>
          <w:rFonts w:ascii="Arial" w:hAnsi="Arial" w:cs="Arial"/>
        </w:rPr>
        <w:t>Children can also be victims of crime, and like the elderly, are also vulnerable.</w:t>
      </w:r>
      <w:r w:rsidR="005E70F7">
        <w:rPr>
          <w:rFonts w:ascii="Arial" w:hAnsi="Arial" w:cs="Arial"/>
        </w:rPr>
        <w:t xml:space="preserve"> There are many services available to children who are victims of crime as well as safeguarding </w:t>
      </w:r>
      <w:r w:rsidR="005E70F7">
        <w:rPr>
          <w:rFonts w:ascii="Arial" w:hAnsi="Arial" w:cs="Arial"/>
        </w:rPr>
        <w:lastRenderedPageBreak/>
        <w:t xml:space="preserve">methods to ensure their protection. (Kennison et al., 2010). </w:t>
      </w:r>
      <w:r w:rsidR="009C533B">
        <w:rPr>
          <w:rFonts w:ascii="Arial" w:hAnsi="Arial" w:cs="Arial"/>
        </w:rPr>
        <w:t xml:space="preserve">Ian Huntley murdered two </w:t>
      </w:r>
      <w:r w:rsidR="0098468F">
        <w:rPr>
          <w:rFonts w:ascii="Arial" w:hAnsi="Arial" w:cs="Arial"/>
        </w:rPr>
        <w:t>schoolgirls</w:t>
      </w:r>
      <w:r w:rsidR="003F2719">
        <w:rPr>
          <w:rFonts w:ascii="Arial" w:hAnsi="Arial" w:cs="Arial"/>
        </w:rPr>
        <w:t>, he</w:t>
      </w:r>
      <w:r w:rsidR="009C533B">
        <w:rPr>
          <w:rFonts w:ascii="Arial" w:hAnsi="Arial" w:cs="Arial"/>
        </w:rPr>
        <w:t xml:space="preserve"> was able to work at a school despite </w:t>
      </w:r>
      <w:r w:rsidR="003F2719">
        <w:rPr>
          <w:rFonts w:ascii="Arial" w:hAnsi="Arial" w:cs="Arial"/>
        </w:rPr>
        <w:t xml:space="preserve">his offender history due to the lack of communication between police forces and the failings by the police. </w:t>
      </w:r>
      <w:r w:rsidR="0098468F">
        <w:rPr>
          <w:rFonts w:ascii="Arial" w:hAnsi="Arial" w:cs="Arial"/>
        </w:rPr>
        <w:t xml:space="preserve">After the Huntley case, the Bichard Inquiry (2004) </w:t>
      </w:r>
      <w:r w:rsidR="00C14747">
        <w:rPr>
          <w:rFonts w:ascii="Arial" w:hAnsi="Arial" w:cs="Arial"/>
        </w:rPr>
        <w:t>made and there was a development of the IMPACT (Information, Management, Prioritisation, Analysis, Co</w:t>
      </w:r>
      <w:r w:rsidR="009270BC">
        <w:rPr>
          <w:rFonts w:ascii="Arial" w:hAnsi="Arial" w:cs="Arial"/>
        </w:rPr>
        <w:t xml:space="preserve">- </w:t>
      </w:r>
      <w:r w:rsidR="006346DA">
        <w:rPr>
          <w:rFonts w:ascii="Arial" w:hAnsi="Arial" w:cs="Arial"/>
        </w:rPr>
        <w:t>ordination,</w:t>
      </w:r>
      <w:r w:rsidR="00C14747">
        <w:rPr>
          <w:rFonts w:ascii="Arial" w:hAnsi="Arial" w:cs="Arial"/>
        </w:rPr>
        <w:t xml:space="preserve"> and Tasking) programme which created </w:t>
      </w:r>
      <w:r w:rsidR="006346DA">
        <w:rPr>
          <w:rFonts w:ascii="Arial" w:hAnsi="Arial" w:cs="Arial"/>
        </w:rPr>
        <w:t>“</w:t>
      </w:r>
      <w:r w:rsidR="006346DA" w:rsidRPr="006F49AA">
        <w:rPr>
          <w:rFonts w:ascii="Arial" w:hAnsi="Arial" w:cs="Arial"/>
          <w:i/>
          <w:iCs/>
        </w:rPr>
        <w:t>significant changes in working practice</w:t>
      </w:r>
      <w:r w:rsidR="006346DA">
        <w:rPr>
          <w:rFonts w:ascii="Arial" w:hAnsi="Arial" w:cs="Arial"/>
        </w:rPr>
        <w:t xml:space="preserve">” (Kennison et al., 2010: p. 123) to ensure the protection of children and ensure that any cases </w:t>
      </w:r>
      <w:r w:rsidR="006F49AA">
        <w:rPr>
          <w:rFonts w:ascii="Arial" w:hAnsi="Arial" w:cs="Arial"/>
        </w:rPr>
        <w:t>like</w:t>
      </w:r>
      <w:r w:rsidR="006346DA">
        <w:rPr>
          <w:rFonts w:ascii="Arial" w:hAnsi="Arial" w:cs="Arial"/>
        </w:rPr>
        <w:t xml:space="preserve"> Huntley would not happen again. However, even with the safeguarding of children, they are still becoming victims of crime, as seen in the case of Victoria Climbé who was murdered by her great- aunt and her partner. According to Kennison et al. (2010: p. </w:t>
      </w:r>
      <w:r w:rsidR="003C501E">
        <w:rPr>
          <w:rFonts w:ascii="Arial" w:hAnsi="Arial" w:cs="Arial"/>
        </w:rPr>
        <w:t>115), it was found that her murders could have been prevented on 12 occasions due to “</w:t>
      </w:r>
      <w:r w:rsidR="003C501E" w:rsidRPr="006F49AA">
        <w:rPr>
          <w:rFonts w:ascii="Arial" w:hAnsi="Arial" w:cs="Arial"/>
          <w:i/>
          <w:iCs/>
        </w:rPr>
        <w:t>all the key agencies failing to protect her</w:t>
      </w:r>
      <w:r w:rsidR="003C501E">
        <w:rPr>
          <w:rFonts w:ascii="Arial" w:hAnsi="Arial" w:cs="Arial"/>
        </w:rPr>
        <w:t>”.</w:t>
      </w:r>
    </w:p>
    <w:p w14:paraId="05AB243A" w14:textId="5E00394A" w:rsidR="001F48D1" w:rsidRDefault="001F48D1" w:rsidP="002244F1">
      <w:pPr>
        <w:spacing w:line="480" w:lineRule="auto"/>
        <w:rPr>
          <w:rFonts w:ascii="Arial" w:hAnsi="Arial" w:cs="Arial"/>
        </w:rPr>
      </w:pPr>
      <w:r>
        <w:rPr>
          <w:rFonts w:ascii="Arial" w:hAnsi="Arial" w:cs="Arial"/>
        </w:rPr>
        <w:t xml:space="preserve">In conclusion, although there has been a significant </w:t>
      </w:r>
      <w:r w:rsidR="00334536">
        <w:rPr>
          <w:rFonts w:ascii="Arial" w:hAnsi="Arial" w:cs="Arial"/>
        </w:rPr>
        <w:t>change</w:t>
      </w:r>
      <w:r>
        <w:rPr>
          <w:rFonts w:ascii="Arial" w:hAnsi="Arial" w:cs="Arial"/>
        </w:rPr>
        <w:t xml:space="preserve"> to the treatment of victims and the services provided to them, as well as developments and a</w:t>
      </w:r>
      <w:r w:rsidR="00C42E05">
        <w:rPr>
          <w:rFonts w:ascii="Arial" w:hAnsi="Arial" w:cs="Arial"/>
        </w:rPr>
        <w:t>mendments made to legislation, it is evident that more needs to be done to ensure the protection of adult and child victims and vulnerable individuals. There also needs to be change in the way victims are being treated within the criminal justice system</w:t>
      </w:r>
      <w:r w:rsidR="00334536">
        <w:rPr>
          <w:rFonts w:ascii="Arial" w:hAnsi="Arial" w:cs="Arial"/>
        </w:rPr>
        <w:t xml:space="preserve"> to prevent them from experience secondary victimisation. </w:t>
      </w:r>
      <w:r w:rsidR="00C42E05">
        <w:rPr>
          <w:rFonts w:ascii="Arial" w:hAnsi="Arial" w:cs="Arial"/>
        </w:rPr>
        <w:t xml:space="preserve"> </w:t>
      </w:r>
    </w:p>
    <w:p w14:paraId="230AF5D2" w14:textId="77777777" w:rsidR="004C5D3C" w:rsidRPr="0027334C" w:rsidRDefault="004C5D3C" w:rsidP="002244F1">
      <w:pPr>
        <w:spacing w:line="480" w:lineRule="auto"/>
        <w:rPr>
          <w:rFonts w:ascii="Arial" w:hAnsi="Arial" w:cs="Arial"/>
        </w:rPr>
      </w:pPr>
    </w:p>
    <w:p w14:paraId="4AF72955" w14:textId="06F96FE2" w:rsidR="0018534E" w:rsidRDefault="0018534E" w:rsidP="002244F1">
      <w:pPr>
        <w:spacing w:line="480" w:lineRule="auto"/>
        <w:rPr>
          <w:rFonts w:ascii="Arial" w:hAnsi="Arial" w:cs="Arial"/>
        </w:rPr>
      </w:pPr>
    </w:p>
    <w:p w14:paraId="09CC6A96" w14:textId="77777777" w:rsidR="0018534E" w:rsidRPr="0018534E" w:rsidRDefault="0018534E" w:rsidP="002244F1">
      <w:pPr>
        <w:spacing w:line="480" w:lineRule="auto"/>
        <w:rPr>
          <w:rFonts w:ascii="Arial" w:hAnsi="Arial" w:cs="Arial"/>
        </w:rPr>
      </w:pPr>
    </w:p>
    <w:p w14:paraId="617E3794" w14:textId="42270381" w:rsidR="00973011" w:rsidRDefault="00973011" w:rsidP="002244F1">
      <w:pPr>
        <w:spacing w:line="480" w:lineRule="auto"/>
        <w:rPr>
          <w:rFonts w:ascii="Arial" w:hAnsi="Arial" w:cs="Arial"/>
        </w:rPr>
      </w:pPr>
    </w:p>
    <w:p w14:paraId="6DBE446D" w14:textId="3753FE43" w:rsidR="00973011" w:rsidRDefault="00973011" w:rsidP="002244F1">
      <w:pPr>
        <w:spacing w:line="480" w:lineRule="auto"/>
        <w:rPr>
          <w:rFonts w:ascii="Arial" w:hAnsi="Arial" w:cs="Arial"/>
        </w:rPr>
      </w:pPr>
    </w:p>
    <w:p w14:paraId="2C4E2323" w14:textId="4CA6C48A" w:rsidR="00973011" w:rsidRDefault="00973011" w:rsidP="002244F1">
      <w:pPr>
        <w:spacing w:line="480" w:lineRule="auto"/>
        <w:rPr>
          <w:rFonts w:ascii="Arial" w:hAnsi="Arial" w:cs="Arial"/>
        </w:rPr>
      </w:pPr>
    </w:p>
    <w:p w14:paraId="34CEBF45" w14:textId="7A8C8B6F" w:rsidR="00973011" w:rsidRDefault="00973011" w:rsidP="002244F1">
      <w:pPr>
        <w:spacing w:line="480" w:lineRule="auto"/>
        <w:rPr>
          <w:rFonts w:ascii="Arial" w:hAnsi="Arial" w:cs="Arial"/>
        </w:rPr>
      </w:pPr>
    </w:p>
    <w:p w14:paraId="14BE0CDE" w14:textId="77777777" w:rsidR="00C42E05" w:rsidRDefault="00C42E05" w:rsidP="002244F1">
      <w:pPr>
        <w:spacing w:line="480" w:lineRule="auto"/>
        <w:rPr>
          <w:rFonts w:ascii="Arial" w:hAnsi="Arial" w:cs="Arial"/>
        </w:rPr>
      </w:pPr>
    </w:p>
    <w:p w14:paraId="261C9C76" w14:textId="38E2964E" w:rsidR="001B7E48" w:rsidRPr="001B7E48" w:rsidRDefault="00973011" w:rsidP="001B7E48">
      <w:pPr>
        <w:spacing w:line="480" w:lineRule="auto"/>
        <w:rPr>
          <w:rFonts w:ascii="Arial" w:hAnsi="Arial" w:cs="Arial"/>
          <w:u w:val="single"/>
        </w:rPr>
      </w:pPr>
      <w:r w:rsidRPr="001B7E48">
        <w:rPr>
          <w:rFonts w:ascii="Arial" w:hAnsi="Arial" w:cs="Arial"/>
          <w:u w:val="single"/>
        </w:rPr>
        <w:t>Reference list</w:t>
      </w:r>
    </w:p>
    <w:p w14:paraId="4486CCA5" w14:textId="77777777" w:rsidR="001B7E48" w:rsidRPr="001B7E48" w:rsidRDefault="001B7E48" w:rsidP="001B7E48">
      <w:pPr>
        <w:pStyle w:val="ListParagraph"/>
        <w:numPr>
          <w:ilvl w:val="0"/>
          <w:numId w:val="1"/>
        </w:numPr>
        <w:spacing w:line="480" w:lineRule="auto"/>
        <w:rPr>
          <w:rFonts w:ascii="Arial" w:hAnsi="Arial" w:cs="Arial"/>
        </w:rPr>
      </w:pPr>
      <w:r w:rsidRPr="001B7E48">
        <w:rPr>
          <w:rFonts w:ascii="Arial" w:hAnsi="Arial" w:cs="Arial"/>
        </w:rPr>
        <w:t>Baird, V. (2022) "</w:t>
      </w:r>
      <w:r w:rsidRPr="001B7E48">
        <w:rPr>
          <w:rFonts w:ascii="Arial" w:hAnsi="Arial" w:cs="Arial"/>
          <w:i/>
          <w:iCs/>
        </w:rPr>
        <w:t>A vision for victims- participants, not bystanders</w:t>
      </w:r>
      <w:r w:rsidRPr="001B7E48">
        <w:rPr>
          <w:rFonts w:ascii="Arial" w:hAnsi="Arial" w:cs="Arial"/>
        </w:rPr>
        <w:t xml:space="preserve">" Victims Commissioner. - </w:t>
      </w:r>
      <w:hyperlink r:id="rId5" w:history="1">
        <w:r w:rsidRPr="001B7E48">
          <w:rPr>
            <w:rStyle w:val="Hyperlink"/>
            <w:rFonts w:ascii="Arial" w:hAnsi="Arial" w:cs="Arial"/>
          </w:rPr>
          <w:t>https://victimscommissioner.org.uk/news/a-vision-for-victims-participants-not-bystanders/</w:t>
        </w:r>
      </w:hyperlink>
      <w:r w:rsidRPr="001B7E48">
        <w:rPr>
          <w:rFonts w:ascii="Arial" w:hAnsi="Arial" w:cs="Arial"/>
        </w:rPr>
        <w:t xml:space="preserve"> (Accessed 21/02/23)</w:t>
      </w:r>
    </w:p>
    <w:p w14:paraId="1085CF4F" w14:textId="77777777" w:rsidR="001B7E48" w:rsidRPr="001B7E48" w:rsidRDefault="001B7E48" w:rsidP="001B7E48">
      <w:pPr>
        <w:pStyle w:val="ListParagraph"/>
        <w:numPr>
          <w:ilvl w:val="0"/>
          <w:numId w:val="1"/>
        </w:numPr>
        <w:spacing w:line="480" w:lineRule="auto"/>
        <w:rPr>
          <w:rFonts w:ascii="Arial" w:hAnsi="Arial" w:cs="Arial"/>
        </w:rPr>
      </w:pPr>
      <w:r w:rsidRPr="001B7E48">
        <w:rPr>
          <w:rFonts w:ascii="Arial" w:hAnsi="Arial" w:cs="Arial"/>
        </w:rPr>
        <w:t>Booth, R. (2014) "</w:t>
      </w:r>
      <w:r w:rsidRPr="001B7E48">
        <w:rPr>
          <w:rFonts w:ascii="Arial" w:hAnsi="Arial" w:cs="Arial"/>
          <w:i/>
          <w:iCs/>
        </w:rPr>
        <w:t>UK care home where workers abused resident may face criminal action</w:t>
      </w:r>
      <w:r w:rsidRPr="001B7E48">
        <w:rPr>
          <w:rFonts w:ascii="Arial" w:hAnsi="Arial" w:cs="Arial"/>
        </w:rPr>
        <w:t xml:space="preserve">" The Guardian. - </w:t>
      </w:r>
      <w:hyperlink r:id="rId6" w:history="1">
        <w:r w:rsidRPr="001B7E48">
          <w:rPr>
            <w:rStyle w:val="Hyperlink"/>
            <w:rFonts w:ascii="Arial" w:hAnsi="Arial" w:cs="Arial"/>
          </w:rPr>
          <w:t>https://www.theguardian.com/society/2022/oct/14/uk-care-home-where-workers-abused-resident-may-face-criminal-action-ann-king</w:t>
        </w:r>
      </w:hyperlink>
      <w:r w:rsidRPr="001B7E48">
        <w:rPr>
          <w:rFonts w:ascii="Arial" w:hAnsi="Arial" w:cs="Arial"/>
        </w:rPr>
        <w:t xml:space="preserve"> (Accessed 01/ 03/ 23)</w:t>
      </w:r>
    </w:p>
    <w:p w14:paraId="4AE67553" w14:textId="77777777" w:rsidR="001B7E48" w:rsidRPr="001B7E48" w:rsidRDefault="001B7E48" w:rsidP="001B7E48">
      <w:pPr>
        <w:pStyle w:val="ListParagraph"/>
        <w:numPr>
          <w:ilvl w:val="0"/>
          <w:numId w:val="1"/>
        </w:numPr>
        <w:spacing w:line="480" w:lineRule="auto"/>
        <w:rPr>
          <w:rFonts w:ascii="Arial" w:hAnsi="Arial" w:cs="Arial"/>
        </w:rPr>
      </w:pPr>
      <w:r w:rsidRPr="001B7E48">
        <w:rPr>
          <w:rFonts w:ascii="Arial" w:hAnsi="Arial" w:cs="Arial"/>
        </w:rPr>
        <w:t>Ceredigion County Council. (2023) "</w:t>
      </w:r>
      <w:r w:rsidRPr="001B7E48">
        <w:rPr>
          <w:rFonts w:ascii="Arial" w:hAnsi="Arial" w:cs="Arial"/>
          <w:i/>
          <w:iCs/>
        </w:rPr>
        <w:t>Raising awareness of vulnerability crimes</w:t>
      </w:r>
      <w:r w:rsidRPr="001B7E48">
        <w:rPr>
          <w:rFonts w:ascii="Arial" w:hAnsi="Arial" w:cs="Arial"/>
        </w:rPr>
        <w:t xml:space="preserve">" </w:t>
      </w:r>
      <w:proofErr w:type="spellStart"/>
      <w:r w:rsidRPr="001B7E48">
        <w:rPr>
          <w:rFonts w:ascii="Arial" w:hAnsi="Arial" w:cs="Arial"/>
        </w:rPr>
        <w:t>Cyngor</w:t>
      </w:r>
      <w:proofErr w:type="spellEnd"/>
      <w:r w:rsidRPr="001B7E48">
        <w:rPr>
          <w:rFonts w:ascii="Arial" w:hAnsi="Arial" w:cs="Arial"/>
        </w:rPr>
        <w:t xml:space="preserve"> Sir. - </w:t>
      </w:r>
      <w:hyperlink r:id="rId7" w:history="1">
        <w:r w:rsidRPr="001B7E48">
          <w:rPr>
            <w:rStyle w:val="Hyperlink"/>
            <w:rFonts w:ascii="Arial" w:hAnsi="Arial" w:cs="Arial"/>
          </w:rPr>
          <w:t>https://www.ceredigion.gov.uk/your-council/partnerships/ceredigion-public-services-board/community-safety/raising-awareness-of-vulnerability-crimes/</w:t>
        </w:r>
      </w:hyperlink>
      <w:r w:rsidRPr="001B7E48">
        <w:rPr>
          <w:rFonts w:ascii="Arial" w:hAnsi="Arial" w:cs="Arial"/>
        </w:rPr>
        <w:t xml:space="preserve"> (Accessed 21/ 02/ 23)</w:t>
      </w:r>
    </w:p>
    <w:p w14:paraId="73713999" w14:textId="77777777" w:rsidR="001B7E48" w:rsidRPr="001B7E48" w:rsidRDefault="001B7E48" w:rsidP="001B7E48">
      <w:pPr>
        <w:pStyle w:val="ListParagraph"/>
        <w:numPr>
          <w:ilvl w:val="0"/>
          <w:numId w:val="1"/>
        </w:numPr>
        <w:spacing w:line="480" w:lineRule="auto"/>
        <w:rPr>
          <w:rFonts w:ascii="Arial" w:hAnsi="Arial" w:cs="Arial"/>
        </w:rPr>
      </w:pPr>
      <w:r w:rsidRPr="001B7E48">
        <w:rPr>
          <w:rFonts w:ascii="Arial" w:hAnsi="Arial" w:cs="Arial"/>
        </w:rPr>
        <w:t>College of Policing. (2021) "</w:t>
      </w:r>
      <w:r w:rsidRPr="001B7E48">
        <w:rPr>
          <w:rFonts w:ascii="Arial" w:hAnsi="Arial" w:cs="Arial"/>
          <w:i/>
          <w:iCs/>
        </w:rPr>
        <w:t>Introduction to vulnerability- related risk</w:t>
      </w:r>
      <w:r w:rsidRPr="001B7E48">
        <w:rPr>
          <w:rFonts w:ascii="Arial" w:hAnsi="Arial" w:cs="Arial"/>
        </w:rPr>
        <w:t xml:space="preserve">" College of Policing.- </w:t>
      </w:r>
      <w:hyperlink r:id="rId8" w:history="1">
        <w:r w:rsidRPr="001B7E48">
          <w:rPr>
            <w:rStyle w:val="Hyperlink"/>
            <w:rFonts w:ascii="Arial" w:hAnsi="Arial" w:cs="Arial"/>
          </w:rPr>
          <w:t>https://www.college.police.uk/guidance/vulnerability-related-risks/introduction-vulnerability-related-risk</w:t>
        </w:r>
      </w:hyperlink>
      <w:r w:rsidRPr="001B7E48">
        <w:rPr>
          <w:rFonts w:ascii="Arial" w:hAnsi="Arial" w:cs="Arial"/>
        </w:rPr>
        <w:t xml:space="preserve"> (Accessed 21/ 02/ 23).</w:t>
      </w:r>
    </w:p>
    <w:p w14:paraId="0AE5B2DC" w14:textId="422073FA" w:rsidR="001B7E48" w:rsidRPr="001B7E48" w:rsidRDefault="001B7E48" w:rsidP="001B7E48">
      <w:pPr>
        <w:pStyle w:val="NormalWeb"/>
        <w:numPr>
          <w:ilvl w:val="0"/>
          <w:numId w:val="1"/>
        </w:numPr>
        <w:spacing w:before="0" w:beforeAutospacing="0" w:after="0" w:afterAutospacing="0" w:line="480" w:lineRule="auto"/>
        <w:rPr>
          <w:rFonts w:ascii="Arial" w:hAnsi="Arial" w:cs="Arial"/>
        </w:rPr>
      </w:pPr>
      <w:r w:rsidRPr="001B7E48">
        <w:rPr>
          <w:rFonts w:ascii="Arial" w:hAnsi="Arial" w:cs="Arial"/>
        </w:rPr>
        <w:t>CPS. (2021) "</w:t>
      </w:r>
      <w:r w:rsidRPr="00920EB2">
        <w:rPr>
          <w:rFonts w:ascii="Arial" w:hAnsi="Arial" w:cs="Arial"/>
          <w:i/>
          <w:iCs/>
        </w:rPr>
        <w:t>Victims and Witness: Care and Treatment</w:t>
      </w:r>
      <w:r w:rsidR="00920EB2" w:rsidRPr="00920EB2">
        <w:rPr>
          <w:rFonts w:ascii="Arial" w:hAnsi="Arial" w:cs="Arial"/>
          <w:i/>
          <w:iCs/>
        </w:rPr>
        <w:t>”</w:t>
      </w:r>
      <w:r w:rsidRPr="00920EB2">
        <w:rPr>
          <w:rFonts w:ascii="Arial" w:hAnsi="Arial" w:cs="Arial"/>
          <w:i/>
          <w:iCs/>
        </w:rPr>
        <w:t>.</w:t>
      </w:r>
      <w:r w:rsidR="00920EB2">
        <w:rPr>
          <w:rFonts w:ascii="Arial" w:hAnsi="Arial" w:cs="Arial"/>
        </w:rPr>
        <w:t xml:space="preserve"> CPS</w:t>
      </w:r>
      <w:r w:rsidRPr="001B7E48">
        <w:rPr>
          <w:rFonts w:ascii="Arial" w:hAnsi="Arial" w:cs="Arial"/>
        </w:rPr>
        <w:t xml:space="preserve"> -</w:t>
      </w:r>
      <w:hyperlink r:id="rId9" w:history="1">
        <w:r w:rsidRPr="001B7E48">
          <w:rPr>
            <w:rStyle w:val="Hyperlink"/>
            <w:rFonts w:ascii="Arial" w:hAnsi="Arial" w:cs="Arial"/>
          </w:rPr>
          <w:t>https://www.cps.gov.uk/legal-guidance/victims-and-witnesses-care-and-treatment</w:t>
        </w:r>
      </w:hyperlink>
      <w:r w:rsidRPr="001B7E48">
        <w:rPr>
          <w:rFonts w:ascii="Arial" w:hAnsi="Arial" w:cs="Arial"/>
        </w:rPr>
        <w:t xml:space="preserve"> (Accessed 11/02/23)</w:t>
      </w:r>
    </w:p>
    <w:p w14:paraId="358CBC8F" w14:textId="77777777" w:rsidR="001B7E48" w:rsidRPr="001B7E48" w:rsidRDefault="001B7E48" w:rsidP="001B7E48">
      <w:pPr>
        <w:pStyle w:val="ListParagraph"/>
        <w:numPr>
          <w:ilvl w:val="0"/>
          <w:numId w:val="1"/>
        </w:numPr>
        <w:spacing w:line="480" w:lineRule="auto"/>
        <w:rPr>
          <w:rFonts w:ascii="Arial" w:hAnsi="Arial" w:cs="Arial"/>
        </w:rPr>
      </w:pPr>
      <w:r w:rsidRPr="001B7E48">
        <w:rPr>
          <w:rFonts w:ascii="Arial" w:hAnsi="Arial" w:cs="Arial"/>
        </w:rPr>
        <w:t>Davies, P., Francis, P., Greer, C. (2017) "</w:t>
      </w:r>
      <w:r w:rsidRPr="00920EB2">
        <w:rPr>
          <w:rFonts w:ascii="Arial" w:hAnsi="Arial" w:cs="Arial"/>
          <w:i/>
          <w:iCs/>
        </w:rPr>
        <w:t>Victims, crime and society</w:t>
      </w:r>
      <w:r w:rsidRPr="001B7E48">
        <w:rPr>
          <w:rFonts w:ascii="Arial" w:hAnsi="Arial" w:cs="Arial"/>
        </w:rPr>
        <w:t>" Second Edition, London: Sage</w:t>
      </w:r>
    </w:p>
    <w:p w14:paraId="44071776" w14:textId="77777777" w:rsidR="001B7E48" w:rsidRPr="001B7E48" w:rsidRDefault="001B7E48" w:rsidP="001B7E48">
      <w:pPr>
        <w:pStyle w:val="ListParagraph"/>
        <w:numPr>
          <w:ilvl w:val="0"/>
          <w:numId w:val="1"/>
        </w:numPr>
        <w:spacing w:line="480" w:lineRule="auto"/>
        <w:rPr>
          <w:rFonts w:ascii="Arial" w:hAnsi="Arial" w:cs="Arial"/>
        </w:rPr>
      </w:pPr>
      <w:r w:rsidRPr="001B7E48">
        <w:rPr>
          <w:rFonts w:ascii="Arial" w:hAnsi="Arial" w:cs="Arial"/>
        </w:rPr>
        <w:t xml:space="preserve">Hale, C., Hayward, K., Wahidin, A., </w:t>
      </w:r>
      <w:proofErr w:type="spellStart"/>
      <w:r w:rsidRPr="001B7E48">
        <w:rPr>
          <w:rFonts w:ascii="Arial" w:hAnsi="Arial" w:cs="Arial"/>
        </w:rPr>
        <w:t>Wincup</w:t>
      </w:r>
      <w:proofErr w:type="spellEnd"/>
      <w:r w:rsidRPr="001B7E48">
        <w:rPr>
          <w:rFonts w:ascii="Arial" w:hAnsi="Arial" w:cs="Arial"/>
        </w:rPr>
        <w:t>, E. (2013) "</w:t>
      </w:r>
      <w:r w:rsidRPr="00920EB2">
        <w:rPr>
          <w:rFonts w:ascii="Arial" w:hAnsi="Arial" w:cs="Arial"/>
          <w:i/>
          <w:iCs/>
        </w:rPr>
        <w:t>Criminology</w:t>
      </w:r>
      <w:r w:rsidRPr="001B7E48">
        <w:rPr>
          <w:rFonts w:ascii="Arial" w:hAnsi="Arial" w:cs="Arial"/>
        </w:rPr>
        <w:t>" Third Edition, Oxford: Oxford University Press</w:t>
      </w:r>
    </w:p>
    <w:p w14:paraId="492CC8C2" w14:textId="77777777" w:rsidR="001B7E48" w:rsidRPr="001B7E48" w:rsidRDefault="001B7E48" w:rsidP="001B7E48">
      <w:pPr>
        <w:pStyle w:val="ListParagraph"/>
        <w:numPr>
          <w:ilvl w:val="0"/>
          <w:numId w:val="1"/>
        </w:numPr>
        <w:spacing w:line="480" w:lineRule="auto"/>
        <w:rPr>
          <w:rFonts w:ascii="Arial" w:hAnsi="Arial" w:cs="Arial"/>
        </w:rPr>
      </w:pPr>
      <w:r w:rsidRPr="001B7E48">
        <w:rPr>
          <w:rFonts w:ascii="Arial" w:hAnsi="Arial" w:cs="Arial"/>
        </w:rPr>
        <w:lastRenderedPageBreak/>
        <w:t>Jones, S. (2021) "</w:t>
      </w:r>
      <w:r w:rsidRPr="00920EB2">
        <w:rPr>
          <w:rFonts w:ascii="Arial" w:hAnsi="Arial" w:cs="Arial"/>
          <w:i/>
          <w:iCs/>
        </w:rPr>
        <w:t>Criminology</w:t>
      </w:r>
      <w:r w:rsidRPr="001B7E48">
        <w:rPr>
          <w:rFonts w:ascii="Arial" w:hAnsi="Arial" w:cs="Arial"/>
        </w:rPr>
        <w:t>" Seventh Edition, Oxford: Oxford University Press.</w:t>
      </w:r>
    </w:p>
    <w:p w14:paraId="6D46C371" w14:textId="14369814" w:rsidR="001B7E48" w:rsidRPr="001B7E48" w:rsidRDefault="001B7E48" w:rsidP="001B7E48">
      <w:pPr>
        <w:pStyle w:val="ListParagraph"/>
        <w:numPr>
          <w:ilvl w:val="0"/>
          <w:numId w:val="1"/>
        </w:numPr>
        <w:spacing w:line="480" w:lineRule="auto"/>
        <w:rPr>
          <w:rFonts w:ascii="Arial" w:hAnsi="Arial" w:cs="Arial"/>
        </w:rPr>
      </w:pPr>
      <w:r w:rsidRPr="001B7E48">
        <w:rPr>
          <w:rFonts w:ascii="Arial" w:hAnsi="Arial" w:cs="Arial"/>
        </w:rPr>
        <w:t>Kennison, P., Goodman, A. (2010) "</w:t>
      </w:r>
      <w:r w:rsidRPr="00920EB2">
        <w:rPr>
          <w:rFonts w:ascii="Arial" w:hAnsi="Arial" w:cs="Arial"/>
          <w:i/>
          <w:iCs/>
        </w:rPr>
        <w:t>Children as Victims</w:t>
      </w:r>
      <w:r w:rsidRPr="001B7E48">
        <w:rPr>
          <w:rFonts w:ascii="Arial" w:hAnsi="Arial" w:cs="Arial"/>
        </w:rPr>
        <w:t>" Exeter: Learning Matters</w:t>
      </w:r>
    </w:p>
    <w:p w14:paraId="0D750472" w14:textId="37FD3EBA" w:rsidR="001B7E48" w:rsidRPr="001B7E48" w:rsidRDefault="001B7E48" w:rsidP="001B7E48">
      <w:pPr>
        <w:pStyle w:val="ListParagraph"/>
        <w:numPr>
          <w:ilvl w:val="0"/>
          <w:numId w:val="1"/>
        </w:numPr>
        <w:spacing w:line="480" w:lineRule="auto"/>
        <w:rPr>
          <w:rFonts w:ascii="Arial" w:hAnsi="Arial" w:cs="Arial"/>
        </w:rPr>
      </w:pPr>
      <w:r w:rsidRPr="001B7E48">
        <w:rPr>
          <w:rFonts w:ascii="Arial" w:hAnsi="Arial" w:cs="Arial"/>
        </w:rPr>
        <w:t>Mayor of London. (2023) "</w:t>
      </w:r>
      <w:r w:rsidRPr="00E969F8">
        <w:rPr>
          <w:rFonts w:ascii="Arial" w:hAnsi="Arial" w:cs="Arial"/>
          <w:i/>
          <w:iCs/>
        </w:rPr>
        <w:t>Supporting Victims and Witnesses</w:t>
      </w:r>
      <w:r w:rsidRPr="001B7E48">
        <w:rPr>
          <w:rFonts w:ascii="Arial" w:hAnsi="Arial" w:cs="Arial"/>
        </w:rPr>
        <w:t xml:space="preserve">" London Assembly: MOPAC. - </w:t>
      </w:r>
      <w:hyperlink r:id="rId10" w:history="1">
        <w:r w:rsidRPr="001B7E48">
          <w:rPr>
            <w:rStyle w:val="Hyperlink"/>
            <w:rFonts w:ascii="Arial" w:hAnsi="Arial" w:cs="Arial"/>
          </w:rPr>
          <w:t>https://www.london.gov.uk/programmes-strategies/mayors-office-policing-and-crime/services-we-fund/supporting-victims-and-witnesses?ac-47930=47921</w:t>
        </w:r>
      </w:hyperlink>
      <w:r w:rsidRPr="001B7E48">
        <w:rPr>
          <w:rFonts w:ascii="Arial" w:hAnsi="Arial" w:cs="Arial"/>
        </w:rPr>
        <w:t xml:space="preserve"> (Accessed 26/ 02/ 23)</w:t>
      </w:r>
    </w:p>
    <w:p w14:paraId="6868EB18" w14:textId="589CB090" w:rsidR="001B7E48" w:rsidRPr="001B7E48" w:rsidRDefault="001B7E48" w:rsidP="001B7E48">
      <w:pPr>
        <w:pStyle w:val="ListParagraph"/>
        <w:numPr>
          <w:ilvl w:val="0"/>
          <w:numId w:val="1"/>
        </w:numPr>
        <w:spacing w:line="480" w:lineRule="auto"/>
        <w:rPr>
          <w:rFonts w:ascii="Arial" w:hAnsi="Arial" w:cs="Arial"/>
        </w:rPr>
      </w:pPr>
      <w:r w:rsidRPr="001B7E48">
        <w:rPr>
          <w:rFonts w:ascii="Arial" w:hAnsi="Arial" w:cs="Arial"/>
          <w:shd w:val="clear" w:color="auto" w:fill="FFFFFF"/>
        </w:rPr>
        <w:t>Ministry of Justice (2013) </w:t>
      </w:r>
      <w:r w:rsidR="00E969F8">
        <w:rPr>
          <w:rFonts w:ascii="Arial" w:hAnsi="Arial" w:cs="Arial"/>
          <w:shd w:val="clear" w:color="auto" w:fill="FFFFFF"/>
        </w:rPr>
        <w:t>“</w:t>
      </w:r>
      <w:r w:rsidR="00E969F8" w:rsidRPr="003A46B7">
        <w:rPr>
          <w:rFonts w:ascii="Arial" w:hAnsi="Arial" w:cs="Arial"/>
          <w:i/>
          <w:iCs/>
          <w:shd w:val="clear" w:color="auto" w:fill="FFFFFF"/>
        </w:rPr>
        <w:t>T</w:t>
      </w:r>
      <w:r w:rsidRPr="003A46B7">
        <w:rPr>
          <w:rFonts w:ascii="Arial" w:hAnsi="Arial" w:cs="Arial"/>
          <w:i/>
          <w:iCs/>
          <w:shd w:val="clear" w:color="auto" w:fill="FFFFFF"/>
        </w:rPr>
        <w:t>he Victims’ Code sets out a minimum standard of service for victims of crime</w:t>
      </w:r>
      <w:r w:rsidR="00E969F8">
        <w:rPr>
          <w:rFonts w:ascii="Arial" w:hAnsi="Arial" w:cs="Arial"/>
          <w:shd w:val="clear" w:color="auto" w:fill="FFFFFF"/>
        </w:rPr>
        <w:t>”</w:t>
      </w:r>
      <w:r w:rsidR="003A46B7">
        <w:rPr>
          <w:rFonts w:ascii="Arial" w:hAnsi="Arial" w:cs="Arial"/>
          <w:shd w:val="clear" w:color="auto" w:fill="FFFFFF"/>
        </w:rPr>
        <w:t>. -</w:t>
      </w:r>
      <w:r w:rsidR="003A46B7" w:rsidRPr="001B7E48">
        <w:rPr>
          <w:rFonts w:ascii="Arial" w:hAnsi="Arial" w:cs="Arial"/>
        </w:rPr>
        <w:t xml:space="preserve"> </w:t>
      </w:r>
      <w:hyperlink r:id="rId11" w:history="1">
        <w:r w:rsidRPr="001B7E48">
          <w:rPr>
            <w:rStyle w:val="Hyperlink"/>
            <w:rFonts w:ascii="Arial" w:hAnsi="Arial" w:cs="Arial"/>
            <w:shd w:val="clear" w:color="auto" w:fill="FFFFFF"/>
          </w:rPr>
          <w:t>The Victims’ Code (justice.gov.uk)</w:t>
        </w:r>
      </w:hyperlink>
      <w:r w:rsidRPr="001B7E48">
        <w:rPr>
          <w:rFonts w:ascii="Arial" w:hAnsi="Arial" w:cs="Arial"/>
          <w:color w:val="000000"/>
          <w:shd w:val="clear" w:color="auto" w:fill="FFFFFF"/>
        </w:rPr>
        <w:t xml:space="preserve"> (Accessed 20/02/23)</w:t>
      </w:r>
    </w:p>
    <w:p w14:paraId="2DE41815" w14:textId="50C9A2AD" w:rsidR="001B7E48" w:rsidRPr="001B7E48" w:rsidRDefault="001B7E48" w:rsidP="001B7E48">
      <w:pPr>
        <w:pStyle w:val="ListParagraph"/>
        <w:numPr>
          <w:ilvl w:val="0"/>
          <w:numId w:val="1"/>
        </w:numPr>
        <w:spacing w:line="480" w:lineRule="auto"/>
        <w:rPr>
          <w:rFonts w:ascii="Arial" w:hAnsi="Arial" w:cs="Arial"/>
        </w:rPr>
      </w:pPr>
      <w:r w:rsidRPr="001B7E48">
        <w:rPr>
          <w:rFonts w:ascii="Arial" w:hAnsi="Arial" w:cs="Arial"/>
        </w:rPr>
        <w:t>Ministry of Justice. (2020) "</w:t>
      </w:r>
      <w:r w:rsidRPr="003A46B7">
        <w:rPr>
          <w:rFonts w:ascii="Arial" w:hAnsi="Arial" w:cs="Arial"/>
          <w:i/>
          <w:iCs/>
        </w:rPr>
        <w:t>Code of Practice for Victims of Crime in England and Wales"</w:t>
      </w:r>
      <w:r w:rsidRPr="001B7E48">
        <w:rPr>
          <w:rFonts w:ascii="Arial" w:hAnsi="Arial" w:cs="Arial"/>
        </w:rPr>
        <w:t xml:space="preserve"> Government. UK. -</w:t>
      </w:r>
      <w:hyperlink r:id="rId12" w:history="1">
        <w:r w:rsidRPr="001B7E48">
          <w:rPr>
            <w:rStyle w:val="Hyperlink"/>
            <w:rFonts w:ascii="Arial" w:hAnsi="Arial" w:cs="Arial"/>
          </w:rPr>
          <w:t>https://assets.publishing.service.gov.uk/government/uploads/system/uploads/attachment_data/file/974376/victims-code-2020.pdf</w:t>
        </w:r>
      </w:hyperlink>
      <w:r w:rsidRPr="001B7E48">
        <w:rPr>
          <w:rFonts w:ascii="Arial" w:hAnsi="Arial" w:cs="Arial"/>
        </w:rPr>
        <w:t xml:space="preserve"> (Accessed 22/ 02/ 23)</w:t>
      </w:r>
    </w:p>
    <w:p w14:paraId="6272A362" w14:textId="7923366E" w:rsidR="001B7E48" w:rsidRPr="001B7E48" w:rsidRDefault="001B7E48" w:rsidP="001B7E48">
      <w:pPr>
        <w:pStyle w:val="ListParagraph"/>
        <w:numPr>
          <w:ilvl w:val="0"/>
          <w:numId w:val="1"/>
        </w:numPr>
        <w:spacing w:line="480" w:lineRule="auto"/>
        <w:rPr>
          <w:rFonts w:ascii="Arial" w:hAnsi="Arial" w:cs="Arial"/>
        </w:rPr>
      </w:pPr>
      <w:r w:rsidRPr="001B7E48">
        <w:rPr>
          <w:rFonts w:ascii="Arial" w:hAnsi="Arial" w:cs="Arial"/>
        </w:rPr>
        <w:t>Newburn, T. (2017) </w:t>
      </w:r>
      <w:r w:rsidR="003A46B7">
        <w:rPr>
          <w:rFonts w:ascii="Arial" w:hAnsi="Arial" w:cs="Arial"/>
        </w:rPr>
        <w:t>“</w:t>
      </w:r>
      <w:r w:rsidRPr="003A46B7">
        <w:rPr>
          <w:rFonts w:ascii="Arial" w:hAnsi="Arial" w:cs="Arial"/>
          <w:i/>
          <w:iCs/>
          <w:color w:val="000000" w:themeColor="text1"/>
        </w:rPr>
        <w:t>Criminology</w:t>
      </w:r>
      <w:r w:rsidR="003A46B7" w:rsidRPr="003A46B7">
        <w:rPr>
          <w:rFonts w:ascii="Arial" w:hAnsi="Arial" w:cs="Arial"/>
          <w:i/>
          <w:iCs/>
          <w:color w:val="000000" w:themeColor="text1"/>
        </w:rPr>
        <w:t>”</w:t>
      </w:r>
      <w:r w:rsidRPr="003A46B7">
        <w:rPr>
          <w:rFonts w:ascii="Arial" w:hAnsi="Arial" w:cs="Arial"/>
          <w:color w:val="000000" w:themeColor="text1"/>
        </w:rPr>
        <w:t xml:space="preserve">. </w:t>
      </w:r>
      <w:r w:rsidRPr="001B7E48">
        <w:rPr>
          <w:rFonts w:ascii="Arial" w:hAnsi="Arial" w:cs="Arial"/>
        </w:rPr>
        <w:t>Third Edition. London: Routledge, Taylor &amp; Francis Group.</w:t>
      </w:r>
    </w:p>
    <w:p w14:paraId="2141BA30" w14:textId="77777777" w:rsidR="001B7E48" w:rsidRPr="001B7E48" w:rsidRDefault="001B7E48" w:rsidP="001B7E48">
      <w:pPr>
        <w:pStyle w:val="ListParagraph"/>
        <w:numPr>
          <w:ilvl w:val="0"/>
          <w:numId w:val="1"/>
        </w:numPr>
        <w:spacing w:line="480" w:lineRule="auto"/>
        <w:rPr>
          <w:rFonts w:ascii="Arial" w:hAnsi="Arial" w:cs="Arial"/>
        </w:rPr>
      </w:pPr>
      <w:r w:rsidRPr="001B7E48">
        <w:rPr>
          <w:rFonts w:ascii="Arial" w:hAnsi="Arial" w:cs="Arial"/>
        </w:rPr>
        <w:t>NSPCC. (2022) "</w:t>
      </w:r>
      <w:r w:rsidRPr="003A46B7">
        <w:rPr>
          <w:rFonts w:ascii="Arial" w:hAnsi="Arial" w:cs="Arial"/>
          <w:i/>
          <w:iCs/>
        </w:rPr>
        <w:t>Children and the Law</w:t>
      </w:r>
      <w:r w:rsidRPr="001B7E48">
        <w:rPr>
          <w:rFonts w:ascii="Arial" w:hAnsi="Arial" w:cs="Arial"/>
        </w:rPr>
        <w:t xml:space="preserve">" NSPCC Learning. - </w:t>
      </w:r>
      <w:hyperlink r:id="rId13" w:anchor="article-top" w:history="1">
        <w:r w:rsidRPr="001B7E48">
          <w:rPr>
            <w:rStyle w:val="Hyperlink"/>
            <w:rFonts w:ascii="Arial" w:hAnsi="Arial" w:cs="Arial"/>
          </w:rPr>
          <w:t>https://learning.nspcc.org.uk/child-protection-system/children-the-law#article-top</w:t>
        </w:r>
      </w:hyperlink>
      <w:r w:rsidRPr="001B7E48">
        <w:rPr>
          <w:rFonts w:ascii="Arial" w:hAnsi="Arial" w:cs="Arial"/>
        </w:rPr>
        <w:t xml:space="preserve"> (Accessed 01/ 03/ 23)</w:t>
      </w:r>
    </w:p>
    <w:p w14:paraId="579BC946" w14:textId="77777777" w:rsidR="001B7E48" w:rsidRPr="001B7E48" w:rsidRDefault="001B7E48" w:rsidP="001B7E48">
      <w:pPr>
        <w:pStyle w:val="ListParagraph"/>
        <w:numPr>
          <w:ilvl w:val="0"/>
          <w:numId w:val="1"/>
        </w:numPr>
        <w:spacing w:line="480" w:lineRule="auto"/>
        <w:rPr>
          <w:rFonts w:ascii="Arial" w:hAnsi="Arial" w:cs="Arial"/>
        </w:rPr>
      </w:pPr>
      <w:r w:rsidRPr="001B7E48">
        <w:rPr>
          <w:rFonts w:ascii="Arial" w:hAnsi="Arial" w:cs="Arial"/>
        </w:rPr>
        <w:t>Sanchez, S. (ND) "</w:t>
      </w:r>
      <w:r w:rsidRPr="003A46B7">
        <w:rPr>
          <w:rFonts w:ascii="Arial" w:hAnsi="Arial" w:cs="Arial"/>
          <w:i/>
          <w:iCs/>
        </w:rPr>
        <w:t>Victims and Victim Typologies</w:t>
      </w:r>
      <w:r w:rsidRPr="001B7E48">
        <w:rPr>
          <w:rFonts w:ascii="Arial" w:hAnsi="Arial" w:cs="Arial"/>
        </w:rPr>
        <w:t xml:space="preserve">": Pressbooks. - </w:t>
      </w:r>
      <w:hyperlink r:id="rId14" w:history="1">
        <w:r w:rsidRPr="001B7E48">
          <w:rPr>
            <w:rStyle w:val="Hyperlink"/>
            <w:rFonts w:ascii="Arial" w:hAnsi="Arial" w:cs="Arial"/>
          </w:rPr>
          <w:t>https://openoregon.pressbooks.pub/ccj230/chapter/1-14-victims-in-the-cj-system/</w:t>
        </w:r>
      </w:hyperlink>
      <w:r w:rsidRPr="001B7E48">
        <w:rPr>
          <w:rFonts w:ascii="Arial" w:hAnsi="Arial" w:cs="Arial"/>
        </w:rPr>
        <w:t xml:space="preserve"> (Accessed 11/02/23)</w:t>
      </w:r>
    </w:p>
    <w:p w14:paraId="31A6C166" w14:textId="77777777" w:rsidR="001B7E48" w:rsidRPr="001B7E48" w:rsidRDefault="001B7E48" w:rsidP="001B7E48">
      <w:pPr>
        <w:pStyle w:val="ListParagraph"/>
        <w:numPr>
          <w:ilvl w:val="0"/>
          <w:numId w:val="1"/>
        </w:numPr>
        <w:spacing w:line="480" w:lineRule="auto"/>
        <w:rPr>
          <w:rFonts w:ascii="Arial" w:hAnsi="Arial" w:cs="Arial"/>
        </w:rPr>
      </w:pPr>
      <w:r w:rsidRPr="001B7E48">
        <w:rPr>
          <w:rFonts w:ascii="Arial" w:hAnsi="Arial" w:cs="Arial"/>
        </w:rPr>
        <w:t>Wells, I. (2016) “</w:t>
      </w:r>
      <w:r w:rsidRPr="003A46B7">
        <w:rPr>
          <w:rFonts w:ascii="Arial" w:hAnsi="Arial" w:cs="Arial"/>
          <w:i/>
          <w:iCs/>
        </w:rPr>
        <w:t>Like the Stanford victim’s statement, the letter I wrote to my attacker shouldn’t have been a shocking news story</w:t>
      </w:r>
      <w:r w:rsidRPr="001B7E48">
        <w:rPr>
          <w:rFonts w:ascii="Arial" w:hAnsi="Arial" w:cs="Arial"/>
        </w:rPr>
        <w:t xml:space="preserve">” Independent. - </w:t>
      </w:r>
      <w:hyperlink r:id="rId15" w:history="1">
        <w:r w:rsidRPr="001B7E48">
          <w:rPr>
            <w:rStyle w:val="Hyperlink"/>
            <w:rFonts w:ascii="Arial" w:hAnsi="Arial" w:cs="Arial"/>
          </w:rPr>
          <w:t>https://www.independent.co.uk/voices/stanford-rape-case-why-a-victim-of-sexual-assault-speaking-out-shouldn-t-be-a-shocking-viral-news-story-a7072491.html</w:t>
        </w:r>
      </w:hyperlink>
      <w:r w:rsidRPr="001B7E48">
        <w:rPr>
          <w:rFonts w:ascii="Arial" w:hAnsi="Arial" w:cs="Arial"/>
        </w:rPr>
        <w:t xml:space="preserve"> (Accessed 21/ 02/ 23)</w:t>
      </w:r>
    </w:p>
    <w:p w14:paraId="2FD774E6" w14:textId="77777777" w:rsidR="001B7E48" w:rsidRPr="001B7E48" w:rsidRDefault="001B7E48" w:rsidP="001B7E48">
      <w:pPr>
        <w:pStyle w:val="ListParagraph"/>
        <w:spacing w:line="480" w:lineRule="auto"/>
        <w:rPr>
          <w:rFonts w:ascii="Arial" w:hAnsi="Arial" w:cs="Arial"/>
        </w:rPr>
      </w:pPr>
    </w:p>
    <w:sectPr w:rsidR="001B7E48" w:rsidRPr="001B7E48" w:rsidSect="003A2FD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F386C"/>
    <w:multiLevelType w:val="hybridMultilevel"/>
    <w:tmpl w:val="A18600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72154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4F1"/>
    <w:rsid w:val="00015398"/>
    <w:rsid w:val="00073725"/>
    <w:rsid w:val="00082C5B"/>
    <w:rsid w:val="000878FB"/>
    <w:rsid w:val="000A58AE"/>
    <w:rsid w:val="000C0A88"/>
    <w:rsid w:val="000E3CFA"/>
    <w:rsid w:val="000F0C83"/>
    <w:rsid w:val="000F5198"/>
    <w:rsid w:val="00101F34"/>
    <w:rsid w:val="00111565"/>
    <w:rsid w:val="00113B7D"/>
    <w:rsid w:val="00123416"/>
    <w:rsid w:val="00142DD7"/>
    <w:rsid w:val="00146D3B"/>
    <w:rsid w:val="0015048A"/>
    <w:rsid w:val="00156B71"/>
    <w:rsid w:val="001834CB"/>
    <w:rsid w:val="0018534E"/>
    <w:rsid w:val="00190C06"/>
    <w:rsid w:val="001A236B"/>
    <w:rsid w:val="001B7E48"/>
    <w:rsid w:val="001C5FAD"/>
    <w:rsid w:val="001D07A5"/>
    <w:rsid w:val="001D60CD"/>
    <w:rsid w:val="001F42A0"/>
    <w:rsid w:val="001F48D1"/>
    <w:rsid w:val="001F5B08"/>
    <w:rsid w:val="00201BBA"/>
    <w:rsid w:val="002172D5"/>
    <w:rsid w:val="002244F1"/>
    <w:rsid w:val="00227B5B"/>
    <w:rsid w:val="002409AF"/>
    <w:rsid w:val="00246668"/>
    <w:rsid w:val="00252C52"/>
    <w:rsid w:val="0027334C"/>
    <w:rsid w:val="00273C71"/>
    <w:rsid w:val="0027686F"/>
    <w:rsid w:val="00277784"/>
    <w:rsid w:val="002A4612"/>
    <w:rsid w:val="002A707A"/>
    <w:rsid w:val="002B15F5"/>
    <w:rsid w:val="002B66A7"/>
    <w:rsid w:val="002E4D5B"/>
    <w:rsid w:val="002F21DA"/>
    <w:rsid w:val="0030745E"/>
    <w:rsid w:val="00334536"/>
    <w:rsid w:val="00350C59"/>
    <w:rsid w:val="003632D1"/>
    <w:rsid w:val="00393973"/>
    <w:rsid w:val="00393FB1"/>
    <w:rsid w:val="003A2FDC"/>
    <w:rsid w:val="003A46B7"/>
    <w:rsid w:val="003C501E"/>
    <w:rsid w:val="003D037B"/>
    <w:rsid w:val="003D559B"/>
    <w:rsid w:val="003D7B4A"/>
    <w:rsid w:val="003F2719"/>
    <w:rsid w:val="003F2CCD"/>
    <w:rsid w:val="003F5A57"/>
    <w:rsid w:val="00405B40"/>
    <w:rsid w:val="004133F8"/>
    <w:rsid w:val="00413E18"/>
    <w:rsid w:val="00424633"/>
    <w:rsid w:val="0043065D"/>
    <w:rsid w:val="00437324"/>
    <w:rsid w:val="00441398"/>
    <w:rsid w:val="00442483"/>
    <w:rsid w:val="00442C3D"/>
    <w:rsid w:val="00463821"/>
    <w:rsid w:val="0046793C"/>
    <w:rsid w:val="00472333"/>
    <w:rsid w:val="00483B6D"/>
    <w:rsid w:val="0049491D"/>
    <w:rsid w:val="004A0A06"/>
    <w:rsid w:val="004A2F91"/>
    <w:rsid w:val="004A4032"/>
    <w:rsid w:val="004B5CB7"/>
    <w:rsid w:val="004B6D8F"/>
    <w:rsid w:val="004C1E0F"/>
    <w:rsid w:val="004C5D3C"/>
    <w:rsid w:val="004D547E"/>
    <w:rsid w:val="004D59F3"/>
    <w:rsid w:val="004E7865"/>
    <w:rsid w:val="004F415F"/>
    <w:rsid w:val="004F5CDB"/>
    <w:rsid w:val="00501E00"/>
    <w:rsid w:val="005038A4"/>
    <w:rsid w:val="00526B92"/>
    <w:rsid w:val="005308BB"/>
    <w:rsid w:val="00554A5C"/>
    <w:rsid w:val="00561319"/>
    <w:rsid w:val="005626C7"/>
    <w:rsid w:val="00563D60"/>
    <w:rsid w:val="005722AF"/>
    <w:rsid w:val="005821D6"/>
    <w:rsid w:val="0058287C"/>
    <w:rsid w:val="005917DA"/>
    <w:rsid w:val="00596D14"/>
    <w:rsid w:val="005A28F9"/>
    <w:rsid w:val="005A6923"/>
    <w:rsid w:val="005A6C2B"/>
    <w:rsid w:val="005B58F6"/>
    <w:rsid w:val="005C4092"/>
    <w:rsid w:val="005D7B3C"/>
    <w:rsid w:val="005E0442"/>
    <w:rsid w:val="005E1FEF"/>
    <w:rsid w:val="005E70F7"/>
    <w:rsid w:val="005E7FF2"/>
    <w:rsid w:val="005F7274"/>
    <w:rsid w:val="006064B9"/>
    <w:rsid w:val="00610858"/>
    <w:rsid w:val="00612E81"/>
    <w:rsid w:val="0062543E"/>
    <w:rsid w:val="00630134"/>
    <w:rsid w:val="006346DA"/>
    <w:rsid w:val="0063686E"/>
    <w:rsid w:val="006601E3"/>
    <w:rsid w:val="0066500E"/>
    <w:rsid w:val="0067459F"/>
    <w:rsid w:val="0067598F"/>
    <w:rsid w:val="006D4627"/>
    <w:rsid w:val="006E0AEC"/>
    <w:rsid w:val="006E104B"/>
    <w:rsid w:val="006E1A7D"/>
    <w:rsid w:val="006E20F9"/>
    <w:rsid w:val="006E304F"/>
    <w:rsid w:val="006F49AA"/>
    <w:rsid w:val="00705815"/>
    <w:rsid w:val="00705FC6"/>
    <w:rsid w:val="00712815"/>
    <w:rsid w:val="007160C1"/>
    <w:rsid w:val="0072539B"/>
    <w:rsid w:val="00732514"/>
    <w:rsid w:val="00742E3A"/>
    <w:rsid w:val="00764F51"/>
    <w:rsid w:val="007675CA"/>
    <w:rsid w:val="00771800"/>
    <w:rsid w:val="00774B50"/>
    <w:rsid w:val="0077773E"/>
    <w:rsid w:val="00786500"/>
    <w:rsid w:val="0079787E"/>
    <w:rsid w:val="007A04C6"/>
    <w:rsid w:val="007B1833"/>
    <w:rsid w:val="007B5E35"/>
    <w:rsid w:val="007C1B3D"/>
    <w:rsid w:val="007C4652"/>
    <w:rsid w:val="007E3662"/>
    <w:rsid w:val="007E3E7B"/>
    <w:rsid w:val="007E4547"/>
    <w:rsid w:val="00814671"/>
    <w:rsid w:val="00822C68"/>
    <w:rsid w:val="00823A30"/>
    <w:rsid w:val="008277E3"/>
    <w:rsid w:val="00842FA7"/>
    <w:rsid w:val="00846AD5"/>
    <w:rsid w:val="008611D5"/>
    <w:rsid w:val="0089797F"/>
    <w:rsid w:val="008B649C"/>
    <w:rsid w:val="008E1A03"/>
    <w:rsid w:val="008E7551"/>
    <w:rsid w:val="008F3F40"/>
    <w:rsid w:val="008F48B6"/>
    <w:rsid w:val="008F5646"/>
    <w:rsid w:val="00907FA2"/>
    <w:rsid w:val="009139E9"/>
    <w:rsid w:val="00913B8D"/>
    <w:rsid w:val="00920EB2"/>
    <w:rsid w:val="00921A2A"/>
    <w:rsid w:val="009256D7"/>
    <w:rsid w:val="009270BC"/>
    <w:rsid w:val="00943876"/>
    <w:rsid w:val="0096767A"/>
    <w:rsid w:val="00973011"/>
    <w:rsid w:val="0097455D"/>
    <w:rsid w:val="00980C45"/>
    <w:rsid w:val="0098468F"/>
    <w:rsid w:val="00995333"/>
    <w:rsid w:val="009C533B"/>
    <w:rsid w:val="00A152D1"/>
    <w:rsid w:val="00A16402"/>
    <w:rsid w:val="00A23003"/>
    <w:rsid w:val="00A30894"/>
    <w:rsid w:val="00A31573"/>
    <w:rsid w:val="00A403E6"/>
    <w:rsid w:val="00A503E2"/>
    <w:rsid w:val="00A57FEA"/>
    <w:rsid w:val="00A826EC"/>
    <w:rsid w:val="00A9319A"/>
    <w:rsid w:val="00A9504B"/>
    <w:rsid w:val="00AA4F91"/>
    <w:rsid w:val="00AB3725"/>
    <w:rsid w:val="00AF198E"/>
    <w:rsid w:val="00B25349"/>
    <w:rsid w:val="00B362B1"/>
    <w:rsid w:val="00B5512B"/>
    <w:rsid w:val="00B666E8"/>
    <w:rsid w:val="00B75677"/>
    <w:rsid w:val="00B7599E"/>
    <w:rsid w:val="00B75FFC"/>
    <w:rsid w:val="00B804CC"/>
    <w:rsid w:val="00BA7039"/>
    <w:rsid w:val="00BE1C6B"/>
    <w:rsid w:val="00C010A0"/>
    <w:rsid w:val="00C02A6B"/>
    <w:rsid w:val="00C04047"/>
    <w:rsid w:val="00C14747"/>
    <w:rsid w:val="00C20043"/>
    <w:rsid w:val="00C240A6"/>
    <w:rsid w:val="00C273FB"/>
    <w:rsid w:val="00C42E05"/>
    <w:rsid w:val="00C529F1"/>
    <w:rsid w:val="00C921C8"/>
    <w:rsid w:val="00C92D47"/>
    <w:rsid w:val="00C9526B"/>
    <w:rsid w:val="00CC217A"/>
    <w:rsid w:val="00D01F9E"/>
    <w:rsid w:val="00D04A74"/>
    <w:rsid w:val="00D079A5"/>
    <w:rsid w:val="00D07E18"/>
    <w:rsid w:val="00D5024E"/>
    <w:rsid w:val="00D50A8D"/>
    <w:rsid w:val="00D5253E"/>
    <w:rsid w:val="00D5334C"/>
    <w:rsid w:val="00D53F63"/>
    <w:rsid w:val="00D752BD"/>
    <w:rsid w:val="00D87DB7"/>
    <w:rsid w:val="00D92B65"/>
    <w:rsid w:val="00DD1AD1"/>
    <w:rsid w:val="00DD3029"/>
    <w:rsid w:val="00DD40D9"/>
    <w:rsid w:val="00DF0A69"/>
    <w:rsid w:val="00DF7E25"/>
    <w:rsid w:val="00E139C1"/>
    <w:rsid w:val="00E33C8C"/>
    <w:rsid w:val="00E34C59"/>
    <w:rsid w:val="00E42A93"/>
    <w:rsid w:val="00E505B1"/>
    <w:rsid w:val="00E63C0F"/>
    <w:rsid w:val="00E72B6B"/>
    <w:rsid w:val="00E969F8"/>
    <w:rsid w:val="00EA250C"/>
    <w:rsid w:val="00EA5098"/>
    <w:rsid w:val="00EA5318"/>
    <w:rsid w:val="00EB190A"/>
    <w:rsid w:val="00EC25B4"/>
    <w:rsid w:val="00EC2BEE"/>
    <w:rsid w:val="00EE5FA8"/>
    <w:rsid w:val="00EF0A6E"/>
    <w:rsid w:val="00EF0AA3"/>
    <w:rsid w:val="00F06A23"/>
    <w:rsid w:val="00F35217"/>
    <w:rsid w:val="00F4400B"/>
    <w:rsid w:val="00F50F06"/>
    <w:rsid w:val="00F73775"/>
    <w:rsid w:val="00F764B5"/>
    <w:rsid w:val="00FA6223"/>
    <w:rsid w:val="00FC0304"/>
    <w:rsid w:val="00FC6F58"/>
    <w:rsid w:val="00FD6013"/>
    <w:rsid w:val="00FD7F2A"/>
    <w:rsid w:val="00FE624B"/>
    <w:rsid w:val="00FF1F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1A29B"/>
  <w15:chartTrackingRefBased/>
  <w15:docId w15:val="{22B0F6BE-FA1D-3644-8023-B6EF0C827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7274"/>
    <w:pPr>
      <w:ind w:left="720"/>
      <w:contextualSpacing/>
    </w:pPr>
  </w:style>
  <w:style w:type="paragraph" w:styleId="NormalWeb">
    <w:name w:val="Normal (Web)"/>
    <w:basedOn w:val="Normal"/>
    <w:uiPriority w:val="99"/>
    <w:semiHidden/>
    <w:unhideWhenUsed/>
    <w:rsid w:val="00A9319A"/>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A9319A"/>
    <w:rPr>
      <w:color w:val="0000FF"/>
      <w:u w:val="single"/>
    </w:rPr>
  </w:style>
  <w:style w:type="paragraph" w:styleId="NoSpacing">
    <w:name w:val="No Spacing"/>
    <w:link w:val="NoSpacingChar"/>
    <w:uiPriority w:val="1"/>
    <w:qFormat/>
    <w:rsid w:val="003A2FDC"/>
    <w:rPr>
      <w:rFonts w:eastAsiaTheme="minorEastAsia"/>
      <w:sz w:val="22"/>
      <w:szCs w:val="22"/>
      <w:lang w:val="en-US" w:eastAsia="zh-CN"/>
    </w:rPr>
  </w:style>
  <w:style w:type="character" w:customStyle="1" w:styleId="NoSpacingChar">
    <w:name w:val="No Spacing Char"/>
    <w:basedOn w:val="DefaultParagraphFont"/>
    <w:link w:val="NoSpacing"/>
    <w:uiPriority w:val="1"/>
    <w:rsid w:val="003A2FDC"/>
    <w:rPr>
      <w:rFonts w:eastAsiaTheme="minorEastAsia"/>
      <w:sz w:val="22"/>
      <w:szCs w:val="22"/>
      <w:lang w:val="en-US" w:eastAsia="zh-CN"/>
    </w:rPr>
  </w:style>
  <w:style w:type="character" w:styleId="FollowedHyperlink">
    <w:name w:val="FollowedHyperlink"/>
    <w:basedOn w:val="DefaultParagraphFont"/>
    <w:uiPriority w:val="99"/>
    <w:semiHidden/>
    <w:unhideWhenUsed/>
    <w:rsid w:val="00EC25B4"/>
    <w:rPr>
      <w:color w:val="954F72" w:themeColor="followedHyperlink"/>
      <w:u w:val="single"/>
    </w:rPr>
  </w:style>
  <w:style w:type="character" w:styleId="UnresolvedMention">
    <w:name w:val="Unresolved Mention"/>
    <w:basedOn w:val="DefaultParagraphFont"/>
    <w:uiPriority w:val="99"/>
    <w:semiHidden/>
    <w:unhideWhenUsed/>
    <w:rsid w:val="007B18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4912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guidance/vulnerability-related-risks/introduction-vulnerability-related-risk" TargetMode="External"/><Relationship Id="rId13" Type="http://schemas.openxmlformats.org/officeDocument/2006/relationships/hyperlink" Target="https://learning.nspcc.org.uk/child-protection-system/children-the-law" TargetMode="External"/><Relationship Id="rId3" Type="http://schemas.openxmlformats.org/officeDocument/2006/relationships/settings" Target="settings.xml"/><Relationship Id="rId7" Type="http://schemas.openxmlformats.org/officeDocument/2006/relationships/hyperlink" Target="https://www.ceredigion.gov.uk/your-council/partnerships/ceredigion-public-services-board/community-safety/raising-awareness-of-vulnerability-crimes/" TargetMode="External"/><Relationship Id="rId12" Type="http://schemas.openxmlformats.org/officeDocument/2006/relationships/hyperlink" Target="https://assets.publishing.service.gov.uk/government/uploads/system/uploads/attachment_data/file/974376/victims-code-2020.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theguardian.com/society/2022/oct/14/uk-care-home-where-workers-abused-resident-may-face-criminal-action-ann-king" TargetMode="External"/><Relationship Id="rId11" Type="http://schemas.openxmlformats.org/officeDocument/2006/relationships/hyperlink" Target="https://eur01.safelinks.protection.outlook.com/?url=https%3A%2F%2Fconsult.justice.gov.uk%2Fvictim-policy%2Fconsultation-on-improving-the-victims-code%2Fsupporting_documents%2Fvictimscodeweb.pdf&amp;data=05%7C01%7C2100501%40student.uwtsd.ac.uk%7C926721d854f141b078c208db13731432%7C4e0f11f9046e45059cb8db2152311e21%7C0%7C0%7C638125157194662418%7CUnknown%7CTWFpbGZsb3d8eyJWIjoiMC4wLjAwMDAiLCJQIjoiV2luMzIiLCJBTiI6Ik1haWwiLCJXVCI6Mn0%3D%7C3000%7C%7C%7C&amp;sdata=Id%2Bauy6RIsteV4cVVkheT3s7acmnNth%2BhDH4qQE01eI%3D&amp;reserved=0" TargetMode="External"/><Relationship Id="rId5" Type="http://schemas.openxmlformats.org/officeDocument/2006/relationships/hyperlink" Target="https://victimscommissioner.org.uk/news/a-vision-for-victims-participants-not-bystanders/" TargetMode="External"/><Relationship Id="rId15" Type="http://schemas.openxmlformats.org/officeDocument/2006/relationships/hyperlink" Target="https://www.independent.co.uk/voices/stanford-rape-case-why-a-victim-of-sexual-assault-speaking-out-shouldn-t-be-a-shocking-viral-news-story-a7072491.html" TargetMode="External"/><Relationship Id="rId10" Type="http://schemas.openxmlformats.org/officeDocument/2006/relationships/hyperlink" Target="https://www.london.gov.uk/programmes-strategies/mayors-office-policing-and-crime/services-we-fund/supporting-victims-and-witnesses?ac-47930=47921" TargetMode="External"/><Relationship Id="rId4" Type="http://schemas.openxmlformats.org/officeDocument/2006/relationships/webSettings" Target="webSettings.xml"/><Relationship Id="rId9" Type="http://schemas.openxmlformats.org/officeDocument/2006/relationships/hyperlink" Target="https://www.cps.gov.uk/legal-guidance/victims-and-witnesses-care-and-treatment" TargetMode="External"/><Relationship Id="rId14" Type="http://schemas.openxmlformats.org/officeDocument/2006/relationships/hyperlink" Target="https://openoregon.pressbooks.pub/ccj230/chapter/1-14-victims-in-the-cj-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296</TotalTime>
  <Pages>11</Pages>
  <Words>2645</Words>
  <Characters>15081</Characters>
  <Application>Microsoft Office Word</Application>
  <DocSecurity>0</DocSecurity>
  <Lines>125</Lines>
  <Paragraphs>35</Paragraphs>
  <ScaleCrop>false</ScaleCrop>
  <Company/>
  <LinksUpToDate>false</LinksUpToDate>
  <CharactersWithSpaces>17691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explore the needs of victims of crime and the services that are available to them in England and Wales.</dc:title>
  <dc:subject/>
  <dc:creator>Emma Haggett (2100501)</dc:creator>
  <cp:keywords/>
  <dc:description/>
  <cp:lastModifiedBy>Emma Haggett (2100501)</cp:lastModifiedBy>
  <cp:revision>263</cp:revision>
  <dcterms:created xsi:type="dcterms:W3CDTF">2023-02-21T19:20:00Z</dcterms:created>
  <dcterms:modified xsi:type="dcterms:W3CDTF">2023-03-09T16:20:00Z</dcterms:modified>
</cp:coreProperties>
</file>