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Pr="00A24988" w:rsidRDefault="32ADAAF6" w:rsidP="00A24988">
      <w:pPr>
        <w:spacing w:line="360" w:lineRule="auto"/>
        <w:jc w:val="both"/>
        <w:rPr>
          <w:rFonts w:ascii="Arial" w:hAnsi="Arial" w:cs="Arial"/>
          <w:sz w:val="22"/>
          <w:szCs w:val="22"/>
        </w:rPr>
      </w:pPr>
      <w:r w:rsidRPr="00A24988">
        <w:rPr>
          <w:rFonts w:ascii="Arial" w:hAnsi="Arial" w:cs="Arial"/>
          <w:noProof/>
          <w:sz w:val="22"/>
          <w:szCs w:val="22"/>
        </w:rPr>
        <w:drawing>
          <wp:inline distT="0" distB="0" distL="0" distR="0" wp14:anchorId="18E8561F" wp14:editId="715FCE3F">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Pr="00A24988" w:rsidRDefault="021F216E" w:rsidP="00A24988">
      <w:pPr>
        <w:spacing w:line="360" w:lineRule="auto"/>
        <w:jc w:val="both"/>
        <w:rPr>
          <w:rFonts w:ascii="Arial" w:eastAsia="Arial Nova" w:hAnsi="Arial" w:cs="Arial"/>
          <w:sz w:val="22"/>
          <w:szCs w:val="22"/>
        </w:rPr>
      </w:pPr>
    </w:p>
    <w:p w14:paraId="4955799E" w14:textId="221DF3F8" w:rsidR="021F216E" w:rsidRPr="00A24988" w:rsidRDefault="32ADAAF6" w:rsidP="00A24988">
      <w:pPr>
        <w:spacing w:line="360" w:lineRule="auto"/>
        <w:jc w:val="both"/>
        <w:rPr>
          <w:rFonts w:ascii="Arial" w:eastAsia="Arial Nova" w:hAnsi="Arial" w:cs="Arial"/>
          <w:sz w:val="22"/>
          <w:szCs w:val="22"/>
        </w:rPr>
      </w:pPr>
      <w:r w:rsidRPr="00A24988">
        <w:rPr>
          <w:rFonts w:ascii="Arial" w:eastAsia="Arial Nova" w:hAnsi="Arial" w:cs="Arial"/>
          <w:sz w:val="22"/>
          <w:szCs w:val="22"/>
        </w:rPr>
        <w:t>Cover Page</w:t>
      </w:r>
    </w:p>
    <w:p w14:paraId="56715ECD" w14:textId="77777777" w:rsidR="008150A5" w:rsidRPr="00A24988" w:rsidRDefault="008150A5" w:rsidP="00A24988">
      <w:pPr>
        <w:spacing w:line="360" w:lineRule="auto"/>
        <w:jc w:val="both"/>
        <w:rPr>
          <w:rFonts w:ascii="Arial" w:eastAsia="Arial Nova" w:hAnsi="Arial" w:cs="Arial"/>
          <w:sz w:val="22"/>
          <w:szCs w:val="22"/>
        </w:rPr>
      </w:pPr>
    </w:p>
    <w:p w14:paraId="4D496928" w14:textId="5D9CF56B" w:rsidR="021F216E" w:rsidRPr="00A24988" w:rsidRDefault="021F216E" w:rsidP="00A24988">
      <w:pPr>
        <w:spacing w:line="360" w:lineRule="auto"/>
        <w:jc w:val="both"/>
        <w:rPr>
          <w:rFonts w:ascii="Arial" w:eastAsia="Arial Nova" w:hAnsi="Arial" w:cs="Arial"/>
          <w:sz w:val="22"/>
          <w:szCs w:val="22"/>
        </w:rPr>
      </w:pPr>
    </w:p>
    <w:p w14:paraId="4AA58ECF" w14:textId="7CDC1BD7" w:rsidR="021F216E" w:rsidRPr="00A24988" w:rsidRDefault="021F216E" w:rsidP="00A24988">
      <w:pPr>
        <w:spacing w:line="360" w:lineRule="auto"/>
        <w:jc w:val="both"/>
        <w:rPr>
          <w:rFonts w:ascii="Arial" w:eastAsia="Arial Nova" w:hAnsi="Arial" w:cs="Arial"/>
          <w:sz w:val="22"/>
          <w:szCs w:val="22"/>
        </w:rPr>
      </w:pPr>
    </w:p>
    <w:p w14:paraId="0FE2EC74" w14:textId="39FBE18D" w:rsidR="00337274" w:rsidRPr="00A24988" w:rsidRDefault="008150A5" w:rsidP="00A24988">
      <w:pPr>
        <w:spacing w:line="360" w:lineRule="auto"/>
        <w:jc w:val="both"/>
        <w:rPr>
          <w:rFonts w:ascii="Arial" w:eastAsia="Arial Nova" w:hAnsi="Arial" w:cs="Arial"/>
          <w:sz w:val="22"/>
          <w:szCs w:val="22"/>
        </w:rPr>
      </w:pPr>
      <w:r w:rsidRPr="00A24988">
        <w:rPr>
          <w:rFonts w:ascii="Arial" w:eastAsia="Arial Nova" w:hAnsi="Arial" w:cs="Arial"/>
          <w:sz w:val="22"/>
          <w:szCs w:val="22"/>
        </w:rPr>
        <w:t>Name student: Elena Coroeanu</w:t>
      </w:r>
    </w:p>
    <w:p w14:paraId="552309CA" w14:textId="64308662" w:rsidR="008150A5" w:rsidRPr="00A24988" w:rsidRDefault="008150A5" w:rsidP="00A24988">
      <w:pPr>
        <w:spacing w:line="360" w:lineRule="auto"/>
        <w:jc w:val="both"/>
        <w:rPr>
          <w:rFonts w:ascii="Arial" w:eastAsia="Arial Nova" w:hAnsi="Arial" w:cs="Arial"/>
          <w:sz w:val="22"/>
          <w:szCs w:val="22"/>
        </w:rPr>
      </w:pPr>
      <w:r w:rsidRPr="00A24988">
        <w:rPr>
          <w:rFonts w:ascii="Arial" w:eastAsia="Arial Nova" w:hAnsi="Arial" w:cs="Arial"/>
          <w:sz w:val="22"/>
          <w:szCs w:val="22"/>
        </w:rPr>
        <w:t>Student number: 2325653</w:t>
      </w:r>
    </w:p>
    <w:p w14:paraId="5BD7D780" w14:textId="1ED2A61D" w:rsidR="008150A5" w:rsidRPr="00A24988" w:rsidRDefault="008150A5" w:rsidP="00A24988">
      <w:pPr>
        <w:spacing w:line="360" w:lineRule="auto"/>
        <w:jc w:val="both"/>
        <w:rPr>
          <w:rFonts w:ascii="Arial" w:eastAsia="Arial Nova" w:hAnsi="Arial" w:cs="Arial"/>
          <w:sz w:val="22"/>
          <w:szCs w:val="22"/>
        </w:rPr>
      </w:pPr>
      <w:r w:rsidRPr="00A24988">
        <w:rPr>
          <w:rFonts w:ascii="Arial" w:eastAsia="Arial Nova" w:hAnsi="Arial" w:cs="Arial"/>
          <w:sz w:val="22"/>
          <w:szCs w:val="22"/>
        </w:rPr>
        <w:t>Changemakers: Creativity &amp; Value Creation!</w:t>
      </w:r>
    </w:p>
    <w:p w14:paraId="0B54C71E" w14:textId="2D5C94F3" w:rsidR="008150A5" w:rsidRPr="00A24988" w:rsidRDefault="008150A5" w:rsidP="00A24988">
      <w:pPr>
        <w:spacing w:line="360" w:lineRule="auto"/>
        <w:jc w:val="both"/>
        <w:rPr>
          <w:rFonts w:ascii="Arial" w:eastAsia="Arial Nova" w:hAnsi="Arial" w:cs="Arial"/>
          <w:sz w:val="22"/>
          <w:szCs w:val="22"/>
        </w:rPr>
      </w:pPr>
      <w:r w:rsidRPr="00A24988">
        <w:rPr>
          <w:rFonts w:ascii="Arial" w:eastAsia="Arial Nova" w:hAnsi="Arial" w:cs="Arial"/>
          <w:sz w:val="22"/>
          <w:szCs w:val="22"/>
        </w:rPr>
        <w:t>BMHP5014</w:t>
      </w:r>
    </w:p>
    <w:p w14:paraId="01FFF5C7" w14:textId="53848891" w:rsidR="008150A5" w:rsidRPr="00A24988" w:rsidRDefault="008150A5" w:rsidP="00A24988">
      <w:pPr>
        <w:spacing w:line="360" w:lineRule="auto"/>
        <w:jc w:val="both"/>
        <w:rPr>
          <w:rFonts w:ascii="Arial" w:eastAsia="Arial Nova" w:hAnsi="Arial" w:cs="Arial"/>
          <w:sz w:val="22"/>
          <w:szCs w:val="22"/>
        </w:rPr>
      </w:pPr>
      <w:r w:rsidRPr="00A24988">
        <w:rPr>
          <w:rFonts w:ascii="Arial" w:eastAsia="Arial Nova" w:hAnsi="Arial" w:cs="Arial"/>
          <w:sz w:val="22"/>
          <w:szCs w:val="22"/>
        </w:rPr>
        <w:t xml:space="preserve">Component 1- Portofolio of Set Exercises </w:t>
      </w:r>
    </w:p>
    <w:p w14:paraId="7CF6D2ED" w14:textId="1FF2E25A" w:rsidR="008150A5" w:rsidRPr="00A24988" w:rsidRDefault="00654E42" w:rsidP="00A24988">
      <w:pPr>
        <w:spacing w:line="360" w:lineRule="auto"/>
        <w:jc w:val="both"/>
        <w:rPr>
          <w:rFonts w:ascii="Arial" w:eastAsia="Arial Nova" w:hAnsi="Arial" w:cs="Arial"/>
          <w:sz w:val="22"/>
          <w:szCs w:val="22"/>
        </w:rPr>
      </w:pPr>
      <w:r>
        <w:rPr>
          <w:rFonts w:ascii="Arial" w:eastAsia="Arial Nova" w:hAnsi="Arial" w:cs="Arial"/>
          <w:sz w:val="22"/>
          <w:szCs w:val="22"/>
        </w:rPr>
        <w:t xml:space="preserve">Teacher name: Alice Clayton </w:t>
      </w:r>
    </w:p>
    <w:p w14:paraId="3264C5E5" w14:textId="77777777" w:rsidR="008150A5" w:rsidRPr="00A24988" w:rsidRDefault="008150A5" w:rsidP="00A24988">
      <w:pPr>
        <w:spacing w:line="360" w:lineRule="auto"/>
        <w:jc w:val="both"/>
        <w:rPr>
          <w:rFonts w:ascii="Arial" w:eastAsia="Arial Nova" w:hAnsi="Arial" w:cs="Arial"/>
          <w:sz w:val="22"/>
          <w:szCs w:val="22"/>
        </w:rPr>
      </w:pPr>
    </w:p>
    <w:p w14:paraId="6CB7F55C" w14:textId="77777777" w:rsidR="008150A5" w:rsidRPr="00A24988" w:rsidRDefault="008150A5" w:rsidP="00A24988">
      <w:pPr>
        <w:spacing w:line="360" w:lineRule="auto"/>
        <w:jc w:val="both"/>
        <w:rPr>
          <w:rFonts w:ascii="Arial" w:eastAsia="Arial Nova" w:hAnsi="Arial" w:cs="Arial"/>
          <w:sz w:val="22"/>
          <w:szCs w:val="22"/>
        </w:rPr>
      </w:pPr>
    </w:p>
    <w:p w14:paraId="64CF9041" w14:textId="77777777" w:rsidR="008150A5" w:rsidRPr="00A24988" w:rsidRDefault="008150A5" w:rsidP="00A24988">
      <w:pPr>
        <w:spacing w:line="360" w:lineRule="auto"/>
        <w:jc w:val="both"/>
        <w:rPr>
          <w:rFonts w:ascii="Arial" w:eastAsia="Arial Nova" w:hAnsi="Arial" w:cs="Arial"/>
          <w:sz w:val="22"/>
          <w:szCs w:val="22"/>
        </w:rPr>
      </w:pPr>
    </w:p>
    <w:p w14:paraId="21303CE0" w14:textId="77777777" w:rsidR="008150A5" w:rsidRPr="00A24988" w:rsidRDefault="008150A5" w:rsidP="00A24988">
      <w:pPr>
        <w:spacing w:line="360" w:lineRule="auto"/>
        <w:jc w:val="both"/>
        <w:rPr>
          <w:rFonts w:ascii="Arial" w:eastAsia="Arial Nova" w:hAnsi="Arial" w:cs="Arial"/>
          <w:sz w:val="22"/>
          <w:szCs w:val="22"/>
        </w:rPr>
      </w:pPr>
    </w:p>
    <w:p w14:paraId="4A6A13E8" w14:textId="77777777" w:rsidR="008150A5" w:rsidRPr="00A24988" w:rsidRDefault="008150A5" w:rsidP="00A24988">
      <w:pPr>
        <w:spacing w:line="360" w:lineRule="auto"/>
        <w:jc w:val="both"/>
        <w:rPr>
          <w:rFonts w:ascii="Arial" w:eastAsia="Arial Nova" w:hAnsi="Arial" w:cs="Arial"/>
          <w:sz w:val="22"/>
          <w:szCs w:val="22"/>
        </w:rPr>
      </w:pPr>
    </w:p>
    <w:p w14:paraId="789A56FD" w14:textId="77777777" w:rsidR="008150A5" w:rsidRPr="00A24988" w:rsidRDefault="008150A5" w:rsidP="00A24988">
      <w:pPr>
        <w:spacing w:line="360" w:lineRule="auto"/>
        <w:jc w:val="both"/>
        <w:rPr>
          <w:rFonts w:ascii="Arial" w:eastAsia="Arial Nova" w:hAnsi="Arial" w:cs="Arial"/>
          <w:sz w:val="22"/>
          <w:szCs w:val="22"/>
        </w:rPr>
      </w:pPr>
    </w:p>
    <w:p w14:paraId="577C17C4" w14:textId="77777777" w:rsidR="008150A5" w:rsidRPr="00A24988" w:rsidRDefault="008150A5" w:rsidP="00A24988">
      <w:pPr>
        <w:spacing w:line="360" w:lineRule="auto"/>
        <w:jc w:val="both"/>
        <w:rPr>
          <w:rFonts w:ascii="Arial" w:eastAsia="Arial Nova" w:hAnsi="Arial" w:cs="Arial"/>
          <w:sz w:val="22"/>
          <w:szCs w:val="22"/>
        </w:rPr>
      </w:pPr>
    </w:p>
    <w:p w14:paraId="37C23373" w14:textId="77777777" w:rsidR="008150A5" w:rsidRDefault="008150A5" w:rsidP="00A24988">
      <w:pPr>
        <w:spacing w:line="360" w:lineRule="auto"/>
        <w:jc w:val="both"/>
        <w:rPr>
          <w:rFonts w:ascii="Arial" w:eastAsia="Arial Nova" w:hAnsi="Arial" w:cs="Arial"/>
          <w:sz w:val="22"/>
          <w:szCs w:val="22"/>
        </w:rPr>
      </w:pPr>
    </w:p>
    <w:sdt>
      <w:sdtPr>
        <w:rPr>
          <w:rFonts w:asciiTheme="minorHAnsi" w:eastAsiaTheme="minorEastAsia" w:hAnsiTheme="minorHAnsi" w:cstheme="minorBidi"/>
          <w:color w:val="auto"/>
          <w:sz w:val="24"/>
          <w:szCs w:val="24"/>
          <w:lang w:eastAsia="ja-JP"/>
        </w:rPr>
        <w:id w:val="-1081607420"/>
        <w:docPartObj>
          <w:docPartGallery w:val="Table of Contents"/>
          <w:docPartUnique/>
        </w:docPartObj>
      </w:sdtPr>
      <w:sdtEndPr>
        <w:rPr>
          <w:b/>
          <w:bCs/>
          <w:noProof/>
        </w:rPr>
      </w:sdtEndPr>
      <w:sdtContent>
        <w:p w14:paraId="579AD576" w14:textId="4B5039BE" w:rsidR="00B63666" w:rsidRDefault="00B63666">
          <w:pPr>
            <w:pStyle w:val="TOCHeading"/>
          </w:pPr>
          <w:r>
            <w:t>Table of Contents</w:t>
          </w:r>
        </w:p>
        <w:p w14:paraId="2E052161" w14:textId="4505234D" w:rsidR="00D05E63" w:rsidRDefault="00B63666">
          <w:pPr>
            <w:pStyle w:val="TOC1"/>
            <w:tabs>
              <w:tab w:val="right" w:leader="dot" w:pos="9350"/>
            </w:tabs>
            <w:rPr>
              <w:noProof/>
              <w:kern w:val="2"/>
              <w:lang w:val="en-GB" w:eastAsia="en-GB"/>
              <w14:ligatures w14:val="standardContextual"/>
            </w:rPr>
          </w:pPr>
          <w:r>
            <w:fldChar w:fldCharType="begin"/>
          </w:r>
          <w:r>
            <w:instrText xml:space="preserve"> TOC \o "1-3" \h \z \u </w:instrText>
          </w:r>
          <w:r>
            <w:fldChar w:fldCharType="separate"/>
          </w:r>
          <w:hyperlink w:anchor="_Toc213319749" w:history="1">
            <w:r w:rsidR="00D05E63" w:rsidRPr="00123A53">
              <w:rPr>
                <w:rStyle w:val="Hyperlink"/>
                <w:noProof/>
              </w:rPr>
              <w:t>Task 1 – Concept Map</w:t>
            </w:r>
            <w:r w:rsidR="00D05E63">
              <w:rPr>
                <w:noProof/>
                <w:webHidden/>
              </w:rPr>
              <w:tab/>
            </w:r>
            <w:r w:rsidR="00D05E63">
              <w:rPr>
                <w:noProof/>
                <w:webHidden/>
              </w:rPr>
              <w:fldChar w:fldCharType="begin"/>
            </w:r>
            <w:r w:rsidR="00D05E63">
              <w:rPr>
                <w:noProof/>
                <w:webHidden/>
              </w:rPr>
              <w:instrText xml:space="preserve"> PAGEREF _Toc213319749 \h </w:instrText>
            </w:r>
            <w:r w:rsidR="00D05E63">
              <w:rPr>
                <w:noProof/>
                <w:webHidden/>
              </w:rPr>
            </w:r>
            <w:r w:rsidR="00D05E63">
              <w:rPr>
                <w:noProof/>
                <w:webHidden/>
              </w:rPr>
              <w:fldChar w:fldCharType="separate"/>
            </w:r>
            <w:r w:rsidR="00D05E63">
              <w:rPr>
                <w:noProof/>
                <w:webHidden/>
              </w:rPr>
              <w:t>3</w:t>
            </w:r>
            <w:r w:rsidR="00D05E63">
              <w:rPr>
                <w:noProof/>
                <w:webHidden/>
              </w:rPr>
              <w:fldChar w:fldCharType="end"/>
            </w:r>
          </w:hyperlink>
        </w:p>
        <w:p w14:paraId="15DE487A" w14:textId="2C0C3E8E" w:rsidR="00D05E63" w:rsidRDefault="00D05E63">
          <w:pPr>
            <w:pStyle w:val="TOC1"/>
            <w:tabs>
              <w:tab w:val="right" w:leader="dot" w:pos="9350"/>
            </w:tabs>
            <w:rPr>
              <w:noProof/>
              <w:kern w:val="2"/>
              <w:lang w:val="en-GB" w:eastAsia="en-GB"/>
              <w14:ligatures w14:val="standardContextual"/>
            </w:rPr>
          </w:pPr>
          <w:hyperlink w:anchor="_Toc213319750" w:history="1">
            <w:r w:rsidRPr="00123A53">
              <w:rPr>
                <w:rStyle w:val="Hyperlink"/>
                <w:noProof/>
              </w:rPr>
              <w:t>Task 2 - Self-Reflection of Group Activity</w:t>
            </w:r>
            <w:r>
              <w:rPr>
                <w:noProof/>
                <w:webHidden/>
              </w:rPr>
              <w:tab/>
            </w:r>
            <w:r>
              <w:rPr>
                <w:noProof/>
                <w:webHidden/>
              </w:rPr>
              <w:fldChar w:fldCharType="begin"/>
            </w:r>
            <w:r>
              <w:rPr>
                <w:noProof/>
                <w:webHidden/>
              </w:rPr>
              <w:instrText xml:space="preserve"> PAGEREF _Toc213319750 \h </w:instrText>
            </w:r>
            <w:r>
              <w:rPr>
                <w:noProof/>
                <w:webHidden/>
              </w:rPr>
            </w:r>
            <w:r>
              <w:rPr>
                <w:noProof/>
                <w:webHidden/>
              </w:rPr>
              <w:fldChar w:fldCharType="separate"/>
            </w:r>
            <w:r>
              <w:rPr>
                <w:noProof/>
                <w:webHidden/>
              </w:rPr>
              <w:t>4</w:t>
            </w:r>
            <w:r>
              <w:rPr>
                <w:noProof/>
                <w:webHidden/>
              </w:rPr>
              <w:fldChar w:fldCharType="end"/>
            </w:r>
          </w:hyperlink>
        </w:p>
        <w:p w14:paraId="0B8F39AE" w14:textId="63CF8BB0" w:rsidR="00D05E63" w:rsidRDefault="00D05E63">
          <w:pPr>
            <w:pStyle w:val="TOC1"/>
            <w:tabs>
              <w:tab w:val="right" w:leader="dot" w:pos="9350"/>
            </w:tabs>
            <w:rPr>
              <w:noProof/>
              <w:kern w:val="2"/>
              <w:lang w:val="en-GB" w:eastAsia="en-GB"/>
              <w14:ligatures w14:val="standardContextual"/>
            </w:rPr>
          </w:pPr>
          <w:hyperlink w:anchor="_Toc213319751" w:history="1">
            <w:r w:rsidRPr="00123A53">
              <w:rPr>
                <w:rStyle w:val="Hyperlink"/>
                <w:noProof/>
              </w:rPr>
              <w:t>Task 3 - Case Study of a UK innovation</w:t>
            </w:r>
            <w:r>
              <w:rPr>
                <w:noProof/>
                <w:webHidden/>
              </w:rPr>
              <w:tab/>
            </w:r>
            <w:r>
              <w:rPr>
                <w:noProof/>
                <w:webHidden/>
              </w:rPr>
              <w:fldChar w:fldCharType="begin"/>
            </w:r>
            <w:r>
              <w:rPr>
                <w:noProof/>
                <w:webHidden/>
              </w:rPr>
              <w:instrText xml:space="preserve"> PAGEREF _Toc213319751 \h </w:instrText>
            </w:r>
            <w:r>
              <w:rPr>
                <w:noProof/>
                <w:webHidden/>
              </w:rPr>
            </w:r>
            <w:r>
              <w:rPr>
                <w:noProof/>
                <w:webHidden/>
              </w:rPr>
              <w:fldChar w:fldCharType="separate"/>
            </w:r>
            <w:r>
              <w:rPr>
                <w:noProof/>
                <w:webHidden/>
              </w:rPr>
              <w:t>5</w:t>
            </w:r>
            <w:r>
              <w:rPr>
                <w:noProof/>
                <w:webHidden/>
              </w:rPr>
              <w:fldChar w:fldCharType="end"/>
            </w:r>
          </w:hyperlink>
        </w:p>
        <w:p w14:paraId="10A47505" w14:textId="1B674E72" w:rsidR="00D05E63" w:rsidRDefault="00D05E63">
          <w:pPr>
            <w:pStyle w:val="TOC1"/>
            <w:tabs>
              <w:tab w:val="right" w:leader="dot" w:pos="9350"/>
            </w:tabs>
            <w:rPr>
              <w:noProof/>
              <w:kern w:val="2"/>
              <w:lang w:val="en-GB" w:eastAsia="en-GB"/>
              <w14:ligatures w14:val="standardContextual"/>
            </w:rPr>
          </w:pPr>
          <w:hyperlink w:anchor="_Toc213319752" w:history="1">
            <w:r w:rsidRPr="00123A53">
              <w:rPr>
                <w:rStyle w:val="Hyperlink"/>
                <w:noProof/>
              </w:rPr>
              <w:t>Task 4 - Research Task</w:t>
            </w:r>
            <w:r>
              <w:rPr>
                <w:noProof/>
                <w:webHidden/>
              </w:rPr>
              <w:tab/>
            </w:r>
            <w:r>
              <w:rPr>
                <w:noProof/>
                <w:webHidden/>
              </w:rPr>
              <w:fldChar w:fldCharType="begin"/>
            </w:r>
            <w:r>
              <w:rPr>
                <w:noProof/>
                <w:webHidden/>
              </w:rPr>
              <w:instrText xml:space="preserve"> PAGEREF _Toc213319752 \h </w:instrText>
            </w:r>
            <w:r>
              <w:rPr>
                <w:noProof/>
                <w:webHidden/>
              </w:rPr>
            </w:r>
            <w:r>
              <w:rPr>
                <w:noProof/>
                <w:webHidden/>
              </w:rPr>
              <w:fldChar w:fldCharType="separate"/>
            </w:r>
            <w:r>
              <w:rPr>
                <w:noProof/>
                <w:webHidden/>
              </w:rPr>
              <w:t>6</w:t>
            </w:r>
            <w:r>
              <w:rPr>
                <w:noProof/>
                <w:webHidden/>
              </w:rPr>
              <w:fldChar w:fldCharType="end"/>
            </w:r>
          </w:hyperlink>
        </w:p>
        <w:p w14:paraId="102A0C1F" w14:textId="5C6596DC" w:rsidR="00D05E63" w:rsidRDefault="00D05E63">
          <w:pPr>
            <w:pStyle w:val="TOC1"/>
            <w:tabs>
              <w:tab w:val="right" w:leader="dot" w:pos="9350"/>
            </w:tabs>
            <w:rPr>
              <w:noProof/>
              <w:kern w:val="2"/>
              <w:lang w:val="en-GB" w:eastAsia="en-GB"/>
              <w14:ligatures w14:val="standardContextual"/>
            </w:rPr>
          </w:pPr>
          <w:hyperlink w:anchor="_Toc213319753" w:history="1">
            <w:r w:rsidRPr="00123A53">
              <w:rPr>
                <w:rStyle w:val="Hyperlink"/>
                <w:noProof/>
              </w:rPr>
              <w:t>Task 5 - Podcast</w:t>
            </w:r>
            <w:r>
              <w:rPr>
                <w:noProof/>
                <w:webHidden/>
              </w:rPr>
              <w:tab/>
            </w:r>
            <w:r>
              <w:rPr>
                <w:noProof/>
                <w:webHidden/>
              </w:rPr>
              <w:fldChar w:fldCharType="begin"/>
            </w:r>
            <w:r>
              <w:rPr>
                <w:noProof/>
                <w:webHidden/>
              </w:rPr>
              <w:instrText xml:space="preserve"> PAGEREF _Toc213319753 \h </w:instrText>
            </w:r>
            <w:r>
              <w:rPr>
                <w:noProof/>
                <w:webHidden/>
              </w:rPr>
            </w:r>
            <w:r>
              <w:rPr>
                <w:noProof/>
                <w:webHidden/>
              </w:rPr>
              <w:fldChar w:fldCharType="separate"/>
            </w:r>
            <w:r>
              <w:rPr>
                <w:noProof/>
                <w:webHidden/>
              </w:rPr>
              <w:t>7</w:t>
            </w:r>
            <w:r>
              <w:rPr>
                <w:noProof/>
                <w:webHidden/>
              </w:rPr>
              <w:fldChar w:fldCharType="end"/>
            </w:r>
          </w:hyperlink>
        </w:p>
        <w:p w14:paraId="381FC9CB" w14:textId="3F2D284D" w:rsidR="00D05E63" w:rsidRDefault="00D05E63">
          <w:pPr>
            <w:pStyle w:val="TOC1"/>
            <w:tabs>
              <w:tab w:val="right" w:leader="dot" w:pos="9350"/>
            </w:tabs>
            <w:rPr>
              <w:noProof/>
              <w:kern w:val="2"/>
              <w:lang w:val="en-GB" w:eastAsia="en-GB"/>
              <w14:ligatures w14:val="standardContextual"/>
            </w:rPr>
          </w:pPr>
          <w:hyperlink w:anchor="_Toc213319754" w:history="1">
            <w:r w:rsidRPr="00123A53">
              <w:rPr>
                <w:rStyle w:val="Hyperlink"/>
                <w:noProof/>
              </w:rPr>
              <w:t>Task 6 - NHS Leadership Framework Analysis</w:t>
            </w:r>
            <w:r>
              <w:rPr>
                <w:noProof/>
                <w:webHidden/>
              </w:rPr>
              <w:tab/>
            </w:r>
            <w:r>
              <w:rPr>
                <w:noProof/>
                <w:webHidden/>
              </w:rPr>
              <w:fldChar w:fldCharType="begin"/>
            </w:r>
            <w:r>
              <w:rPr>
                <w:noProof/>
                <w:webHidden/>
              </w:rPr>
              <w:instrText xml:space="preserve"> PAGEREF _Toc213319754 \h </w:instrText>
            </w:r>
            <w:r>
              <w:rPr>
                <w:noProof/>
                <w:webHidden/>
              </w:rPr>
            </w:r>
            <w:r>
              <w:rPr>
                <w:noProof/>
                <w:webHidden/>
              </w:rPr>
              <w:fldChar w:fldCharType="separate"/>
            </w:r>
            <w:r>
              <w:rPr>
                <w:noProof/>
                <w:webHidden/>
              </w:rPr>
              <w:t>8</w:t>
            </w:r>
            <w:r>
              <w:rPr>
                <w:noProof/>
                <w:webHidden/>
              </w:rPr>
              <w:fldChar w:fldCharType="end"/>
            </w:r>
          </w:hyperlink>
        </w:p>
        <w:p w14:paraId="368D43FE" w14:textId="5CD883A9" w:rsidR="00D05E63" w:rsidRDefault="00D05E63">
          <w:pPr>
            <w:pStyle w:val="TOC1"/>
            <w:tabs>
              <w:tab w:val="right" w:leader="dot" w:pos="9350"/>
            </w:tabs>
            <w:rPr>
              <w:noProof/>
              <w:kern w:val="2"/>
              <w:lang w:val="en-GB" w:eastAsia="en-GB"/>
              <w14:ligatures w14:val="standardContextual"/>
            </w:rPr>
          </w:pPr>
          <w:hyperlink w:anchor="_Toc213319755" w:history="1">
            <w:r w:rsidRPr="00123A53">
              <w:rPr>
                <w:rStyle w:val="Hyperlink"/>
                <w:noProof/>
              </w:rPr>
              <w:t>Task 7 - Self-Reflection Journal Entry</w:t>
            </w:r>
            <w:r>
              <w:rPr>
                <w:noProof/>
                <w:webHidden/>
              </w:rPr>
              <w:tab/>
            </w:r>
            <w:r>
              <w:rPr>
                <w:noProof/>
                <w:webHidden/>
              </w:rPr>
              <w:fldChar w:fldCharType="begin"/>
            </w:r>
            <w:r>
              <w:rPr>
                <w:noProof/>
                <w:webHidden/>
              </w:rPr>
              <w:instrText xml:space="preserve"> PAGEREF _Toc213319755 \h </w:instrText>
            </w:r>
            <w:r>
              <w:rPr>
                <w:noProof/>
                <w:webHidden/>
              </w:rPr>
            </w:r>
            <w:r>
              <w:rPr>
                <w:noProof/>
                <w:webHidden/>
              </w:rPr>
              <w:fldChar w:fldCharType="separate"/>
            </w:r>
            <w:r>
              <w:rPr>
                <w:noProof/>
                <w:webHidden/>
              </w:rPr>
              <w:t>9</w:t>
            </w:r>
            <w:r>
              <w:rPr>
                <w:noProof/>
                <w:webHidden/>
              </w:rPr>
              <w:fldChar w:fldCharType="end"/>
            </w:r>
          </w:hyperlink>
        </w:p>
        <w:p w14:paraId="6476398B" w14:textId="21AADD31" w:rsidR="00D05E63" w:rsidRDefault="00D05E63">
          <w:pPr>
            <w:pStyle w:val="TOC1"/>
            <w:tabs>
              <w:tab w:val="right" w:leader="dot" w:pos="9350"/>
            </w:tabs>
            <w:rPr>
              <w:noProof/>
              <w:kern w:val="2"/>
              <w:lang w:val="en-GB" w:eastAsia="en-GB"/>
              <w14:ligatures w14:val="standardContextual"/>
            </w:rPr>
          </w:pPr>
          <w:hyperlink w:anchor="_Toc213319756" w:history="1">
            <w:r w:rsidRPr="00123A53">
              <w:rPr>
                <w:rStyle w:val="Hyperlink"/>
                <w:noProof/>
              </w:rPr>
              <w:t>Reference List</w:t>
            </w:r>
            <w:r>
              <w:rPr>
                <w:noProof/>
                <w:webHidden/>
              </w:rPr>
              <w:tab/>
            </w:r>
            <w:r>
              <w:rPr>
                <w:noProof/>
                <w:webHidden/>
              </w:rPr>
              <w:fldChar w:fldCharType="begin"/>
            </w:r>
            <w:r>
              <w:rPr>
                <w:noProof/>
                <w:webHidden/>
              </w:rPr>
              <w:instrText xml:space="preserve"> PAGEREF _Toc213319756 \h </w:instrText>
            </w:r>
            <w:r>
              <w:rPr>
                <w:noProof/>
                <w:webHidden/>
              </w:rPr>
            </w:r>
            <w:r>
              <w:rPr>
                <w:noProof/>
                <w:webHidden/>
              </w:rPr>
              <w:fldChar w:fldCharType="separate"/>
            </w:r>
            <w:r>
              <w:rPr>
                <w:noProof/>
                <w:webHidden/>
              </w:rPr>
              <w:t>11</w:t>
            </w:r>
            <w:r>
              <w:rPr>
                <w:noProof/>
                <w:webHidden/>
              </w:rPr>
              <w:fldChar w:fldCharType="end"/>
            </w:r>
          </w:hyperlink>
        </w:p>
        <w:p w14:paraId="69FBFD56" w14:textId="268A7445" w:rsidR="00B63666" w:rsidRDefault="00B63666">
          <w:r>
            <w:rPr>
              <w:b/>
              <w:bCs/>
              <w:noProof/>
            </w:rPr>
            <w:fldChar w:fldCharType="end"/>
          </w:r>
        </w:p>
      </w:sdtContent>
    </w:sdt>
    <w:p w14:paraId="641FE3CE" w14:textId="77777777" w:rsidR="00B63666" w:rsidRDefault="00B63666" w:rsidP="00A24988">
      <w:pPr>
        <w:spacing w:line="360" w:lineRule="auto"/>
        <w:jc w:val="both"/>
        <w:rPr>
          <w:rFonts w:ascii="Arial" w:eastAsia="Arial Nova" w:hAnsi="Arial" w:cs="Arial"/>
          <w:sz w:val="22"/>
          <w:szCs w:val="22"/>
        </w:rPr>
      </w:pPr>
    </w:p>
    <w:p w14:paraId="454D2227" w14:textId="77777777" w:rsidR="00B63666" w:rsidRDefault="00B63666" w:rsidP="00A24988">
      <w:pPr>
        <w:spacing w:line="360" w:lineRule="auto"/>
        <w:jc w:val="both"/>
        <w:rPr>
          <w:rFonts w:ascii="Arial" w:eastAsia="Arial Nova" w:hAnsi="Arial" w:cs="Arial"/>
          <w:sz w:val="22"/>
          <w:szCs w:val="22"/>
        </w:rPr>
      </w:pPr>
    </w:p>
    <w:p w14:paraId="6F526CE4" w14:textId="77777777" w:rsidR="00B63666" w:rsidRDefault="00B63666" w:rsidP="00A24988">
      <w:pPr>
        <w:spacing w:line="360" w:lineRule="auto"/>
        <w:jc w:val="both"/>
        <w:rPr>
          <w:rFonts w:ascii="Arial" w:eastAsia="Arial Nova" w:hAnsi="Arial" w:cs="Arial"/>
          <w:sz w:val="22"/>
          <w:szCs w:val="22"/>
        </w:rPr>
      </w:pPr>
    </w:p>
    <w:p w14:paraId="5BD1A9FA" w14:textId="77777777" w:rsidR="00B63666" w:rsidRDefault="00B63666" w:rsidP="00A24988">
      <w:pPr>
        <w:spacing w:line="360" w:lineRule="auto"/>
        <w:jc w:val="both"/>
        <w:rPr>
          <w:rFonts w:ascii="Arial" w:eastAsia="Arial Nova" w:hAnsi="Arial" w:cs="Arial"/>
          <w:sz w:val="22"/>
          <w:szCs w:val="22"/>
        </w:rPr>
      </w:pPr>
    </w:p>
    <w:p w14:paraId="779B10FB" w14:textId="77777777" w:rsidR="00B63666" w:rsidRDefault="00B63666" w:rsidP="00A24988">
      <w:pPr>
        <w:spacing w:line="360" w:lineRule="auto"/>
        <w:jc w:val="both"/>
        <w:rPr>
          <w:rFonts w:ascii="Arial" w:eastAsia="Arial Nova" w:hAnsi="Arial" w:cs="Arial"/>
          <w:sz w:val="22"/>
          <w:szCs w:val="22"/>
        </w:rPr>
      </w:pPr>
    </w:p>
    <w:p w14:paraId="530DBD85" w14:textId="77777777" w:rsidR="00B63666" w:rsidRDefault="00B63666" w:rsidP="00A24988">
      <w:pPr>
        <w:spacing w:line="360" w:lineRule="auto"/>
        <w:jc w:val="both"/>
        <w:rPr>
          <w:rFonts w:ascii="Arial" w:eastAsia="Arial Nova" w:hAnsi="Arial" w:cs="Arial"/>
          <w:sz w:val="22"/>
          <w:szCs w:val="22"/>
        </w:rPr>
      </w:pPr>
    </w:p>
    <w:p w14:paraId="2563BB58" w14:textId="77777777" w:rsidR="00B63666" w:rsidRDefault="00B63666" w:rsidP="00A24988">
      <w:pPr>
        <w:spacing w:line="360" w:lineRule="auto"/>
        <w:jc w:val="both"/>
        <w:rPr>
          <w:rFonts w:ascii="Arial" w:eastAsia="Arial Nova" w:hAnsi="Arial" w:cs="Arial"/>
          <w:sz w:val="22"/>
          <w:szCs w:val="22"/>
        </w:rPr>
      </w:pPr>
    </w:p>
    <w:p w14:paraId="4C3E389B" w14:textId="77777777" w:rsidR="00B63666" w:rsidRDefault="00B63666" w:rsidP="00A24988">
      <w:pPr>
        <w:spacing w:line="360" w:lineRule="auto"/>
        <w:jc w:val="both"/>
        <w:rPr>
          <w:rFonts w:ascii="Arial" w:eastAsia="Arial Nova" w:hAnsi="Arial" w:cs="Arial"/>
          <w:sz w:val="22"/>
          <w:szCs w:val="22"/>
        </w:rPr>
      </w:pPr>
    </w:p>
    <w:p w14:paraId="3679C7C2" w14:textId="77777777" w:rsidR="00B63666" w:rsidRDefault="00B63666" w:rsidP="00A24988">
      <w:pPr>
        <w:spacing w:line="360" w:lineRule="auto"/>
        <w:jc w:val="both"/>
        <w:rPr>
          <w:rFonts w:ascii="Arial" w:eastAsia="Arial Nova" w:hAnsi="Arial" w:cs="Arial"/>
          <w:sz w:val="22"/>
          <w:szCs w:val="22"/>
        </w:rPr>
      </w:pPr>
    </w:p>
    <w:p w14:paraId="4B882ECA" w14:textId="77777777" w:rsidR="00B63666" w:rsidRDefault="00B63666" w:rsidP="00A24988">
      <w:pPr>
        <w:spacing w:line="360" w:lineRule="auto"/>
        <w:jc w:val="both"/>
        <w:rPr>
          <w:rFonts w:ascii="Arial" w:eastAsia="Arial Nova" w:hAnsi="Arial" w:cs="Arial"/>
          <w:sz w:val="22"/>
          <w:szCs w:val="22"/>
        </w:rPr>
      </w:pPr>
    </w:p>
    <w:p w14:paraId="4C96C90D" w14:textId="77777777" w:rsidR="00B63666" w:rsidRDefault="00B63666" w:rsidP="00A24988">
      <w:pPr>
        <w:spacing w:line="360" w:lineRule="auto"/>
        <w:jc w:val="both"/>
        <w:rPr>
          <w:rFonts w:ascii="Arial" w:eastAsia="Arial Nova" w:hAnsi="Arial" w:cs="Arial"/>
          <w:sz w:val="22"/>
          <w:szCs w:val="22"/>
        </w:rPr>
      </w:pPr>
    </w:p>
    <w:p w14:paraId="5512A11E" w14:textId="77777777" w:rsidR="00EA3603" w:rsidRDefault="00EA3603" w:rsidP="00A24988">
      <w:pPr>
        <w:spacing w:line="360" w:lineRule="auto"/>
        <w:jc w:val="both"/>
        <w:rPr>
          <w:rFonts w:ascii="Arial" w:eastAsia="Arial Nova" w:hAnsi="Arial" w:cs="Arial"/>
          <w:sz w:val="22"/>
          <w:szCs w:val="22"/>
        </w:rPr>
      </w:pPr>
    </w:p>
    <w:p w14:paraId="434C63BC" w14:textId="77777777" w:rsidR="00EA3603" w:rsidRDefault="00EA3603" w:rsidP="00A24988">
      <w:pPr>
        <w:spacing w:line="360" w:lineRule="auto"/>
        <w:jc w:val="both"/>
        <w:rPr>
          <w:rFonts w:ascii="Arial" w:eastAsia="Arial Nova" w:hAnsi="Arial" w:cs="Arial"/>
          <w:sz w:val="22"/>
          <w:szCs w:val="22"/>
        </w:rPr>
      </w:pPr>
    </w:p>
    <w:p w14:paraId="3A6A859A" w14:textId="77777777" w:rsidR="00B63666" w:rsidRDefault="00B63666" w:rsidP="00A24988">
      <w:pPr>
        <w:spacing w:line="360" w:lineRule="auto"/>
        <w:jc w:val="both"/>
        <w:rPr>
          <w:rFonts w:ascii="Arial" w:eastAsia="Arial Nova" w:hAnsi="Arial" w:cs="Arial"/>
          <w:sz w:val="22"/>
          <w:szCs w:val="22"/>
        </w:rPr>
      </w:pPr>
    </w:p>
    <w:p w14:paraId="37D92A99" w14:textId="77777777" w:rsidR="00B63666" w:rsidRPr="00A24988" w:rsidRDefault="00B63666" w:rsidP="00A24988">
      <w:pPr>
        <w:spacing w:line="360" w:lineRule="auto"/>
        <w:jc w:val="both"/>
        <w:rPr>
          <w:rFonts w:ascii="Arial" w:eastAsia="Arial Nova" w:hAnsi="Arial" w:cs="Arial"/>
          <w:sz w:val="22"/>
          <w:szCs w:val="22"/>
        </w:rPr>
      </w:pPr>
    </w:p>
    <w:p w14:paraId="58FB7A83" w14:textId="66CF3F71" w:rsidR="1AEA2BF4" w:rsidRPr="00A24988" w:rsidRDefault="32ADAAF6" w:rsidP="00B63666">
      <w:pPr>
        <w:pStyle w:val="Heading1"/>
      </w:pPr>
      <w:bookmarkStart w:id="0" w:name="_Toc213319749"/>
      <w:r w:rsidRPr="00A24988">
        <w:lastRenderedPageBreak/>
        <w:t>Task 1 – Concept Map</w:t>
      </w:r>
      <w:bookmarkEnd w:id="0"/>
    </w:p>
    <w:p w14:paraId="1D4BB11C" w14:textId="3EF30B31" w:rsidR="003E3305" w:rsidRPr="00A24988" w:rsidRDefault="0091419F" w:rsidP="00A24988">
      <w:pPr>
        <w:spacing w:line="360" w:lineRule="auto"/>
        <w:jc w:val="both"/>
        <w:rPr>
          <w:rFonts w:ascii="Arial" w:eastAsia="Arial Nova" w:hAnsi="Arial" w:cs="Arial"/>
          <w:sz w:val="22"/>
          <w:szCs w:val="22"/>
        </w:rPr>
      </w:pPr>
      <w:r w:rsidRPr="00A24988">
        <w:rPr>
          <w:rFonts w:ascii="Arial" w:eastAsia="Arial Nova" w:hAnsi="Arial" w:cs="Arial"/>
          <w:sz w:val="22"/>
          <w:szCs w:val="22"/>
        </w:rPr>
        <w:t>Simplified Concept Map: Creativity and Value in Care Homes</w:t>
      </w:r>
    </w:p>
    <w:p w14:paraId="777A1954" w14:textId="33520A62" w:rsidR="00BA3E69" w:rsidRPr="00A24988" w:rsidRDefault="00562C86" w:rsidP="00A24988">
      <w:pPr>
        <w:spacing w:line="360" w:lineRule="auto"/>
        <w:jc w:val="both"/>
        <w:rPr>
          <w:rFonts w:ascii="Arial" w:eastAsia="Arial Nova" w:hAnsi="Arial" w:cs="Arial"/>
          <w:sz w:val="22"/>
          <w:szCs w:val="22"/>
        </w:rPr>
      </w:pPr>
      <w:r w:rsidRPr="00A24988">
        <w:rPr>
          <w:rFonts w:ascii="Arial" w:eastAsia="Arial Nova" w:hAnsi="Arial" w:cs="Arial"/>
          <w:noProof/>
          <w:sz w:val="22"/>
          <w:szCs w:val="22"/>
        </w:rPr>
        <w:drawing>
          <wp:inline distT="0" distB="0" distL="0" distR="0" wp14:anchorId="28D6123E" wp14:editId="3C630A64">
            <wp:extent cx="6499860" cy="5158740"/>
            <wp:effectExtent l="0" t="0" r="72390" b="0"/>
            <wp:docPr id="729729230"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B9CB29A" w14:textId="77777777" w:rsidR="00B35289" w:rsidRPr="00A24988" w:rsidRDefault="00B35289" w:rsidP="00A24988">
      <w:pPr>
        <w:spacing w:line="360" w:lineRule="auto"/>
        <w:jc w:val="both"/>
        <w:rPr>
          <w:rFonts w:ascii="Arial" w:eastAsia="Arial Nova" w:hAnsi="Arial" w:cs="Arial"/>
          <w:sz w:val="22"/>
          <w:szCs w:val="22"/>
        </w:rPr>
      </w:pPr>
    </w:p>
    <w:p w14:paraId="0BC7D9FC" w14:textId="1B9F2C05" w:rsidR="021F216E" w:rsidRPr="00A24988" w:rsidRDefault="005A04A1"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Creativity is vital for advancement in health and social care, since it empowers professionals to transcend conventional procedures and devise innovative strategies. Amabile’s (2011) componential theory of creativity emphasizes the interplay between individual knowledge, creative thinking abilities, and motivation in generating new ideas. In a care facility, creativity is especially essential for devising activities that emotionally, socially, and intellectually engage residents.</w:t>
      </w:r>
    </w:p>
    <w:p w14:paraId="10D39960" w14:textId="3A6CB74A" w:rsidR="005A04A1" w:rsidRPr="00A24988" w:rsidRDefault="005A04A1"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lastRenderedPageBreak/>
        <w:t>Creativity directly enhances value creation, defined as generating results that are significant for both service consumers and suppliers. Bate and Robert (2006) assert that the enhancement of health and social care should be seen as a process of co-creating value with patients and service users. In a care facility, this entails creating activities that not only occupy time but also promote dignity, wellness, and social connectivity.</w:t>
      </w:r>
    </w:p>
    <w:p w14:paraId="2B72EF92" w14:textId="5FCA0733" w:rsidR="005A04A1" w:rsidRPr="00A24988" w:rsidRDefault="005A04A1"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Some things that might make life better are music therapy, art classes, gardens, and remembering lessons. These things help people feel less alone, remember things better, and express themselves. Staff confidence and happiness go up when they get to know people.</w:t>
      </w:r>
    </w:p>
    <w:p w14:paraId="7A1FCCC3" w14:textId="2B87627D" w:rsidR="005A04A1" w:rsidRPr="00A24988" w:rsidRDefault="005A04A1"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Ultimately, creativity propels innovation in practice, therefore generating value via enhanced experiences for residents, families, and staff. This approach supports the enhancement of health and social care by guaranteeing that services are both efficient and centered on the individual, as well as significant. Consequently, innovation, value generation, and enhancement are interrelated ideas that jointly improve results in care facilities.</w:t>
      </w:r>
    </w:p>
    <w:p w14:paraId="1535D6BD" w14:textId="77777777" w:rsidR="005A04A1" w:rsidRPr="00A24988" w:rsidRDefault="005A04A1" w:rsidP="00A24988">
      <w:pPr>
        <w:spacing w:line="360" w:lineRule="auto"/>
        <w:jc w:val="both"/>
        <w:rPr>
          <w:rFonts w:ascii="Arial" w:eastAsia="Arial Nova" w:hAnsi="Arial" w:cs="Arial"/>
          <w:color w:val="000000" w:themeColor="text1"/>
          <w:sz w:val="22"/>
          <w:szCs w:val="22"/>
        </w:rPr>
      </w:pPr>
    </w:p>
    <w:p w14:paraId="39217C64" w14:textId="77777777" w:rsidR="00F57393" w:rsidRPr="00A24988" w:rsidRDefault="00F57393" w:rsidP="00A24988">
      <w:pPr>
        <w:spacing w:line="360" w:lineRule="auto"/>
        <w:jc w:val="both"/>
        <w:rPr>
          <w:rFonts w:ascii="Arial" w:eastAsia="Arial Nova" w:hAnsi="Arial" w:cs="Arial"/>
          <w:color w:val="000000" w:themeColor="text1"/>
          <w:sz w:val="22"/>
          <w:szCs w:val="22"/>
        </w:rPr>
      </w:pPr>
    </w:p>
    <w:p w14:paraId="783924C5" w14:textId="72BEDB2F" w:rsidR="021F216E" w:rsidRPr="00A24988" w:rsidRDefault="021F216E" w:rsidP="00A24988">
      <w:pPr>
        <w:spacing w:line="360" w:lineRule="auto"/>
        <w:jc w:val="both"/>
        <w:rPr>
          <w:rFonts w:ascii="Arial" w:eastAsia="Arial Nova" w:hAnsi="Arial" w:cs="Arial"/>
          <w:color w:val="000000" w:themeColor="text1"/>
          <w:sz w:val="22"/>
          <w:szCs w:val="22"/>
        </w:rPr>
      </w:pPr>
    </w:p>
    <w:p w14:paraId="1603AB69" w14:textId="2F7B5545" w:rsidR="021F216E" w:rsidRPr="00A24988" w:rsidRDefault="021F216E" w:rsidP="00A24988">
      <w:pPr>
        <w:spacing w:line="360" w:lineRule="auto"/>
        <w:jc w:val="both"/>
        <w:rPr>
          <w:rFonts w:ascii="Arial" w:eastAsia="Arial Nova" w:hAnsi="Arial" w:cs="Arial"/>
          <w:color w:val="000000" w:themeColor="text1"/>
          <w:sz w:val="22"/>
          <w:szCs w:val="22"/>
        </w:rPr>
      </w:pPr>
    </w:p>
    <w:p w14:paraId="6CB48DB0" w14:textId="44BB6E91" w:rsidR="021F216E" w:rsidRPr="00A24988" w:rsidRDefault="021F216E" w:rsidP="00A24988">
      <w:pPr>
        <w:spacing w:line="360" w:lineRule="auto"/>
        <w:jc w:val="both"/>
        <w:rPr>
          <w:rFonts w:ascii="Arial" w:eastAsia="Arial Nova" w:hAnsi="Arial" w:cs="Arial"/>
          <w:color w:val="000000" w:themeColor="text1"/>
          <w:sz w:val="22"/>
          <w:szCs w:val="22"/>
        </w:rPr>
      </w:pPr>
    </w:p>
    <w:p w14:paraId="189F2616" w14:textId="256441CA" w:rsidR="3575C376" w:rsidRPr="00A24988" w:rsidRDefault="469F9A50" w:rsidP="00B63666">
      <w:pPr>
        <w:pStyle w:val="Heading1"/>
      </w:pPr>
      <w:bookmarkStart w:id="1" w:name="_Toc213319750"/>
      <w:r w:rsidRPr="00A24988">
        <w:t xml:space="preserve">Task 2 - </w:t>
      </w:r>
      <w:r w:rsidR="32ADAAF6" w:rsidRPr="00A24988">
        <w:t>Self-Reflection of Group Activity</w:t>
      </w:r>
      <w:bookmarkEnd w:id="1"/>
    </w:p>
    <w:p w14:paraId="2FDFC4D6" w14:textId="215C7C76" w:rsidR="021F216E" w:rsidRPr="00A24988" w:rsidRDefault="00547628"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 xml:space="preserve">Divergent and convergent thinking collaborate to address complex issues, such as ensuring Mrs. Thompson's health. Divergent thinking </w:t>
      </w:r>
      <w:r w:rsidR="00DC4207" w:rsidRPr="00A24988">
        <w:rPr>
          <w:rFonts w:ascii="Arial" w:eastAsia="Arial Nova" w:hAnsi="Arial" w:cs="Arial"/>
          <w:color w:val="000000" w:themeColor="text1"/>
          <w:sz w:val="22"/>
          <w:szCs w:val="22"/>
        </w:rPr>
        <w:t>emphasizes</w:t>
      </w:r>
      <w:r w:rsidRPr="00A24988">
        <w:rPr>
          <w:rFonts w:ascii="Arial" w:eastAsia="Arial Nova" w:hAnsi="Arial" w:cs="Arial"/>
          <w:color w:val="000000" w:themeColor="text1"/>
          <w:sz w:val="22"/>
          <w:szCs w:val="22"/>
        </w:rPr>
        <w:t xml:space="preserve"> generating several distinct and unconventional answers without immediate evaluation (Runco, 2014).</w:t>
      </w:r>
    </w:p>
    <w:p w14:paraId="75B46360" w14:textId="7A33F71D" w:rsidR="00563EB8" w:rsidRPr="00A24988" w:rsidRDefault="00547628"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 xml:space="preserve">In this scenario, students may propose several solutions, like using assistive technology to enhance her mobility, </w:t>
      </w:r>
      <w:r w:rsidR="00DC4207" w:rsidRPr="00A24988">
        <w:rPr>
          <w:rFonts w:ascii="Arial" w:eastAsia="Arial Nova" w:hAnsi="Arial" w:cs="Arial"/>
          <w:color w:val="000000" w:themeColor="text1"/>
          <w:sz w:val="22"/>
          <w:szCs w:val="22"/>
        </w:rPr>
        <w:t>organizing</w:t>
      </w:r>
      <w:r w:rsidRPr="00A24988">
        <w:rPr>
          <w:rFonts w:ascii="Arial" w:eastAsia="Arial Nova" w:hAnsi="Arial" w:cs="Arial"/>
          <w:color w:val="000000" w:themeColor="text1"/>
          <w:sz w:val="22"/>
          <w:szCs w:val="22"/>
        </w:rPr>
        <w:t xml:space="preserve"> community visits to alleviate her isolation, establishing a volunteer network in the vicinity, or </w:t>
      </w:r>
      <w:r w:rsidR="00DC4207" w:rsidRPr="00A24988">
        <w:rPr>
          <w:rFonts w:ascii="Arial" w:eastAsia="Arial Nova" w:hAnsi="Arial" w:cs="Arial"/>
          <w:color w:val="000000" w:themeColor="text1"/>
          <w:sz w:val="22"/>
          <w:szCs w:val="22"/>
        </w:rPr>
        <w:t>utilizing</w:t>
      </w:r>
      <w:r w:rsidRPr="00A24988">
        <w:rPr>
          <w:rFonts w:ascii="Arial" w:eastAsia="Arial Nova" w:hAnsi="Arial" w:cs="Arial"/>
          <w:color w:val="000000" w:themeColor="text1"/>
          <w:sz w:val="22"/>
          <w:szCs w:val="22"/>
        </w:rPr>
        <w:t xml:space="preserve"> technology to facilitate connections with family and friends. This kind of open-ended questioning yields responses that include physical, social, and psychological dimensions.</w:t>
      </w:r>
    </w:p>
    <w:p w14:paraId="164456B2" w14:textId="47EF9ADB" w:rsidR="00547628" w:rsidRPr="00A24988" w:rsidRDefault="00547628"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 xml:space="preserve">When you use convergent thought, on the other hand, you cut down your choices to the most useful, practical, and effective solutions (Cropley, 2006). For instance, putting in high-tech robots </w:t>
      </w:r>
      <w:r w:rsidRPr="00A24988">
        <w:rPr>
          <w:rFonts w:ascii="Arial" w:eastAsia="Arial Nova" w:hAnsi="Arial" w:cs="Arial"/>
          <w:color w:val="000000" w:themeColor="text1"/>
          <w:sz w:val="22"/>
          <w:szCs w:val="22"/>
        </w:rPr>
        <w:lastRenderedPageBreak/>
        <w:t>might be a creative idea, but Mrs. Thompson might not be able to do it because of her age and comfort level with technology.</w:t>
      </w:r>
    </w:p>
    <w:p w14:paraId="06BD4C04" w14:textId="7B8894AA" w:rsidR="00563EB8" w:rsidRPr="00A24988" w:rsidRDefault="00547628"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 xml:space="preserve">Instead, the students could focus on taking easier but more effective steps, like setting up regular social visits, putting her in touch with local senior groups, and getting her a walker or chair to help her get around. As part of this process, ideas must be carefully considered in terms of how much they cost, how easy they are to get to, and what </w:t>
      </w:r>
      <w:r w:rsidR="00EA3603">
        <w:rPr>
          <w:rFonts w:ascii="Arial" w:eastAsia="Arial Nova" w:hAnsi="Arial" w:cs="Arial"/>
          <w:color w:val="000000" w:themeColor="text1"/>
          <w:sz w:val="22"/>
          <w:szCs w:val="22"/>
        </w:rPr>
        <w:t>Mrs</w:t>
      </w:r>
      <w:r w:rsidRPr="00A24988">
        <w:rPr>
          <w:rFonts w:ascii="Arial" w:eastAsia="Arial Nova" w:hAnsi="Arial" w:cs="Arial"/>
          <w:color w:val="000000" w:themeColor="text1"/>
          <w:sz w:val="22"/>
          <w:szCs w:val="22"/>
        </w:rPr>
        <w:t xml:space="preserve"> Thompson wants.</w:t>
      </w:r>
    </w:p>
    <w:p w14:paraId="1C93DFDB" w14:textId="2A8DD26E" w:rsidR="00563EB8" w:rsidRPr="00A24988" w:rsidRDefault="00547628"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When I think about this case again, I can see how important it is to start with lateral thought to open up more options and make sure that beliefs don't limit creativity. But she needs to use convergent thought to turn these ideas into acts that will make her better. Using both methods together makes sure that the solutions are creative and practical, and that they can help Mrs. Thompson in a way that is both kind and long-lasting.</w:t>
      </w:r>
    </w:p>
    <w:p w14:paraId="3D8E9ECA" w14:textId="33CA9756" w:rsidR="32ADAAF6" w:rsidRPr="00A24988" w:rsidRDefault="2A01ADFD" w:rsidP="00B63666">
      <w:pPr>
        <w:pStyle w:val="Heading1"/>
      </w:pPr>
      <w:bookmarkStart w:id="2" w:name="_Toc213319751"/>
      <w:r w:rsidRPr="00A24988">
        <w:t xml:space="preserve">Task 3 - </w:t>
      </w:r>
      <w:r w:rsidR="32ADAAF6" w:rsidRPr="00A24988">
        <w:t>Case Study of a UK innovation</w:t>
      </w:r>
      <w:bookmarkEnd w:id="2"/>
    </w:p>
    <w:p w14:paraId="512C6B50" w14:textId="36F655EF" w:rsidR="021F216E" w:rsidRPr="00654E42" w:rsidRDefault="021F216E" w:rsidP="00A24988">
      <w:pPr>
        <w:spacing w:line="360" w:lineRule="auto"/>
        <w:jc w:val="both"/>
        <w:rPr>
          <w:rFonts w:ascii="Arial" w:eastAsia="Arial Nova" w:hAnsi="Arial" w:cs="Arial"/>
          <w:color w:val="000000" w:themeColor="text1"/>
          <w:sz w:val="22"/>
          <w:szCs w:val="22"/>
        </w:rPr>
      </w:pPr>
    </w:p>
    <w:p w14:paraId="1FA9A172" w14:textId="1354D9F7" w:rsidR="00C94DB7" w:rsidRPr="00A24988" w:rsidRDefault="00C94DB7"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The “NHS at Home” Case Study: Remote Monitoring to Reduce Hospital Admissions</w:t>
      </w:r>
    </w:p>
    <w:p w14:paraId="4ED1B0E3" w14:textId="6A3EDB17" w:rsidR="00C94DB7" w:rsidRPr="00A24988" w:rsidRDefault="00C94DB7"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The "NHS at Home" concept signifies an innovative reconfiguration of care provision within the UK healthcare system, addressing the dual concerns of increasing hospital admissions and limited hospital capacity. The initiative sought to transition treatment from reactive, hospital-centric interventions to proactive, community-oriented management via the use of wearable devices, home monitoring systems, AI analytics, and patient education.</w:t>
      </w:r>
    </w:p>
    <w:p w14:paraId="19473A2B" w14:textId="6E3C8A96" w:rsidR="00C94DB7" w:rsidRPr="00A24988" w:rsidRDefault="00C94DB7"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Creativity catalyzed transformation in the "NHS at Home" project by reconceptualizing healthcare delivery beyond the conventional hospital environment. Wearable sensors and home-based gadgets enabled patients to provide dependable clinical data in their residences, while secure NHS systems facilitated real-time access to this information for physicians.</w:t>
      </w:r>
      <w:r w:rsidRPr="00A24988">
        <w:rPr>
          <w:rFonts w:ascii="Arial" w:hAnsi="Arial" w:cs="Arial"/>
          <w:color w:val="60657B"/>
          <w:sz w:val="22"/>
          <w:szCs w:val="22"/>
          <w:shd w:val="clear" w:color="auto" w:fill="FFFFFF"/>
        </w:rPr>
        <w:t xml:space="preserve"> </w:t>
      </w:r>
      <w:r w:rsidRPr="00A24988">
        <w:rPr>
          <w:rFonts w:ascii="Arial" w:eastAsia="Arial Nova" w:hAnsi="Arial" w:cs="Arial"/>
          <w:color w:val="000000" w:themeColor="text1"/>
          <w:sz w:val="22"/>
          <w:szCs w:val="22"/>
        </w:rPr>
        <w:t>Artificial intelligence and predictive analytics augmented creation by transforming raw data into actionable insights that indicated early degradation.</w:t>
      </w:r>
      <w:r w:rsidRPr="00A24988">
        <w:rPr>
          <w:rFonts w:ascii="Arial" w:hAnsi="Arial" w:cs="Arial"/>
          <w:color w:val="60657B"/>
          <w:sz w:val="22"/>
          <w:szCs w:val="22"/>
          <w:shd w:val="clear" w:color="auto" w:fill="FFFFFF"/>
        </w:rPr>
        <w:t xml:space="preserve"> </w:t>
      </w:r>
      <w:r w:rsidRPr="00A24988">
        <w:rPr>
          <w:rFonts w:ascii="Arial" w:eastAsia="Arial Nova" w:hAnsi="Arial" w:cs="Arial"/>
          <w:color w:val="000000" w:themeColor="text1"/>
          <w:sz w:val="22"/>
          <w:szCs w:val="22"/>
        </w:rPr>
        <w:t>Healthcare providers demonstrated improved responsiveness and effectiveness via this proactive approach. Patient empowerment allows service users to understand their health data and make informed treatment decisions, shifting responsibilities from a clinician-centric model to a collaborative partnership between patients and experts.</w:t>
      </w:r>
    </w:p>
    <w:p w14:paraId="6FEA71E9" w14:textId="2278CA05" w:rsidR="00C94DB7" w:rsidRPr="00A24988" w:rsidRDefault="00C2074D"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rPr>
        <w:t xml:space="preserve">The value created for patients and service users was significant. Remote monitoring programs shown a 25% reduction in unanticipated hospital admissions and an 11% decline in emergency </w:t>
      </w:r>
      <w:r w:rsidRPr="00A24988">
        <w:rPr>
          <w:rFonts w:ascii="Arial" w:eastAsia="Arial Nova" w:hAnsi="Arial" w:cs="Arial"/>
          <w:color w:val="000000" w:themeColor="text1"/>
          <w:sz w:val="22"/>
          <w:szCs w:val="22"/>
        </w:rPr>
        <w:lastRenderedPageBreak/>
        <w:t xml:space="preserve">department visits, indicating significant systemic advantages and cost savings (Durham University, 2024). Evidence indicated that individuals recuperating from acute diseases were less prone to readmission inside six months, underscoring enhancements in safety and quality of treatment (NHS England, 2021). </w:t>
      </w:r>
      <w:r w:rsidRPr="00A24988">
        <w:rPr>
          <w:rFonts w:ascii="Arial" w:eastAsia="Arial Nova" w:hAnsi="Arial" w:cs="Arial"/>
          <w:color w:val="000000" w:themeColor="text1"/>
          <w:sz w:val="22"/>
          <w:szCs w:val="22"/>
          <w:lang w:val="en-GB"/>
        </w:rPr>
        <w:t>In addition to the statistics, patients gained liberty and peace by staying in familiar homes while receiving excellent care. This reduced hospital fear and improved chronic disease management confidence. Quick, data-driven insights let clinicians focus on the most vulnerable. The initiative improved individual outcomes and NHS sustainability with physical and emotional advantages.</w:t>
      </w:r>
    </w:p>
    <w:p w14:paraId="7A54C266" w14:textId="63AEE298" w:rsidR="00563EB8" w:rsidRPr="00AE4262" w:rsidRDefault="00C2074D"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rPr>
        <w:t xml:space="preserve">The "NHS at Home" program exemplifies how ingenuity in digital innovation, predictive analytics, and patient involvement may transform healthcare delivery. Through the integration of technology and cultural transformation, the NHS has created value that enhances patient outcomes, alleviates hospital strain, and fosters a more sustainable future for UK healthcare. </w:t>
      </w:r>
    </w:p>
    <w:p w14:paraId="5DA34871" w14:textId="5F8AAE76" w:rsidR="240D90F5" w:rsidRPr="00654E42" w:rsidRDefault="11DCB36E" w:rsidP="00654E42">
      <w:pPr>
        <w:pStyle w:val="Heading1"/>
      </w:pPr>
      <w:bookmarkStart w:id="3" w:name="_Toc213319752"/>
      <w:r w:rsidRPr="00A24988">
        <w:t xml:space="preserve">Task 4 - </w:t>
      </w:r>
      <w:r w:rsidR="79E626CA" w:rsidRPr="00A24988">
        <w:t>Research Task</w:t>
      </w:r>
      <w:bookmarkEnd w:id="3"/>
    </w:p>
    <w:p w14:paraId="0A496E4E" w14:textId="48E76F8E" w:rsidR="021F216E" w:rsidRPr="00A24988" w:rsidRDefault="021F216E" w:rsidP="00A24988">
      <w:pPr>
        <w:spacing w:line="360" w:lineRule="auto"/>
        <w:jc w:val="both"/>
        <w:rPr>
          <w:rFonts w:ascii="Arial" w:eastAsia="Arial Nova" w:hAnsi="Arial" w:cs="Arial"/>
          <w:color w:val="000000" w:themeColor="text1"/>
          <w:sz w:val="22"/>
          <w:szCs w:val="22"/>
        </w:rPr>
      </w:pPr>
    </w:p>
    <w:p w14:paraId="6578F6D8" w14:textId="1D366E23" w:rsidR="021F216E" w:rsidRPr="00A24988" w:rsidRDefault="00262382" w:rsidP="00A24988">
      <w:pPr>
        <w:spacing w:line="360" w:lineRule="auto"/>
        <w:jc w:val="both"/>
        <w:rPr>
          <w:rFonts w:ascii="Arial" w:eastAsia="Arial Nova" w:hAnsi="Arial" w:cs="Arial"/>
          <w:color w:val="000000" w:themeColor="text1"/>
          <w:sz w:val="22"/>
          <w:szCs w:val="22"/>
        </w:rPr>
      </w:pPr>
      <w:r w:rsidRPr="00A24988">
        <w:rPr>
          <w:rFonts w:ascii="Arial" w:eastAsia="Arial Nova" w:hAnsi="Arial" w:cs="Arial"/>
          <w:color w:val="000000" w:themeColor="text1"/>
          <w:sz w:val="22"/>
          <w:szCs w:val="22"/>
        </w:rPr>
        <w:t>Issue identified</w:t>
      </w:r>
    </w:p>
    <w:p w14:paraId="0BDD9F08" w14:textId="6768A7EC" w:rsidR="0041531C" w:rsidRPr="00A24988" w:rsidRDefault="00262382"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Access to health and social services for at-risk people continues to be a significant challenge across several health systems. Notwithstanding pledges for universal healthcare, marginalised populations still encounter obstacles in accessing basic and community health services.</w:t>
      </w:r>
    </w:p>
    <w:p w14:paraId="54FA77B4" w14:textId="77777777" w:rsidR="00B63666"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Summary of the first article</w:t>
      </w:r>
    </w:p>
    <w:p w14:paraId="1FC9DBE6" w14:textId="27788105" w:rsidR="00262382" w:rsidRPr="00A24988" w:rsidRDefault="00262382"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Richard et al. (2016) examined the factors contributing to enduring disparities in healthcare access among disadvantaged populations using a worldwide survey of 240 healthcare innovations across 14 nations. Their research sought to comprehend both supply-side (service provider) and demand-side (patient-level) obstacles to access. The findings indicated that the majority of initiatives focused on organisational and service delivery challenges rather than on patient empowerment. Nonetheless, these attempts were often disjointed, inadequately financed, and devoid of comprehensive long-term assessment. Richard et al. (2016) determined that inequitable access arises from discrepancies between the organisation of services and the actual experiences of disadvantaged groups. The issue stems from deficiencies in the health system, including inadequate customisation, coordination, and accessibility, as well as individual variables such as transportation, literacy, and trust hurdles.</w:t>
      </w:r>
    </w:p>
    <w:p w14:paraId="651E5039" w14:textId="77777777" w:rsidR="00262382" w:rsidRPr="00A24988" w:rsidRDefault="00262382" w:rsidP="00A24988">
      <w:pPr>
        <w:spacing w:line="360" w:lineRule="auto"/>
        <w:jc w:val="both"/>
        <w:rPr>
          <w:rFonts w:ascii="Arial" w:eastAsia="Arial Nova" w:hAnsi="Arial" w:cs="Arial"/>
          <w:color w:val="000000" w:themeColor="text1"/>
          <w:sz w:val="22"/>
          <w:szCs w:val="22"/>
          <w:lang w:val="en-GB"/>
        </w:rPr>
      </w:pPr>
    </w:p>
    <w:p w14:paraId="1FBCDD7B" w14:textId="77777777" w:rsidR="00262382" w:rsidRPr="00A24988" w:rsidRDefault="00262382"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Summary of the second article</w:t>
      </w:r>
    </w:p>
    <w:p w14:paraId="48A61E72" w14:textId="77777777" w:rsidR="00FB7C63" w:rsidRDefault="00262382"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br/>
        <w:t>George, Daniels, and Fioratou (2018) investigated perceived obstacles to healthcare within a diverse ethnic population in Romania using qualitative interviews with service consumers and charity personnel. The researchers found financial, structural, cognitive, and psychological hurdles, emphasising that fear, distrust, and feelings of exclusion from healthcare are as critical as economic impediments. Many participants felt that healthcare services were not tailored for individuals like themselves. George, Daniels, and Fioratou (2018) contended that psychological and relational impediments should be included into access models and introduced the HABVP (Healthcare Access Barriers for Vulnerable Populations) framework to address these supplementary elements.</w:t>
      </w:r>
    </w:p>
    <w:p w14:paraId="02B4E6DA" w14:textId="27EAE98F" w:rsidR="00563EB8" w:rsidRPr="00FB7C63" w:rsidRDefault="00262382"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Both findings illustrate that restricted healthcare access for poor communities arises from a confluence of systemic deficiencies and individual experiences of marginalisation. Enhancing access necessitates institutional transformation, culturally suitable services, trust cultivation, and initiatives to diminish literacy and psychological obstacles (Richard et al., 2016; George, Daniels, and Fioratou, 2018).</w:t>
      </w:r>
    </w:p>
    <w:p w14:paraId="443966C0" w14:textId="3E5919AB" w:rsidR="6D65878B" w:rsidRPr="00A24988" w:rsidRDefault="72B6EECC" w:rsidP="00B63666">
      <w:pPr>
        <w:pStyle w:val="Heading1"/>
      </w:pPr>
      <w:bookmarkStart w:id="4" w:name="_Toc213319753"/>
      <w:r w:rsidRPr="00A24988">
        <w:t xml:space="preserve">Task </w:t>
      </w:r>
      <w:r w:rsidR="00563EB8" w:rsidRPr="00A24988">
        <w:t>5</w:t>
      </w:r>
      <w:r w:rsidRPr="00A24988">
        <w:t xml:space="preserve"> - </w:t>
      </w:r>
      <w:r w:rsidR="6D65878B" w:rsidRPr="00A24988">
        <w:t>Podcast</w:t>
      </w:r>
      <w:bookmarkEnd w:id="4"/>
    </w:p>
    <w:p w14:paraId="11129455" w14:textId="26912BB4" w:rsidR="6D65878B" w:rsidRPr="00A24988" w:rsidRDefault="6D65878B" w:rsidP="00A24988">
      <w:pPr>
        <w:spacing w:line="360" w:lineRule="auto"/>
        <w:jc w:val="both"/>
        <w:rPr>
          <w:rFonts w:ascii="Arial" w:eastAsia="Arial Nova" w:hAnsi="Arial" w:cs="Arial"/>
          <w:sz w:val="22"/>
          <w:szCs w:val="22"/>
        </w:rPr>
      </w:pPr>
      <w:r w:rsidRPr="00A24988">
        <w:rPr>
          <w:rFonts w:ascii="Arial" w:eastAsia="Arial Nova" w:hAnsi="Arial" w:cs="Arial"/>
          <w:color w:val="000000" w:themeColor="text1"/>
          <w:sz w:val="22"/>
          <w:szCs w:val="22"/>
        </w:rPr>
        <w:t xml:space="preserve">Record a two-minute Podcast introducing your idea for component 2 using </w:t>
      </w:r>
      <w:hyperlink r:id="rId13">
        <w:r w:rsidRPr="00A24988">
          <w:rPr>
            <w:rStyle w:val="Hyperlink"/>
            <w:rFonts w:ascii="Arial" w:eastAsia="Arial Nova" w:hAnsi="Arial" w:cs="Arial"/>
            <w:sz w:val="22"/>
            <w:szCs w:val="22"/>
          </w:rPr>
          <w:t>https://www.rev.com/onlinevoicerec</w:t>
        </w:r>
        <w:r w:rsidRPr="00A24988">
          <w:rPr>
            <w:rStyle w:val="Hyperlink"/>
            <w:rFonts w:ascii="Arial" w:eastAsia="Arial Nova" w:hAnsi="Arial" w:cs="Arial"/>
            <w:sz w:val="22"/>
            <w:szCs w:val="22"/>
          </w:rPr>
          <w:t>o</w:t>
        </w:r>
        <w:r w:rsidRPr="00A24988">
          <w:rPr>
            <w:rStyle w:val="Hyperlink"/>
            <w:rFonts w:ascii="Arial" w:eastAsia="Arial Nova" w:hAnsi="Arial" w:cs="Arial"/>
            <w:sz w:val="22"/>
            <w:szCs w:val="22"/>
          </w:rPr>
          <w:t>rder</w:t>
        </w:r>
      </w:hyperlink>
      <w:r w:rsidRPr="00A24988">
        <w:rPr>
          <w:rFonts w:ascii="Arial" w:eastAsia="Arial Nova" w:hAnsi="Arial" w:cs="Arial"/>
          <w:sz w:val="22"/>
          <w:szCs w:val="22"/>
        </w:rPr>
        <w:t xml:space="preserve"> The MP3 audio must be downloaded and embedded as a file</w:t>
      </w:r>
      <w:r w:rsidR="3299FD2E" w:rsidRPr="00A24988">
        <w:rPr>
          <w:rFonts w:ascii="Arial" w:eastAsia="Arial Nova" w:hAnsi="Arial" w:cs="Arial"/>
          <w:sz w:val="22"/>
          <w:szCs w:val="22"/>
        </w:rPr>
        <w:t xml:space="preserve"> (see guidance </w:t>
      </w:r>
      <w:r w:rsidR="4CDDFD23" w:rsidRPr="00A24988">
        <w:rPr>
          <w:rFonts w:ascii="Arial" w:eastAsia="Arial Nova" w:hAnsi="Arial" w:cs="Arial"/>
          <w:sz w:val="22"/>
          <w:szCs w:val="22"/>
        </w:rPr>
        <w:t>video</w:t>
      </w:r>
      <w:r w:rsidR="3299FD2E" w:rsidRPr="00A24988">
        <w:rPr>
          <w:rFonts w:ascii="Arial" w:eastAsia="Arial Nova" w:hAnsi="Arial" w:cs="Arial"/>
          <w:sz w:val="22"/>
          <w:szCs w:val="22"/>
        </w:rPr>
        <w:t xml:space="preserve"> on how to do this</w:t>
      </w:r>
      <w:r w:rsidR="5D1B1139" w:rsidRPr="00A24988">
        <w:rPr>
          <w:rFonts w:ascii="Arial" w:eastAsia="Arial Nova" w:hAnsi="Arial" w:cs="Arial"/>
          <w:sz w:val="22"/>
          <w:szCs w:val="22"/>
        </w:rPr>
        <w:t xml:space="preserve"> here:</w:t>
      </w:r>
      <w:r w:rsidR="00B63666">
        <w:rPr>
          <w:rFonts w:ascii="Arial" w:eastAsia="Arial Nova" w:hAnsi="Arial" w:cs="Arial"/>
          <w:sz w:val="22"/>
          <w:szCs w:val="22"/>
        </w:rPr>
        <w:t xml:space="preserve"> </w:t>
      </w:r>
      <w:r w:rsidR="5D1B1139" w:rsidRPr="00A24988">
        <w:rPr>
          <w:rFonts w:ascii="Arial" w:eastAsia="Arial Nova" w:hAnsi="Arial" w:cs="Arial"/>
          <w:sz w:val="22"/>
          <w:szCs w:val="22"/>
        </w:rPr>
        <w:t>https://www.youtube.com/watch?v=D21isId0agw</w:t>
      </w:r>
      <w:r w:rsidR="3299FD2E" w:rsidRPr="00A24988">
        <w:rPr>
          <w:rFonts w:ascii="Arial" w:eastAsia="Arial Nova" w:hAnsi="Arial" w:cs="Arial"/>
          <w:sz w:val="22"/>
          <w:szCs w:val="22"/>
        </w:rPr>
        <w:t>)</w:t>
      </w:r>
      <w:r w:rsidRPr="00A24988">
        <w:rPr>
          <w:rFonts w:ascii="Arial" w:eastAsia="Arial Nova" w:hAnsi="Arial" w:cs="Arial"/>
          <w:sz w:val="22"/>
          <w:szCs w:val="22"/>
        </w:rPr>
        <w:t xml:space="preserve"> or </w:t>
      </w:r>
      <w:r w:rsidR="04D995C7" w:rsidRPr="00A24988">
        <w:rPr>
          <w:rFonts w:ascii="Arial" w:eastAsia="Arial Nova" w:hAnsi="Arial" w:cs="Arial"/>
          <w:sz w:val="22"/>
          <w:szCs w:val="22"/>
        </w:rPr>
        <w:t>an accessible OneDrive link</w:t>
      </w:r>
      <w:r w:rsidR="02449CD0" w:rsidRPr="00A24988">
        <w:rPr>
          <w:rFonts w:ascii="Arial" w:eastAsia="Arial Nova" w:hAnsi="Arial" w:cs="Arial"/>
          <w:sz w:val="22"/>
          <w:szCs w:val="22"/>
        </w:rPr>
        <w:t xml:space="preserve"> if using a chromebook</w:t>
      </w:r>
      <w:r w:rsidR="04D995C7" w:rsidRPr="00A24988">
        <w:rPr>
          <w:rFonts w:ascii="Arial" w:eastAsia="Arial Nova" w:hAnsi="Arial" w:cs="Arial"/>
          <w:sz w:val="22"/>
          <w:szCs w:val="22"/>
        </w:rPr>
        <w:t xml:space="preserve"> (make accessibility – anybody) before inserting</w:t>
      </w:r>
      <w:r w:rsidR="4D842DEF" w:rsidRPr="00A24988">
        <w:rPr>
          <w:rFonts w:ascii="Arial" w:eastAsia="Arial Nova" w:hAnsi="Arial" w:cs="Arial"/>
          <w:sz w:val="22"/>
          <w:szCs w:val="22"/>
        </w:rPr>
        <w:t xml:space="preserve"> into your portfolio</w:t>
      </w:r>
      <w:r w:rsidR="04D995C7" w:rsidRPr="00A24988">
        <w:rPr>
          <w:rFonts w:ascii="Arial" w:eastAsia="Arial Nova" w:hAnsi="Arial" w:cs="Arial"/>
          <w:sz w:val="22"/>
          <w:szCs w:val="22"/>
        </w:rPr>
        <w:t>. Check the accessibility of the link before submitting.</w:t>
      </w:r>
    </w:p>
    <w:p w14:paraId="4372D88E" w14:textId="585623E1" w:rsidR="118E4763" w:rsidRPr="00A24988" w:rsidRDefault="002C2905" w:rsidP="00A24988">
      <w:pPr>
        <w:spacing w:line="360" w:lineRule="auto"/>
        <w:jc w:val="both"/>
        <w:rPr>
          <w:rFonts w:ascii="Arial" w:eastAsia="Arial Nova" w:hAnsi="Arial" w:cs="Arial"/>
          <w:color w:val="FF0000"/>
          <w:sz w:val="22"/>
          <w:szCs w:val="22"/>
        </w:rPr>
      </w:pPr>
      <w:r>
        <w:rPr>
          <w:rFonts w:ascii="Arial" w:eastAsia="Arial Nova" w:hAnsi="Arial" w:cs="Arial"/>
          <w:color w:val="FF0000"/>
          <w:sz w:val="22"/>
          <w:szCs w:val="22"/>
        </w:rPr>
        <w:object w:dxaOrig="864" w:dyaOrig="816" w14:anchorId="56F4874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43.2pt;height:40.8pt" o:ole="">
            <v:imagedata r:id="rId14" o:title=""/>
          </v:shape>
          <o:OLEObject Type="Embed" ProgID="Package" ShapeID="_x0000_i1027" DrawAspect="Content" ObjectID="_1824657959" r:id="rId15"/>
        </w:object>
      </w:r>
    </w:p>
    <w:p w14:paraId="296C1697" w14:textId="44B1716F" w:rsidR="021F216E" w:rsidRPr="00A24988" w:rsidRDefault="021F216E" w:rsidP="00A24988">
      <w:pPr>
        <w:spacing w:line="360" w:lineRule="auto"/>
        <w:jc w:val="both"/>
        <w:rPr>
          <w:rFonts w:ascii="Arial" w:eastAsia="Arial Nova" w:hAnsi="Arial" w:cs="Arial"/>
          <w:sz w:val="22"/>
          <w:szCs w:val="22"/>
        </w:rPr>
      </w:pPr>
    </w:p>
    <w:p w14:paraId="7820835D" w14:textId="164C2A93" w:rsidR="723804E2" w:rsidRPr="00A24988" w:rsidRDefault="723804E2" w:rsidP="00A24988">
      <w:pPr>
        <w:spacing w:line="360" w:lineRule="auto"/>
        <w:jc w:val="both"/>
        <w:rPr>
          <w:rFonts w:ascii="Arial" w:eastAsia="Arial Nova" w:hAnsi="Arial" w:cs="Arial"/>
          <w:color w:val="FF0000"/>
          <w:sz w:val="22"/>
          <w:szCs w:val="22"/>
        </w:rPr>
      </w:pPr>
    </w:p>
    <w:p w14:paraId="304D0822" w14:textId="08498922" w:rsidR="47853A3C" w:rsidRPr="00A24988" w:rsidRDefault="47853A3C" w:rsidP="00A24988">
      <w:pPr>
        <w:spacing w:line="360" w:lineRule="auto"/>
        <w:jc w:val="both"/>
        <w:rPr>
          <w:rFonts w:ascii="Arial" w:eastAsia="Arial Nova" w:hAnsi="Arial" w:cs="Arial"/>
          <w:color w:val="000000" w:themeColor="text1"/>
          <w:sz w:val="22"/>
          <w:szCs w:val="22"/>
        </w:rPr>
      </w:pPr>
    </w:p>
    <w:p w14:paraId="462F4D73" w14:textId="0F1BB33F" w:rsidR="38F3069B" w:rsidRPr="00654E42" w:rsidRDefault="21B62BFC" w:rsidP="00654E42">
      <w:pPr>
        <w:pStyle w:val="Heading1"/>
      </w:pPr>
      <w:bookmarkStart w:id="5" w:name="_Toc213319754"/>
      <w:r w:rsidRPr="00A24988">
        <w:lastRenderedPageBreak/>
        <w:t xml:space="preserve">Task </w:t>
      </w:r>
      <w:r w:rsidR="00563EB8" w:rsidRPr="00A24988">
        <w:t>6</w:t>
      </w:r>
      <w:r w:rsidRPr="00A24988">
        <w:t xml:space="preserve"> - </w:t>
      </w:r>
      <w:r w:rsidR="17E92B46" w:rsidRPr="00A24988">
        <w:t>NHS Leadership Framework Analysis</w:t>
      </w:r>
      <w:bookmarkEnd w:id="5"/>
    </w:p>
    <w:p w14:paraId="179660F4" w14:textId="77777777" w:rsidR="000F3E62" w:rsidRPr="00A24988" w:rsidRDefault="000F3E62" w:rsidP="00A24988">
      <w:pPr>
        <w:spacing w:line="360" w:lineRule="auto"/>
        <w:jc w:val="both"/>
        <w:rPr>
          <w:rFonts w:ascii="Arial" w:eastAsia="Arial Nova" w:hAnsi="Arial" w:cs="Arial"/>
          <w:color w:val="FF0000"/>
          <w:sz w:val="22"/>
          <w:szCs w:val="22"/>
        </w:rPr>
      </w:pPr>
    </w:p>
    <w:p w14:paraId="7656A0B0" w14:textId="2C4F19DB" w:rsidR="000F3E62" w:rsidRPr="00654E42" w:rsidRDefault="000F3E62" w:rsidP="00A24988">
      <w:pPr>
        <w:spacing w:line="360" w:lineRule="auto"/>
        <w:jc w:val="both"/>
        <w:rPr>
          <w:lang w:val="en-GB"/>
        </w:rPr>
      </w:pPr>
      <w:r w:rsidRPr="00A24988">
        <w:rPr>
          <w:rFonts w:hint="eastAsia"/>
        </w:rPr>
        <w:t xml:space="preserve">Summary of the key components of the NHS Leadership Framework </w:t>
      </w:r>
    </w:p>
    <w:p w14:paraId="5053BF4D" w14:textId="76DFFDDB" w:rsidR="000F3E62" w:rsidRPr="00A24988" w:rsidRDefault="000F3E62"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The NHS Leadership Framework delineates a uniform model of leadership conduct applicable to health and care jobs, highlighting that leadership transcends official titles and is a collective duty at all levels (NHS Leadership Academy, 2012). The framework has seven domains: Demonstrating Personal Qualities, Collaborating with Others, Managing Services, Enhancing Services, Establishing Direction, Formulating the Vision, and Executing the Strategy (NHS Leadership Academy, 2012). The first five categories concentrate on fundamental leadership characteristics anticipated from all personnel, however the latter two highlight senior and strategic leadership obligations (NHS Leadership Academy, 2012).</w:t>
      </w:r>
      <w:r w:rsidRPr="00A24988">
        <w:rPr>
          <w:rFonts w:ascii="Times New Roman" w:eastAsia="Times New Roman" w:hAnsi="Times New Roman" w:cs="Times New Roman"/>
          <w:lang w:val="en-GB" w:eastAsia="en-GB"/>
        </w:rPr>
        <w:t xml:space="preserve"> </w:t>
      </w:r>
      <w:r w:rsidRPr="00A24988">
        <w:rPr>
          <w:rFonts w:ascii="Arial" w:eastAsia="Arial Nova" w:hAnsi="Arial" w:cs="Arial"/>
          <w:color w:val="000000" w:themeColor="text1"/>
          <w:sz w:val="22"/>
          <w:szCs w:val="22"/>
          <w:lang w:val="en-GB"/>
        </w:rPr>
        <w:t>For instance, Demonstrating Personal Qualities necessitates self-awareness, honesty, ongoing growth, and self-management; Working with Others highlights the need of relationship-building, network development, fostering contributions, and teamwork (NHS Leadership Academy, 2012). The Framework is founded on the principles of NHS England and is consistent with the NHS Constitution, promoting caring, inclusive, and values-driven leadership (The King’s Fund, 2016). The Framework facilitates growth, evaluation, and leadership proficiency across the workforce by offering a standardised language and progression phases, ranging from immediate teams to the whole system (NHS Leadership Academy, 2012; The King’s Fund, 2016).</w:t>
      </w:r>
    </w:p>
    <w:p w14:paraId="6F2BA4BA" w14:textId="37DEBC06" w:rsidR="000F3E62" w:rsidRPr="00A24988" w:rsidRDefault="000F3E62" w:rsidP="00A24988">
      <w:pPr>
        <w:spacing w:line="360" w:lineRule="auto"/>
        <w:jc w:val="both"/>
        <w:rPr>
          <w:rFonts w:ascii="Arial" w:eastAsia="Arial Nova" w:hAnsi="Arial" w:cs="Arial"/>
          <w:color w:val="000000" w:themeColor="text1"/>
          <w:sz w:val="22"/>
          <w:szCs w:val="22"/>
          <w:lang w:val="en-GB"/>
        </w:rPr>
      </w:pPr>
    </w:p>
    <w:p w14:paraId="0C32EC85" w14:textId="7F3B381E" w:rsidR="000F3E62" w:rsidRPr="00654E42" w:rsidRDefault="000F3E62" w:rsidP="00A24988">
      <w:pPr>
        <w:spacing w:line="360" w:lineRule="auto"/>
        <w:jc w:val="both"/>
        <w:rPr>
          <w:rFonts w:ascii="Arial" w:eastAsia="Arial Nova" w:hAnsi="Arial" w:cs="Arial"/>
          <w:color w:val="000000" w:themeColor="text1"/>
          <w:sz w:val="22"/>
          <w:szCs w:val="22"/>
          <w:lang w:val="en-GB"/>
        </w:rPr>
      </w:pPr>
      <w:r w:rsidRPr="00654E42">
        <w:rPr>
          <w:rFonts w:ascii="Arial" w:eastAsia="Arial Nova" w:hAnsi="Arial" w:cs="Arial"/>
          <w:color w:val="000000" w:themeColor="text1"/>
          <w:sz w:val="22"/>
          <w:szCs w:val="22"/>
        </w:rPr>
        <w:t xml:space="preserve">Chosen component: Working with Others </w:t>
      </w:r>
    </w:p>
    <w:p w14:paraId="182BB54A" w14:textId="239F8241" w:rsidR="021F216E" w:rsidRPr="00FB7C63" w:rsidRDefault="000F3E62"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The "Working with Others" area is essential for fostering innovation and enhancing care within the NHS. A leader using this component will proactively cultivate networks by including patients, carers, workers, and partner organisations, therefore incorporating varied ideas and viewpoints. They will cultivate and sustain connections by listening empathetically, appreciating contributions, and fostering trust—crucial for frontline staff to experience psychological safety necessary for innovation (NHS Leadership Academy, 2012). By fostering contribution, the leader cultivates an inclusive atmosphere where team members are encouraged to question assumptions, suggest innovative methodologies, and engage in decision-making. This transparency cultivates innovation as employees feel empowered to provide innovative ideas for service enhancement.</w:t>
      </w:r>
      <w:r w:rsidRPr="00A24988">
        <w:rPr>
          <w:rFonts w:ascii="Times New Roman" w:eastAsia="Times New Roman" w:hAnsi="Times New Roman" w:cs="Times New Roman"/>
          <w:lang w:val="en-GB" w:eastAsia="en-GB"/>
        </w:rPr>
        <w:t xml:space="preserve"> </w:t>
      </w:r>
      <w:r w:rsidRPr="00A24988">
        <w:rPr>
          <w:rFonts w:ascii="Arial" w:eastAsia="Arial Nova" w:hAnsi="Arial" w:cs="Arial"/>
          <w:color w:val="000000" w:themeColor="text1"/>
          <w:sz w:val="22"/>
          <w:szCs w:val="22"/>
          <w:lang w:val="en-GB"/>
        </w:rPr>
        <w:t xml:space="preserve">Ultimately, by collaborating in teams, the leader facilitates interdisciplinary cooperation, </w:t>
      </w:r>
      <w:r w:rsidRPr="00A24988">
        <w:rPr>
          <w:rFonts w:ascii="Arial" w:eastAsia="Arial Nova" w:hAnsi="Arial" w:cs="Arial"/>
          <w:color w:val="000000" w:themeColor="text1"/>
          <w:sz w:val="22"/>
          <w:szCs w:val="22"/>
          <w:lang w:val="en-GB"/>
        </w:rPr>
        <w:lastRenderedPageBreak/>
        <w:t>amalgamating skills to co-create solutions that enhance patient outcomes. A ward manager may organise a weekly interdisciplinary innovation meeting, seek and evaluate little experiments, and integrate successful concepts into routine procedures—thus enhancing care and fostering continual innovation (The King’s Fund, 2016).</w:t>
      </w:r>
    </w:p>
    <w:p w14:paraId="14BBDC4C" w14:textId="54217134" w:rsidR="1D4C7ABC" w:rsidRDefault="38F3069B" w:rsidP="00654E42">
      <w:pPr>
        <w:pStyle w:val="Heading1"/>
      </w:pPr>
      <w:bookmarkStart w:id="6" w:name="_Toc213319755"/>
      <w:r w:rsidRPr="00A24988">
        <w:t xml:space="preserve">Task </w:t>
      </w:r>
      <w:r w:rsidR="00563EB8" w:rsidRPr="00A24988">
        <w:t>7</w:t>
      </w:r>
      <w:r w:rsidRPr="00A24988">
        <w:t xml:space="preserve"> - </w:t>
      </w:r>
      <w:r w:rsidR="17E92B46" w:rsidRPr="00A24988">
        <w:t>Self-Reflection Journal Entry</w:t>
      </w:r>
      <w:bookmarkEnd w:id="6"/>
    </w:p>
    <w:p w14:paraId="12E53F9F" w14:textId="77777777" w:rsidR="00654E42" w:rsidRPr="00654E42" w:rsidRDefault="00654E42" w:rsidP="00654E42"/>
    <w:p w14:paraId="77409317" w14:textId="52F5D759" w:rsidR="0041531C" w:rsidRPr="00A24988" w:rsidRDefault="0041531C" w:rsidP="00A24988">
      <w:pPr>
        <w:spacing w:line="360" w:lineRule="auto"/>
        <w:jc w:val="both"/>
      </w:pPr>
      <w:r w:rsidRPr="00A24988">
        <w:t xml:space="preserve">Self-Reflection </w:t>
      </w:r>
      <w:r w:rsidR="00654E42" w:rsidRPr="00A24988">
        <w:t>Journal</w:t>
      </w:r>
    </w:p>
    <w:p w14:paraId="5D2501D5" w14:textId="4CA45631" w:rsidR="0041531C" w:rsidRPr="00A24988" w:rsidRDefault="0041531C" w:rsidP="00A24988">
      <w:pPr>
        <w:spacing w:line="360" w:lineRule="auto"/>
        <w:jc w:val="both"/>
        <w:rPr>
          <w:lang w:val="en-GB"/>
        </w:rPr>
      </w:pPr>
      <w:r w:rsidRPr="00A24988">
        <w:rPr>
          <w:lang w:val="en-GB"/>
        </w:rPr>
        <w:t xml:space="preserve">During this </w:t>
      </w:r>
      <w:r w:rsidR="00654E42">
        <w:rPr>
          <w:lang w:val="en-GB"/>
        </w:rPr>
        <w:t xml:space="preserve">module, </w:t>
      </w:r>
      <w:r w:rsidRPr="00A24988">
        <w:rPr>
          <w:lang w:val="en-GB"/>
        </w:rPr>
        <w:t xml:space="preserve"> I have gained a profound comprehension of innovation and value generation in health and social care. Initially, I saw creativity primarily as the generation of novel ideas or alone problem-solving. Nonetheless, I now acknowledge that innovation in health and social care is a communal </w:t>
      </w:r>
      <w:r w:rsidR="00654E42" w:rsidRPr="00A24988">
        <w:rPr>
          <w:lang w:val="en-GB"/>
        </w:rPr>
        <w:t>endeavour</w:t>
      </w:r>
      <w:r w:rsidRPr="00A24988">
        <w:rPr>
          <w:lang w:val="en-GB"/>
        </w:rPr>
        <w:t>—motivated by empathy, cooperation, and a collective dedication to enhancing patient outcomes. I have discovered that value creation beyond just efficiency or cost reduction; it encompasses the improvement of treatment quality, patient experience, and professional satisfaction.</w:t>
      </w:r>
    </w:p>
    <w:p w14:paraId="0F641829" w14:textId="77777777" w:rsidR="0041531C" w:rsidRPr="00A24988" w:rsidRDefault="0041531C" w:rsidP="00A24988">
      <w:pPr>
        <w:spacing w:line="360" w:lineRule="auto"/>
        <w:jc w:val="both"/>
        <w:rPr>
          <w:lang w:val="en-GB"/>
        </w:rPr>
      </w:pPr>
      <w:r w:rsidRPr="00A24988">
        <w:rPr>
          <w:lang w:val="en-GB"/>
        </w:rPr>
        <w:t>This session has enhanced my understanding that innovation may arise from little, routine enhancements rather than only from significant organisational transformations. I now comprehend the significance of reflective practice and inclusive leadership in cultivating an atmosphere that empowers personnel to express their opinions. In my professional practice, I want to foster open communication within my team, use innovative problem-solving techniques, and prioritise collaborative development of care solutions with patients and colleagues. Ultimately, the module has transformed my viewpoint from just adhering to established protocols to proactively identifying methods to provide significant value inside the care system.</w:t>
      </w:r>
    </w:p>
    <w:p w14:paraId="3A4A3CFC" w14:textId="77777777" w:rsidR="0041531C" w:rsidRPr="00A24988" w:rsidRDefault="0041531C" w:rsidP="00A24988">
      <w:pPr>
        <w:spacing w:line="360" w:lineRule="auto"/>
        <w:jc w:val="both"/>
        <w:rPr>
          <w:lang w:val="en-GB"/>
        </w:rPr>
      </w:pPr>
    </w:p>
    <w:p w14:paraId="5ACF4574" w14:textId="77777777" w:rsidR="0041531C" w:rsidRPr="00A24988" w:rsidRDefault="0041531C" w:rsidP="00A24988">
      <w:pPr>
        <w:spacing w:line="360" w:lineRule="auto"/>
        <w:jc w:val="both"/>
      </w:pPr>
    </w:p>
    <w:p w14:paraId="11710E1B" w14:textId="6B61F835" w:rsidR="021F216E" w:rsidRPr="00A24988" w:rsidRDefault="021F216E" w:rsidP="00A24988">
      <w:pPr>
        <w:spacing w:line="360" w:lineRule="auto"/>
        <w:jc w:val="both"/>
        <w:rPr>
          <w:rFonts w:ascii="Arial" w:eastAsia="Arial Nova" w:hAnsi="Arial" w:cs="Arial"/>
          <w:color w:val="000000" w:themeColor="text1"/>
          <w:sz w:val="22"/>
          <w:szCs w:val="22"/>
        </w:rPr>
      </w:pPr>
    </w:p>
    <w:p w14:paraId="3044BBEB" w14:textId="329D2788" w:rsidR="00542DD8" w:rsidRPr="00A24988" w:rsidRDefault="3EA1690F" w:rsidP="00B63666">
      <w:pPr>
        <w:pStyle w:val="Heading1"/>
      </w:pPr>
      <w:bookmarkStart w:id="7" w:name="_Toc213319756"/>
      <w:r w:rsidRPr="00A24988">
        <w:lastRenderedPageBreak/>
        <w:t>Reference List</w:t>
      </w:r>
      <w:bookmarkEnd w:id="7"/>
    </w:p>
    <w:p w14:paraId="39117307"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Amabile, T. (2011) Componential theory of creativity, pp. 538–559. Boston, MA: Harvard Business School.</w:t>
      </w:r>
    </w:p>
    <w:p w14:paraId="6D76B4DF"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Bate, P. and Robert, G. (2006) ‘Experience-based design: from redesigning the system around the patient to co-designing services with the patient’, BMJ Quality &amp; Safety, 15(5), pp. 307–310.</w:t>
      </w:r>
    </w:p>
    <w:p w14:paraId="7E05CD56"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Cropley, A. (2006) ‘In praise of convergent thinking’, Creativity Research Journal, 18(3), pp. 391–404.</w:t>
      </w:r>
    </w:p>
    <w:p w14:paraId="3FA36609"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 xml:space="preserve">Durham University (2024) ‘Healthcare app reduces hospital admissions from care homes’, Durham University, 14 February. Available at: </w:t>
      </w:r>
      <w:hyperlink r:id="rId16" w:tgtFrame="_new" w:history="1">
        <w:r w:rsidRPr="00A24988">
          <w:rPr>
            <w:rStyle w:val="Hyperlink"/>
            <w:rFonts w:ascii="Arial" w:eastAsia="Arial Nova" w:hAnsi="Arial" w:cs="Arial"/>
            <w:sz w:val="22"/>
            <w:szCs w:val="22"/>
            <w:lang w:val="en-GB"/>
          </w:rPr>
          <w:t>https://www.durham.ac.uk/news-events/latest-news/2024/02/healthcare-app-reduces-hospital-admissions-from-care-homes/</w:t>
        </w:r>
      </w:hyperlink>
      <w:r w:rsidRPr="00A24988">
        <w:rPr>
          <w:rFonts w:ascii="Arial" w:eastAsia="Arial Nova" w:hAnsi="Arial" w:cs="Arial"/>
          <w:color w:val="000000" w:themeColor="text1"/>
          <w:sz w:val="22"/>
          <w:szCs w:val="22"/>
          <w:lang w:val="en-GB"/>
        </w:rPr>
        <w:t xml:space="preserve"> (Accessed: 27 September 2025).</w:t>
      </w:r>
    </w:p>
    <w:p w14:paraId="7A8E429B"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George, S., Daniels, K. and Fioratou, E. (2018) ‘A qualitative study into the perceived barriers of accessing healthcare among a vulnerable population involved with a community centre in Romania’, International Journal for Equity in Health, 17(1), p. 41. doi: 10.1186/s12939-018-0753-9.</w:t>
      </w:r>
    </w:p>
    <w:p w14:paraId="3E9E1E42"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 xml:space="preserve">Hearts, minds, and original thinking: scaling a technology-enabled remote monitoring hub to support thousands of people at home across Cheshire and Merseyside (2025) NHS Transformation Directorate. Available at: </w:t>
      </w:r>
      <w:hyperlink r:id="rId17" w:tgtFrame="_new" w:history="1">
        <w:r w:rsidRPr="00A24988">
          <w:rPr>
            <w:rStyle w:val="Hyperlink"/>
            <w:rFonts w:ascii="Arial" w:eastAsia="Arial Nova" w:hAnsi="Arial" w:cs="Arial"/>
            <w:sz w:val="22"/>
            <w:szCs w:val="22"/>
            <w:lang w:val="en-GB"/>
          </w:rPr>
          <w:t>https://transform.england.nhs.uk/covid-19-response/technology-nhs/scaling-a-technology-enabled-remote-monitoring-hub-to-support-thousands-of-people-at-home-across-cheshire-and-merseyside/</w:t>
        </w:r>
      </w:hyperlink>
      <w:r w:rsidRPr="00A24988">
        <w:rPr>
          <w:rFonts w:ascii="Arial" w:eastAsia="Arial Nova" w:hAnsi="Arial" w:cs="Arial"/>
          <w:color w:val="000000" w:themeColor="text1"/>
          <w:sz w:val="22"/>
          <w:szCs w:val="22"/>
          <w:lang w:val="en-GB"/>
        </w:rPr>
        <w:t xml:space="preserve"> (Accessed: 27 September 2025).</w:t>
      </w:r>
    </w:p>
    <w:p w14:paraId="52FB9DD2"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 xml:space="preserve">NHS England (n.d.) Home. NHS Transformation Directorate. Available at: </w:t>
      </w:r>
      <w:hyperlink r:id="rId18" w:tgtFrame="_new" w:history="1">
        <w:r w:rsidRPr="00A24988">
          <w:rPr>
            <w:rStyle w:val="Hyperlink"/>
            <w:rFonts w:ascii="Arial" w:eastAsia="Arial Nova" w:hAnsi="Arial" w:cs="Arial"/>
            <w:sz w:val="22"/>
            <w:szCs w:val="22"/>
            <w:lang w:val="en-GB"/>
          </w:rPr>
          <w:t>https://transform.england.nhs.uk/</w:t>
        </w:r>
      </w:hyperlink>
      <w:r w:rsidRPr="00A24988">
        <w:rPr>
          <w:rFonts w:ascii="Arial" w:eastAsia="Arial Nova" w:hAnsi="Arial" w:cs="Arial"/>
          <w:color w:val="000000" w:themeColor="text1"/>
          <w:sz w:val="22"/>
          <w:szCs w:val="22"/>
          <w:lang w:val="en-GB"/>
        </w:rPr>
        <w:t xml:space="preserve"> (Accessed: 27 September 2025).</w:t>
      </w:r>
    </w:p>
    <w:p w14:paraId="19E264F2"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NHS Leadership Academy (2012) The NHS Leadership Framework: Leadership Framework – Summary. NHS Leadership Academy.</w:t>
      </w:r>
    </w:p>
    <w:p w14:paraId="1D4761B9"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Richard, L., Furler, J., Densley, K., Haggerty, J., Russell, G., Levesque, J.-F. and Gunn, J. (2016) ‘Equity of access to primary healthcare for vulnerable populations: The IMPACT international online survey of innovations’, International Journal for Equity in Health, 15(1), p. 64. doi: 10.1186/s12939-016-0351-7.</w:t>
      </w:r>
    </w:p>
    <w:p w14:paraId="567CA676" w14:textId="77777777" w:rsidR="0041531C" w:rsidRPr="00A24988"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lastRenderedPageBreak/>
        <w:t>Runco, M. A. (2014) Creativity: Theories and themes – Research, development, and practice. Academic Press.</w:t>
      </w:r>
    </w:p>
    <w:p w14:paraId="5ADAB55E" w14:textId="14C7087C" w:rsidR="021F216E" w:rsidRPr="00B63666" w:rsidRDefault="0041531C" w:rsidP="00A24988">
      <w:pPr>
        <w:spacing w:line="360" w:lineRule="auto"/>
        <w:jc w:val="both"/>
        <w:rPr>
          <w:rFonts w:ascii="Arial" w:eastAsia="Arial Nova" w:hAnsi="Arial" w:cs="Arial"/>
          <w:color w:val="000000" w:themeColor="text1"/>
          <w:sz w:val="22"/>
          <w:szCs w:val="22"/>
          <w:lang w:val="en-GB"/>
        </w:rPr>
      </w:pPr>
      <w:r w:rsidRPr="00A24988">
        <w:rPr>
          <w:rFonts w:ascii="Arial" w:eastAsia="Arial Nova" w:hAnsi="Arial" w:cs="Arial"/>
          <w:color w:val="000000" w:themeColor="text1"/>
          <w:sz w:val="22"/>
          <w:szCs w:val="22"/>
          <w:lang w:val="en-GB"/>
        </w:rPr>
        <w:t xml:space="preserve">The King’s Fund (2016) ‘A national improvement and leadership framework for the NHS’, The King’s Fund. Available at: </w:t>
      </w:r>
      <w:hyperlink r:id="rId19" w:tgtFrame="_new" w:history="1">
        <w:r w:rsidRPr="00A24988">
          <w:rPr>
            <w:rStyle w:val="Hyperlink"/>
            <w:rFonts w:ascii="Arial" w:eastAsia="Arial Nova" w:hAnsi="Arial" w:cs="Arial"/>
            <w:sz w:val="22"/>
            <w:szCs w:val="22"/>
            <w:lang w:val="en-GB"/>
          </w:rPr>
          <w:t>https://www.kingsfund.org.uk/insight-and-analysis/projects/developing-people-improving-care-a-national-improvement-and-leadership-framework-for-the-nhs</w:t>
        </w:r>
      </w:hyperlink>
      <w:r w:rsidRPr="00A24988">
        <w:rPr>
          <w:rFonts w:ascii="Arial" w:eastAsia="Arial Nova" w:hAnsi="Arial" w:cs="Arial"/>
          <w:color w:val="000000" w:themeColor="text1"/>
          <w:sz w:val="22"/>
          <w:szCs w:val="22"/>
          <w:lang w:val="en-GB"/>
        </w:rPr>
        <w:t xml:space="preserve"> (Accessed: 2 November 2025).</w:t>
      </w:r>
    </w:p>
    <w:p w14:paraId="2EFCA715" w14:textId="7974847F" w:rsidR="021F216E" w:rsidRPr="00A24988" w:rsidRDefault="021F216E" w:rsidP="00A24988">
      <w:pPr>
        <w:spacing w:line="360" w:lineRule="auto"/>
        <w:jc w:val="both"/>
        <w:rPr>
          <w:rFonts w:ascii="Arial" w:eastAsia="Aptos" w:hAnsi="Arial" w:cs="Arial"/>
          <w:color w:val="000000" w:themeColor="text1"/>
          <w:sz w:val="22"/>
          <w:szCs w:val="22"/>
        </w:rPr>
      </w:pPr>
    </w:p>
    <w:p w14:paraId="6677326B" w14:textId="697B058B" w:rsidR="021F216E" w:rsidRPr="00A24988" w:rsidRDefault="021F216E" w:rsidP="00A24988">
      <w:pPr>
        <w:spacing w:line="360" w:lineRule="auto"/>
        <w:jc w:val="both"/>
        <w:rPr>
          <w:rFonts w:ascii="Arial" w:eastAsia="Aptos" w:hAnsi="Arial" w:cs="Arial"/>
          <w:color w:val="000000" w:themeColor="text1"/>
          <w:sz w:val="22"/>
          <w:szCs w:val="22"/>
        </w:rPr>
      </w:pPr>
    </w:p>
    <w:p w14:paraId="170F35C7" w14:textId="7D637D5C" w:rsidR="021F216E" w:rsidRPr="00A24988" w:rsidRDefault="021F216E" w:rsidP="00A24988">
      <w:pPr>
        <w:spacing w:line="360" w:lineRule="auto"/>
        <w:jc w:val="both"/>
        <w:rPr>
          <w:rFonts w:ascii="Arial" w:eastAsia="Aptos" w:hAnsi="Arial" w:cs="Arial"/>
          <w:color w:val="000000" w:themeColor="text1"/>
          <w:sz w:val="22"/>
          <w:szCs w:val="22"/>
        </w:rPr>
      </w:pPr>
    </w:p>
    <w:p w14:paraId="7045CDF3" w14:textId="7443E3D2" w:rsidR="021F216E" w:rsidRPr="00A24988" w:rsidRDefault="021F216E" w:rsidP="00A24988">
      <w:pPr>
        <w:spacing w:line="360" w:lineRule="auto"/>
        <w:jc w:val="both"/>
        <w:rPr>
          <w:rFonts w:ascii="Arial" w:eastAsia="Aptos" w:hAnsi="Arial" w:cs="Arial"/>
          <w:color w:val="000000" w:themeColor="text1"/>
          <w:sz w:val="22"/>
          <w:szCs w:val="22"/>
        </w:rPr>
      </w:pPr>
    </w:p>
    <w:p w14:paraId="5D9B1DB9" w14:textId="47E69874" w:rsidR="021F216E" w:rsidRPr="00A24988" w:rsidRDefault="021F216E" w:rsidP="00A24988">
      <w:pPr>
        <w:spacing w:line="360" w:lineRule="auto"/>
        <w:jc w:val="both"/>
        <w:rPr>
          <w:rFonts w:ascii="Arial" w:eastAsia="Aptos" w:hAnsi="Arial" w:cs="Arial"/>
          <w:color w:val="000000" w:themeColor="text1"/>
          <w:sz w:val="22"/>
          <w:szCs w:val="22"/>
        </w:rPr>
      </w:pPr>
    </w:p>
    <w:p w14:paraId="6FB9AA9B" w14:textId="7E6A8AEF" w:rsidR="021F216E" w:rsidRPr="00A24988" w:rsidRDefault="021F216E" w:rsidP="00A24988">
      <w:pPr>
        <w:spacing w:line="360" w:lineRule="auto"/>
        <w:jc w:val="both"/>
        <w:rPr>
          <w:rFonts w:ascii="Arial" w:hAnsi="Arial" w:cs="Arial"/>
          <w:sz w:val="22"/>
          <w:szCs w:val="22"/>
        </w:rPr>
      </w:pPr>
    </w:p>
    <w:sectPr w:rsidR="021F216E" w:rsidRPr="00A24988">
      <w:headerReference w:type="default" r:id="rId20"/>
      <w:footerReference w:type="default" r:id="rId2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8BFA22" w14:textId="77777777" w:rsidR="003B216A" w:rsidRDefault="003B216A" w:rsidP="00255A0D">
      <w:pPr>
        <w:spacing w:after="0" w:line="240" w:lineRule="auto"/>
      </w:pPr>
      <w:r>
        <w:separator/>
      </w:r>
    </w:p>
  </w:endnote>
  <w:endnote w:type="continuationSeparator" w:id="0">
    <w:p w14:paraId="0195DD13" w14:textId="77777777" w:rsidR="003B216A" w:rsidRDefault="003B216A"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37505912"/>
      <w:docPartObj>
        <w:docPartGallery w:val="Page Numbers (Bottom of Page)"/>
        <w:docPartUnique/>
      </w:docPartObj>
    </w:sdtPr>
    <w:sdtEndPr>
      <w:rPr>
        <w:noProof/>
      </w:rPr>
    </w:sdtEndPr>
    <w:sdtContent>
      <w:p w14:paraId="45DDBE59" w14:textId="026F784A" w:rsidR="00A24988" w:rsidRDefault="00A2498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ED9CA24" w14:textId="77777777" w:rsidR="00A24988" w:rsidRDefault="00A2498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8C5A66" w14:textId="77777777" w:rsidR="003B216A" w:rsidRDefault="003B216A" w:rsidP="00255A0D">
      <w:pPr>
        <w:spacing w:after="0" w:line="240" w:lineRule="auto"/>
      </w:pPr>
      <w:r>
        <w:separator/>
      </w:r>
    </w:p>
  </w:footnote>
  <w:footnote w:type="continuationSeparator" w:id="0">
    <w:p w14:paraId="03ABC555" w14:textId="77777777" w:rsidR="003B216A" w:rsidRDefault="003B216A" w:rsidP="00255A0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9116663"/>
      <w:docPartObj>
        <w:docPartGallery w:val="Page Numbers (Top of Page)"/>
        <w:docPartUnique/>
      </w:docPartObj>
    </w:sdtPr>
    <w:sdtContent>
      <w:p w14:paraId="01D655F9" w14:textId="168C2975" w:rsidR="00047BFF" w:rsidRDefault="00047BFF">
        <w:pPr>
          <w:pStyle w:val="Header"/>
          <w:jc w:val="right"/>
        </w:pPr>
        <w:r>
          <w:fldChar w:fldCharType="begin"/>
        </w:r>
        <w:r>
          <w:instrText>PAGE   \* MERGEFORMAT</w:instrText>
        </w:r>
        <w:r>
          <w:fldChar w:fldCharType="separate"/>
        </w:r>
        <w:r>
          <w:rPr>
            <w:lang w:val="en-GB"/>
          </w:rPr>
          <w:t>2</w:t>
        </w:r>
        <w:r>
          <w:fldChar w:fldCharType="end"/>
        </w:r>
      </w:p>
    </w:sdtContent>
  </w:sdt>
  <w:p w14:paraId="0B0EA8A3" w14:textId="77777777" w:rsidR="00047BFF" w:rsidRDefault="00047BF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47BFF"/>
    <w:rsid w:val="00094EFD"/>
    <w:rsid w:val="000C4C4C"/>
    <w:rsid w:val="000F3E62"/>
    <w:rsid w:val="001C40BE"/>
    <w:rsid w:val="00201F9C"/>
    <w:rsid w:val="00255A0D"/>
    <w:rsid w:val="00262382"/>
    <w:rsid w:val="002C2905"/>
    <w:rsid w:val="00337274"/>
    <w:rsid w:val="00352BC6"/>
    <w:rsid w:val="00353EDA"/>
    <w:rsid w:val="003645EB"/>
    <w:rsid w:val="003B216A"/>
    <w:rsid w:val="003E3305"/>
    <w:rsid w:val="0041531C"/>
    <w:rsid w:val="00417629"/>
    <w:rsid w:val="00456C61"/>
    <w:rsid w:val="00475133"/>
    <w:rsid w:val="004872B4"/>
    <w:rsid w:val="004D35ED"/>
    <w:rsid w:val="004E08DF"/>
    <w:rsid w:val="004E520B"/>
    <w:rsid w:val="00542DD8"/>
    <w:rsid w:val="00547628"/>
    <w:rsid w:val="0056285B"/>
    <w:rsid w:val="00562C86"/>
    <w:rsid w:val="00563EB8"/>
    <w:rsid w:val="00577423"/>
    <w:rsid w:val="005A04A1"/>
    <w:rsid w:val="005C5D6D"/>
    <w:rsid w:val="00654E42"/>
    <w:rsid w:val="007D7007"/>
    <w:rsid w:val="007F0718"/>
    <w:rsid w:val="00804F05"/>
    <w:rsid w:val="008150A5"/>
    <w:rsid w:val="00836294"/>
    <w:rsid w:val="008F2FE9"/>
    <w:rsid w:val="00900555"/>
    <w:rsid w:val="0091419F"/>
    <w:rsid w:val="00985E15"/>
    <w:rsid w:val="009B3369"/>
    <w:rsid w:val="00A24988"/>
    <w:rsid w:val="00A507D8"/>
    <w:rsid w:val="00AD5A43"/>
    <w:rsid w:val="00AE4262"/>
    <w:rsid w:val="00B35289"/>
    <w:rsid w:val="00B50BB3"/>
    <w:rsid w:val="00B63666"/>
    <w:rsid w:val="00BA3E69"/>
    <w:rsid w:val="00BC5EBB"/>
    <w:rsid w:val="00BD4824"/>
    <w:rsid w:val="00C2074D"/>
    <w:rsid w:val="00C86369"/>
    <w:rsid w:val="00C94DB7"/>
    <w:rsid w:val="00CA384C"/>
    <w:rsid w:val="00CA4FFA"/>
    <w:rsid w:val="00CE49E8"/>
    <w:rsid w:val="00D05E63"/>
    <w:rsid w:val="00DC2ECF"/>
    <w:rsid w:val="00DC4207"/>
    <w:rsid w:val="00E27A2D"/>
    <w:rsid w:val="00E56FE7"/>
    <w:rsid w:val="00EA0954"/>
    <w:rsid w:val="00EA3603"/>
    <w:rsid w:val="00EF71A4"/>
    <w:rsid w:val="00F5027D"/>
    <w:rsid w:val="00F57393"/>
    <w:rsid w:val="00FB7C63"/>
    <w:rsid w:val="00FD0A93"/>
    <w:rsid w:val="00FD7E10"/>
    <w:rsid w:val="021F216E"/>
    <w:rsid w:val="02449CD0"/>
    <w:rsid w:val="0265074D"/>
    <w:rsid w:val="0301BA44"/>
    <w:rsid w:val="04D995C7"/>
    <w:rsid w:val="073417F5"/>
    <w:rsid w:val="081F19E1"/>
    <w:rsid w:val="0F5D0B49"/>
    <w:rsid w:val="111C6C6B"/>
    <w:rsid w:val="118E4763"/>
    <w:rsid w:val="11DCB36E"/>
    <w:rsid w:val="1260D88E"/>
    <w:rsid w:val="14410AF1"/>
    <w:rsid w:val="16AAC293"/>
    <w:rsid w:val="1751A648"/>
    <w:rsid w:val="17E92B46"/>
    <w:rsid w:val="1AD7CC6F"/>
    <w:rsid w:val="1AEA2BF4"/>
    <w:rsid w:val="1D4C7ABC"/>
    <w:rsid w:val="21B62BFC"/>
    <w:rsid w:val="22567C85"/>
    <w:rsid w:val="240D90F5"/>
    <w:rsid w:val="251C0B80"/>
    <w:rsid w:val="27053207"/>
    <w:rsid w:val="284520E4"/>
    <w:rsid w:val="284F49DD"/>
    <w:rsid w:val="2A01ADFD"/>
    <w:rsid w:val="2A23208A"/>
    <w:rsid w:val="2B7DCDE6"/>
    <w:rsid w:val="3299FD2E"/>
    <w:rsid w:val="32ADAAF6"/>
    <w:rsid w:val="3575C376"/>
    <w:rsid w:val="3622B505"/>
    <w:rsid w:val="36FBD366"/>
    <w:rsid w:val="387BE15F"/>
    <w:rsid w:val="38F3069B"/>
    <w:rsid w:val="39E5AD7F"/>
    <w:rsid w:val="3EA1690F"/>
    <w:rsid w:val="3EF52F69"/>
    <w:rsid w:val="3F99161F"/>
    <w:rsid w:val="469F9A50"/>
    <w:rsid w:val="47853A3C"/>
    <w:rsid w:val="47F71378"/>
    <w:rsid w:val="4CDDFD23"/>
    <w:rsid w:val="4D842DEF"/>
    <w:rsid w:val="4FBCB652"/>
    <w:rsid w:val="50F1DE52"/>
    <w:rsid w:val="5137FA03"/>
    <w:rsid w:val="5790A825"/>
    <w:rsid w:val="5C25A517"/>
    <w:rsid w:val="5D1B1139"/>
    <w:rsid w:val="648C21D4"/>
    <w:rsid w:val="6D60DCDE"/>
    <w:rsid w:val="6D65878B"/>
    <w:rsid w:val="6F4F07BE"/>
    <w:rsid w:val="6FE7966A"/>
    <w:rsid w:val="7016E409"/>
    <w:rsid w:val="723804E2"/>
    <w:rsid w:val="72B6EECC"/>
    <w:rsid w:val="74CF99F4"/>
    <w:rsid w:val="761B3D0B"/>
    <w:rsid w:val="776AEF63"/>
    <w:rsid w:val="78EB0FE3"/>
    <w:rsid w:val="79E626CA"/>
    <w:rsid w:val="7DA3B185"/>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0002F30"/>
  <w15:chartTrackingRefBased/>
  <w15:docId w15:val="{4D3C3C2E-C91E-4B75-AA3D-9C64BF736B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 w:type="character" w:styleId="UnresolvedMention">
    <w:name w:val="Unresolved Mention"/>
    <w:basedOn w:val="DefaultParagraphFont"/>
    <w:uiPriority w:val="99"/>
    <w:semiHidden/>
    <w:unhideWhenUsed/>
    <w:rsid w:val="00C2074D"/>
    <w:rPr>
      <w:color w:val="605E5C"/>
      <w:shd w:val="clear" w:color="auto" w:fill="E1DFDD"/>
    </w:rPr>
  </w:style>
  <w:style w:type="paragraph" w:styleId="TOCHeading">
    <w:name w:val="TOC Heading"/>
    <w:basedOn w:val="Heading1"/>
    <w:next w:val="Normal"/>
    <w:uiPriority w:val="39"/>
    <w:unhideWhenUsed/>
    <w:qFormat/>
    <w:rsid w:val="00B63666"/>
    <w:pPr>
      <w:spacing w:before="240" w:after="0" w:line="259" w:lineRule="auto"/>
      <w:outlineLvl w:val="9"/>
    </w:pPr>
    <w:rPr>
      <w:sz w:val="32"/>
      <w:szCs w:val="32"/>
      <w:lang w:eastAsia="en-US"/>
    </w:rPr>
  </w:style>
  <w:style w:type="paragraph" w:styleId="TOC1">
    <w:name w:val="toc 1"/>
    <w:basedOn w:val="Normal"/>
    <w:next w:val="Normal"/>
    <w:autoRedefine/>
    <w:uiPriority w:val="39"/>
    <w:unhideWhenUsed/>
    <w:rsid w:val="00B6366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www.rev.com/onlinevoicerecorder" TargetMode="External"/><Relationship Id="rId18" Type="http://schemas.openxmlformats.org/officeDocument/2006/relationships/hyperlink" Target="https://transform.england.nhs.uk/"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png"/><Relationship Id="rId12" Type="http://schemas.microsoft.com/office/2007/relationships/diagramDrawing" Target="diagrams/drawing1.xml"/><Relationship Id="rId17" Type="http://schemas.openxmlformats.org/officeDocument/2006/relationships/hyperlink" Target="https://transform.england.nhs.uk/covid-19-response/technology-nhs/scaling-a-technology-enabled-remote-monitoring-hub-to-support-thousands-of-people-at-home-across-cheshire-and-merseyside/" TargetMode="External"/><Relationship Id="rId2" Type="http://schemas.openxmlformats.org/officeDocument/2006/relationships/styles" Target="styles.xml"/><Relationship Id="rId16" Type="http://schemas.openxmlformats.org/officeDocument/2006/relationships/hyperlink" Target="https://www.durham.ac.uk/news-events/latest-news/2024/02/healthcare-app-reduces-hospital-admissions-from-care-home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5" Type="http://schemas.openxmlformats.org/officeDocument/2006/relationships/footnotes" Target="footnotes.xml"/><Relationship Id="rId15" Type="http://schemas.openxmlformats.org/officeDocument/2006/relationships/oleObject" Target="embeddings/oleObject1.bin"/><Relationship Id="rId23" Type="http://schemas.openxmlformats.org/officeDocument/2006/relationships/theme" Target="theme/theme1.xml"/><Relationship Id="rId10" Type="http://schemas.openxmlformats.org/officeDocument/2006/relationships/diagramQuickStyle" Target="diagrams/quickStyle1.xml"/><Relationship Id="rId19" Type="http://schemas.openxmlformats.org/officeDocument/2006/relationships/hyperlink" Target="https://www.kingsfund.org.uk/insight-and-analysis/projects/developing-people-improving-care-a-national-improvement-and-leadership-framework-for-the-nhs?utm_source=chatgpt.com" TargetMode="External"/><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2.emf"/><Relationship Id="rId22" Type="http://schemas.openxmlformats.org/officeDocument/2006/relationships/fontTable" Target="fontTable.xml"/></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9978C5B7-7467-4842-B37B-142F5A60548E}" type="doc">
      <dgm:prSet loTypeId="urn:microsoft.com/office/officeart/2005/8/layout/cycle7" loCatId="cycle" qsTypeId="urn:microsoft.com/office/officeart/2005/8/quickstyle/simple1" qsCatId="simple" csTypeId="urn:microsoft.com/office/officeart/2005/8/colors/accent1_2" csCatId="accent1" phldr="1"/>
      <dgm:spPr/>
      <dgm:t>
        <a:bodyPr/>
        <a:lstStyle/>
        <a:p>
          <a:endParaRPr lang="en-GB"/>
        </a:p>
      </dgm:t>
    </dgm:pt>
    <dgm:pt modelId="{0E633CB3-4229-4C63-9AB7-97B539C8061E}">
      <dgm:prSet phldrT="[Text]"/>
      <dgm:spPr/>
      <dgm:t>
        <a:bodyPr/>
        <a:lstStyle/>
        <a:p>
          <a:r>
            <a:rPr lang="en-GB"/>
            <a:t>Innovation (New strategies, better care)</a:t>
          </a:r>
        </a:p>
      </dgm:t>
    </dgm:pt>
    <dgm:pt modelId="{F0D30077-45CA-4CA8-AACB-A76ADB90050B}" type="parTrans" cxnId="{3FF979A9-406E-46D2-B1C3-0A0D8ADB16ED}">
      <dgm:prSet/>
      <dgm:spPr/>
      <dgm:t>
        <a:bodyPr/>
        <a:lstStyle/>
        <a:p>
          <a:endParaRPr lang="en-GB"/>
        </a:p>
      </dgm:t>
    </dgm:pt>
    <dgm:pt modelId="{7680327E-0D21-4F90-B349-BFC622ADB15A}" type="sibTrans" cxnId="{3FF979A9-406E-46D2-B1C3-0A0D8ADB16ED}">
      <dgm:prSet/>
      <dgm:spPr/>
      <dgm:t>
        <a:bodyPr/>
        <a:lstStyle/>
        <a:p>
          <a:endParaRPr lang="en-GB"/>
        </a:p>
      </dgm:t>
    </dgm:pt>
    <dgm:pt modelId="{2CF14CDF-2668-4485-A935-8E1E0A14A805}">
      <dgm:prSet phldrT="[Text]"/>
      <dgm:spPr/>
      <dgm:t>
        <a:bodyPr/>
        <a:lstStyle/>
        <a:p>
          <a:r>
            <a:rPr lang="en-GB"/>
            <a:t>Creative</a:t>
          </a:r>
        </a:p>
        <a:p>
          <a:r>
            <a:rPr lang="en-GB"/>
            <a:t>Activities (Music, art, gardens)</a:t>
          </a:r>
        </a:p>
      </dgm:t>
    </dgm:pt>
    <dgm:pt modelId="{D7874B7A-C05C-4D8D-AED1-4F5EED4700C9}" type="parTrans" cxnId="{39C7511C-D6BF-43A8-B5F4-0A732F79EEBD}">
      <dgm:prSet/>
      <dgm:spPr/>
      <dgm:t>
        <a:bodyPr/>
        <a:lstStyle/>
        <a:p>
          <a:endParaRPr lang="en-GB"/>
        </a:p>
      </dgm:t>
    </dgm:pt>
    <dgm:pt modelId="{09B93DD1-C308-4A1B-BA95-C8D80629C5E1}" type="sibTrans" cxnId="{39C7511C-D6BF-43A8-B5F4-0A732F79EEBD}">
      <dgm:prSet/>
      <dgm:spPr/>
      <dgm:t>
        <a:bodyPr/>
        <a:lstStyle/>
        <a:p>
          <a:endParaRPr lang="en-GB"/>
        </a:p>
      </dgm:t>
    </dgm:pt>
    <dgm:pt modelId="{0B5E54C4-C306-4353-B060-1768F57B669C}">
      <dgm:prSet phldrT="[Text]"/>
      <dgm:spPr/>
      <dgm:t>
        <a:bodyPr/>
        <a:lstStyle/>
        <a:p>
          <a:r>
            <a:rPr lang="en-GB"/>
            <a:t>Amabile's Theory (Knowledge, Thinking, Motivation)</a:t>
          </a:r>
        </a:p>
      </dgm:t>
    </dgm:pt>
    <dgm:pt modelId="{BEAD4116-04B2-4138-98D0-70B57B41F373}" type="parTrans" cxnId="{2D565D49-51CC-4BAA-AF18-5FE8EF9D2026}">
      <dgm:prSet/>
      <dgm:spPr/>
      <dgm:t>
        <a:bodyPr/>
        <a:lstStyle/>
        <a:p>
          <a:endParaRPr lang="en-GB"/>
        </a:p>
      </dgm:t>
    </dgm:pt>
    <dgm:pt modelId="{CE377CA1-E051-4CE2-AD1A-121DD0A169B4}" type="sibTrans" cxnId="{2D565D49-51CC-4BAA-AF18-5FE8EF9D2026}">
      <dgm:prSet/>
      <dgm:spPr/>
      <dgm:t>
        <a:bodyPr/>
        <a:lstStyle/>
        <a:p>
          <a:endParaRPr lang="en-GB"/>
        </a:p>
      </dgm:t>
    </dgm:pt>
    <dgm:pt modelId="{7CA0C4B2-592F-49C0-A58C-FB327A706173}">
      <dgm:prSet/>
      <dgm:spPr/>
      <dgm:t>
        <a:bodyPr/>
        <a:lstStyle/>
        <a:p>
          <a:r>
            <a:rPr lang="en-GB"/>
            <a:t>Creativity (Essential for new ideas in care)</a:t>
          </a:r>
        </a:p>
      </dgm:t>
    </dgm:pt>
    <dgm:pt modelId="{9A9551DD-9278-49F3-AB16-D61C98B6D53C}" type="parTrans" cxnId="{372ABFB8-E253-4E0F-81A5-35FD500094FD}">
      <dgm:prSet/>
      <dgm:spPr/>
      <dgm:t>
        <a:bodyPr/>
        <a:lstStyle/>
        <a:p>
          <a:endParaRPr lang="en-GB"/>
        </a:p>
      </dgm:t>
    </dgm:pt>
    <dgm:pt modelId="{03D4DC65-FAE3-46F0-A338-D8F90794D484}" type="sibTrans" cxnId="{372ABFB8-E253-4E0F-81A5-35FD500094FD}">
      <dgm:prSet/>
      <dgm:spPr/>
      <dgm:t>
        <a:bodyPr/>
        <a:lstStyle/>
        <a:p>
          <a:endParaRPr lang="en-GB"/>
        </a:p>
      </dgm:t>
    </dgm:pt>
    <dgm:pt modelId="{873CB018-458A-4142-9EF4-CF837AB6A0C8}">
      <dgm:prSet/>
      <dgm:spPr/>
      <dgm:t>
        <a:bodyPr/>
        <a:lstStyle/>
        <a:p>
          <a:r>
            <a:rPr lang="en-GB"/>
            <a:t>Co-Creation (Staff, residents together) </a:t>
          </a:r>
        </a:p>
      </dgm:t>
    </dgm:pt>
    <dgm:pt modelId="{1B89EE88-B597-4129-8ECF-CEA13663CC1B}" type="parTrans" cxnId="{A6E70A7F-5B2A-438C-8149-DD6EFE8F91A0}">
      <dgm:prSet/>
      <dgm:spPr/>
      <dgm:t>
        <a:bodyPr/>
        <a:lstStyle/>
        <a:p>
          <a:endParaRPr lang="en-GB"/>
        </a:p>
      </dgm:t>
    </dgm:pt>
    <dgm:pt modelId="{511D49F3-E21E-4829-B433-A5F902465847}" type="sibTrans" cxnId="{A6E70A7F-5B2A-438C-8149-DD6EFE8F91A0}">
      <dgm:prSet/>
      <dgm:spPr/>
      <dgm:t>
        <a:bodyPr/>
        <a:lstStyle/>
        <a:p>
          <a:endParaRPr lang="en-GB"/>
        </a:p>
      </dgm:t>
    </dgm:pt>
    <dgm:pt modelId="{90C421F2-555C-42AC-BF6A-601A556CC8AD}">
      <dgm:prSet/>
      <dgm:spPr/>
      <dgm:t>
        <a:bodyPr/>
        <a:lstStyle/>
        <a:p>
          <a:r>
            <a:rPr lang="en-GB"/>
            <a:t>Improved Care Wellbeing (Dignity, connection, happiness)</a:t>
          </a:r>
        </a:p>
      </dgm:t>
    </dgm:pt>
    <dgm:pt modelId="{4B6B3EB0-7384-4385-8302-2C1E7FE4FD05}" type="parTrans" cxnId="{962D83B6-DB42-46B6-919E-CAFBDED31DB9}">
      <dgm:prSet/>
      <dgm:spPr/>
      <dgm:t>
        <a:bodyPr/>
        <a:lstStyle/>
        <a:p>
          <a:endParaRPr lang="en-GB"/>
        </a:p>
      </dgm:t>
    </dgm:pt>
    <dgm:pt modelId="{D98107CE-72E2-4104-B74B-28FBBBF13563}" type="sibTrans" cxnId="{962D83B6-DB42-46B6-919E-CAFBDED31DB9}">
      <dgm:prSet/>
      <dgm:spPr/>
      <dgm:t>
        <a:bodyPr/>
        <a:lstStyle/>
        <a:p>
          <a:endParaRPr lang="en-GB"/>
        </a:p>
      </dgm:t>
    </dgm:pt>
    <dgm:pt modelId="{653126E4-04F2-44FA-8A53-6788D0FC3C94}">
      <dgm:prSet/>
      <dgm:spPr/>
      <dgm:t>
        <a:bodyPr/>
        <a:lstStyle/>
        <a:p>
          <a:r>
            <a:rPr lang="en-GB"/>
            <a:t>Value Creation (Benefits for residents, staff)  </a:t>
          </a:r>
        </a:p>
      </dgm:t>
    </dgm:pt>
    <dgm:pt modelId="{E47DBBE9-899B-4CCC-BAF4-46EA306734F7}" type="parTrans" cxnId="{7F0B7E0B-1404-455A-A2AD-F13212438F98}">
      <dgm:prSet/>
      <dgm:spPr/>
      <dgm:t>
        <a:bodyPr/>
        <a:lstStyle/>
        <a:p>
          <a:endParaRPr lang="en-GB"/>
        </a:p>
      </dgm:t>
    </dgm:pt>
    <dgm:pt modelId="{F1AC6A7C-8060-4DC9-A5C6-5E0C7037F67D}" type="sibTrans" cxnId="{7F0B7E0B-1404-455A-A2AD-F13212438F98}">
      <dgm:prSet/>
      <dgm:spPr/>
      <dgm:t>
        <a:bodyPr/>
        <a:lstStyle/>
        <a:p>
          <a:endParaRPr lang="en-GB"/>
        </a:p>
      </dgm:t>
    </dgm:pt>
    <dgm:pt modelId="{6E5B4201-DB74-4AD4-AE95-3C8ED2C50BA9}" type="pres">
      <dgm:prSet presAssocID="{9978C5B7-7467-4842-B37B-142F5A60548E}" presName="Name0" presStyleCnt="0">
        <dgm:presLayoutVars>
          <dgm:dir/>
          <dgm:resizeHandles val="exact"/>
        </dgm:presLayoutVars>
      </dgm:prSet>
      <dgm:spPr/>
    </dgm:pt>
    <dgm:pt modelId="{BD84E04D-A2F7-4D1A-ADC1-FB5D9C644D18}" type="pres">
      <dgm:prSet presAssocID="{2CF14CDF-2668-4485-A935-8E1E0A14A805}" presName="node" presStyleLbl="node1" presStyleIdx="0" presStyleCnt="7" custScaleX="135785" custScaleY="167362" custRadScaleRad="85682" custRadScaleInc="-6400">
        <dgm:presLayoutVars>
          <dgm:bulletEnabled val="1"/>
        </dgm:presLayoutVars>
      </dgm:prSet>
      <dgm:spPr/>
    </dgm:pt>
    <dgm:pt modelId="{D12328F6-C91B-4299-A4E9-E6F981D20D72}" type="pres">
      <dgm:prSet presAssocID="{09B93DD1-C308-4A1B-BA95-C8D80629C5E1}" presName="sibTrans" presStyleLbl="sibTrans2D1" presStyleIdx="0" presStyleCnt="7" custScaleX="849915" custScaleY="150182"/>
      <dgm:spPr/>
    </dgm:pt>
    <dgm:pt modelId="{ED3DB6B0-20E9-44DA-AE34-5ADA8B639EB2}" type="pres">
      <dgm:prSet presAssocID="{09B93DD1-C308-4A1B-BA95-C8D80629C5E1}" presName="connectorText" presStyleLbl="sibTrans2D1" presStyleIdx="0" presStyleCnt="7"/>
      <dgm:spPr/>
    </dgm:pt>
    <dgm:pt modelId="{1E47B6CA-5D5B-4321-B366-281E9D38006B}" type="pres">
      <dgm:prSet presAssocID="{0E633CB3-4229-4C63-9AB7-97B539C8061E}" presName="node" presStyleLbl="node1" presStyleIdx="1" presStyleCnt="7" custScaleX="131673" custScaleY="148540" custRadScaleRad="61044" custRadScaleInc="125912">
        <dgm:presLayoutVars>
          <dgm:bulletEnabled val="1"/>
        </dgm:presLayoutVars>
      </dgm:prSet>
      <dgm:spPr/>
    </dgm:pt>
    <dgm:pt modelId="{C21282F5-9CEF-40E9-9444-51C862CA2CBF}" type="pres">
      <dgm:prSet presAssocID="{7680327E-0D21-4F90-B349-BFC622ADB15A}" presName="sibTrans" presStyleLbl="sibTrans2D1" presStyleIdx="1" presStyleCnt="7" custAng="4078515" custFlipVert="1" custScaleX="895575" custScaleY="143167" custLinFactNeighborX="-44827" custLinFactNeighborY="-1"/>
      <dgm:spPr/>
    </dgm:pt>
    <dgm:pt modelId="{C5F88F24-3F5F-4218-B18F-B580B32D2251}" type="pres">
      <dgm:prSet presAssocID="{7680327E-0D21-4F90-B349-BFC622ADB15A}" presName="connectorText" presStyleLbl="sibTrans2D1" presStyleIdx="1" presStyleCnt="7"/>
      <dgm:spPr/>
    </dgm:pt>
    <dgm:pt modelId="{30AE9013-19ED-4DC7-88B8-9C3E5E1830BF}" type="pres">
      <dgm:prSet presAssocID="{0B5E54C4-C306-4353-B060-1768F57B669C}" presName="node" presStyleLbl="node1" presStyleIdx="2" presStyleCnt="7" custRadScaleRad="121076" custRadScaleInc="58175">
        <dgm:presLayoutVars>
          <dgm:bulletEnabled val="1"/>
        </dgm:presLayoutVars>
      </dgm:prSet>
      <dgm:spPr/>
    </dgm:pt>
    <dgm:pt modelId="{5F4CF9A8-0EA8-41C3-9BE1-637DEA8322D4}" type="pres">
      <dgm:prSet presAssocID="{CE377CA1-E051-4CE2-AD1A-121DD0A169B4}" presName="sibTrans" presStyleLbl="sibTrans2D1" presStyleIdx="2" presStyleCnt="7" custScaleX="516719" custScaleY="103357"/>
      <dgm:spPr/>
    </dgm:pt>
    <dgm:pt modelId="{33CC0867-499F-41F8-9DA6-E170412DEE70}" type="pres">
      <dgm:prSet presAssocID="{CE377CA1-E051-4CE2-AD1A-121DD0A169B4}" presName="connectorText" presStyleLbl="sibTrans2D1" presStyleIdx="2" presStyleCnt="7"/>
      <dgm:spPr/>
    </dgm:pt>
    <dgm:pt modelId="{4043B715-E3BD-4F1A-9CF7-E351B8EF8198}" type="pres">
      <dgm:prSet presAssocID="{7CA0C4B2-592F-49C0-A58C-FB327A706173}" presName="node" presStyleLbl="node1" presStyleIdx="3" presStyleCnt="7" custScaleY="82099" custRadScaleRad="69025" custRadScaleInc="-29408">
        <dgm:presLayoutVars>
          <dgm:bulletEnabled val="1"/>
        </dgm:presLayoutVars>
      </dgm:prSet>
      <dgm:spPr/>
    </dgm:pt>
    <dgm:pt modelId="{BEC6D5FD-8727-404F-B3CB-D2B8D5CA2335}" type="pres">
      <dgm:prSet presAssocID="{03D4DC65-FAE3-46F0-A338-D8F90794D484}" presName="sibTrans" presStyleLbl="sibTrans2D1" presStyleIdx="3" presStyleCnt="7" custAng="18007193" custScaleX="875725" custScaleY="157832" custLinFactX="400000" custLinFactY="-119485" custLinFactNeighborX="498590" custLinFactNeighborY="-200000"/>
      <dgm:spPr/>
    </dgm:pt>
    <dgm:pt modelId="{41D6AD7D-31E3-4427-9F33-0BC6CE72B85B}" type="pres">
      <dgm:prSet presAssocID="{03D4DC65-FAE3-46F0-A338-D8F90794D484}" presName="connectorText" presStyleLbl="sibTrans2D1" presStyleIdx="3" presStyleCnt="7"/>
      <dgm:spPr/>
    </dgm:pt>
    <dgm:pt modelId="{26FD469F-3C96-4AA7-8667-C69AABE2F91C}" type="pres">
      <dgm:prSet presAssocID="{873CB018-458A-4142-9EF4-CF837AB6A0C8}" presName="node" presStyleLbl="node1" presStyleIdx="4" presStyleCnt="7" custScaleX="124296" custScaleY="170914" custRadScaleRad="59869" custRadScaleInc="500">
        <dgm:presLayoutVars>
          <dgm:bulletEnabled val="1"/>
        </dgm:presLayoutVars>
      </dgm:prSet>
      <dgm:spPr/>
    </dgm:pt>
    <dgm:pt modelId="{0A29A1A6-41A3-42EF-B302-7AF4D6473CB3}" type="pres">
      <dgm:prSet presAssocID="{511D49F3-E21E-4829-B433-A5F902465847}" presName="sibTrans" presStyleLbl="sibTrans2D1" presStyleIdx="4" presStyleCnt="7" custAng="18903747" custFlipVert="1" custScaleX="714639" custScaleY="140461" custLinFactX="200000" custLinFactY="-178854" custLinFactNeighborX="289973" custLinFactNeighborY="-200000"/>
      <dgm:spPr/>
    </dgm:pt>
    <dgm:pt modelId="{A2B95A08-3324-4F69-B4DE-F0C1EB6830FB}" type="pres">
      <dgm:prSet presAssocID="{511D49F3-E21E-4829-B433-A5F902465847}" presName="connectorText" presStyleLbl="sibTrans2D1" presStyleIdx="4" presStyleCnt="7"/>
      <dgm:spPr/>
    </dgm:pt>
    <dgm:pt modelId="{7015B94D-D172-4FC3-BAA7-69F165F98382}" type="pres">
      <dgm:prSet presAssocID="{90C421F2-555C-42AC-BF6A-601A556CC8AD}" presName="node" presStyleLbl="node1" presStyleIdx="5" presStyleCnt="7" custScaleX="130052" custScaleY="187090" custRadScaleRad="108383" custRadScaleInc="-68748">
        <dgm:presLayoutVars>
          <dgm:bulletEnabled val="1"/>
        </dgm:presLayoutVars>
      </dgm:prSet>
      <dgm:spPr/>
    </dgm:pt>
    <dgm:pt modelId="{3B488653-205E-40DA-A3E5-E971B5147B54}" type="pres">
      <dgm:prSet presAssocID="{D98107CE-72E2-4104-B74B-28FBBBF13563}" presName="sibTrans" presStyleLbl="sibTrans2D1" presStyleIdx="5" presStyleCnt="7" custAng="6554240" custFlipVert="1" custScaleX="691030" custScaleY="112877" custLinFactX="-17422" custLinFactNeighborX="-100000" custLinFactNeighborY="3200"/>
      <dgm:spPr/>
    </dgm:pt>
    <dgm:pt modelId="{E0F895B0-8A73-43DA-AA5C-91D318A1A903}" type="pres">
      <dgm:prSet presAssocID="{D98107CE-72E2-4104-B74B-28FBBBF13563}" presName="connectorText" presStyleLbl="sibTrans2D1" presStyleIdx="5" presStyleCnt="7"/>
      <dgm:spPr/>
    </dgm:pt>
    <dgm:pt modelId="{7EEC3296-476F-4E5E-B578-D72C9A79DF67}" type="pres">
      <dgm:prSet presAssocID="{653126E4-04F2-44FA-8A53-6788D0FC3C94}" presName="node" presStyleLbl="node1" presStyleIdx="6" presStyleCnt="7" custScaleX="126787" custScaleY="147190" custRadScaleRad="63883" custRadScaleInc="-126099">
        <dgm:presLayoutVars>
          <dgm:bulletEnabled val="1"/>
        </dgm:presLayoutVars>
      </dgm:prSet>
      <dgm:spPr/>
    </dgm:pt>
    <dgm:pt modelId="{DA8C41F5-86F9-4BD0-B8F3-D680C2151987}" type="pres">
      <dgm:prSet presAssocID="{F1AC6A7C-8060-4DC9-A5C6-5E0C7037F67D}" presName="sibTrans" presStyleLbl="sibTrans2D1" presStyleIdx="6" presStyleCnt="7" custScaleX="901513" custScaleY="172636" custLinFactNeighborX="19211" custLinFactNeighborY="7366"/>
      <dgm:spPr/>
    </dgm:pt>
    <dgm:pt modelId="{4FECE499-D98A-4A69-B5C5-A89486FCD6D7}" type="pres">
      <dgm:prSet presAssocID="{F1AC6A7C-8060-4DC9-A5C6-5E0C7037F67D}" presName="connectorText" presStyleLbl="sibTrans2D1" presStyleIdx="6" presStyleCnt="7"/>
      <dgm:spPr/>
    </dgm:pt>
  </dgm:ptLst>
  <dgm:cxnLst>
    <dgm:cxn modelId="{91F7D002-BEE3-4157-B16C-5BEAF71DDBF9}" type="presOf" srcId="{9978C5B7-7467-4842-B37B-142F5A60548E}" destId="{6E5B4201-DB74-4AD4-AE95-3C8ED2C50BA9}" srcOrd="0" destOrd="0" presId="urn:microsoft.com/office/officeart/2005/8/layout/cycle7"/>
    <dgm:cxn modelId="{7F0B7E0B-1404-455A-A2AD-F13212438F98}" srcId="{9978C5B7-7467-4842-B37B-142F5A60548E}" destId="{653126E4-04F2-44FA-8A53-6788D0FC3C94}" srcOrd="6" destOrd="0" parTransId="{E47DBBE9-899B-4CCC-BAF4-46EA306734F7}" sibTransId="{F1AC6A7C-8060-4DC9-A5C6-5E0C7037F67D}"/>
    <dgm:cxn modelId="{09D28911-0CE5-47B4-80AB-D3FCF2869205}" type="presOf" srcId="{90C421F2-555C-42AC-BF6A-601A556CC8AD}" destId="{7015B94D-D172-4FC3-BAA7-69F165F98382}" srcOrd="0" destOrd="0" presId="urn:microsoft.com/office/officeart/2005/8/layout/cycle7"/>
    <dgm:cxn modelId="{7FECAC1B-756E-47FB-AE05-882170CE5858}" type="presOf" srcId="{03D4DC65-FAE3-46F0-A338-D8F90794D484}" destId="{41D6AD7D-31E3-4427-9F33-0BC6CE72B85B}" srcOrd="1" destOrd="0" presId="urn:microsoft.com/office/officeart/2005/8/layout/cycle7"/>
    <dgm:cxn modelId="{39C7511C-D6BF-43A8-B5F4-0A732F79EEBD}" srcId="{9978C5B7-7467-4842-B37B-142F5A60548E}" destId="{2CF14CDF-2668-4485-A935-8E1E0A14A805}" srcOrd="0" destOrd="0" parTransId="{D7874B7A-C05C-4D8D-AED1-4F5EED4700C9}" sibTransId="{09B93DD1-C308-4A1B-BA95-C8D80629C5E1}"/>
    <dgm:cxn modelId="{D4ADC725-2806-443A-9B1F-607F1A51D6CC}" type="presOf" srcId="{0E633CB3-4229-4C63-9AB7-97B539C8061E}" destId="{1E47B6CA-5D5B-4321-B366-281E9D38006B}" srcOrd="0" destOrd="0" presId="urn:microsoft.com/office/officeart/2005/8/layout/cycle7"/>
    <dgm:cxn modelId="{5F2C8D5C-C910-417B-8A82-F43AA4EDD6A6}" type="presOf" srcId="{D98107CE-72E2-4104-B74B-28FBBBF13563}" destId="{E0F895B0-8A73-43DA-AA5C-91D318A1A903}" srcOrd="1" destOrd="0" presId="urn:microsoft.com/office/officeart/2005/8/layout/cycle7"/>
    <dgm:cxn modelId="{20A6DC62-0B6B-41AA-9002-069153AE9FAA}" type="presOf" srcId="{F1AC6A7C-8060-4DC9-A5C6-5E0C7037F67D}" destId="{4FECE499-D98A-4A69-B5C5-A89486FCD6D7}" srcOrd="1" destOrd="0" presId="urn:microsoft.com/office/officeart/2005/8/layout/cycle7"/>
    <dgm:cxn modelId="{445D0244-AB81-404F-8540-96131D102EFE}" type="presOf" srcId="{03D4DC65-FAE3-46F0-A338-D8F90794D484}" destId="{BEC6D5FD-8727-404F-B3CB-D2B8D5CA2335}" srcOrd="0" destOrd="0" presId="urn:microsoft.com/office/officeart/2005/8/layout/cycle7"/>
    <dgm:cxn modelId="{C9B9CE46-9FA7-47FD-B56C-94E7A5FAE27C}" type="presOf" srcId="{09B93DD1-C308-4A1B-BA95-C8D80629C5E1}" destId="{D12328F6-C91B-4299-A4E9-E6F981D20D72}" srcOrd="0" destOrd="0" presId="urn:microsoft.com/office/officeart/2005/8/layout/cycle7"/>
    <dgm:cxn modelId="{5E4F3B48-0A18-4A6B-9457-43BF15AFDCB4}" type="presOf" srcId="{653126E4-04F2-44FA-8A53-6788D0FC3C94}" destId="{7EEC3296-476F-4E5E-B578-D72C9A79DF67}" srcOrd="0" destOrd="0" presId="urn:microsoft.com/office/officeart/2005/8/layout/cycle7"/>
    <dgm:cxn modelId="{2D565D49-51CC-4BAA-AF18-5FE8EF9D2026}" srcId="{9978C5B7-7467-4842-B37B-142F5A60548E}" destId="{0B5E54C4-C306-4353-B060-1768F57B669C}" srcOrd="2" destOrd="0" parTransId="{BEAD4116-04B2-4138-98D0-70B57B41F373}" sibTransId="{CE377CA1-E051-4CE2-AD1A-121DD0A169B4}"/>
    <dgm:cxn modelId="{01F3EE6C-10EF-44BF-8804-1CE985C8847D}" type="presOf" srcId="{CE377CA1-E051-4CE2-AD1A-121DD0A169B4}" destId="{33CC0867-499F-41F8-9DA6-E170412DEE70}" srcOrd="1" destOrd="0" presId="urn:microsoft.com/office/officeart/2005/8/layout/cycle7"/>
    <dgm:cxn modelId="{164F3274-1C5B-4068-9ED3-FC80828D4688}" type="presOf" srcId="{0B5E54C4-C306-4353-B060-1768F57B669C}" destId="{30AE9013-19ED-4DC7-88B8-9C3E5E1830BF}" srcOrd="0" destOrd="0" presId="urn:microsoft.com/office/officeart/2005/8/layout/cycle7"/>
    <dgm:cxn modelId="{BAB11755-B316-4625-A020-E7D2770D76E0}" type="presOf" srcId="{2CF14CDF-2668-4485-A935-8E1E0A14A805}" destId="{BD84E04D-A2F7-4D1A-ADC1-FB5D9C644D18}" srcOrd="0" destOrd="0" presId="urn:microsoft.com/office/officeart/2005/8/layout/cycle7"/>
    <dgm:cxn modelId="{DD0E5877-5799-47ED-8937-138516F2E479}" type="presOf" srcId="{511D49F3-E21E-4829-B433-A5F902465847}" destId="{0A29A1A6-41A3-42EF-B302-7AF4D6473CB3}" srcOrd="0" destOrd="0" presId="urn:microsoft.com/office/officeart/2005/8/layout/cycle7"/>
    <dgm:cxn modelId="{A6E70A7F-5B2A-438C-8149-DD6EFE8F91A0}" srcId="{9978C5B7-7467-4842-B37B-142F5A60548E}" destId="{873CB018-458A-4142-9EF4-CF837AB6A0C8}" srcOrd="4" destOrd="0" parTransId="{1B89EE88-B597-4129-8ECF-CEA13663CC1B}" sibTransId="{511D49F3-E21E-4829-B433-A5F902465847}"/>
    <dgm:cxn modelId="{0B705885-5B33-4FD3-B830-23740DA7CB9C}" type="presOf" srcId="{CE377CA1-E051-4CE2-AD1A-121DD0A169B4}" destId="{5F4CF9A8-0EA8-41C3-9BE1-637DEA8322D4}" srcOrd="0" destOrd="0" presId="urn:microsoft.com/office/officeart/2005/8/layout/cycle7"/>
    <dgm:cxn modelId="{F9171194-7117-4C3F-B5D8-78CC2407910C}" type="presOf" srcId="{7680327E-0D21-4F90-B349-BFC622ADB15A}" destId="{C5F88F24-3F5F-4218-B18F-B580B32D2251}" srcOrd="1" destOrd="0" presId="urn:microsoft.com/office/officeart/2005/8/layout/cycle7"/>
    <dgm:cxn modelId="{BDFAC29F-78A3-470E-87C4-9B9D4E1C2FEF}" type="presOf" srcId="{F1AC6A7C-8060-4DC9-A5C6-5E0C7037F67D}" destId="{DA8C41F5-86F9-4BD0-B8F3-D680C2151987}" srcOrd="0" destOrd="0" presId="urn:microsoft.com/office/officeart/2005/8/layout/cycle7"/>
    <dgm:cxn modelId="{B116E2A2-56F5-41CC-93C8-250BC58821DB}" type="presOf" srcId="{511D49F3-E21E-4829-B433-A5F902465847}" destId="{A2B95A08-3324-4F69-B4DE-F0C1EB6830FB}" srcOrd="1" destOrd="0" presId="urn:microsoft.com/office/officeart/2005/8/layout/cycle7"/>
    <dgm:cxn modelId="{3FF979A9-406E-46D2-B1C3-0A0D8ADB16ED}" srcId="{9978C5B7-7467-4842-B37B-142F5A60548E}" destId="{0E633CB3-4229-4C63-9AB7-97B539C8061E}" srcOrd="1" destOrd="0" parTransId="{F0D30077-45CA-4CA8-AACB-A76ADB90050B}" sibTransId="{7680327E-0D21-4F90-B349-BFC622ADB15A}"/>
    <dgm:cxn modelId="{2C759CAE-FC2C-4BEE-8EB5-C3353C553A17}" type="presOf" srcId="{D98107CE-72E2-4104-B74B-28FBBBF13563}" destId="{3B488653-205E-40DA-A3E5-E971B5147B54}" srcOrd="0" destOrd="0" presId="urn:microsoft.com/office/officeart/2005/8/layout/cycle7"/>
    <dgm:cxn modelId="{962D83B6-DB42-46B6-919E-CAFBDED31DB9}" srcId="{9978C5B7-7467-4842-B37B-142F5A60548E}" destId="{90C421F2-555C-42AC-BF6A-601A556CC8AD}" srcOrd="5" destOrd="0" parTransId="{4B6B3EB0-7384-4385-8302-2C1E7FE4FD05}" sibTransId="{D98107CE-72E2-4104-B74B-28FBBBF13563}"/>
    <dgm:cxn modelId="{372ABFB8-E253-4E0F-81A5-35FD500094FD}" srcId="{9978C5B7-7467-4842-B37B-142F5A60548E}" destId="{7CA0C4B2-592F-49C0-A58C-FB327A706173}" srcOrd="3" destOrd="0" parTransId="{9A9551DD-9278-49F3-AB16-D61C98B6D53C}" sibTransId="{03D4DC65-FAE3-46F0-A338-D8F90794D484}"/>
    <dgm:cxn modelId="{8B4492DD-D21E-4FEB-B85B-7EFE57E28F3E}" type="presOf" srcId="{873CB018-458A-4142-9EF4-CF837AB6A0C8}" destId="{26FD469F-3C96-4AA7-8667-C69AABE2F91C}" srcOrd="0" destOrd="0" presId="urn:microsoft.com/office/officeart/2005/8/layout/cycle7"/>
    <dgm:cxn modelId="{B7F478E5-7082-414D-A9A9-6EEE173740E7}" type="presOf" srcId="{09B93DD1-C308-4A1B-BA95-C8D80629C5E1}" destId="{ED3DB6B0-20E9-44DA-AE34-5ADA8B639EB2}" srcOrd="1" destOrd="0" presId="urn:microsoft.com/office/officeart/2005/8/layout/cycle7"/>
    <dgm:cxn modelId="{183CB1E7-E4A8-4BEE-84F7-3A2DF4E29326}" type="presOf" srcId="{7CA0C4B2-592F-49C0-A58C-FB327A706173}" destId="{4043B715-E3BD-4F1A-9CF7-E351B8EF8198}" srcOrd="0" destOrd="0" presId="urn:microsoft.com/office/officeart/2005/8/layout/cycle7"/>
    <dgm:cxn modelId="{1597B4ED-5BE7-473D-ADB8-8D080B9E19E4}" type="presOf" srcId="{7680327E-0D21-4F90-B349-BFC622ADB15A}" destId="{C21282F5-9CEF-40E9-9444-51C862CA2CBF}" srcOrd="0" destOrd="0" presId="urn:microsoft.com/office/officeart/2005/8/layout/cycle7"/>
    <dgm:cxn modelId="{9DEE43A0-FD01-4394-86D5-C14EE1B0FB4C}" type="presParOf" srcId="{6E5B4201-DB74-4AD4-AE95-3C8ED2C50BA9}" destId="{BD84E04D-A2F7-4D1A-ADC1-FB5D9C644D18}" srcOrd="0" destOrd="0" presId="urn:microsoft.com/office/officeart/2005/8/layout/cycle7"/>
    <dgm:cxn modelId="{65F7FBFA-A29F-4B11-9DF7-84800E5D843C}" type="presParOf" srcId="{6E5B4201-DB74-4AD4-AE95-3C8ED2C50BA9}" destId="{D12328F6-C91B-4299-A4E9-E6F981D20D72}" srcOrd="1" destOrd="0" presId="urn:microsoft.com/office/officeart/2005/8/layout/cycle7"/>
    <dgm:cxn modelId="{7290BD63-0E7C-4F20-B9F9-453E57B22AA5}" type="presParOf" srcId="{D12328F6-C91B-4299-A4E9-E6F981D20D72}" destId="{ED3DB6B0-20E9-44DA-AE34-5ADA8B639EB2}" srcOrd="0" destOrd="0" presId="urn:microsoft.com/office/officeart/2005/8/layout/cycle7"/>
    <dgm:cxn modelId="{CEAAED3D-C2AE-4423-8F61-3E0D79D31D34}" type="presParOf" srcId="{6E5B4201-DB74-4AD4-AE95-3C8ED2C50BA9}" destId="{1E47B6CA-5D5B-4321-B366-281E9D38006B}" srcOrd="2" destOrd="0" presId="urn:microsoft.com/office/officeart/2005/8/layout/cycle7"/>
    <dgm:cxn modelId="{8D14A4D2-954C-4F38-B552-158AC55E2A01}" type="presParOf" srcId="{6E5B4201-DB74-4AD4-AE95-3C8ED2C50BA9}" destId="{C21282F5-9CEF-40E9-9444-51C862CA2CBF}" srcOrd="3" destOrd="0" presId="urn:microsoft.com/office/officeart/2005/8/layout/cycle7"/>
    <dgm:cxn modelId="{4145BCB9-BE83-4E95-B6F8-8CF9EA4D2E71}" type="presParOf" srcId="{C21282F5-9CEF-40E9-9444-51C862CA2CBF}" destId="{C5F88F24-3F5F-4218-B18F-B580B32D2251}" srcOrd="0" destOrd="0" presId="urn:microsoft.com/office/officeart/2005/8/layout/cycle7"/>
    <dgm:cxn modelId="{3274CD31-8DE9-487C-9B9D-31AD0CF970AE}" type="presParOf" srcId="{6E5B4201-DB74-4AD4-AE95-3C8ED2C50BA9}" destId="{30AE9013-19ED-4DC7-88B8-9C3E5E1830BF}" srcOrd="4" destOrd="0" presId="urn:microsoft.com/office/officeart/2005/8/layout/cycle7"/>
    <dgm:cxn modelId="{C5897C25-5A1B-4762-BBDC-E69AB43D4FE1}" type="presParOf" srcId="{6E5B4201-DB74-4AD4-AE95-3C8ED2C50BA9}" destId="{5F4CF9A8-0EA8-41C3-9BE1-637DEA8322D4}" srcOrd="5" destOrd="0" presId="urn:microsoft.com/office/officeart/2005/8/layout/cycle7"/>
    <dgm:cxn modelId="{60B5A3B3-AA75-4452-9F54-8CB56210726B}" type="presParOf" srcId="{5F4CF9A8-0EA8-41C3-9BE1-637DEA8322D4}" destId="{33CC0867-499F-41F8-9DA6-E170412DEE70}" srcOrd="0" destOrd="0" presId="urn:microsoft.com/office/officeart/2005/8/layout/cycle7"/>
    <dgm:cxn modelId="{916F7435-BD61-41F0-BA51-88A3B1CA3705}" type="presParOf" srcId="{6E5B4201-DB74-4AD4-AE95-3C8ED2C50BA9}" destId="{4043B715-E3BD-4F1A-9CF7-E351B8EF8198}" srcOrd="6" destOrd="0" presId="urn:microsoft.com/office/officeart/2005/8/layout/cycle7"/>
    <dgm:cxn modelId="{8E6A4A47-2C6C-4F72-9AA0-7D92C9F2061B}" type="presParOf" srcId="{6E5B4201-DB74-4AD4-AE95-3C8ED2C50BA9}" destId="{BEC6D5FD-8727-404F-B3CB-D2B8D5CA2335}" srcOrd="7" destOrd="0" presId="urn:microsoft.com/office/officeart/2005/8/layout/cycle7"/>
    <dgm:cxn modelId="{9B7D6564-6EAF-489F-86FC-3867C44DA050}" type="presParOf" srcId="{BEC6D5FD-8727-404F-B3CB-D2B8D5CA2335}" destId="{41D6AD7D-31E3-4427-9F33-0BC6CE72B85B}" srcOrd="0" destOrd="0" presId="urn:microsoft.com/office/officeart/2005/8/layout/cycle7"/>
    <dgm:cxn modelId="{ABE1D7C6-6446-43A3-8E4A-4988DB2D0E2D}" type="presParOf" srcId="{6E5B4201-DB74-4AD4-AE95-3C8ED2C50BA9}" destId="{26FD469F-3C96-4AA7-8667-C69AABE2F91C}" srcOrd="8" destOrd="0" presId="urn:microsoft.com/office/officeart/2005/8/layout/cycle7"/>
    <dgm:cxn modelId="{26C3A8DF-B7DA-474C-9EAD-196A240D8B65}" type="presParOf" srcId="{6E5B4201-DB74-4AD4-AE95-3C8ED2C50BA9}" destId="{0A29A1A6-41A3-42EF-B302-7AF4D6473CB3}" srcOrd="9" destOrd="0" presId="urn:microsoft.com/office/officeart/2005/8/layout/cycle7"/>
    <dgm:cxn modelId="{35E6482D-FFD6-4BAB-ADA8-2FD981297D6D}" type="presParOf" srcId="{0A29A1A6-41A3-42EF-B302-7AF4D6473CB3}" destId="{A2B95A08-3324-4F69-B4DE-F0C1EB6830FB}" srcOrd="0" destOrd="0" presId="urn:microsoft.com/office/officeart/2005/8/layout/cycle7"/>
    <dgm:cxn modelId="{6F12878A-1375-44E9-B850-0E2922EEF231}" type="presParOf" srcId="{6E5B4201-DB74-4AD4-AE95-3C8ED2C50BA9}" destId="{7015B94D-D172-4FC3-BAA7-69F165F98382}" srcOrd="10" destOrd="0" presId="urn:microsoft.com/office/officeart/2005/8/layout/cycle7"/>
    <dgm:cxn modelId="{9FB1A3FD-6179-4A2B-AA92-4E5AA50E7119}" type="presParOf" srcId="{6E5B4201-DB74-4AD4-AE95-3C8ED2C50BA9}" destId="{3B488653-205E-40DA-A3E5-E971B5147B54}" srcOrd="11" destOrd="0" presId="urn:microsoft.com/office/officeart/2005/8/layout/cycle7"/>
    <dgm:cxn modelId="{0E9D5BDA-233E-48F8-9990-7F16EF9CF538}" type="presParOf" srcId="{3B488653-205E-40DA-A3E5-E971B5147B54}" destId="{E0F895B0-8A73-43DA-AA5C-91D318A1A903}" srcOrd="0" destOrd="0" presId="urn:microsoft.com/office/officeart/2005/8/layout/cycle7"/>
    <dgm:cxn modelId="{5CC3413C-9565-4B0C-B7FF-E7BBB14AAC6A}" type="presParOf" srcId="{6E5B4201-DB74-4AD4-AE95-3C8ED2C50BA9}" destId="{7EEC3296-476F-4E5E-B578-D72C9A79DF67}" srcOrd="12" destOrd="0" presId="urn:microsoft.com/office/officeart/2005/8/layout/cycle7"/>
    <dgm:cxn modelId="{09955ACB-0B70-4A32-B758-3BEBE0796D57}" type="presParOf" srcId="{6E5B4201-DB74-4AD4-AE95-3C8ED2C50BA9}" destId="{DA8C41F5-86F9-4BD0-B8F3-D680C2151987}" srcOrd="13" destOrd="0" presId="urn:microsoft.com/office/officeart/2005/8/layout/cycle7"/>
    <dgm:cxn modelId="{C0CCFF67-7C5A-4D55-BA8E-1060FE7CE12B}" type="presParOf" srcId="{DA8C41F5-86F9-4BD0-B8F3-D680C2151987}" destId="{4FECE499-D98A-4A69-B5C5-A89486FCD6D7}" srcOrd="0" destOrd="0" presId="urn:microsoft.com/office/officeart/2005/8/layout/cycle7"/>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BD84E04D-A2F7-4D1A-ADC1-FB5D9C644D18}">
      <dsp:nvSpPr>
        <dsp:cNvPr id="0" name=""/>
        <dsp:cNvSpPr/>
      </dsp:nvSpPr>
      <dsp:spPr>
        <a:xfrm>
          <a:off x="2477052" y="142831"/>
          <a:ext cx="1605284" cy="98929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Creative</a:t>
          </a:r>
        </a:p>
        <a:p>
          <a:pPr marL="0" lvl="0" indent="0" algn="ctr" defTabSz="400050">
            <a:lnSpc>
              <a:spcPct val="90000"/>
            </a:lnSpc>
            <a:spcBef>
              <a:spcPct val="0"/>
            </a:spcBef>
            <a:spcAft>
              <a:spcPct val="35000"/>
            </a:spcAft>
            <a:buNone/>
          </a:pPr>
          <a:r>
            <a:rPr lang="en-GB" sz="900" kern="1200"/>
            <a:t>Activities (Music, art, gardens)</a:t>
          </a:r>
        </a:p>
      </dsp:txBody>
      <dsp:txXfrm>
        <a:off x="2506028" y="171807"/>
        <a:ext cx="1547332" cy="931346"/>
      </dsp:txXfrm>
    </dsp:sp>
    <dsp:sp modelId="{D12328F6-C91B-4299-A4E9-E6F981D20D72}">
      <dsp:nvSpPr>
        <dsp:cNvPr id="0" name=""/>
        <dsp:cNvSpPr/>
      </dsp:nvSpPr>
      <dsp:spPr>
        <a:xfrm rot="3083060">
          <a:off x="3683611" y="1458642"/>
          <a:ext cx="752127" cy="310710"/>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3776824" y="1520784"/>
        <a:ext cx="565701" cy="186426"/>
      </dsp:txXfrm>
    </dsp:sp>
    <dsp:sp modelId="{1E47B6CA-5D5B-4321-B366-281E9D38006B}">
      <dsp:nvSpPr>
        <dsp:cNvPr id="0" name=""/>
        <dsp:cNvSpPr/>
      </dsp:nvSpPr>
      <dsp:spPr>
        <a:xfrm>
          <a:off x="4016886" y="2095865"/>
          <a:ext cx="1556671" cy="87803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Innovation (New strategies, better care)</a:t>
          </a:r>
        </a:p>
      </dsp:txBody>
      <dsp:txXfrm>
        <a:off x="4042603" y="2121582"/>
        <a:ext cx="1505237" cy="826604"/>
      </dsp:txXfrm>
    </dsp:sp>
    <dsp:sp modelId="{C21282F5-9CEF-40E9-9444-51C862CA2CBF}">
      <dsp:nvSpPr>
        <dsp:cNvPr id="0" name=""/>
        <dsp:cNvSpPr/>
      </dsp:nvSpPr>
      <dsp:spPr>
        <a:xfrm rot="14301498" flipV="1">
          <a:off x="4968802" y="3215523"/>
          <a:ext cx="792534" cy="296197"/>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5057661" y="3274762"/>
        <a:ext cx="614816" cy="177719"/>
      </dsp:txXfrm>
    </dsp:sp>
    <dsp:sp modelId="{30AE9013-19ED-4DC7-88B8-9C3E5E1830BF}">
      <dsp:nvSpPr>
        <dsp:cNvPr id="0" name=""/>
        <dsp:cNvSpPr/>
      </dsp:nvSpPr>
      <dsp:spPr>
        <a:xfrm>
          <a:off x="5317629" y="3753344"/>
          <a:ext cx="1182225" cy="59111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Amabile's Theory (Knowledge, Thinking, Motivation)</a:t>
          </a:r>
        </a:p>
      </dsp:txBody>
      <dsp:txXfrm>
        <a:off x="5334942" y="3770657"/>
        <a:ext cx="1147599" cy="556486"/>
      </dsp:txXfrm>
    </dsp:sp>
    <dsp:sp modelId="{5F4CF9A8-0EA8-41C3-9BE1-637DEA8322D4}">
      <dsp:nvSpPr>
        <dsp:cNvPr id="0" name=""/>
        <dsp:cNvSpPr/>
      </dsp:nvSpPr>
      <dsp:spPr>
        <a:xfrm rot="10739990">
          <a:off x="4849572" y="3956482"/>
          <a:ext cx="457267" cy="213834"/>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4913722" y="3999249"/>
        <a:ext cx="328967" cy="128300"/>
      </dsp:txXfrm>
    </dsp:sp>
    <dsp:sp modelId="{4043B715-E3BD-4F1A-9CF7-E351B8EF8198}">
      <dsp:nvSpPr>
        <dsp:cNvPr id="0" name=""/>
        <dsp:cNvSpPr/>
      </dsp:nvSpPr>
      <dsp:spPr>
        <a:xfrm>
          <a:off x="3656557" y="3835250"/>
          <a:ext cx="1182225" cy="485297"/>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Creativity (Essential for new ideas in care)</a:t>
          </a:r>
        </a:p>
      </dsp:txBody>
      <dsp:txXfrm>
        <a:off x="3670771" y="3849464"/>
        <a:ext cx="1153797" cy="456869"/>
      </dsp:txXfrm>
    </dsp:sp>
    <dsp:sp modelId="{BEC6D5FD-8727-404F-B3CB-D2B8D5CA2335}">
      <dsp:nvSpPr>
        <dsp:cNvPr id="0" name=""/>
        <dsp:cNvSpPr/>
      </dsp:nvSpPr>
      <dsp:spPr>
        <a:xfrm rot="7412535">
          <a:off x="3959577" y="3212038"/>
          <a:ext cx="774967" cy="326537"/>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4057538" y="3277345"/>
        <a:ext cx="579045" cy="195923"/>
      </dsp:txXfrm>
    </dsp:sp>
    <dsp:sp modelId="{26FD469F-3C96-4AA7-8667-C69AABE2F91C}">
      <dsp:nvSpPr>
        <dsp:cNvPr id="0" name=""/>
        <dsp:cNvSpPr/>
      </dsp:nvSpPr>
      <dsp:spPr>
        <a:xfrm>
          <a:off x="1977702" y="3480940"/>
          <a:ext cx="1469459" cy="1010294"/>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Co-Creation (Staff, residents together) </a:t>
          </a:r>
        </a:p>
      </dsp:txBody>
      <dsp:txXfrm>
        <a:off x="2007293" y="3510531"/>
        <a:ext cx="1410277" cy="951112"/>
      </dsp:txXfrm>
    </dsp:sp>
    <dsp:sp modelId="{0A29A1A6-41A3-42EF-B302-7AF4D6473CB3}">
      <dsp:nvSpPr>
        <dsp:cNvPr id="0" name=""/>
        <dsp:cNvSpPr/>
      </dsp:nvSpPr>
      <dsp:spPr>
        <a:xfrm rot="13556778" flipV="1">
          <a:off x="2039793" y="3070890"/>
          <a:ext cx="632415" cy="290599"/>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2126973" y="3129010"/>
        <a:ext cx="458055" cy="174359"/>
      </dsp:txXfrm>
    </dsp:sp>
    <dsp:sp modelId="{7015B94D-D172-4FC3-BAA7-69F165F98382}">
      <dsp:nvSpPr>
        <dsp:cNvPr id="0" name=""/>
        <dsp:cNvSpPr/>
      </dsp:nvSpPr>
      <dsp:spPr>
        <a:xfrm>
          <a:off x="329594" y="3461551"/>
          <a:ext cx="1537507" cy="110591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Improved Care Wellbeing (Dignity, connection, happiness)</a:t>
          </a:r>
        </a:p>
      </dsp:txBody>
      <dsp:txXfrm>
        <a:off x="361985" y="3493942"/>
        <a:ext cx="1472725" cy="1041130"/>
      </dsp:txXfrm>
    </dsp:sp>
    <dsp:sp modelId="{3B488653-205E-40DA-A3E5-E971B5147B54}">
      <dsp:nvSpPr>
        <dsp:cNvPr id="0" name=""/>
        <dsp:cNvSpPr/>
      </dsp:nvSpPr>
      <dsp:spPr>
        <a:xfrm rot="18901808" flipV="1">
          <a:off x="1075120" y="3102552"/>
          <a:ext cx="611523" cy="233530"/>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rot="-10800000">
        <a:off x="1145179" y="3149258"/>
        <a:ext cx="471405" cy="140118"/>
      </dsp:txXfrm>
    </dsp:sp>
    <dsp:sp modelId="{7EEC3296-476F-4E5E-B578-D72C9A79DF67}">
      <dsp:nvSpPr>
        <dsp:cNvPr id="0" name=""/>
        <dsp:cNvSpPr/>
      </dsp:nvSpPr>
      <dsp:spPr>
        <a:xfrm>
          <a:off x="1064949" y="2093783"/>
          <a:ext cx="1498908" cy="870058"/>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GB" sz="900" kern="1200"/>
            <a:t>Value Creation (Benefits for residents, staff)  </a:t>
          </a:r>
        </a:p>
      </dsp:txBody>
      <dsp:txXfrm>
        <a:off x="1090432" y="2119266"/>
        <a:ext cx="1447942" cy="819092"/>
      </dsp:txXfrm>
    </dsp:sp>
    <dsp:sp modelId="{DA8C41F5-86F9-4BD0-B8F3-D680C2151987}">
      <dsp:nvSpPr>
        <dsp:cNvPr id="0" name=""/>
        <dsp:cNvSpPr/>
      </dsp:nvSpPr>
      <dsp:spPr>
        <a:xfrm rot="18465982">
          <a:off x="2142060" y="1449613"/>
          <a:ext cx="797788" cy="357165"/>
        </a:xfrm>
        <a:prstGeom prst="leftRightArrow">
          <a:avLst>
            <a:gd name="adj1" fmla="val 60000"/>
            <a:gd name="adj2" fmla="val 50000"/>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11150">
            <a:lnSpc>
              <a:spcPct val="90000"/>
            </a:lnSpc>
            <a:spcBef>
              <a:spcPct val="0"/>
            </a:spcBef>
            <a:spcAft>
              <a:spcPct val="35000"/>
            </a:spcAft>
            <a:buNone/>
          </a:pPr>
          <a:endParaRPr lang="en-GB" sz="700" kern="1200"/>
        </a:p>
      </dsp:txBody>
      <dsp:txXfrm>
        <a:off x="2249210" y="1521046"/>
        <a:ext cx="583489" cy="214299"/>
      </dsp:txXfrm>
    </dsp:sp>
  </dsp:spTree>
</dsp:drawing>
</file>

<file path=word/diagrams/layout1.xml><?xml version="1.0" encoding="utf-8"?>
<dgm:layoutDef xmlns:dgm="http://schemas.openxmlformats.org/drawingml/2006/diagram" xmlns:a="http://schemas.openxmlformats.org/drawingml/2006/main" uniqueId="urn:microsoft.com/office/officeart/2005/8/layout/cycle7">
  <dgm:title val=""/>
  <dgm:desc val=""/>
  <dgm:catLst>
    <dgm:cat type="cycle" pri="6000"/>
  </dgm:catLst>
  <dgm:sampData>
    <dgm:dataModel>
      <dgm:ptLst>
        <dgm:pt modelId="0" type="doc"/>
        <dgm:pt modelId="1">
          <dgm:prSet phldr="1"/>
        </dgm:pt>
        <dgm:pt modelId="2">
          <dgm:prSet phldr="1"/>
        </dgm:pt>
        <dgm:pt modelId="3">
          <dgm:prSet phldr="1"/>
        </dgm:pt>
      </dgm:ptLst>
      <dgm:cxnLst>
        <dgm:cxn modelId="6" srcId="0" destId="1" srcOrd="0" destOrd="0"/>
        <dgm:cxn modelId="7" srcId="0" destId="2" srcOrd="1" destOrd="0"/>
        <dgm:cxn modelId="8" srcId="0" destId="3" srcOrd="2"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val="exact"/>
    </dgm:varLst>
    <dgm:choose name="Name1">
      <dgm:if name="Name2" func="var" arg="dir" op="equ" val="norm">
        <dgm:alg type="cycle">
          <dgm:param type="stAng" val="0"/>
          <dgm:param type="spanAng" val="360"/>
        </dgm:alg>
      </dgm:if>
      <dgm:else name="Name3">
        <dgm:alg type="cycle">
          <dgm:param type="stAng" val="0"/>
          <dgm:param type="spanAng" val="-360"/>
        </dgm:alg>
      </dgm:else>
    </dgm:choose>
    <dgm:shape xmlns:r="http://schemas.openxmlformats.org/officeDocument/2006/relationships" r:blip="">
      <dgm:adjLst/>
    </dgm:shape>
    <dgm:presOf/>
    <dgm:constrLst>
      <dgm:constr type="diam" refType="w"/>
      <dgm:constr type="w" for="ch" ptType="node" refType="w"/>
      <dgm:constr type="primFontSz" for="ch" ptType="node" op="equ" val="65"/>
      <dgm:constr type="w" for="ch" forName="sibTrans" refType="w" refFor="ch" refPtType="node" op="equ" fact="0.35"/>
      <dgm:constr type="connDist" for="ch" forName="sibTrans" op="equ"/>
      <dgm:constr type="primFontSz" for="des" forName="connectorText" op="equ" val="55"/>
      <dgm:constr type="primFontSz" for="des" forName="connectorText" refType="primFontSz" refFor="ch" refPtType="node" op="lte" fact="0.8"/>
      <dgm:constr type="sibSp" refType="w" refFor="ch" refPtType="node" op="equ" fact="0.65"/>
    </dgm:constrLst>
    <dgm:ruleLst/>
    <dgm:forEach name="nodesForEach" axis="ch" ptType="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h" refType="w" fact="0.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4">
        <dgm:if name="Name5" axis="par ch" ptType="doc node" func="cnt" op="gt" val="1">
          <dgm:forEach name="sibTransForEach" axis="followSib" ptType="sibTrans" hideLastTrans="0" cnt="1">
            <dgm:layoutNode name="sibTrans">
              <dgm:choose name="Name6">
                <dgm:if name="Name7" axis="par ch" ptType="doc node" func="posEven" op="equ" val="1">
                  <dgm:alg type="conn">
                    <dgm:param type="begPts" val="radial"/>
                    <dgm:param type="endPts" val="radial"/>
                    <dgm:param type="begSty" val="arr"/>
                    <dgm:param type="endSty" val="arr"/>
                  </dgm:alg>
                </dgm:if>
                <dgm:else name="Name8">
                  <dgm:alg type="conn">
                    <dgm:param type="begPts" val="auto"/>
                    <dgm:param type="endPts" val="auto"/>
                    <dgm:param type="begSty" val="arr"/>
                    <dgm:param type="endSty" val="arr"/>
                  </dgm:alg>
                </dgm:else>
              </dgm:choose>
              <dgm:shape xmlns:r="http://schemas.openxmlformats.org/officeDocument/2006/relationships" type="conn" r:blip="">
                <dgm:adjLst/>
              </dgm:shape>
              <dgm:presOf axis="self"/>
              <dgm:constrLst>
                <dgm:constr type="h" refType="w" fact="0.5"/>
                <dgm:constr type="connDist"/>
                <dgm:constr type="begPad" refType="connDist" fact="0.1"/>
                <dgm:constr type="endPad" refType="connDist" fact="0.1"/>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9"/>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2613</Words>
  <Characters>14898</Characters>
  <Application>Microsoft Office Word</Application>
  <DocSecurity>0</DocSecurity>
  <Lines>124</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Elena Coroeanu</cp:lastModifiedBy>
  <cp:revision>2</cp:revision>
  <dcterms:created xsi:type="dcterms:W3CDTF">2025-09-23T21:56:00Z</dcterms:created>
  <dcterms:modified xsi:type="dcterms:W3CDTF">2025-11-14T20:40:00Z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784608a7-bc97-4546-ae28-16c555033804</vt:lpwstr>
  </property>
</Properties>
</file>