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color w:val="000000"/>
        </w:rPr>
        <w:id w:val="-1789201853"/>
        <w:docPartObj>
          <w:docPartGallery w:val="Cover Pages"/>
          <w:docPartUnique/>
        </w:docPartObj>
      </w:sdtPr>
      <w:sdtContent>
        <w:p w14:paraId="13AD7813" w14:textId="04A282C9" w:rsidR="002E4CFF" w:rsidRDefault="00D93712">
          <w:pPr>
            <w:rPr>
              <w:b/>
              <w:color w:val="000000"/>
            </w:rPr>
          </w:pPr>
          <w:r>
            <w:rPr>
              <w:noProof/>
            </w:rPr>
            <w:pict w14:anchorId="0C145F8E">
              <v:shapetype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430"/>
                        <w:gridCol w:w="3250"/>
                      </w:tblGrid>
                      <w:tr w:rsidR="002E4CFF" w14:paraId="0AA641AB" w14:textId="77777777" w:rsidTr="0097712F">
                        <w:trPr>
                          <w:trHeight w:val="8551"/>
                          <w:jc w:val="center"/>
                        </w:trPr>
                        <w:tc>
                          <w:tcPr>
                            <w:tcW w:w="2568" w:type="pct"/>
                            <w:vAlign w:val="center"/>
                          </w:tcPr>
                          <w:p w14:paraId="00E41FA9" w14:textId="74D6D49A" w:rsidR="002E4CFF" w:rsidRDefault="002E4CFF">
                            <w:pPr>
                              <w:jc w:val="right"/>
                            </w:pPr>
                            <w:r>
                              <w:rPr>
                                <w:noProof/>
                              </w:rPr>
                              <w:drawing>
                                <wp:inline distT="0" distB="0" distL="0" distR="0" wp14:anchorId="70A710BA" wp14:editId="75CF7CDE">
                                  <wp:extent cx="2981325" cy="3392805"/>
                                  <wp:effectExtent l="0" t="0" r="9525" b="0"/>
                                  <wp:docPr id="4" name="Picture 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low confidence"/>
                                          <pic:cNvPicPr/>
                                        </pic:nvPicPr>
                                        <pic:blipFill>
                                          <a:blip r:embed="rId6">
                                            <a:extLst>
                                              <a:ext uri="{28A0092B-C50C-407E-A947-70E740481C1C}">
                                                <a14:useLocalDpi xmlns:a14="http://schemas.microsoft.com/office/drawing/2010/main" val="0"/>
                                              </a:ext>
                                            </a:extLst>
                                          </a:blip>
                                          <a:stretch>
                                            <a:fillRect/>
                                          </a:stretch>
                                        </pic:blipFill>
                                        <pic:spPr>
                                          <a:xfrm>
                                            <a:off x="0" y="0"/>
                                            <a:ext cx="2981325" cy="339280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A9F570F" w14:textId="2DA3C9A2" w:rsidR="002E4CFF" w:rsidRDefault="00AF5B98">
                                <w:pPr>
                                  <w:pStyle w:val="NoSpacing"/>
                                  <w:spacing w:line="312" w:lineRule="auto"/>
                                  <w:jc w:val="right"/>
                                  <w:rPr>
                                    <w:caps/>
                                    <w:color w:val="191919" w:themeColor="text1" w:themeTint="E6"/>
                                    <w:sz w:val="72"/>
                                    <w:szCs w:val="72"/>
                                  </w:rPr>
                                </w:pPr>
                                <w:r>
                                  <w:rPr>
                                    <w:caps/>
                                    <w:color w:val="191919" w:themeColor="text1" w:themeTint="E6"/>
                                    <w:sz w:val="72"/>
                                    <w:szCs w:val="72"/>
                                  </w:rPr>
                                  <w:t>Report</w:t>
                                </w:r>
                              </w:p>
                            </w:sdtContent>
                          </w:sdt>
                          <w:sdt>
                            <w:sdtPr>
                              <w:rPr>
                                <w:b/>
                                <w:bCs/>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DDBAAEC" w14:textId="2288BA2F" w:rsidR="002E4CFF" w:rsidRDefault="0097712F">
                                <w:pPr>
                                  <w:jc w:val="right"/>
                                </w:pPr>
                                <w:r w:rsidRPr="00A23F90">
                                  <w:rPr>
                                    <w:b/>
                                    <w:bCs/>
                                    <w:color w:val="000000" w:themeColor="text1"/>
                                    <w:sz w:val="36"/>
                                    <w:szCs w:val="36"/>
                                  </w:rPr>
                                  <w:t xml:space="preserve">Health, Wellbeing and Sustainable Development </w:t>
                                </w:r>
                                <w:r w:rsidR="00A23F90">
                                  <w:rPr>
                                    <w:b/>
                                    <w:bCs/>
                                    <w:color w:val="000000" w:themeColor="text1"/>
                                    <w:sz w:val="36"/>
                                    <w:szCs w:val="36"/>
                                  </w:rPr>
                                  <w:t>(</w:t>
                                </w:r>
                                <w:r w:rsidRPr="00A23F90">
                                  <w:rPr>
                                    <w:b/>
                                    <w:bCs/>
                                    <w:color w:val="000000" w:themeColor="text1"/>
                                    <w:sz w:val="36"/>
                                    <w:szCs w:val="36"/>
                                  </w:rPr>
                                  <w:t>BMHP6021</w:t>
                                </w:r>
                                <w:r w:rsidR="00A23F90">
                                  <w:rPr>
                                    <w:b/>
                                    <w:bCs/>
                                    <w:color w:val="000000" w:themeColor="text1"/>
                                    <w:sz w:val="36"/>
                                    <w:szCs w:val="36"/>
                                  </w:rPr>
                                  <w:t>)</w:t>
                                </w:r>
                              </w:p>
                            </w:sdtContent>
                          </w:sdt>
                        </w:tc>
                        <w:tc>
                          <w:tcPr>
                            <w:tcW w:w="2432" w:type="pct"/>
                            <w:vAlign w:val="center"/>
                          </w:tcPr>
                          <w:p w14:paraId="2D21B0F9" w14:textId="120C3E08" w:rsidR="002E4CFF" w:rsidRPr="00A23F90" w:rsidRDefault="00AF5B98">
                            <w:pPr>
                              <w:pStyle w:val="NoSpacing"/>
                              <w:rPr>
                                <w:b/>
                                <w:bCs/>
                                <w:sz w:val="44"/>
                                <w:szCs w:val="44"/>
                              </w:rPr>
                            </w:pPr>
                            <w:r w:rsidRPr="00A23F90">
                              <w:rPr>
                                <w:b/>
                                <w:bCs/>
                                <w:sz w:val="44"/>
                                <w:szCs w:val="44"/>
                              </w:rPr>
                              <w:t>Student Name: Crizanta Barros</w:t>
                            </w:r>
                          </w:p>
                          <w:p w14:paraId="5F080412" w14:textId="7AB46B2E" w:rsidR="00AF5B98" w:rsidRPr="00A23F90" w:rsidRDefault="00AF5B98">
                            <w:pPr>
                              <w:pStyle w:val="NoSpacing"/>
                              <w:rPr>
                                <w:b/>
                                <w:bCs/>
                                <w:sz w:val="44"/>
                                <w:szCs w:val="44"/>
                              </w:rPr>
                            </w:pPr>
                            <w:r w:rsidRPr="00A23F90">
                              <w:rPr>
                                <w:b/>
                                <w:bCs/>
                                <w:sz w:val="44"/>
                                <w:szCs w:val="44"/>
                              </w:rPr>
                              <w:t>Student ID:</w:t>
                            </w:r>
                          </w:p>
                          <w:p w14:paraId="7680BF57" w14:textId="24FEF62A" w:rsidR="00AF5B98" w:rsidRPr="00A23F90" w:rsidRDefault="00AF5B98">
                            <w:pPr>
                              <w:pStyle w:val="NoSpacing"/>
                              <w:rPr>
                                <w:b/>
                                <w:bCs/>
                                <w:sz w:val="44"/>
                                <w:szCs w:val="44"/>
                              </w:rPr>
                            </w:pPr>
                            <w:r w:rsidRPr="00A23F90">
                              <w:rPr>
                                <w:b/>
                                <w:bCs/>
                                <w:sz w:val="44"/>
                                <w:szCs w:val="44"/>
                              </w:rPr>
                              <w:t xml:space="preserve">Tutor: Diola </w:t>
                            </w:r>
                            <w:proofErr w:type="spellStart"/>
                            <w:r w:rsidRPr="00A23F90">
                              <w:rPr>
                                <w:b/>
                                <w:bCs/>
                                <w:sz w:val="44"/>
                                <w:szCs w:val="44"/>
                              </w:rPr>
                              <w:t>Bijlhout</w:t>
                            </w:r>
                            <w:proofErr w:type="spellEnd"/>
                          </w:p>
                          <w:p w14:paraId="688DC04E" w14:textId="68D5D063" w:rsidR="00AF5B98" w:rsidRPr="00A23F90" w:rsidRDefault="00AF5B98">
                            <w:pPr>
                              <w:pStyle w:val="NoSpacing"/>
                              <w:rPr>
                                <w:b/>
                                <w:bCs/>
                                <w:sz w:val="44"/>
                                <w:szCs w:val="44"/>
                              </w:rPr>
                            </w:pPr>
                            <w:r w:rsidRPr="00A23F90">
                              <w:rPr>
                                <w:b/>
                                <w:bCs/>
                                <w:sz w:val="44"/>
                                <w:szCs w:val="44"/>
                              </w:rPr>
                              <w:t>Date: 08/09/2022</w:t>
                            </w:r>
                          </w:p>
                          <w:p w14:paraId="008F0B04" w14:textId="236EBCC5" w:rsidR="002E4CFF" w:rsidRDefault="002E4CFF">
                            <w:pPr>
                              <w:pStyle w:val="NoSpacing"/>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AF5B98">
                                  <w:rPr>
                                    <w:color w:val="1F497D" w:themeColor="text2"/>
                                  </w:rPr>
                                  <w:t xml:space="preserve">     </w:t>
                                </w:r>
                              </w:sdtContent>
                            </w:sdt>
                          </w:p>
                        </w:tc>
                      </w:tr>
                    </w:tbl>
                    <w:p w14:paraId="2731ECDA" w14:textId="77777777" w:rsidR="002E4CFF" w:rsidRDefault="002E4CFF"/>
                  </w:txbxContent>
                </v:textbox>
                <w10:wrap anchorx="page" anchory="page"/>
              </v:shape>
            </w:pict>
          </w:r>
          <w:r w:rsidR="002E4CFF">
            <w:rPr>
              <w:b/>
              <w:color w:val="000000"/>
            </w:rPr>
            <w:br w:type="page"/>
          </w:r>
        </w:p>
      </w:sdtContent>
    </w:sdt>
    <w:p w14:paraId="51A5FA64" w14:textId="1EB4A869" w:rsidR="002E4CFF" w:rsidRDefault="003A1385">
      <w:pPr>
        <w:spacing w:after="160" w:line="259" w:lineRule="auto"/>
        <w:jc w:val="left"/>
        <w:rPr>
          <w:noProof/>
        </w:rPr>
      </w:pPr>
      <w:r>
        <w:lastRenderedPageBreak/>
        <w:t xml:space="preserve"> </w:t>
      </w:r>
    </w:p>
    <w:p w14:paraId="4175642E" w14:textId="77777777" w:rsidR="002E4CFF" w:rsidRDefault="002E4CFF">
      <w:pPr>
        <w:spacing w:after="160" w:line="259" w:lineRule="auto"/>
        <w:jc w:val="left"/>
        <w:rPr>
          <w:noProof/>
        </w:rPr>
      </w:pPr>
    </w:p>
    <w:p w14:paraId="0BF75798" w14:textId="77777777" w:rsidR="002E4CFF" w:rsidRDefault="002E4CFF">
      <w:pPr>
        <w:spacing w:after="160" w:line="259" w:lineRule="auto"/>
        <w:jc w:val="left"/>
        <w:rPr>
          <w:noProof/>
        </w:rPr>
      </w:pPr>
    </w:p>
    <w:p w14:paraId="05444C1B" w14:textId="77777777" w:rsidR="00AB3ACF" w:rsidRDefault="00000000">
      <w:pPr>
        <w:keepNext/>
        <w:keepLines/>
        <w:pBdr>
          <w:top w:val="nil"/>
          <w:left w:val="nil"/>
          <w:bottom w:val="nil"/>
          <w:right w:val="nil"/>
          <w:between w:val="nil"/>
        </w:pBdr>
        <w:spacing w:before="240" w:line="259" w:lineRule="auto"/>
        <w:ind w:left="432" w:hanging="432"/>
        <w:jc w:val="center"/>
        <w:rPr>
          <w:b/>
          <w:color w:val="000000"/>
        </w:rPr>
      </w:pPr>
      <w:r>
        <w:rPr>
          <w:b/>
          <w:color w:val="000000"/>
        </w:rPr>
        <w:t>Table of Contents</w:t>
      </w:r>
    </w:p>
    <w:sdt>
      <w:sdtPr>
        <w:id w:val="-1962104650"/>
        <w:docPartObj>
          <w:docPartGallery w:val="Table of Contents"/>
          <w:docPartUnique/>
        </w:docPartObj>
      </w:sdtPr>
      <w:sdtContent>
        <w:p w14:paraId="28285119" w14:textId="77777777" w:rsidR="00AB3ACF" w:rsidRDefault="00000000">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gjdgxs">
            <w:r>
              <w:rPr>
                <w:color w:val="000000"/>
              </w:rPr>
              <w:t>Introduction</w:t>
            </w:r>
            <w:r>
              <w:rPr>
                <w:color w:val="000000"/>
              </w:rPr>
              <w:tab/>
              <w:t>2</w:t>
            </w:r>
          </w:hyperlink>
        </w:p>
        <w:p w14:paraId="2DBBE2C8" w14:textId="77777777" w:rsidR="00AB3ACF" w:rsidRDefault="00000000">
          <w:pPr>
            <w:pBdr>
              <w:top w:val="nil"/>
              <w:left w:val="nil"/>
              <w:bottom w:val="nil"/>
              <w:right w:val="nil"/>
              <w:between w:val="nil"/>
            </w:pBdr>
            <w:tabs>
              <w:tab w:val="right" w:pos="9350"/>
            </w:tabs>
            <w:spacing w:after="100"/>
            <w:rPr>
              <w:color w:val="000000"/>
            </w:rPr>
          </w:pPr>
          <w:hyperlink w:anchor="_30j0zll">
            <w:r>
              <w:rPr>
                <w:color w:val="000000"/>
              </w:rPr>
              <w:t>Sustainable Development Goals</w:t>
            </w:r>
            <w:r>
              <w:rPr>
                <w:color w:val="000000"/>
              </w:rPr>
              <w:tab/>
              <w:t>2</w:t>
            </w:r>
          </w:hyperlink>
        </w:p>
        <w:p w14:paraId="1BF7DD10" w14:textId="77777777" w:rsidR="00AB3ACF" w:rsidRDefault="00000000">
          <w:pPr>
            <w:pBdr>
              <w:top w:val="nil"/>
              <w:left w:val="nil"/>
              <w:bottom w:val="nil"/>
              <w:right w:val="nil"/>
              <w:between w:val="nil"/>
            </w:pBdr>
            <w:tabs>
              <w:tab w:val="right" w:pos="9350"/>
            </w:tabs>
            <w:spacing w:after="100"/>
            <w:rPr>
              <w:color w:val="000000"/>
            </w:rPr>
          </w:pPr>
          <w:hyperlink w:anchor="_1fob9te">
            <w:r>
              <w:rPr>
                <w:color w:val="000000"/>
              </w:rPr>
              <w:t>Goal 3 Good Health &amp; Wellbeing</w:t>
            </w:r>
            <w:r>
              <w:rPr>
                <w:color w:val="000000"/>
              </w:rPr>
              <w:tab/>
              <w:t>4</w:t>
            </w:r>
          </w:hyperlink>
        </w:p>
        <w:p w14:paraId="0EE87074" w14:textId="77777777" w:rsidR="00AB3ACF" w:rsidRDefault="00000000">
          <w:pPr>
            <w:pBdr>
              <w:top w:val="nil"/>
              <w:left w:val="nil"/>
              <w:bottom w:val="nil"/>
              <w:right w:val="nil"/>
              <w:between w:val="nil"/>
            </w:pBdr>
            <w:tabs>
              <w:tab w:val="right" w:pos="9350"/>
            </w:tabs>
            <w:spacing w:after="100"/>
            <w:rPr>
              <w:color w:val="000000"/>
            </w:rPr>
          </w:pPr>
          <w:hyperlink w:anchor="_3znysh7">
            <w:r>
              <w:rPr>
                <w:color w:val="000000"/>
              </w:rPr>
              <w:t>Goal 4 Quality Education</w:t>
            </w:r>
            <w:r>
              <w:rPr>
                <w:color w:val="000000"/>
              </w:rPr>
              <w:tab/>
              <w:t>5</w:t>
            </w:r>
          </w:hyperlink>
        </w:p>
        <w:p w14:paraId="062ECA1E" w14:textId="77777777" w:rsidR="00AB3ACF" w:rsidRDefault="00000000">
          <w:pPr>
            <w:pBdr>
              <w:top w:val="nil"/>
              <w:left w:val="nil"/>
              <w:bottom w:val="nil"/>
              <w:right w:val="nil"/>
              <w:between w:val="nil"/>
            </w:pBdr>
            <w:tabs>
              <w:tab w:val="right" w:pos="9350"/>
            </w:tabs>
            <w:spacing w:after="100"/>
            <w:rPr>
              <w:color w:val="000000"/>
            </w:rPr>
          </w:pPr>
          <w:hyperlink w:anchor="_2et92p0">
            <w:r>
              <w:rPr>
                <w:color w:val="000000"/>
              </w:rPr>
              <w:t>Goal 17 Partnerships to achieve the Goals</w:t>
            </w:r>
            <w:r>
              <w:rPr>
                <w:color w:val="000000"/>
              </w:rPr>
              <w:tab/>
              <w:t>7</w:t>
            </w:r>
          </w:hyperlink>
        </w:p>
        <w:p w14:paraId="4C0C884F" w14:textId="77777777" w:rsidR="00AB3ACF" w:rsidRDefault="00000000">
          <w:pPr>
            <w:pBdr>
              <w:top w:val="nil"/>
              <w:left w:val="nil"/>
              <w:bottom w:val="nil"/>
              <w:right w:val="nil"/>
              <w:between w:val="nil"/>
            </w:pBdr>
            <w:tabs>
              <w:tab w:val="right" w:pos="9350"/>
            </w:tabs>
            <w:spacing w:after="100"/>
            <w:rPr>
              <w:color w:val="000000"/>
            </w:rPr>
          </w:pPr>
          <w:hyperlink w:anchor="_tyjcwt">
            <w:r>
              <w:rPr>
                <w:color w:val="000000"/>
              </w:rPr>
              <w:t>Policies or Initiatives Adopted by UK Government in Meeting these Three Goals</w:t>
            </w:r>
            <w:r>
              <w:rPr>
                <w:color w:val="000000"/>
              </w:rPr>
              <w:tab/>
              <w:t>9</w:t>
            </w:r>
          </w:hyperlink>
        </w:p>
        <w:p w14:paraId="17D62D5F" w14:textId="77777777" w:rsidR="00AB3ACF" w:rsidRDefault="00000000">
          <w:pPr>
            <w:pBdr>
              <w:top w:val="nil"/>
              <w:left w:val="nil"/>
              <w:bottom w:val="nil"/>
              <w:right w:val="nil"/>
              <w:between w:val="nil"/>
            </w:pBdr>
            <w:tabs>
              <w:tab w:val="right" w:pos="9350"/>
            </w:tabs>
            <w:spacing w:after="100"/>
            <w:rPr>
              <w:color w:val="000000"/>
            </w:rPr>
          </w:pPr>
          <w:hyperlink w:anchor="_3dy6vkm">
            <w:r>
              <w:rPr>
                <w:color w:val="000000"/>
              </w:rPr>
              <w:t>London Borough of Tower Hamlet</w:t>
            </w:r>
            <w:r>
              <w:rPr>
                <w:color w:val="000000"/>
              </w:rPr>
              <w:tab/>
              <w:t>10</w:t>
            </w:r>
          </w:hyperlink>
        </w:p>
        <w:p w14:paraId="0E9753DB" w14:textId="77777777" w:rsidR="00AB3ACF" w:rsidRDefault="00000000">
          <w:pPr>
            <w:pBdr>
              <w:top w:val="nil"/>
              <w:left w:val="nil"/>
              <w:bottom w:val="nil"/>
              <w:right w:val="nil"/>
              <w:between w:val="nil"/>
            </w:pBdr>
            <w:tabs>
              <w:tab w:val="right" w:pos="9350"/>
            </w:tabs>
            <w:spacing w:after="100"/>
            <w:rPr>
              <w:color w:val="000000"/>
            </w:rPr>
          </w:pPr>
          <w:hyperlink w:anchor="_1t3h5sf">
            <w:r>
              <w:rPr>
                <w:color w:val="000000"/>
              </w:rPr>
              <w:t>Policy for SDGs in London Borough of Tower Hamlet</w:t>
            </w:r>
            <w:r>
              <w:rPr>
                <w:color w:val="000000"/>
              </w:rPr>
              <w:tab/>
              <w:t>11</w:t>
            </w:r>
          </w:hyperlink>
        </w:p>
        <w:p w14:paraId="5E78B0D4" w14:textId="77777777" w:rsidR="00AB3ACF" w:rsidRDefault="00000000">
          <w:pPr>
            <w:pBdr>
              <w:top w:val="nil"/>
              <w:left w:val="nil"/>
              <w:bottom w:val="nil"/>
              <w:right w:val="nil"/>
              <w:between w:val="nil"/>
            </w:pBdr>
            <w:tabs>
              <w:tab w:val="right" w:pos="9350"/>
            </w:tabs>
            <w:spacing w:after="100"/>
            <w:rPr>
              <w:color w:val="000000"/>
            </w:rPr>
          </w:pPr>
          <w:hyperlink w:anchor="_4d34og8">
            <w:r>
              <w:rPr>
                <w:color w:val="000000"/>
              </w:rPr>
              <w:t>Critical Examination of Benefits of SDGs</w:t>
            </w:r>
            <w:r>
              <w:rPr>
                <w:color w:val="000000"/>
              </w:rPr>
              <w:tab/>
              <w:t>12</w:t>
            </w:r>
          </w:hyperlink>
        </w:p>
        <w:p w14:paraId="57249EAA" w14:textId="77777777" w:rsidR="00AB3ACF" w:rsidRDefault="00000000">
          <w:pPr>
            <w:pBdr>
              <w:top w:val="nil"/>
              <w:left w:val="nil"/>
              <w:bottom w:val="nil"/>
              <w:right w:val="nil"/>
              <w:between w:val="nil"/>
            </w:pBdr>
            <w:tabs>
              <w:tab w:val="right" w:pos="9350"/>
            </w:tabs>
            <w:spacing w:after="100"/>
            <w:rPr>
              <w:color w:val="000000"/>
            </w:rPr>
          </w:pPr>
          <w:hyperlink w:anchor="_2s8eyo1">
            <w:r>
              <w:rPr>
                <w:color w:val="000000"/>
              </w:rPr>
              <w:t>Recommendations</w:t>
            </w:r>
            <w:r>
              <w:rPr>
                <w:color w:val="000000"/>
              </w:rPr>
              <w:tab/>
              <w:t>14</w:t>
            </w:r>
          </w:hyperlink>
        </w:p>
        <w:p w14:paraId="32E7BDF2" w14:textId="77777777" w:rsidR="00AB3ACF" w:rsidRDefault="00000000">
          <w:pPr>
            <w:pBdr>
              <w:top w:val="nil"/>
              <w:left w:val="nil"/>
              <w:bottom w:val="nil"/>
              <w:right w:val="nil"/>
              <w:between w:val="nil"/>
            </w:pBdr>
            <w:tabs>
              <w:tab w:val="right" w:pos="9350"/>
            </w:tabs>
            <w:spacing w:after="100"/>
            <w:rPr>
              <w:color w:val="000000"/>
            </w:rPr>
          </w:pPr>
          <w:hyperlink w:anchor="_17dp8vu">
            <w:r>
              <w:rPr>
                <w:color w:val="000000"/>
              </w:rPr>
              <w:t>Conclusion</w:t>
            </w:r>
            <w:r>
              <w:rPr>
                <w:color w:val="000000"/>
              </w:rPr>
              <w:tab/>
              <w:t>15</w:t>
            </w:r>
          </w:hyperlink>
        </w:p>
        <w:p w14:paraId="7F6EACC0" w14:textId="77777777" w:rsidR="00AB3ACF" w:rsidRDefault="00000000">
          <w:pPr>
            <w:pBdr>
              <w:top w:val="nil"/>
              <w:left w:val="nil"/>
              <w:bottom w:val="nil"/>
              <w:right w:val="nil"/>
              <w:between w:val="nil"/>
            </w:pBdr>
            <w:tabs>
              <w:tab w:val="right" w:pos="9350"/>
            </w:tabs>
            <w:spacing w:after="100"/>
            <w:rPr>
              <w:color w:val="000000"/>
            </w:rPr>
          </w:pPr>
          <w:hyperlink w:anchor="_3rdcrjn">
            <w:r>
              <w:rPr>
                <w:color w:val="000000"/>
              </w:rPr>
              <w:t>References</w:t>
            </w:r>
            <w:r>
              <w:rPr>
                <w:color w:val="000000"/>
              </w:rPr>
              <w:tab/>
              <w:t>16</w:t>
            </w:r>
          </w:hyperlink>
        </w:p>
        <w:p w14:paraId="53E638A9" w14:textId="77777777" w:rsidR="00AB3ACF" w:rsidRDefault="00000000">
          <w:r>
            <w:fldChar w:fldCharType="end"/>
          </w:r>
        </w:p>
      </w:sdtContent>
    </w:sdt>
    <w:p w14:paraId="42188F6D" w14:textId="77777777" w:rsidR="00AB3ACF" w:rsidRDefault="00000000">
      <w:pPr>
        <w:spacing w:after="160" w:line="259" w:lineRule="auto"/>
        <w:jc w:val="left"/>
        <w:rPr>
          <w:b/>
        </w:rPr>
      </w:pPr>
      <w:r>
        <w:br w:type="page"/>
      </w:r>
    </w:p>
    <w:p w14:paraId="43430EE1" w14:textId="77777777" w:rsidR="00AB3ACF" w:rsidRDefault="00000000">
      <w:pPr>
        <w:pStyle w:val="Heading1"/>
      </w:pPr>
      <w:bookmarkStart w:id="0" w:name="_gjdgxs" w:colFirst="0" w:colLast="0"/>
      <w:bookmarkEnd w:id="0"/>
      <w:r>
        <w:lastRenderedPageBreak/>
        <w:t>Introduction</w:t>
      </w:r>
    </w:p>
    <w:p w14:paraId="7E9EB61C" w14:textId="77777777" w:rsidR="00AB3ACF" w:rsidRDefault="00000000">
      <w:pPr>
        <w:spacing w:before="240" w:after="240"/>
      </w:pPr>
      <w:r>
        <w:t xml:space="preserve">The aim of this report is to examine the current situation of health, </w:t>
      </w:r>
      <w:proofErr w:type="gramStart"/>
      <w:r>
        <w:t>well-being</w:t>
      </w:r>
      <w:proofErr w:type="gramEnd"/>
      <w:r>
        <w:t xml:space="preserve"> and sustainable development in the existing healthcare sectors within the UK. This report has provided a discussion regarding the Sustainable Development Goals followed by an in-depth explanation of Goal 3 Health and Wellbeing, Goal 4 Quality education and Goal 17 Partnership to Achieve the Goals. The report also includes a discussion regarding the policies and initiatives that have been adopted by the UK government the meeting these goals. There is also an explanation regarding the London Borough of Tower Hamlets which is the selected borough. This is followed by the discussion of the policies related to each of the SDG goals adopted by Tower Hamlets. The report also incorporates a critical discussion regarding the progress of Tower Hamlets in attaining these goals followed by recommendations to improve the progress. </w:t>
      </w:r>
    </w:p>
    <w:p w14:paraId="29BD515A" w14:textId="77777777" w:rsidR="00AB3ACF" w:rsidRDefault="00000000">
      <w:pPr>
        <w:pStyle w:val="Heading1"/>
      </w:pPr>
      <w:bookmarkStart w:id="1" w:name="_30j0zll" w:colFirst="0" w:colLast="0"/>
      <w:bookmarkEnd w:id="1"/>
      <w:r>
        <w:t>Sustainable Development Goals</w:t>
      </w:r>
    </w:p>
    <w:p w14:paraId="5EE6A2DD" w14:textId="77777777" w:rsidR="00AB3ACF" w:rsidRDefault="00000000">
      <w:pPr>
        <w:spacing w:before="240" w:after="240"/>
      </w:pPr>
      <w:r>
        <w:t xml:space="preserve">The Sustainable Development Goals and targets are undividable and integrated, have global nature and are also applicable throughout the world. These goals take into consideration, various national realities, </w:t>
      </w:r>
      <w:proofErr w:type="gramStart"/>
      <w:r>
        <w:t>levels</w:t>
      </w:r>
      <w:proofErr w:type="gramEnd"/>
      <w:r>
        <w:t xml:space="preserve"> and capacities of development as well as respecting the national priorities and policies. Targets have been described as global and inspirational enabling every government to establish their national targets directed by global ambition; however, considering national circumstances. Every government will also make decisions regarding the way these global and aspirational targets must be combined within national planning policies, </w:t>
      </w:r>
      <w:proofErr w:type="gramStart"/>
      <w:r>
        <w:t>processes</w:t>
      </w:r>
      <w:proofErr w:type="gramEnd"/>
      <w:r>
        <w:t xml:space="preserve"> and strategies. It is essential to identify the link between sustainable development as well as other appropriate current processes within social, economic as well as environmental fields (United Nations, 2015). </w:t>
      </w:r>
    </w:p>
    <w:p w14:paraId="5102E8D4" w14:textId="244576ED" w:rsidR="00AB3ACF" w:rsidRDefault="00000000">
      <w:pPr>
        <w:spacing w:before="240" w:after="240"/>
      </w:pPr>
      <w:r>
        <w:lastRenderedPageBreak/>
        <w:t xml:space="preserve">While making decisions related to these Goals and targets, it was identified that every country </w:t>
      </w:r>
      <w:r w:rsidR="00986EF6">
        <w:t>experiences</w:t>
      </w:r>
      <w:r>
        <w:t xml:space="preserve"> certain challenges for the attainment of sustainable development and the special challenges experienced by the most susceptible countries and specifically landlocked developing countries, small-island developing States, African countries, least developed countries and the particular challenges experienced by the middle-income countries. Special attention is also required by the countries within the conflict situation (United Nations, 2015). </w:t>
      </w:r>
    </w:p>
    <w:p w14:paraId="77AAE01C" w14:textId="77777777" w:rsidR="00AB3ACF" w:rsidRDefault="00000000">
      <w:pPr>
        <w:spacing w:before="240" w:after="240"/>
      </w:pPr>
      <w:r>
        <w:t xml:space="preserve">The Sustainable Development Goals (SDGs) are the established objectives within the universal agreement for ending poverty, protecting all which makes the planet liveable, as well as making sure that all individuals enjoy prosperity and peace, currently and in the forthcoming. The Goals were embraced by all the member states of the United Nations in 2015, formally, from 2106-2030 </w:t>
      </w:r>
      <w:proofErr w:type="gramStart"/>
      <w:r>
        <w:t>in order to</w:t>
      </w:r>
      <w:proofErr w:type="gramEnd"/>
      <w:r>
        <w:t xml:space="preserve"> address the overwhelming scientific and empirical evidence that a totally sustainable approach is required by the world. The goals offer the best opportunity to ensure the needed alignment and collaboration while applying the global approaches for securing a healthy, fair as well as prosperous future for our children, </w:t>
      </w:r>
      <w:proofErr w:type="gramStart"/>
      <w:r>
        <w:t>ourselves</w:t>
      </w:r>
      <w:proofErr w:type="gramEnd"/>
      <w:r>
        <w:t xml:space="preserve"> and grandchildren (Morton, </w:t>
      </w:r>
      <w:proofErr w:type="spellStart"/>
      <w:r>
        <w:t>Pencheon</w:t>
      </w:r>
      <w:proofErr w:type="spellEnd"/>
      <w:r>
        <w:t xml:space="preserve"> and Squires, 2017). </w:t>
      </w:r>
    </w:p>
    <w:p w14:paraId="71647CDE" w14:textId="77777777" w:rsidR="00AB3ACF" w:rsidRDefault="00000000">
      <w:pPr>
        <w:spacing w:before="240" w:after="240"/>
      </w:pPr>
      <w:r>
        <w:t xml:space="preserve">The 17 SDGs having 169 targets have a broader scope and go further through addressing the reasons for poverty and the universal requirement for development which works for all individuals. The goals cover three dimensions of sustainable development including environmental protection, economic </w:t>
      </w:r>
      <w:proofErr w:type="gramStart"/>
      <w:r>
        <w:t>growth</w:t>
      </w:r>
      <w:proofErr w:type="gramEnd"/>
      <w:r>
        <w:t xml:space="preserve"> and social inclusion. These new goals cover more ground with determinations for addressing economic growth, inequalities, human and city settlements, decent jobs, energy, industrialisation, sustainable production and consumption, ecosystems, oceans, justice, peace, and climate change. The major feature of the SDGs is their </w:t>
      </w:r>
      <w:r>
        <w:lastRenderedPageBreak/>
        <w:t xml:space="preserve">robust emphasis on the ways of implementation: the mobilisation of financial resources; data and institutions; and capacity and technology (Morton, </w:t>
      </w:r>
      <w:proofErr w:type="spellStart"/>
      <w:r>
        <w:t>Pencheon</w:t>
      </w:r>
      <w:proofErr w:type="spellEnd"/>
      <w:r>
        <w:t xml:space="preserve"> and Squires, 2017). </w:t>
      </w:r>
    </w:p>
    <w:p w14:paraId="371743AA" w14:textId="77777777" w:rsidR="00AB3ACF" w:rsidRDefault="00000000">
      <w:pPr>
        <w:pStyle w:val="Heading1"/>
      </w:pPr>
      <w:bookmarkStart w:id="2" w:name="_1fob9te" w:colFirst="0" w:colLast="0"/>
      <w:bookmarkEnd w:id="2"/>
      <w:r>
        <w:t>Goal 3 Good Health &amp; Wellbeing</w:t>
      </w:r>
    </w:p>
    <w:p w14:paraId="128BA3B5" w14:textId="77777777" w:rsidR="00AB3ACF" w:rsidRDefault="00000000">
      <w:pPr>
        <w:spacing w:before="240" w:after="240"/>
      </w:pPr>
      <w:r>
        <w:t xml:space="preserve">SDG 3 is beyond the development, promotion, as well as protection of health. This goal on health and wellbeing are very much interlinked with all the other goals which means that the attainment of SDG3 will have a huge impact on meeting other targets and vice-versa. Maternal mortality is regarded as death because of complications from pregnancy or childbirth. The attainment of the SDG target 3.1of lower than 70 maternal deaths per 100,000 live births by 2030 needs an increase in investment as well as attention towards the minimisation of the number of deaths at a 7.5 per cent annual rate. This can help in saving over one million lives throughout a decade (United Nations, 2022). </w:t>
      </w:r>
    </w:p>
    <w:p w14:paraId="12140D28" w14:textId="77777777" w:rsidR="00AB3ACF" w:rsidRDefault="00000000">
      <w:pPr>
        <w:spacing w:before="240" w:after="240"/>
      </w:pPr>
      <w:r>
        <w:t xml:space="preserve">The global under-five mortality rate has reduced from 77 to 39 deaths per 1000 live births from 2000 to 2019 as highlighted by SDG 2019 report. For further reduction in child deaths, increased attention must be emphasised on the initial 28 days of life where there has not been rapid development. </w:t>
      </w:r>
      <w:proofErr w:type="gramStart"/>
      <w:r>
        <w:t>In order to</w:t>
      </w:r>
      <w:proofErr w:type="gramEnd"/>
      <w:r>
        <w:t xml:space="preserve"> lessen the neonatal mortality rate to lower than 12 births per 1000 births, it is required to accelerate reductions. This target needs more action within the poorest regions of the world as over half of early child deaths are because of conditions which can be treated or prevented with the accessibility to affordable and simple interventions. This is essential for the minimisation of the global child mortality rates (United Nations, 2022). </w:t>
      </w:r>
    </w:p>
    <w:p w14:paraId="26496610" w14:textId="77777777" w:rsidR="00AB3ACF" w:rsidRDefault="00000000">
      <w:pPr>
        <w:spacing w:before="240" w:after="240"/>
      </w:pPr>
      <w:r>
        <w:t xml:space="preserve">There have been significant advancements in enhancing accessibility to clean water and sanitation as well as minimising communicable diseases, for instance, tuberculosis, malaria as well as the spread of AIDS/ HIV. From 2010 – 2017, the global incidence of HIV among adults </w:t>
      </w:r>
      <w:r>
        <w:lastRenderedPageBreak/>
        <w:t xml:space="preserve">reduced by 22 per cent, falling short of the progress needed to meet the 2030 target. Non-communicable diseases have improved in low and middle–income countries, alarming to overcome friable health systems unless rapid funds are made for disease prevention and health promotion. The fight against NCD internationally has not been funded on similar levels as pandemics or AIDS. The promotion of mental health was also introduced within SDGs, which marks the global recognition of the significance of mental health and wellbeing. Individuals with mental disorders experience a disproportionately increased risk of disability as well as premature mortality (United Nations, 2022). </w:t>
      </w:r>
    </w:p>
    <w:p w14:paraId="68DD45EF" w14:textId="77777777" w:rsidR="00AB3ACF" w:rsidRDefault="00000000">
      <w:pPr>
        <w:spacing w:before="240" w:after="240"/>
      </w:pPr>
      <w:r>
        <w:t>As compared to the other health-related challenges under the SDGs and Goal 3, the designated reinforcing of the counteraction and treatment of substance involving narcotic drug abuse as well as harmful usage of alcohol is regarded as current health issues mainly experienced by the developed countries as alcohol is used more seriously in wealthy countries. According to reports by WHO, it was forecast that road traffic accidents will increase turning out to be the seventh leading cause of death by 2030 if there has been no action taken. Within the developing countries, approximately 19 per cent of the pregnancies happen prior to 18 years of age and almost 3 per cent of pregnancies prior to 15 years. The better accessibility to modern contraception that is presently not available within Sub-Saharan Africa as well as Southeast and Central Asia to over 60 per cent of adolescents who wish to avoid pregnancy (United Nations, 2022).</w:t>
      </w:r>
    </w:p>
    <w:p w14:paraId="0BD0BEAA" w14:textId="77777777" w:rsidR="00AB3ACF" w:rsidRDefault="00000000">
      <w:pPr>
        <w:pStyle w:val="Heading1"/>
      </w:pPr>
      <w:bookmarkStart w:id="3" w:name="_3znysh7" w:colFirst="0" w:colLast="0"/>
      <w:bookmarkEnd w:id="3"/>
      <w:r>
        <w:t>Goal 4 Quality Education</w:t>
      </w:r>
    </w:p>
    <w:p w14:paraId="622F3541" w14:textId="77777777" w:rsidR="00AB3ACF" w:rsidRDefault="00000000">
      <w:pPr>
        <w:spacing w:before="240" w:after="240"/>
      </w:pPr>
      <w:r>
        <w:t xml:space="preserve">Education, as well as the attainment of SDG 4, assures equitable and inclusive quality education as well as promotion of lasting learning opportunities for all individuals and plays a vital role in </w:t>
      </w:r>
      <w:r>
        <w:lastRenderedPageBreak/>
        <w:t>the development of inclusive, sustainable as well as resilient societies. The intent of SDG 4 is to increase the standards and make education a promoter for extensive change toward sustainable development. Education is the fundamental right and elementary to the dignity of human beings. SDG 4 is also said to have reciprocal linkages throughout the 2030 agenda. The accessibility to quality education is the path to social mobility and minimising inequalities (</w:t>
      </w:r>
      <w:proofErr w:type="spellStart"/>
      <w:r>
        <w:t>Sustainabledevelopment</w:t>
      </w:r>
      <w:proofErr w:type="spellEnd"/>
      <w:r>
        <w:t xml:space="preserve">, 2019). </w:t>
      </w:r>
    </w:p>
    <w:p w14:paraId="481AF2FA" w14:textId="77777777" w:rsidR="00AB3ACF" w:rsidRDefault="00000000">
      <w:pPr>
        <w:spacing w:before="240" w:after="240"/>
      </w:pPr>
      <w:r>
        <w:t xml:space="preserve">Education is necessary for the development of the knowledge </w:t>
      </w:r>
      <w:proofErr w:type="gramStart"/>
      <w:r>
        <w:t>base</w:t>
      </w:r>
      <w:proofErr w:type="gramEnd"/>
      <w:r>
        <w:t xml:space="preserve"> and it is essential to deal with critical challenges such as climatic change. Education will assist the young individuals with regards to the preparation for employment within the high skills jobs of the fourth industrial revolution. Education is also the basis for efficient institutions and peaceful societies. Education is vital for sustainable development, however; investments within education which are not supplemented by concurrent progress within different aspects of the well-being of human beings will fail in enabling all individuals for realising their total potential in life (</w:t>
      </w:r>
      <w:proofErr w:type="spellStart"/>
      <w:r>
        <w:t>Sustainabledevelopment</w:t>
      </w:r>
      <w:proofErr w:type="spellEnd"/>
      <w:r>
        <w:t xml:space="preserve">, 2019). </w:t>
      </w:r>
    </w:p>
    <w:p w14:paraId="4CE83E08" w14:textId="77777777" w:rsidR="00AB3ACF" w:rsidRDefault="00000000">
      <w:pPr>
        <w:spacing w:before="240" w:after="240"/>
      </w:pPr>
      <w:r>
        <w:t xml:space="preserve">Good health of child and nutrition are necessary for acquiring the learning outcomes not just with regards to the increased attendance within the class; however, also to improve the educational achievements. In the same way, ending poverty, thus minimising pressures for putting children to work can be vital for the susceptible groups which are likely to suffer from various deprivations and are hence significant for realising the overall objective of leaving none of the individuals behind. Although education in the Agenda of Sustainable Development 2030 is most clearly developed as a stand-alone goal (SDG 4), there are various education-related indicators or targets within other sustainable development goals. These involve gender equality, </w:t>
      </w:r>
      <w:r>
        <w:lastRenderedPageBreak/>
        <w:t>health and wellbeing, responsible consumption as well as growth, decent work along with the mitigation of climate change (</w:t>
      </w:r>
      <w:proofErr w:type="spellStart"/>
      <w:r>
        <w:t>Sustainabledevelopment</w:t>
      </w:r>
      <w:proofErr w:type="spellEnd"/>
      <w:r>
        <w:t xml:space="preserve">, 2019).  </w:t>
      </w:r>
    </w:p>
    <w:p w14:paraId="04A09140" w14:textId="77777777" w:rsidR="00AB3ACF" w:rsidRDefault="00000000">
      <w:pPr>
        <w:spacing w:before="240" w:after="240"/>
      </w:pPr>
      <w:r>
        <w:t xml:space="preserve">The target for the development and upgrade of safe and inclusive schools addressed the requirement for suitable physical infrastructure as well as safe and inclusive environments which encourage learning for all individuals irrespective of their background or disability status. The scholarship programs can play a significant role in the provision of opportunities for young individuals as well as adults who would not be able to afford to continue their education. Although the developed countries provide scholarships to students from developing countries, these must be structured for the development of the capability of the developing country. However, the significance of scholarships is known, the donor countries are stimulated to enhance other kinds of support for education. In conformity with SDG 4, the scholarships must be targeted transparently at young individuals belonging to disadvantaged backgrounds (SDG 4, 2022). </w:t>
      </w:r>
    </w:p>
    <w:p w14:paraId="1EF0FDA6" w14:textId="77777777" w:rsidR="00AB3ACF" w:rsidRDefault="00000000">
      <w:pPr>
        <w:spacing w:before="240" w:after="240"/>
      </w:pPr>
      <w:r>
        <w:t xml:space="preserve">Teachers are central to the attainment of </w:t>
      </w:r>
      <w:proofErr w:type="gramStart"/>
      <w:r>
        <w:t>all of</w:t>
      </w:r>
      <w:proofErr w:type="gramEnd"/>
      <w:r>
        <w:t xml:space="preserve"> the targets of SDG 4. It needs crucial attention, with the close deadline, as the equity gap within education is worsened by the uneven distribution and shortage of teachers who have been professionally trained, particularly within disadvantaged areas. Since teachers are central to guaranteeing quality education, educators and teachers must be empowered, appropriately </w:t>
      </w:r>
      <w:proofErr w:type="gramStart"/>
      <w:r>
        <w:t>remunerated</w:t>
      </w:r>
      <w:proofErr w:type="gramEnd"/>
      <w:r>
        <w:t xml:space="preserve"> and recruited, professionally qualifies, motivated as well as supported in the well-resourced, effective and efficiently governed systems (SDG 4, 2022). </w:t>
      </w:r>
    </w:p>
    <w:p w14:paraId="1E3F8207" w14:textId="77777777" w:rsidR="00AB3ACF" w:rsidRDefault="00000000">
      <w:pPr>
        <w:pStyle w:val="Heading1"/>
      </w:pPr>
      <w:bookmarkStart w:id="4" w:name="_2et92p0" w:colFirst="0" w:colLast="0"/>
      <w:bookmarkEnd w:id="4"/>
      <w:r>
        <w:t>Goal 17 Partnerships to achieve the Goals</w:t>
      </w:r>
    </w:p>
    <w:p w14:paraId="056C0D47" w14:textId="77777777" w:rsidR="00AB3ACF" w:rsidRDefault="00000000">
      <w:pPr>
        <w:spacing w:before="240" w:after="240"/>
      </w:pPr>
      <w:r>
        <w:lastRenderedPageBreak/>
        <w:t xml:space="preserve">Sustainable Development Goal (SDG) 17 requires strengthening the ways of applying the </w:t>
      </w:r>
      <w:proofErr w:type="gramStart"/>
      <w:r>
        <w:t>Agenda</w:t>
      </w:r>
      <w:proofErr w:type="gramEnd"/>
      <w:r>
        <w:t xml:space="preserve"> 2030. Particularly, it requires investment within the global partnership to understand sustainable development throughout the world. The attainment of the goals of Agenda 2030 will need the mobilisation of the political will and expanding partnerships among government, civil </w:t>
      </w:r>
      <w:proofErr w:type="gramStart"/>
      <w:r>
        <w:t>society</w:t>
      </w:r>
      <w:proofErr w:type="gramEnd"/>
      <w:r>
        <w:t xml:space="preserve"> and private society. It will also need the increase within the international corporation and making improvements in coherence among the initiatives and policies, both internationally and domestically. SDG 17 deals with these calls and needs for actions </w:t>
      </w:r>
      <w:proofErr w:type="gramStart"/>
      <w:r>
        <w:t>in order to</w:t>
      </w:r>
      <w:proofErr w:type="gramEnd"/>
      <w:r>
        <w:t xml:space="preserve"> enhance the capacity for the implementation of SDGs at different levels. Intrinsically, fulfilling the ambitions and targets of SDG 17 is unconditionally vital for the successful advancement of the whole SDG agenda (</w:t>
      </w:r>
      <w:proofErr w:type="spellStart"/>
      <w:r>
        <w:t>Maltais</w:t>
      </w:r>
      <w:proofErr w:type="spellEnd"/>
      <w:r>
        <w:t>, Weitz and Persson, 2018).</w:t>
      </w:r>
    </w:p>
    <w:p w14:paraId="1D462241" w14:textId="77777777" w:rsidR="00AB3ACF" w:rsidRDefault="00000000">
      <w:pPr>
        <w:spacing w:before="240" w:after="240"/>
      </w:pPr>
      <w:r>
        <w:t xml:space="preserve">SDG 17 has been embraced as the main impetus for the global commitment as well as preparation of different entertainers expected for the execution of the SDG. With respect to the synergist job that the objective is anticipated to play in gathering the </w:t>
      </w:r>
      <w:proofErr w:type="gramStart"/>
      <w:r>
        <w:t>ground breaking</w:t>
      </w:r>
      <w:proofErr w:type="gramEnd"/>
      <w:r>
        <w:t xml:space="preserve"> objectives of the SDG Agenda, it is unsatisfactory to recognise that its objectives incorporate the chronologically erroneous portrayal of the worldwide improvement participation having multi-partner organizations lined as the barely depicted instruments for supporting this (</w:t>
      </w:r>
      <w:proofErr w:type="spellStart"/>
      <w:r>
        <w:t>Maltais</w:t>
      </w:r>
      <w:proofErr w:type="spellEnd"/>
      <w:r>
        <w:t xml:space="preserve">, Weitz and Persson, 2018). </w:t>
      </w:r>
    </w:p>
    <w:p w14:paraId="269CD9B4" w14:textId="77777777" w:rsidR="00AB3ACF" w:rsidRDefault="00000000">
      <w:pPr>
        <w:spacing w:before="240" w:after="240"/>
      </w:pPr>
      <w:r>
        <w:t xml:space="preserve">The focal point of SDG 17 is on the foundation of the approaches to carrying out the SDGs through activities inside seven regions including exchange, finance, innovation, strategy rationality, innovation, limit building, </w:t>
      </w:r>
      <w:proofErr w:type="gramStart"/>
      <w:r>
        <w:t>information</w:t>
      </w:r>
      <w:proofErr w:type="gramEnd"/>
      <w:r>
        <w:t xml:space="preserve"> and associations. The two significant structures are recommended for this including the Global Partnership for Sustainable Development coordinated by the state run administrations for reinforcing the worldwide collaboration as well as improvement support alongside the multi-partner organisations, working </w:t>
      </w:r>
      <w:r>
        <w:lastRenderedPageBreak/>
        <w:t xml:space="preserve">at the local, worldwide, subnational and public levels for the sharing and activation of the skill, information, monetary assets and innovation for supporting the execution of the SDGs (Stott and </w:t>
      </w:r>
      <w:proofErr w:type="spellStart"/>
      <w:r>
        <w:t>Scoppetta</w:t>
      </w:r>
      <w:proofErr w:type="spellEnd"/>
      <w:r>
        <w:t xml:space="preserve">, 2020). </w:t>
      </w:r>
    </w:p>
    <w:p w14:paraId="6A5889CE" w14:textId="77777777" w:rsidR="00AB3ACF" w:rsidRDefault="00000000">
      <w:pPr>
        <w:spacing w:before="240" w:after="240"/>
      </w:pPr>
      <w:r>
        <w:t xml:space="preserve">The significant accentuation on the Global Partnership which needs help from more extravagant created nations to creating as well as least created nations through the expanded assistance; move of innovation; assist with the </w:t>
      </w:r>
      <w:proofErr w:type="gramStart"/>
      <w:r>
        <w:t>drawn out</w:t>
      </w:r>
      <w:proofErr w:type="gramEnd"/>
      <w:r>
        <w:t xml:space="preserve"> obligation as well as the help for fair, all inclusive, and open exchanging framework under the World Trade Organisation. Multi-partner association; strategy and institutional intelligence; information, responsibility and observing are assembled under the power of methodical issues which are expected to be improved for supporting the fulfilment of the SDGs, explicitly inside the agricultural nations (Stott and </w:t>
      </w:r>
      <w:proofErr w:type="spellStart"/>
      <w:r>
        <w:t>Scoppetta</w:t>
      </w:r>
      <w:proofErr w:type="spellEnd"/>
      <w:r>
        <w:t>, 2020).</w:t>
      </w:r>
    </w:p>
    <w:p w14:paraId="61ABA59C" w14:textId="77777777" w:rsidR="00AB3ACF" w:rsidRDefault="00000000">
      <w:pPr>
        <w:spacing w:before="240" w:after="240"/>
      </w:pPr>
      <w:r>
        <w:t xml:space="preserve">Regardless of the requirement of the SDG as well as their methods of implementation to be indivisible, universal as well as interlinked, SDG 17 emphasises fundamentally on the economic pillar of Sustainable Development. Along with the marginalisation of the role that partnerships can play within the promotion of ecologically sustainable as well as socially just strategies for development, concerns have been upraised regarding the endorsement of a more challenged market-based growth model that tends to deepen instead of minimising environmental and social issues (Stott and </w:t>
      </w:r>
      <w:proofErr w:type="spellStart"/>
      <w:r>
        <w:t>Scoppetta</w:t>
      </w:r>
      <w:proofErr w:type="spellEnd"/>
      <w:r>
        <w:t xml:space="preserve">, 2020). </w:t>
      </w:r>
    </w:p>
    <w:p w14:paraId="10FD4298" w14:textId="77777777" w:rsidR="00AB3ACF" w:rsidRDefault="00000000">
      <w:pPr>
        <w:pStyle w:val="Heading1"/>
      </w:pPr>
      <w:bookmarkStart w:id="5" w:name="_tyjcwt" w:colFirst="0" w:colLast="0"/>
      <w:bookmarkEnd w:id="5"/>
      <w:r>
        <w:t>Initiatives or Policies Embraced by UK Government in Meeting these Three Goals</w:t>
      </w:r>
    </w:p>
    <w:p w14:paraId="5EF06A6E" w14:textId="77777777" w:rsidR="00AB3ACF" w:rsidRDefault="00000000">
      <w:pPr>
        <w:spacing w:before="240" w:after="240"/>
      </w:pPr>
      <w:r>
        <w:t xml:space="preserve">The attainment of Universal Health Coverage (UHC) is the eventual aim of Goal 3. The meaning of UHC is to make sure that </w:t>
      </w:r>
      <w:proofErr w:type="gramStart"/>
      <w:r>
        <w:t>each individual</w:t>
      </w:r>
      <w:proofErr w:type="gramEnd"/>
      <w:r>
        <w:t xml:space="preserve"> can get the vital health services they require without financial hardship and discrimination, the latter of which can be prevented through justifiable financing. The UK has directed an increase within health ODA through its development </w:t>
      </w:r>
      <w:r>
        <w:lastRenderedPageBreak/>
        <w:t xml:space="preserve">investment arm, the CDC Group predictable towards getting approximately 8 per cent of the UK ODA budget across the upcoming four years which needs returns to be produced on the assistance capitalised. The strategic framework of CDC for 2017-2021 declared that private for-profit healthcare providers can assist in the selection and increase standards. On the other hand, for-profit approaches within healthcare frequently depend on the costly private insurance models and fees for producing returns which means various investments are in clinics or hospitals which are unaffordable for the majority (Bond, 2019). </w:t>
      </w:r>
    </w:p>
    <w:p w14:paraId="482FD40E" w14:textId="77777777" w:rsidR="00AB3ACF" w:rsidRDefault="00000000">
      <w:pPr>
        <w:spacing w:before="240" w:after="240"/>
      </w:pPr>
      <w:r>
        <w:t xml:space="preserve">The commitment of the UK towards new subsidies to maternal, </w:t>
      </w:r>
      <w:proofErr w:type="spellStart"/>
      <w:r>
        <w:t>newborn</w:t>
      </w:r>
      <w:proofErr w:type="spellEnd"/>
      <w:r>
        <w:t xml:space="preserve">, child, as well as adolescent health through the Global Financing Facility for Every Woman and Every Child (GFF) is required, the GFF has in its preliminary years experienced certain challenges and its model offers certain intrinsic risks. The UK must make use of its role in the GFF to enhance its emphasis on widespread SRHR on marginalised women and girls as well as entrench meaningful civil society engagement. Moreover, the leadership of the government of the UK via the Family Planning 2020 global partnership as well as the 2017 Family Planning Summit has made sure that family planning is on priority on the agenda of the globe (Bond, 2019). </w:t>
      </w:r>
    </w:p>
    <w:p w14:paraId="6DE6EB9C" w14:textId="77777777" w:rsidR="00AB3ACF" w:rsidRDefault="00000000">
      <w:pPr>
        <w:spacing w:before="240" w:after="240"/>
      </w:pPr>
      <w:r>
        <w:t xml:space="preserve">The UK has been a chief donor to education along with being the biggest donor to the Global Partnership for Education (GPE), a major funding instrument for international education that provides support to the countries for the development of strong national education systems. The UK has promised £225 million for three years to GPE in the year 2017. On the other hand, this amount was less than the expected amount by the civil society working on international education. The UK is among the leading countries in the education of girls to the Platform for Girls’ Education and Girls’ Education Campaign. These initiatives have been supported by the commitment that is made by the former Foreign Secretary for supporting one million vulnerable </w:t>
      </w:r>
      <w:r>
        <w:lastRenderedPageBreak/>
        <w:t xml:space="preserve">girls for the attainment of 12 years of quality education by 2030 through UK aid of £ 212 million (Bond, 2019). </w:t>
      </w:r>
    </w:p>
    <w:p w14:paraId="4EE9A74C" w14:textId="77777777" w:rsidR="00AB3ACF" w:rsidRDefault="00000000">
      <w:pPr>
        <w:pStyle w:val="Heading1"/>
      </w:pPr>
      <w:bookmarkStart w:id="6" w:name="_3dy6vkm" w:colFirst="0" w:colLast="0"/>
      <w:bookmarkEnd w:id="6"/>
      <w:r>
        <w:t>London Borough of Tower Hamlet</w:t>
      </w:r>
    </w:p>
    <w:p w14:paraId="74C3F08A" w14:textId="77777777" w:rsidR="00AB3ACF" w:rsidRDefault="00000000">
      <w:pPr>
        <w:spacing w:before="240" w:after="240"/>
      </w:pPr>
      <w:r>
        <w:t>Tower Hamlets have observed a major increase in the population within England and Wales with an increase in the number of residents by over 22 per cent. It is the densest populated borough within England having 15,695 residents per km</w:t>
      </w:r>
      <w:r>
        <w:rPr>
          <w:vertAlign w:val="superscript"/>
        </w:rPr>
        <w:t>2</w:t>
      </w:r>
      <w:r>
        <w:t xml:space="preserve"> as compared to the national average of 424 per km</w:t>
      </w:r>
      <w:r>
        <w:rPr>
          <w:vertAlign w:val="superscript"/>
        </w:rPr>
        <w:t>2</w:t>
      </w:r>
      <w:r>
        <w:t xml:space="preserve">. Tower Hamlets has even now worked hard for coping with the increase in the population and to build more reasonable houses as compared to any other borough in London; however, more investment is required. The council continuously reviews other service influences of the changing population along with the demand for secondary and primary schools throughout the borough (Tower Hamlets, 2022). </w:t>
      </w:r>
    </w:p>
    <w:p w14:paraId="1BEFC77C" w14:textId="77777777" w:rsidR="00AB3ACF" w:rsidRDefault="00000000">
      <w:pPr>
        <w:spacing w:before="240" w:after="240"/>
      </w:pPr>
      <w:r>
        <w:t xml:space="preserve">The borough is said to be offering something to </w:t>
      </w:r>
      <w:proofErr w:type="gramStart"/>
      <w:r>
        <w:t>each individual</w:t>
      </w:r>
      <w:proofErr w:type="gramEnd"/>
      <w:r>
        <w:t xml:space="preserve">. On the contrary, like other </w:t>
      </w:r>
      <w:proofErr w:type="gramStart"/>
      <w:r>
        <w:t>inner city</w:t>
      </w:r>
      <w:proofErr w:type="gramEnd"/>
      <w:r>
        <w:t xml:space="preserve"> boroughs, London Borough of Tower Hamlet experiences deprivation and an increase in population places more pressure on the services. There is more than 6 per cent of children who are living in absolute poverty in comparison to the average of England. In comparison to the average of London, there is more than 1.9 per cent of unemployed adults. The life expectancy of an individual within Tower Hamlets is over four years less compared to that of Chelsea and Kensington. Thus, for keeping up with the changes, the local plan has been formulated to assuring the benefits of this growth are spread throughout the whole borough along with coordination in such a manner that can best fulfil the needs of the communities (Tower Hamlets, 2022). </w:t>
      </w:r>
    </w:p>
    <w:p w14:paraId="58C4A282" w14:textId="77777777" w:rsidR="00AB3ACF" w:rsidRDefault="00000000">
      <w:pPr>
        <w:pStyle w:val="Heading1"/>
      </w:pPr>
      <w:bookmarkStart w:id="7" w:name="_1t3h5sf" w:colFirst="0" w:colLast="0"/>
      <w:bookmarkEnd w:id="7"/>
      <w:r>
        <w:t>Policy for SDGs in London Borough of Tower Hamlet</w:t>
      </w:r>
    </w:p>
    <w:p w14:paraId="0A9B337D" w14:textId="77777777" w:rsidR="00AB3ACF" w:rsidRDefault="00000000">
      <w:pPr>
        <w:spacing w:before="240" w:after="240"/>
      </w:pPr>
      <w:r>
        <w:lastRenderedPageBreak/>
        <w:t xml:space="preserve">The health impact assessments policy strives to assuring development contributes to the healthy built environment according to the London Plan as well as the objectives of the Towers Hamlets’ Health and Wellbeing strategy. The developments comprising those uses which are most probable to influence health outcomes or are within the locations which can influence the health outcomes are needed to carry out the health impact assessment. The health impact assessments must be carried out by making use of suggested guidance from the public health service. For instance, the latest Health Urban Planning Checklist also offers a rapid health impact assessment tool (Tower Hamlets Council, 2022).  </w:t>
      </w:r>
    </w:p>
    <w:p w14:paraId="7F130937" w14:textId="77777777" w:rsidR="00AB3ACF" w:rsidRDefault="00000000">
      <w:pPr>
        <w:spacing w:before="240" w:after="240"/>
      </w:pPr>
      <w:r>
        <w:t>Part 1 includes main developments within the areas of sub-stranded air quality: these are areas where levels of nitrogen dioxide exceed 40 µg/m</w:t>
      </w:r>
      <w:r>
        <w:rPr>
          <w:vertAlign w:val="superscript"/>
        </w:rPr>
        <w:t>3</w:t>
      </w:r>
      <w:r>
        <w:t>. This also involves the areas within which levels of fine particulate matter exceed 10 µg/m</w:t>
      </w:r>
      <w:r>
        <w:rPr>
          <w:vertAlign w:val="superscript"/>
        </w:rPr>
        <w:t>3</w:t>
      </w:r>
      <w:r>
        <w:t xml:space="preserve">. Part 2 mentions the developments of the scale that are </w:t>
      </w:r>
      <w:proofErr w:type="spellStart"/>
      <w:r>
        <w:t>referable</w:t>
      </w:r>
      <w:proofErr w:type="spellEnd"/>
      <w:r>
        <w:t xml:space="preserve"> to the Greater London Authority will be projected for the completion of the more widespread health impact assessment. More guidance on the methods to carry out these assessments is available in the public health service. The health impact assessment can also be submitted as a component of the integrated impact assessment. The health impact assessment must plan the way the development can negatively or positively impact the extensive health determinants as well as must recognise the actions for increasing the positive influences and mitigating the negative effects. Moreover, the outcome of these actions must be identified in the planning application (Tower Hamlets Council, 2022). </w:t>
      </w:r>
    </w:p>
    <w:p w14:paraId="185575C6" w14:textId="77777777" w:rsidR="00AB3ACF" w:rsidRDefault="00000000">
      <w:pPr>
        <w:pStyle w:val="Heading1"/>
      </w:pPr>
      <w:bookmarkStart w:id="8" w:name="_4d34og8" w:colFirst="0" w:colLast="0"/>
      <w:bookmarkEnd w:id="8"/>
      <w:r>
        <w:t>Critical Examination of Benefits of SDGs</w:t>
      </w:r>
    </w:p>
    <w:p w14:paraId="2193EAE6" w14:textId="77777777" w:rsidR="00AB3ACF" w:rsidRDefault="00000000">
      <w:pPr>
        <w:spacing w:before="240" w:after="240"/>
      </w:pPr>
      <w:r>
        <w:t xml:space="preserve">The health of residents of Tower Hamlets is considerably worse as compared to London and England's averages having the healthy birth life expectancy being approximately ten years less as </w:t>
      </w:r>
      <w:r>
        <w:lastRenderedPageBreak/>
        <w:t>compared to the national average. The child obesity level is considerably higher within the borough as compared to the averages in London and England with an increase in the level of obesity between 10 and 11 years old. Commonly with most of inner London, Tower Hamlets experience poor air quality. According to the estimates, 195 deaths each year in Tower Hamlets are ascribed to small particulates (PM 2.5) as well as Nitrogen Dioxide (NO</w:t>
      </w:r>
      <w:r>
        <w:rPr>
          <w:vertAlign w:val="subscript"/>
        </w:rPr>
        <w:t>2</w:t>
      </w:r>
      <w:r>
        <w:t xml:space="preserve">). The population within the borough has doubled in the last 30 years and as per estimates, it will increase by approximately 100,000 by 2031. More than 19000 households are on the waiting list for housing out of which 37 per cent are overcrowded as well as 52.3 per cent of the households on the waiting list for housing are Bangladeshi families (Tower Hamlets Council, 2021). </w:t>
      </w:r>
    </w:p>
    <w:p w14:paraId="42A73559" w14:textId="77777777" w:rsidR="00AB3ACF" w:rsidRDefault="00000000">
      <w:pPr>
        <w:spacing w:before="240" w:after="240"/>
      </w:pPr>
      <w:r>
        <w:t xml:space="preserve">Furthermore, the individuals in London Borough of Tower Hamlets with lower levels of skills have considerably less probability to be employed as compared to the average of London. There is similar polarisation within the job market of the borough. There has been an increased number of entry-level jobs as well as a comparatively </w:t>
      </w:r>
      <w:proofErr w:type="gramStart"/>
      <w:r>
        <w:t>more</w:t>
      </w:r>
      <w:proofErr w:type="gramEnd"/>
      <w:r>
        <w:t xml:space="preserve"> number of exceptionally well-paid jobs; however, the opportunities for progression among these are limited. Overall, there has been an upward trend concerning educational attainment outcomes since 2011 at the secondary level (Tower Hamlets, 2018). </w:t>
      </w:r>
    </w:p>
    <w:p w14:paraId="23B66F3A" w14:textId="77777777" w:rsidR="00AB3ACF" w:rsidRDefault="00000000">
      <w:pPr>
        <w:spacing w:before="240" w:after="240"/>
      </w:pPr>
      <w:r>
        <w:t xml:space="preserve">Inside the last long stretches of the previous system, Tower Hamlets has surpassed the public normal with respect to instructive achievement at the optional level, with more than 66% of understudies accomplishing at least 5 GCSEs in grade C or above. Besides, the temporary outcomes feature that the presentation during the current year has diminished underneath the public normal interestingly. Notwithstanding the overall accomplishment, patterns are positive, the committee knows about this inconsistency. However, it should likewise be noticed that </w:t>
      </w:r>
      <w:r>
        <w:lastRenderedPageBreak/>
        <w:t xml:space="preserve">assessing the </w:t>
      </w:r>
      <w:proofErr w:type="gramStart"/>
      <w:r>
        <w:t>drawn out</w:t>
      </w:r>
      <w:proofErr w:type="gramEnd"/>
      <w:r>
        <w:t xml:space="preserve"> suggestions and impacts of these changes is very early (Tower Hamlets, 2018). </w:t>
      </w:r>
    </w:p>
    <w:p w14:paraId="28D5BA05" w14:textId="77777777" w:rsidR="00AB3ACF" w:rsidRDefault="00000000">
      <w:pPr>
        <w:spacing w:before="240" w:after="240"/>
      </w:pPr>
      <w:r>
        <w:t xml:space="preserve">Tower Hamlets provides secondary schools with high quality that are adjudged by Ofsted as being the best in the country. The provisions within the borough for 14 to 19 years old involve general further education institutions, music and Arts College, a college providing alternative education as well as pre-employment training and a technical college. The young individuals within the borough have usually attained great results at Key Stage 4. On the other hand, there have also been challenges regarding the new grading system familiarised in the year 2016 in the Key Stage 5, A Level achievement has been generally less strong as well as outcomes represent performance within certain subjects particularly can be improved. Despite this, it must also be noted that the results have been good for various schools. There has been an extensive range of education, </w:t>
      </w:r>
      <w:proofErr w:type="gramStart"/>
      <w:r>
        <w:t>training</w:t>
      </w:r>
      <w:proofErr w:type="gramEnd"/>
      <w:r>
        <w:t xml:space="preserve"> and employment options at post 16 as well as post 18 within the London Borough of Tower Hamlets. On the contrary, within the present years, the selection of the subjects at the levels of post 16 have turned out to be progressively narrow (Tower Hamlets, 2018). </w:t>
      </w:r>
    </w:p>
    <w:p w14:paraId="2A4E2344" w14:textId="77777777" w:rsidR="00AB3ACF" w:rsidRDefault="00000000">
      <w:pPr>
        <w:spacing w:before="240" w:after="240"/>
      </w:pPr>
      <w:r>
        <w:t>There have been a substantial investment and standard work up till now within Tower Hamlets; however, there has been a lack of considerable local improvements which indicates that dealing with obesity is not simple and there is a need for a different local approach for the change. Public Health has worked with partners for the formulation of a set of logic models, establishing the priority actions for addressing childhood obesity locally. On the contrary, these actions are not just sufficient for the delivery of considerable improvements within the complex challenges regarding obesity (</w:t>
      </w:r>
      <w:proofErr w:type="spellStart"/>
      <w:r>
        <w:t>Somen</w:t>
      </w:r>
      <w:proofErr w:type="spellEnd"/>
      <w:r>
        <w:t xml:space="preserve"> Banerjee, 2020).</w:t>
      </w:r>
    </w:p>
    <w:p w14:paraId="12ABAC31" w14:textId="77777777" w:rsidR="00AB3ACF" w:rsidRDefault="00000000">
      <w:pPr>
        <w:pStyle w:val="Heading1"/>
      </w:pPr>
      <w:bookmarkStart w:id="9" w:name="_2s8eyo1" w:colFirst="0" w:colLast="0"/>
      <w:bookmarkEnd w:id="9"/>
      <w:r>
        <w:lastRenderedPageBreak/>
        <w:t xml:space="preserve">Recommendations </w:t>
      </w:r>
    </w:p>
    <w:p w14:paraId="5EF98806" w14:textId="77777777" w:rsidR="00AB3ACF" w:rsidRDefault="00000000">
      <w:pPr>
        <w:spacing w:before="240" w:after="240"/>
      </w:pPr>
      <w:r>
        <w:t xml:space="preserve">At Stephen Hawking Primary School in Limehouse, the gates of the school have been concealed within ivy for the filtration of damaging particulates emitted by the road traffic within the area and for making the pupils closer to nature. Tower Hamlets have confirmed their commitment to undertaking three air quality audits every year at the primary schools for evaluating the ways for improving the air quality. This includes the installation of green walls at the local primary schools for improving the playground space as well as tackling the toxic air pollution that is emitted from the vehicles (Tower Hamlets, 2022).   </w:t>
      </w:r>
    </w:p>
    <w:p w14:paraId="25E43F2C" w14:textId="77777777" w:rsidR="00AB3ACF" w:rsidRDefault="00000000">
      <w:pPr>
        <w:spacing w:before="240" w:after="240"/>
      </w:pPr>
      <w:proofErr w:type="gramStart"/>
      <w:r>
        <w:t>In order to</w:t>
      </w:r>
      <w:proofErr w:type="gramEnd"/>
      <w:r>
        <w:t xml:space="preserve"> end the narrowing of choices of subjects at the levels of post 16, it is required to discover the way sixth forms within the borough can provide an increasingly collaborative provision which recognises as well as deals with any kind of gaps within the complete range of courses and link students more efficiently for increasing their experience of study. This in turn will </w:t>
      </w:r>
      <w:proofErr w:type="gramStart"/>
      <w:r>
        <w:t>make a contribution</w:t>
      </w:r>
      <w:proofErr w:type="gramEnd"/>
      <w:r>
        <w:t xml:space="preserve"> to clearer and well-understood pathways toward employment (Tower Hamlets, 2018). </w:t>
      </w:r>
    </w:p>
    <w:p w14:paraId="40585187" w14:textId="77777777" w:rsidR="00AB3ACF" w:rsidRDefault="00000000">
      <w:pPr>
        <w:spacing w:before="240" w:after="240"/>
      </w:pPr>
      <w:proofErr w:type="gramStart"/>
      <w:r>
        <w:t>In order to</w:t>
      </w:r>
      <w:proofErr w:type="gramEnd"/>
      <w:r>
        <w:t xml:space="preserve"> tackle childhood obesity, it is essential to develop the Tower Hamlets Childhood Obesity Partnership Board for the provision of strategic direction as well as leadership for the entire system's approach to obesity. Moreover, the core working team which can be coordinated by Public Health should deliver the operational Childhood Obesity Action Plan for Tower Hamlets which will deliver the activities that are required for addressing obesity based on the findings of the Partnership Board and formulated logic models (</w:t>
      </w:r>
      <w:proofErr w:type="spellStart"/>
      <w:r>
        <w:t>Somen</w:t>
      </w:r>
      <w:proofErr w:type="spellEnd"/>
      <w:r>
        <w:t xml:space="preserve"> Banerjee, 2020). </w:t>
      </w:r>
    </w:p>
    <w:p w14:paraId="173C7A04" w14:textId="77777777" w:rsidR="00AB3ACF" w:rsidRDefault="00000000">
      <w:pPr>
        <w:pStyle w:val="Heading1"/>
      </w:pPr>
      <w:bookmarkStart w:id="10" w:name="_17dp8vu" w:colFirst="0" w:colLast="0"/>
      <w:bookmarkEnd w:id="10"/>
      <w:r>
        <w:t>Conclusion</w:t>
      </w:r>
    </w:p>
    <w:p w14:paraId="0621BA5B" w14:textId="77777777" w:rsidR="00AB3ACF" w:rsidRDefault="00000000">
      <w:pPr>
        <w:rPr>
          <w:b/>
        </w:rPr>
      </w:pPr>
      <w:r>
        <w:lastRenderedPageBreak/>
        <w:t xml:space="preserve">In conclusion, London Borough has managed to follow the Sustainable Development Goals; however, there are still some lacking which must be overcome with the help of provided recommendations </w:t>
      </w:r>
      <w:proofErr w:type="gramStart"/>
      <w:r>
        <w:t>in order to</w:t>
      </w:r>
      <w:proofErr w:type="gramEnd"/>
      <w:r>
        <w:t xml:space="preserve"> fulfil these goals.</w:t>
      </w:r>
      <w:r>
        <w:br w:type="page"/>
      </w:r>
    </w:p>
    <w:p w14:paraId="56F6F2CC" w14:textId="77777777" w:rsidR="00AB3ACF" w:rsidRDefault="00000000">
      <w:pPr>
        <w:pStyle w:val="Heading1"/>
        <w:jc w:val="center"/>
      </w:pPr>
      <w:bookmarkStart w:id="11" w:name="_3rdcrjn" w:colFirst="0" w:colLast="0"/>
      <w:bookmarkEnd w:id="11"/>
      <w:r>
        <w:lastRenderedPageBreak/>
        <w:t>References</w:t>
      </w:r>
    </w:p>
    <w:p w14:paraId="5ACD6FB9" w14:textId="77777777" w:rsidR="00AB3ACF" w:rsidRDefault="00000000">
      <w:pPr>
        <w:spacing w:before="240" w:after="240"/>
      </w:pPr>
      <w:r>
        <w:t xml:space="preserve">Bond, 2019. The UK’s global contribution to the Sustainable Development Goals Progress, </w:t>
      </w:r>
      <w:proofErr w:type="gramStart"/>
      <w:r>
        <w:t>gaps</w:t>
      </w:r>
      <w:proofErr w:type="gramEnd"/>
      <w:r>
        <w:t xml:space="preserve"> and recommendations. Bond.</w:t>
      </w:r>
    </w:p>
    <w:p w14:paraId="1643F077" w14:textId="77777777" w:rsidR="00AB3ACF" w:rsidRDefault="00000000">
      <w:pPr>
        <w:spacing w:before="240" w:after="240"/>
      </w:pPr>
      <w:proofErr w:type="spellStart"/>
      <w:r>
        <w:t>Maltais</w:t>
      </w:r>
      <w:proofErr w:type="spellEnd"/>
      <w:r>
        <w:t xml:space="preserve">, A., Weitz, N. and Persson, Å., 2018. SDG 17: Partnerships for the Goals. A Review of Research Needs. Technical annex to the </w:t>
      </w:r>
      <w:proofErr w:type="spellStart"/>
      <w:r>
        <w:t>Formas</w:t>
      </w:r>
      <w:proofErr w:type="spellEnd"/>
      <w:r>
        <w:t xml:space="preserve"> report </w:t>
      </w:r>
      <w:proofErr w:type="spellStart"/>
      <w:r>
        <w:t>Forskning</w:t>
      </w:r>
      <w:proofErr w:type="spellEnd"/>
      <w:r>
        <w:t xml:space="preserve"> för Agenda 2030: </w:t>
      </w:r>
      <w:proofErr w:type="spellStart"/>
      <w:r>
        <w:t>Översikt</w:t>
      </w:r>
      <w:proofErr w:type="spellEnd"/>
      <w:r>
        <w:t xml:space="preserve"> </w:t>
      </w:r>
      <w:proofErr w:type="spellStart"/>
      <w:r>
        <w:t>av</w:t>
      </w:r>
      <w:proofErr w:type="spellEnd"/>
      <w:r>
        <w:t xml:space="preserve"> </w:t>
      </w:r>
      <w:proofErr w:type="spellStart"/>
      <w:r>
        <w:t>forskningsbehov</w:t>
      </w:r>
      <w:proofErr w:type="spellEnd"/>
      <w:r>
        <w:t xml:space="preserve"> </w:t>
      </w:r>
      <w:proofErr w:type="spellStart"/>
      <w:r>
        <w:t>och</w:t>
      </w:r>
      <w:proofErr w:type="spellEnd"/>
      <w:r>
        <w:t xml:space="preserve"> </w:t>
      </w:r>
      <w:proofErr w:type="spellStart"/>
      <w:r>
        <w:t>vägar</w:t>
      </w:r>
      <w:proofErr w:type="spellEnd"/>
      <w:r>
        <w:t xml:space="preserve"> </w:t>
      </w:r>
      <w:proofErr w:type="spellStart"/>
      <w:r>
        <w:t>framåt</w:t>
      </w:r>
      <w:proofErr w:type="spellEnd"/>
      <w:r>
        <w:t xml:space="preserve">. Stockholm Environment </w:t>
      </w:r>
      <w:proofErr w:type="spellStart"/>
      <w:r>
        <w:t>Insitute</w:t>
      </w:r>
      <w:proofErr w:type="spellEnd"/>
      <w:r>
        <w:t>, Stockholm.</w:t>
      </w:r>
    </w:p>
    <w:p w14:paraId="476CBA0E" w14:textId="77777777" w:rsidR="00AB3ACF" w:rsidRDefault="00000000">
      <w:pPr>
        <w:spacing w:before="240" w:after="240"/>
      </w:pPr>
      <w:r>
        <w:t xml:space="preserve">Morton, S., </w:t>
      </w:r>
      <w:proofErr w:type="spellStart"/>
      <w:r>
        <w:t>Pencheon</w:t>
      </w:r>
      <w:proofErr w:type="spellEnd"/>
      <w:r>
        <w:t>, D. and Squires, N., 2017. Sustainable Development Goals (SDGs), and their implementation A national global framework for health, development and equity needs a systems approach at every level. British medical bulletin, pp.1-10.</w:t>
      </w:r>
    </w:p>
    <w:p w14:paraId="312A8719" w14:textId="77777777" w:rsidR="00AB3ACF" w:rsidRDefault="00000000">
      <w:pPr>
        <w:spacing w:before="240" w:after="240"/>
      </w:pPr>
      <w:r>
        <w:t>SDG 4, 2022. Sustainable Development Goal 4 (SDG 4) | Education within the 2030 Agenda for Sustainable Development. [online] Sdg4education2030.org. Available at: &lt;https://www.sdg4education2030.org/the-goal&gt; [Accessed 2 August 2022].</w:t>
      </w:r>
    </w:p>
    <w:p w14:paraId="478DA605" w14:textId="77777777" w:rsidR="00AB3ACF" w:rsidRDefault="00000000">
      <w:pPr>
        <w:spacing w:before="240" w:after="240"/>
      </w:pPr>
      <w:proofErr w:type="spellStart"/>
      <w:r>
        <w:t>Somen</w:t>
      </w:r>
      <w:proofErr w:type="spellEnd"/>
      <w:r>
        <w:t xml:space="preserve"> Banerjee, 2020. Childhood Obesity – proposals to develop a whole system approach to tackling childhood obesity in Tower Hamlets. Tower Hamlets' Health and Wellbeing Board.</w:t>
      </w:r>
    </w:p>
    <w:p w14:paraId="2026E2CA" w14:textId="77777777" w:rsidR="00AB3ACF" w:rsidRDefault="00000000">
      <w:pPr>
        <w:spacing w:before="240" w:after="240"/>
      </w:pPr>
      <w:r>
        <w:t xml:space="preserve">Stott, L. and </w:t>
      </w:r>
      <w:proofErr w:type="spellStart"/>
      <w:r>
        <w:t>Scoppetta</w:t>
      </w:r>
      <w:proofErr w:type="spellEnd"/>
      <w:r>
        <w:t xml:space="preserve">, A., 2020. </w:t>
      </w:r>
      <w:proofErr w:type="spellStart"/>
      <w:r>
        <w:t>Alianzas</w:t>
      </w:r>
      <w:proofErr w:type="spellEnd"/>
      <w:r>
        <w:t xml:space="preserve"> para </w:t>
      </w:r>
      <w:proofErr w:type="spellStart"/>
      <w:r>
        <w:t>los</w:t>
      </w:r>
      <w:proofErr w:type="spellEnd"/>
      <w:r>
        <w:t xml:space="preserve"> </w:t>
      </w:r>
      <w:proofErr w:type="spellStart"/>
      <w:r>
        <w:t>Objetivos</w:t>
      </w:r>
      <w:proofErr w:type="spellEnd"/>
      <w:r>
        <w:t xml:space="preserve">: </w:t>
      </w:r>
      <w:proofErr w:type="spellStart"/>
      <w:r>
        <w:t>más</w:t>
      </w:r>
      <w:proofErr w:type="spellEnd"/>
      <w:r>
        <w:t xml:space="preserve"> </w:t>
      </w:r>
      <w:proofErr w:type="spellStart"/>
      <w:r>
        <w:t>allá</w:t>
      </w:r>
      <w:proofErr w:type="spellEnd"/>
      <w:r>
        <w:t xml:space="preserve"> del ODS 17. </w:t>
      </w:r>
      <w:proofErr w:type="spellStart"/>
      <w:r>
        <w:t>Revista</w:t>
      </w:r>
      <w:proofErr w:type="spellEnd"/>
      <w:r>
        <w:t xml:space="preserve"> </w:t>
      </w:r>
      <w:proofErr w:type="spellStart"/>
      <w:r>
        <w:t>Diecisiete</w:t>
      </w:r>
      <w:proofErr w:type="spellEnd"/>
      <w:r>
        <w:t xml:space="preserve">: </w:t>
      </w:r>
      <w:proofErr w:type="spellStart"/>
      <w:r>
        <w:t>Investigación</w:t>
      </w:r>
      <w:proofErr w:type="spellEnd"/>
      <w:r>
        <w:t xml:space="preserve"> </w:t>
      </w:r>
      <w:proofErr w:type="spellStart"/>
      <w:r>
        <w:t>Interdisciplinar</w:t>
      </w:r>
      <w:proofErr w:type="spellEnd"/>
      <w:r>
        <w:t xml:space="preserve"> para </w:t>
      </w:r>
      <w:proofErr w:type="spellStart"/>
      <w:r>
        <w:t>los</w:t>
      </w:r>
      <w:proofErr w:type="spellEnd"/>
      <w:r>
        <w:t xml:space="preserve"> </w:t>
      </w:r>
      <w:proofErr w:type="spellStart"/>
      <w:r>
        <w:t>Objetivos</w:t>
      </w:r>
      <w:proofErr w:type="spellEnd"/>
      <w:r>
        <w:t xml:space="preserve"> de Desarrollo </w:t>
      </w:r>
      <w:proofErr w:type="spellStart"/>
      <w:r>
        <w:t>Sostenible</w:t>
      </w:r>
      <w:proofErr w:type="spellEnd"/>
      <w:r>
        <w:t>, (2), pp.29-38.</w:t>
      </w:r>
    </w:p>
    <w:p w14:paraId="0ED7121D" w14:textId="77777777" w:rsidR="00AB3ACF" w:rsidRDefault="00000000">
      <w:pPr>
        <w:spacing w:before="240" w:after="240"/>
      </w:pPr>
      <w:proofErr w:type="spellStart"/>
      <w:r>
        <w:t>Sustainabledevelopment</w:t>
      </w:r>
      <w:proofErr w:type="spellEnd"/>
      <w:r>
        <w:t xml:space="preserve">, 2019. Discussion on SDG 4 – Quality education. [online] Sustainabledevelopment.un.org. Available at: </w:t>
      </w:r>
      <w:r>
        <w:lastRenderedPageBreak/>
        <w:t>&lt;https://sustainabledevelopment.un.org/content/documents/23669BN_SDG4.pdf&gt; [Accessed 2 August 2022].</w:t>
      </w:r>
    </w:p>
    <w:p w14:paraId="6BDE94E2" w14:textId="77777777" w:rsidR="00AB3ACF" w:rsidRDefault="00000000">
      <w:pPr>
        <w:spacing w:before="240" w:after="240"/>
      </w:pPr>
      <w:r>
        <w:t>Tower Hamlets Council, 2021. Tower Hamlets Council Health Impact Assessment Guidance July 2021. Tower Hamlets Council.</w:t>
      </w:r>
    </w:p>
    <w:p w14:paraId="5502A4B3" w14:textId="77777777" w:rsidR="00AB3ACF" w:rsidRDefault="00000000">
      <w:pPr>
        <w:spacing w:before="240" w:after="240"/>
      </w:pPr>
      <w:r>
        <w:t>Tower Hamlets Council, 2022. Tower Hamlets Local Plan 2031: Policies. Tower Hamlets Council.</w:t>
      </w:r>
    </w:p>
    <w:p w14:paraId="617557F1" w14:textId="77777777" w:rsidR="00AB3ACF" w:rsidRDefault="00000000">
      <w:pPr>
        <w:spacing w:before="240" w:after="240"/>
      </w:pPr>
      <w:r>
        <w:t>Tower Hamlets, 2018. Tower Hamlets Growth and Economic Development Plan 2018-2023. Tower Hamlets.</w:t>
      </w:r>
    </w:p>
    <w:p w14:paraId="6DBBAE7C" w14:textId="77777777" w:rsidR="00AB3ACF" w:rsidRDefault="00000000">
      <w:pPr>
        <w:spacing w:before="240" w:after="240"/>
      </w:pPr>
      <w:r>
        <w:t>Tower Hamlets, 2022. Green ivy walls improve air quality at Tower Hamlets schools. [online] Towerhamlets.gov.uk. Available at: &lt;https://www.towerhamlets.gov.uk/News_events/2022/July-2022/Green-ivy-walls-improve-air-quality-at-Tower-Hamlets-schools.aspx&gt; [Accessed 3 August 2022].</w:t>
      </w:r>
    </w:p>
    <w:p w14:paraId="5421C780" w14:textId="77777777" w:rsidR="00AB3ACF" w:rsidRDefault="00000000">
      <w:pPr>
        <w:spacing w:before="240" w:after="240"/>
      </w:pPr>
      <w:r>
        <w:t>Tower Hamlets, 2022. Tower Hamlets has biggest population increase in the country. [online] Towerhamlets.gov.uk. Available at: &lt;https://www.towerhamlets.gov.uk/News_events/2022/June-2022/Tower-Hamlets-has-biggest-population-increase-in-the-country.aspx&gt; [Accessed 3 August 2022].</w:t>
      </w:r>
    </w:p>
    <w:p w14:paraId="2EEF6E77" w14:textId="77777777" w:rsidR="00AB3ACF" w:rsidRDefault="00000000">
      <w:pPr>
        <w:spacing w:before="240" w:after="240"/>
      </w:pPr>
      <w:r>
        <w:t>United Nations, 2015. TRANSFORMING OUR WORLD: THE 2030 AGENDA FOR SUSTAINABLE DEVELOPMENT. United Nations.</w:t>
      </w:r>
    </w:p>
    <w:p w14:paraId="326D9376" w14:textId="77777777" w:rsidR="00AB3ACF" w:rsidRDefault="00000000">
      <w:pPr>
        <w:spacing w:before="240" w:after="240"/>
      </w:pPr>
      <w:r>
        <w:t>United Nations, 2022. SDG 3: GOOD HEALTH AND WELL-BEING. United Nations.</w:t>
      </w:r>
    </w:p>
    <w:sectPr w:rsidR="00AB3ACF">
      <w:footerReference w:type="default" r:id="rId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999DB" w14:textId="77777777" w:rsidR="004253DE" w:rsidRDefault="004253DE">
      <w:pPr>
        <w:spacing w:line="240" w:lineRule="auto"/>
      </w:pPr>
      <w:r>
        <w:separator/>
      </w:r>
    </w:p>
  </w:endnote>
  <w:endnote w:type="continuationSeparator" w:id="0">
    <w:p w14:paraId="5CE827DC" w14:textId="77777777" w:rsidR="004253DE" w:rsidRDefault="00425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7F65" w14:textId="77777777" w:rsidR="00AB3ACF" w:rsidRDefault="00000000">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986EF6">
      <w:rPr>
        <w:noProof/>
        <w:color w:val="000000"/>
      </w:rPr>
      <w:t>1</w:t>
    </w:r>
    <w:r>
      <w:rPr>
        <w:color w:val="000000"/>
      </w:rPr>
      <w:fldChar w:fldCharType="end"/>
    </w:r>
  </w:p>
  <w:p w14:paraId="6EBE1C02" w14:textId="77777777" w:rsidR="00AB3ACF" w:rsidRDefault="00AB3AC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FFAA7" w14:textId="77777777" w:rsidR="004253DE" w:rsidRDefault="004253DE">
      <w:pPr>
        <w:spacing w:line="240" w:lineRule="auto"/>
      </w:pPr>
      <w:r>
        <w:separator/>
      </w:r>
    </w:p>
  </w:footnote>
  <w:footnote w:type="continuationSeparator" w:id="0">
    <w:p w14:paraId="54575309" w14:textId="77777777" w:rsidR="004253DE" w:rsidRDefault="004253D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B3ACF"/>
    <w:rsid w:val="00274BE3"/>
    <w:rsid w:val="002E4CFF"/>
    <w:rsid w:val="003A1385"/>
    <w:rsid w:val="004253DE"/>
    <w:rsid w:val="0094691D"/>
    <w:rsid w:val="0097712F"/>
    <w:rsid w:val="00986EF6"/>
    <w:rsid w:val="00A23F90"/>
    <w:rsid w:val="00AB3ACF"/>
    <w:rsid w:val="00AF5B98"/>
    <w:rsid w:val="00C224A5"/>
    <w:rsid w:val="00D93712"/>
    <w:rsid w:val="00E33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C93F16"/>
  <w15:docId w15:val="{69299119-9D3C-4DFE-B197-587CF2111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432" w:hanging="432"/>
      <w:outlineLvl w:val="0"/>
    </w:pPr>
    <w:rPr>
      <w: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ind w:left="720" w:hanging="720"/>
      <w:outlineLvl w:val="2"/>
    </w:pPr>
    <w:rPr>
      <w:i/>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link w:val="NoSpacingChar"/>
    <w:uiPriority w:val="1"/>
    <w:qFormat/>
    <w:rsid w:val="002E4CFF"/>
    <w:pPr>
      <w:spacing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E4CFF"/>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19</Pages>
  <Words>4468</Words>
  <Characters>25471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Health, Wellbeing and Sustainable Development (BMHP6021)</dc:subject>
  <dc:creator>Crizanta Barros</dc:creator>
  <cp:keywords/>
  <dc:description/>
  <cp:lastModifiedBy>crizanta Barros</cp:lastModifiedBy>
  <cp:revision>2</cp:revision>
  <dcterms:created xsi:type="dcterms:W3CDTF">2022-08-08T21:25:00Z</dcterms:created>
  <dcterms:modified xsi:type="dcterms:W3CDTF">2022-08-27T01:42:00Z</dcterms:modified>
</cp:coreProperties>
</file>