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inorBidi" w:hAnsiTheme="minorBidi"/>
          <w:sz w:val="28"/>
          <w:szCs w:val="28"/>
        </w:rPr>
        <w:id w:val="-2125371048"/>
        <w:docPartObj>
          <w:docPartGallery w:val="AutoText"/>
        </w:docPartObj>
      </w:sdtPr>
      <w:sdtEndPr>
        <w:rPr>
          <w:rFonts w:asciiTheme="minorBidi" w:hAnsiTheme="minorBidi"/>
          <w:sz w:val="32"/>
          <w:szCs w:val="32"/>
        </w:rPr>
      </w:sdtEndPr>
      <w:sdtContent>
        <w:p w14:paraId="73DB30FB">
          <w:pPr>
            <w:spacing w:line="360" w:lineRule="auto"/>
            <w:jc w:val="center"/>
            <w:rPr>
              <w:rFonts w:asciiTheme="minorBidi" w:hAnsiTheme="minorBidi"/>
              <w:bCs/>
              <w:sz w:val="36"/>
              <w:szCs w:val="36"/>
            </w:rPr>
          </w:pPr>
          <w:r>
            <w:rPr>
              <w:rFonts w:asciiTheme="minorBidi" w:hAnsiTheme="minorBidi"/>
              <w:bCs/>
              <w:sz w:val="36"/>
              <w:szCs w:val="36"/>
            </w:rPr>
            <w:drawing>
              <wp:inline distT="0" distB="0" distL="0" distR="0">
                <wp:extent cx="2260600" cy="901700"/>
                <wp:effectExtent l="0" t="0" r="635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2260600" cy="901700"/>
                        </a:xfrm>
                        <a:prstGeom prst="rect">
                          <a:avLst/>
                        </a:prstGeom>
                        <a:noFill/>
                        <a:ln>
                          <a:noFill/>
                        </a:ln>
                      </pic:spPr>
                    </pic:pic>
                  </a:graphicData>
                </a:graphic>
              </wp:inline>
            </w:drawing>
          </w:r>
        </w:p>
        <w:p w14:paraId="3AF2F975">
          <w:pPr>
            <w:spacing w:line="360" w:lineRule="auto"/>
            <w:jc w:val="center"/>
            <w:rPr>
              <w:rFonts w:asciiTheme="minorBidi" w:hAnsiTheme="minorBidi"/>
              <w:bCs/>
              <w:sz w:val="36"/>
              <w:szCs w:val="36"/>
            </w:rPr>
          </w:pPr>
        </w:p>
        <w:p w14:paraId="1658C31D">
          <w:pPr>
            <w:spacing w:line="360" w:lineRule="auto"/>
            <w:jc w:val="center"/>
            <w:rPr>
              <w:rFonts w:asciiTheme="minorBidi" w:hAnsiTheme="minorBidi"/>
              <w:b/>
              <w:sz w:val="32"/>
              <w:szCs w:val="32"/>
            </w:rPr>
          </w:pPr>
          <w:r>
            <w:rPr>
              <w:rFonts w:asciiTheme="minorBidi" w:hAnsiTheme="minorBidi"/>
              <w:b/>
              <w:sz w:val="32"/>
              <w:szCs w:val="32"/>
            </w:rPr>
            <w:t>BHP Strategic Growth and Environmental Analysis: A Study of Sustainability-Driven Competitive Advantage</w:t>
          </w:r>
        </w:p>
        <w:p w14:paraId="6641FF8E">
          <w:pPr>
            <w:spacing w:line="360" w:lineRule="auto"/>
            <w:jc w:val="both"/>
            <w:rPr>
              <w:rFonts w:asciiTheme="minorBidi" w:hAnsiTheme="minorBidi"/>
              <w:bCs/>
              <w:sz w:val="36"/>
              <w:szCs w:val="36"/>
            </w:rPr>
          </w:pPr>
        </w:p>
        <w:p w14:paraId="0CF5EA7E">
          <w:pPr>
            <w:spacing w:line="360" w:lineRule="auto"/>
            <w:jc w:val="center"/>
            <w:rPr>
              <w:rFonts w:asciiTheme="minorBidi" w:hAnsiTheme="minorBidi"/>
              <w:b/>
              <w:sz w:val="32"/>
              <w:szCs w:val="32"/>
            </w:rPr>
          </w:pPr>
          <w:r>
            <w:rPr>
              <w:rFonts w:asciiTheme="minorBidi" w:hAnsiTheme="minorBidi"/>
              <w:b/>
              <w:sz w:val="32"/>
              <w:szCs w:val="32"/>
            </w:rPr>
            <w:t>Programme: Master of Business Administration</w:t>
          </w:r>
        </w:p>
        <w:p w14:paraId="51319992">
          <w:pPr>
            <w:spacing w:line="360" w:lineRule="auto"/>
            <w:jc w:val="center"/>
            <w:rPr>
              <w:rFonts w:asciiTheme="minorBidi" w:hAnsiTheme="minorBidi"/>
              <w:b/>
              <w:sz w:val="32"/>
              <w:szCs w:val="32"/>
            </w:rPr>
          </w:pPr>
          <w:r>
            <w:rPr>
              <w:rFonts w:asciiTheme="minorBidi" w:hAnsiTheme="minorBidi"/>
              <w:b/>
              <w:sz w:val="32"/>
              <w:szCs w:val="32"/>
            </w:rPr>
            <w:t>Module: Marketing Management</w:t>
          </w:r>
        </w:p>
        <w:p w14:paraId="76DD5FE9">
          <w:pPr>
            <w:spacing w:line="360" w:lineRule="auto"/>
            <w:jc w:val="center"/>
            <w:rPr>
              <w:rFonts w:asciiTheme="minorBidi" w:hAnsiTheme="minorBidi"/>
              <w:b/>
              <w:sz w:val="32"/>
              <w:szCs w:val="32"/>
            </w:rPr>
          </w:pPr>
          <w:r>
            <w:rPr>
              <w:rFonts w:asciiTheme="minorBidi" w:hAnsiTheme="minorBidi"/>
              <w:b/>
              <w:sz w:val="32"/>
              <w:szCs w:val="32"/>
            </w:rPr>
            <w:t>Module code: LCMB7024</w:t>
          </w:r>
        </w:p>
        <w:p w14:paraId="25B560BC">
          <w:pPr>
            <w:spacing w:line="360" w:lineRule="auto"/>
            <w:jc w:val="center"/>
            <w:rPr>
              <w:rFonts w:asciiTheme="minorBidi" w:hAnsiTheme="minorBidi"/>
              <w:b/>
              <w:sz w:val="32"/>
              <w:szCs w:val="32"/>
            </w:rPr>
          </w:pPr>
          <w:r>
            <w:rPr>
              <w:rFonts w:asciiTheme="minorBidi" w:hAnsiTheme="minorBidi"/>
              <w:b/>
              <w:sz w:val="32"/>
              <w:szCs w:val="32"/>
            </w:rPr>
            <w:t>Lecturer: Taonga kaonga Sobere-Snithers</w:t>
          </w:r>
        </w:p>
        <w:p w14:paraId="3A4CE623">
          <w:pPr>
            <w:spacing w:line="360" w:lineRule="auto"/>
            <w:jc w:val="center"/>
            <w:rPr>
              <w:rFonts w:asciiTheme="minorBidi" w:hAnsiTheme="minorBidi"/>
              <w:b/>
              <w:sz w:val="32"/>
              <w:szCs w:val="32"/>
            </w:rPr>
          </w:pPr>
          <w:r>
            <w:rPr>
              <w:rFonts w:asciiTheme="minorBidi" w:hAnsiTheme="minorBidi"/>
              <w:b/>
              <w:sz w:val="32"/>
              <w:szCs w:val="32"/>
            </w:rPr>
            <w:t>Submitted By:</w:t>
          </w:r>
        </w:p>
        <w:p w14:paraId="33259E63">
          <w:pPr>
            <w:spacing w:line="360" w:lineRule="auto"/>
            <w:jc w:val="center"/>
            <w:rPr>
              <w:rFonts w:asciiTheme="minorBidi" w:hAnsiTheme="minorBidi"/>
              <w:b/>
              <w:sz w:val="32"/>
              <w:szCs w:val="32"/>
            </w:rPr>
          </w:pPr>
          <w:r>
            <w:rPr>
              <w:rFonts w:asciiTheme="minorBidi" w:hAnsiTheme="minorBidi"/>
              <w:b/>
              <w:sz w:val="32"/>
              <w:szCs w:val="32"/>
            </w:rPr>
            <w:t>Yaatri Ramesh bapodra</w:t>
          </w:r>
        </w:p>
        <w:p w14:paraId="453A155B">
          <w:pPr>
            <w:spacing w:line="360" w:lineRule="auto"/>
            <w:jc w:val="center"/>
            <w:rPr>
              <w:rFonts w:asciiTheme="minorBidi" w:hAnsiTheme="minorBidi"/>
              <w:b/>
              <w:sz w:val="32"/>
              <w:szCs w:val="32"/>
            </w:rPr>
          </w:pPr>
          <w:r>
            <w:rPr>
              <w:rFonts w:asciiTheme="minorBidi" w:hAnsiTheme="minorBidi"/>
              <w:b/>
              <w:sz w:val="32"/>
              <w:szCs w:val="32"/>
            </w:rPr>
            <w:t>2536592</w:t>
          </w:r>
        </w:p>
        <w:p w14:paraId="60521248">
          <w:pPr>
            <w:spacing w:line="360" w:lineRule="auto"/>
            <w:jc w:val="center"/>
            <w:rPr>
              <w:rFonts w:asciiTheme="minorBidi" w:hAnsiTheme="minorBidi"/>
              <w:b/>
              <w:sz w:val="32"/>
              <w:szCs w:val="32"/>
            </w:rPr>
          </w:pPr>
          <w:r>
            <w:rPr>
              <w:rFonts w:asciiTheme="minorBidi" w:hAnsiTheme="minorBidi"/>
              <w:b/>
              <w:sz w:val="32"/>
              <w:szCs w:val="32"/>
            </w:rPr>
            <w:t>Wordcount: 2600</w:t>
          </w:r>
        </w:p>
        <w:p w14:paraId="47944646">
          <w:pPr>
            <w:spacing w:line="360" w:lineRule="auto"/>
            <w:jc w:val="both"/>
            <w:rPr>
              <w:rFonts w:asciiTheme="minorBidi" w:hAnsiTheme="minorBidi"/>
              <w:bCs/>
              <w:sz w:val="32"/>
              <w:szCs w:val="32"/>
            </w:rPr>
          </w:pPr>
        </w:p>
        <w:p w14:paraId="1E58B769">
          <w:pPr>
            <w:spacing w:line="360" w:lineRule="auto"/>
            <w:jc w:val="both"/>
            <w:rPr>
              <w:rFonts w:asciiTheme="minorBidi" w:hAnsiTheme="minorBidi"/>
              <w:bCs/>
              <w:sz w:val="36"/>
              <w:szCs w:val="36"/>
            </w:rPr>
          </w:pPr>
        </w:p>
        <w:p w14:paraId="4C80F1AA">
          <w:pPr>
            <w:spacing w:line="360" w:lineRule="auto"/>
            <w:jc w:val="both"/>
            <w:rPr>
              <w:rFonts w:asciiTheme="minorBidi" w:hAnsiTheme="minorBidi"/>
              <w:bCs/>
              <w:sz w:val="36"/>
              <w:szCs w:val="36"/>
            </w:rPr>
          </w:pPr>
        </w:p>
        <w:sdt>
          <w:sdtPr>
            <w:rPr>
              <w:rFonts w:asciiTheme="minorBidi" w:hAnsiTheme="minorBidi" w:eastAsiaTheme="minorEastAsia" w:cstheme="minorBidi"/>
              <w:b w:val="0"/>
              <w:color w:val="auto"/>
              <w:sz w:val="32"/>
              <w:szCs w:val="32"/>
            </w:rPr>
            <w:id w:val="-554615915"/>
            <w:docPartObj>
              <w:docPartGallery w:val="Table of Contents"/>
              <w:docPartUnique/>
            </w:docPartObj>
          </w:sdtPr>
          <w:sdtEndPr>
            <w:rPr>
              <w:rFonts w:asciiTheme="minorBidi" w:hAnsiTheme="minorBidi" w:eastAsiaTheme="minorEastAsia" w:cstheme="minorBidi"/>
              <w:b w:val="0"/>
              <w:bCs/>
              <w:color w:val="auto"/>
              <w:sz w:val="32"/>
              <w:szCs w:val="32"/>
            </w:rPr>
          </w:sdtEndPr>
          <w:sdtContent>
            <w:p w14:paraId="09C3DB48">
              <w:pPr>
                <w:pStyle w:val="37"/>
                <w:spacing w:line="360" w:lineRule="auto"/>
                <w:jc w:val="left"/>
                <w:rPr>
                  <w:rFonts w:asciiTheme="minorBidi" w:hAnsiTheme="minorBidi" w:cstheme="minorBidi"/>
                  <w:sz w:val="32"/>
                  <w:szCs w:val="32"/>
                </w:rPr>
              </w:pPr>
              <w:r>
                <w:rPr>
                  <w:rFonts w:asciiTheme="minorBidi" w:hAnsiTheme="minorBidi" w:cstheme="minorBidi"/>
                  <w:sz w:val="32"/>
                  <w:szCs w:val="32"/>
                </w:rPr>
                <w:t xml:space="preserve">                                             Table of Contents</w:t>
              </w:r>
            </w:p>
            <w:p w14:paraId="39C00870">
              <w:pPr>
                <w:pStyle w:val="17"/>
                <w:tabs>
                  <w:tab w:val="left" w:pos="420"/>
                </w:tabs>
                <w:rPr>
                  <w:rFonts w:asciiTheme="minorBidi" w:hAnsiTheme="minorBidi"/>
                  <w:kern w:val="2"/>
                  <w:sz w:val="32"/>
                  <w:szCs w:val="32"/>
                  <w14:ligatures w14:val="standardContextual"/>
                </w:rPr>
              </w:pPr>
              <w:r>
                <w:rPr>
                  <w:rFonts w:asciiTheme="minorBidi" w:hAnsiTheme="minorBidi"/>
                  <w:sz w:val="32"/>
                  <w:szCs w:val="32"/>
                </w:rPr>
                <w:fldChar w:fldCharType="begin"/>
              </w:r>
              <w:r>
                <w:rPr>
                  <w:rFonts w:asciiTheme="minorBidi" w:hAnsiTheme="minorBidi"/>
                  <w:sz w:val="32"/>
                  <w:szCs w:val="32"/>
                </w:rPr>
                <w:instrText xml:space="preserve"> TOC \o "1-3" \h \z \u </w:instrText>
              </w:r>
              <w:r>
                <w:rPr>
                  <w:rFonts w:asciiTheme="minorBidi" w:hAnsiTheme="minorBidi"/>
                  <w:sz w:val="32"/>
                  <w:szCs w:val="32"/>
                </w:rPr>
                <w:fldChar w:fldCharType="separate"/>
              </w:r>
              <w:r>
                <w:fldChar w:fldCharType="begin"/>
              </w:r>
              <w:r>
                <w:instrText xml:space="preserve"> HYPERLINK \l "_Toc232699792" </w:instrText>
              </w:r>
              <w:r>
                <w:fldChar w:fldCharType="separate"/>
              </w:r>
              <w:r>
                <w:rPr>
                  <w:rStyle w:val="14"/>
                  <w:rFonts w:asciiTheme="minorBidi" w:hAnsiTheme="minorBidi"/>
                  <w:sz w:val="32"/>
                  <w:szCs w:val="32"/>
                </w:rPr>
                <w:t>1.</w:t>
              </w:r>
              <w:r>
                <w:rPr>
                  <w:rFonts w:asciiTheme="minorBidi" w:hAnsiTheme="minorBidi"/>
                  <w:kern w:val="2"/>
                  <w:sz w:val="32"/>
                  <w:szCs w:val="32"/>
                  <w14:ligatures w14:val="standardContextual"/>
                </w:rPr>
                <w:tab/>
              </w:r>
              <w:r>
                <w:rPr>
                  <w:rStyle w:val="14"/>
                  <w:rFonts w:asciiTheme="minorBidi" w:hAnsiTheme="minorBidi"/>
                  <w:sz w:val="32"/>
                  <w:szCs w:val="32"/>
                </w:rPr>
                <w:t>Introduction</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_Toc232699792 \h </w:instrText>
              </w:r>
              <w:r>
                <w:rPr>
                  <w:rFonts w:asciiTheme="minorBidi" w:hAnsiTheme="minorBidi"/>
                  <w:sz w:val="32"/>
                  <w:szCs w:val="32"/>
                </w:rPr>
                <w:fldChar w:fldCharType="separate"/>
              </w:r>
              <w:r>
                <w:rPr>
                  <w:rFonts w:asciiTheme="minorBidi" w:hAnsiTheme="minorBidi"/>
                  <w:sz w:val="32"/>
                  <w:szCs w:val="32"/>
                </w:rPr>
                <w:t>3</w:t>
              </w:r>
              <w:r>
                <w:rPr>
                  <w:rFonts w:asciiTheme="minorBidi" w:hAnsiTheme="minorBidi"/>
                  <w:sz w:val="32"/>
                  <w:szCs w:val="32"/>
                </w:rPr>
                <w:fldChar w:fldCharType="end"/>
              </w:r>
              <w:r>
                <w:rPr>
                  <w:rFonts w:asciiTheme="minorBidi" w:hAnsiTheme="minorBidi"/>
                  <w:sz w:val="32"/>
                  <w:szCs w:val="32"/>
                </w:rPr>
                <w:fldChar w:fldCharType="end"/>
              </w:r>
            </w:p>
            <w:p w14:paraId="17107BC5">
              <w:pPr>
                <w:pStyle w:val="17"/>
                <w:tabs>
                  <w:tab w:val="left" w:pos="420"/>
                </w:tabs>
                <w:rPr>
                  <w:rFonts w:asciiTheme="minorBidi" w:hAnsiTheme="minorBidi"/>
                  <w:kern w:val="2"/>
                  <w:sz w:val="32"/>
                  <w:szCs w:val="32"/>
                  <w14:ligatures w14:val="standardContextual"/>
                </w:rPr>
              </w:pPr>
              <w:r>
                <w:fldChar w:fldCharType="begin"/>
              </w:r>
              <w:r>
                <w:instrText xml:space="preserve"> HYPERLINK \l "_Toc232699793" </w:instrText>
              </w:r>
              <w:r>
                <w:fldChar w:fldCharType="separate"/>
              </w:r>
              <w:r>
                <w:rPr>
                  <w:rStyle w:val="14"/>
                  <w:rFonts w:asciiTheme="minorBidi" w:hAnsiTheme="minorBidi"/>
                  <w:sz w:val="32"/>
                  <w:szCs w:val="32"/>
                </w:rPr>
                <w:t>2.</w:t>
              </w:r>
              <w:r>
                <w:rPr>
                  <w:rFonts w:asciiTheme="minorBidi" w:hAnsiTheme="minorBidi"/>
                  <w:kern w:val="2"/>
                  <w:sz w:val="32"/>
                  <w:szCs w:val="32"/>
                  <w14:ligatures w14:val="standardContextual"/>
                </w:rPr>
                <w:tab/>
              </w:r>
              <w:r>
                <w:rPr>
                  <w:rStyle w:val="14"/>
                  <w:rFonts w:asciiTheme="minorBidi" w:hAnsiTheme="minorBidi"/>
                  <w:sz w:val="32"/>
                  <w:szCs w:val="32"/>
                </w:rPr>
                <w:t>Marketing Environment Analysis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_Toc232699793 \h </w:instrText>
              </w:r>
              <w:r>
                <w:rPr>
                  <w:rFonts w:asciiTheme="minorBidi" w:hAnsiTheme="minorBidi"/>
                  <w:sz w:val="32"/>
                  <w:szCs w:val="32"/>
                </w:rPr>
                <w:fldChar w:fldCharType="separate"/>
              </w:r>
              <w:r>
                <w:rPr>
                  <w:rFonts w:asciiTheme="minorBidi" w:hAnsiTheme="minorBidi"/>
                  <w:sz w:val="32"/>
                  <w:szCs w:val="32"/>
                </w:rPr>
                <w:t>4</w:t>
              </w:r>
              <w:r>
                <w:rPr>
                  <w:rFonts w:asciiTheme="minorBidi" w:hAnsiTheme="minorBidi"/>
                  <w:sz w:val="32"/>
                  <w:szCs w:val="32"/>
                </w:rPr>
                <w:fldChar w:fldCharType="end"/>
              </w:r>
              <w:r>
                <w:rPr>
                  <w:rFonts w:asciiTheme="minorBidi" w:hAnsiTheme="minorBidi"/>
                  <w:sz w:val="32"/>
                  <w:szCs w:val="32"/>
                </w:rPr>
                <w:fldChar w:fldCharType="end"/>
              </w:r>
            </w:p>
            <w:p w14:paraId="6E68E831">
              <w:pPr>
                <w:pStyle w:val="17"/>
                <w:rPr>
                  <w:rFonts w:asciiTheme="minorBidi" w:hAnsiTheme="minorBidi"/>
                  <w:kern w:val="2"/>
                  <w:sz w:val="32"/>
                  <w:szCs w:val="32"/>
                  <w14:ligatures w14:val="standardContextual"/>
                </w:rPr>
              </w:pPr>
              <w:r>
                <w:fldChar w:fldCharType="begin"/>
              </w:r>
              <w:r>
                <w:instrText xml:space="preserve"> HYPERLINK \l "_Toc232699794" </w:instrText>
              </w:r>
              <w:r>
                <w:fldChar w:fldCharType="separate"/>
              </w:r>
              <w:r>
                <w:rPr>
                  <w:rStyle w:val="14"/>
                  <w:rFonts w:asciiTheme="minorBidi" w:hAnsiTheme="minorBidi"/>
                  <w:sz w:val="32"/>
                  <w:szCs w:val="32"/>
                </w:rPr>
                <w:t>2.1 Natural Environment</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_Toc232699794 \h </w:instrText>
              </w:r>
              <w:r>
                <w:rPr>
                  <w:rFonts w:asciiTheme="minorBidi" w:hAnsiTheme="minorBidi"/>
                  <w:sz w:val="32"/>
                  <w:szCs w:val="32"/>
                </w:rPr>
                <w:fldChar w:fldCharType="separate"/>
              </w:r>
              <w:r>
                <w:rPr>
                  <w:rFonts w:asciiTheme="minorBidi" w:hAnsiTheme="minorBidi"/>
                  <w:sz w:val="32"/>
                  <w:szCs w:val="32"/>
                </w:rPr>
                <w:t>5</w:t>
              </w:r>
              <w:r>
                <w:rPr>
                  <w:rFonts w:asciiTheme="minorBidi" w:hAnsiTheme="minorBidi"/>
                  <w:sz w:val="32"/>
                  <w:szCs w:val="32"/>
                </w:rPr>
                <w:fldChar w:fldCharType="end"/>
              </w:r>
              <w:r>
                <w:rPr>
                  <w:rFonts w:asciiTheme="minorBidi" w:hAnsiTheme="minorBidi"/>
                  <w:sz w:val="32"/>
                  <w:szCs w:val="32"/>
                </w:rPr>
                <w:fldChar w:fldCharType="end"/>
              </w:r>
            </w:p>
            <w:p w14:paraId="49A07F69">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"_Toc232699795" </w:instrText>
              </w:r>
              <w:r>
                <w:fldChar w:fldCharType="separate"/>
              </w:r>
              <w:r>
                <w:rPr>
                  <w:rStyle w:val="14"/>
                  <w:rFonts w:eastAsia="Arial" w:asciiTheme="minorBidi" w:hAnsiTheme="minorBidi"/>
                  <w:sz w:val="32"/>
                  <w:szCs w:val="32"/>
                </w:rPr>
                <w:t>2.1.1 Climate Change and Sustainability Pressures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_Toc232699795 \h </w:instrText>
              </w:r>
              <w:r>
                <w:rPr>
                  <w:rFonts w:asciiTheme="minorBidi" w:hAnsiTheme="minorBidi"/>
                  <w:sz w:val="32"/>
                  <w:szCs w:val="32"/>
                </w:rPr>
                <w:fldChar w:fldCharType="separate"/>
              </w:r>
              <w:r>
                <w:rPr>
                  <w:rFonts w:asciiTheme="minorBidi" w:hAnsiTheme="minorBidi"/>
                  <w:sz w:val="32"/>
                  <w:szCs w:val="32"/>
                </w:rPr>
                <w:t>5</w:t>
              </w:r>
              <w:r>
                <w:rPr>
                  <w:rFonts w:asciiTheme="minorBidi" w:hAnsiTheme="minorBidi"/>
                  <w:sz w:val="32"/>
                  <w:szCs w:val="32"/>
                </w:rPr>
                <w:fldChar w:fldCharType="end"/>
              </w:r>
              <w:r>
                <w:rPr>
                  <w:rFonts w:asciiTheme="minorBidi" w:hAnsiTheme="minorBidi"/>
                  <w:sz w:val="32"/>
                  <w:szCs w:val="32"/>
                </w:rPr>
                <w:fldChar w:fldCharType="end"/>
              </w:r>
            </w:p>
            <w:p w14:paraId="2D44B04B">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"_Toc232699796" </w:instrText>
              </w:r>
              <w:r>
                <w:fldChar w:fldCharType="separate"/>
              </w:r>
              <w:r>
                <w:rPr>
                  <w:rStyle w:val="14"/>
                  <w:rFonts w:eastAsia="Arial" w:asciiTheme="minorBidi" w:hAnsiTheme="minorBidi"/>
                  <w:sz w:val="32"/>
                  <w:szCs w:val="32"/>
                </w:rPr>
                <w:t>2.1.2 Energy Transition and Demand for Critical Minerals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_Toc232699796 \h </w:instrText>
              </w:r>
              <w:r>
                <w:rPr>
                  <w:rFonts w:asciiTheme="minorBidi" w:hAnsiTheme="minorBidi"/>
                  <w:sz w:val="32"/>
                  <w:szCs w:val="32"/>
                </w:rPr>
                <w:fldChar w:fldCharType="separate"/>
              </w:r>
              <w:r>
                <w:rPr>
                  <w:rFonts w:asciiTheme="minorBidi" w:hAnsiTheme="minorBidi"/>
                  <w:sz w:val="32"/>
                  <w:szCs w:val="32"/>
                </w:rPr>
                <w:t>6</w:t>
              </w:r>
              <w:r>
                <w:rPr>
                  <w:rFonts w:asciiTheme="minorBidi" w:hAnsiTheme="minorBidi"/>
                  <w:sz w:val="32"/>
                  <w:szCs w:val="32"/>
                </w:rPr>
                <w:fldChar w:fldCharType="end"/>
              </w:r>
              <w:r>
                <w:rPr>
                  <w:rFonts w:asciiTheme="minorBidi" w:hAnsiTheme="minorBidi"/>
                  <w:sz w:val="32"/>
                  <w:szCs w:val="32"/>
                </w:rPr>
                <w:fldChar w:fldCharType="end"/>
              </w:r>
            </w:p>
            <w:p w14:paraId="3F2BFC39">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"_Toc232699797" </w:instrText>
              </w:r>
              <w:r>
                <w:fldChar w:fldCharType="separate"/>
              </w:r>
              <w:r>
                <w:rPr>
                  <w:rStyle w:val="14"/>
                  <w:rFonts w:eastAsia="Arial" w:asciiTheme="minorBidi" w:hAnsiTheme="minorBidi"/>
                  <w:sz w:val="32"/>
                  <w:szCs w:val="32"/>
                </w:rPr>
                <w:t>2.1.3 Evaluation of BHP's Strategic Response</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_Toc232699797 \h </w:instrText>
              </w:r>
              <w:r>
                <w:rPr>
                  <w:rFonts w:asciiTheme="minorBidi" w:hAnsiTheme="minorBidi"/>
                  <w:sz w:val="32"/>
                  <w:szCs w:val="32"/>
                </w:rPr>
                <w:fldChar w:fldCharType="separate"/>
              </w:r>
              <w:r>
                <w:rPr>
                  <w:rFonts w:asciiTheme="minorBidi" w:hAnsiTheme="minorBidi"/>
                  <w:sz w:val="32"/>
                  <w:szCs w:val="32"/>
                </w:rPr>
                <w:t>7</w:t>
              </w:r>
              <w:r>
                <w:rPr>
                  <w:rFonts w:asciiTheme="minorBidi" w:hAnsiTheme="minorBidi"/>
                  <w:sz w:val="32"/>
                  <w:szCs w:val="32"/>
                </w:rPr>
                <w:fldChar w:fldCharType="end"/>
              </w:r>
              <w:r>
                <w:rPr>
                  <w:rFonts w:asciiTheme="minorBidi" w:hAnsiTheme="minorBidi"/>
                  <w:sz w:val="32"/>
                  <w:szCs w:val="32"/>
                </w:rPr>
                <w:fldChar w:fldCharType="end"/>
              </w:r>
            </w:p>
            <w:p w14:paraId="1577DB6B">
              <w:pPr>
                <w:pStyle w:val="17"/>
                <w:rPr>
                  <w:rFonts w:asciiTheme="minorBidi" w:hAnsiTheme="minorBidi"/>
                  <w:kern w:val="2"/>
                  <w:sz w:val="32"/>
                  <w:szCs w:val="32"/>
                  <w14:ligatures w14:val="standardContextual"/>
                </w:rPr>
              </w:pPr>
              <w:r>
                <w:fldChar w:fldCharType="begin"/>
              </w:r>
              <w:r>
                <w:instrText xml:space="preserve"> HYPERLINK \l "_Toc232699798" </w:instrText>
              </w:r>
              <w:r>
                <w:fldChar w:fldCharType="separate"/>
              </w:r>
              <w:r>
                <w:rPr>
                  <w:rStyle w:val="14"/>
                  <w:rFonts w:asciiTheme="minorBidi" w:hAnsiTheme="minorBidi"/>
                  <w:sz w:val="32"/>
                  <w:szCs w:val="32"/>
                </w:rPr>
                <w:t>2.2 Political and Regulatory Environment</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_Toc232699798 \h </w:instrText>
              </w:r>
              <w:r>
                <w:rPr>
                  <w:rFonts w:asciiTheme="minorBidi" w:hAnsiTheme="minorBidi"/>
                  <w:sz w:val="32"/>
                  <w:szCs w:val="32"/>
                </w:rPr>
                <w:fldChar w:fldCharType="separate"/>
              </w:r>
              <w:r>
                <w:rPr>
                  <w:rFonts w:asciiTheme="minorBidi" w:hAnsiTheme="minorBidi"/>
                  <w:sz w:val="32"/>
                  <w:szCs w:val="32"/>
                </w:rPr>
                <w:t>8</w:t>
              </w:r>
              <w:r>
                <w:rPr>
                  <w:rFonts w:asciiTheme="minorBidi" w:hAnsiTheme="minorBidi"/>
                  <w:sz w:val="32"/>
                  <w:szCs w:val="32"/>
                </w:rPr>
                <w:fldChar w:fldCharType="end"/>
              </w:r>
              <w:r>
                <w:rPr>
                  <w:rFonts w:asciiTheme="minorBidi" w:hAnsiTheme="minorBidi"/>
                  <w:sz w:val="32"/>
                  <w:szCs w:val="32"/>
                </w:rPr>
                <w:fldChar w:fldCharType="end"/>
              </w:r>
            </w:p>
            <w:p w14:paraId="32296101">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"_Toc232699799" </w:instrText>
              </w:r>
              <w:r>
                <w:fldChar w:fldCharType="separate"/>
              </w:r>
              <w:r>
                <w:rPr>
                  <w:rStyle w:val="14"/>
                  <w:rFonts w:asciiTheme="minorBidi" w:hAnsiTheme="minorBidi"/>
                  <w:sz w:val="32"/>
                  <w:szCs w:val="32"/>
                </w:rPr>
                <w:t>2.2.1 Environmental Regulation and Carbon Policies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_Toc232699799 \h </w:instrText>
              </w:r>
              <w:r>
                <w:rPr>
                  <w:rFonts w:asciiTheme="minorBidi" w:hAnsiTheme="minorBidi"/>
                  <w:sz w:val="32"/>
                  <w:szCs w:val="32"/>
                </w:rPr>
                <w:fldChar w:fldCharType="separate"/>
              </w:r>
              <w:r>
                <w:rPr>
                  <w:rFonts w:asciiTheme="minorBidi" w:hAnsiTheme="minorBidi"/>
                  <w:sz w:val="32"/>
                  <w:szCs w:val="32"/>
                </w:rPr>
                <w:t>8</w:t>
              </w:r>
              <w:r>
                <w:rPr>
                  <w:rFonts w:asciiTheme="minorBidi" w:hAnsiTheme="minorBidi"/>
                  <w:sz w:val="32"/>
                  <w:szCs w:val="32"/>
                </w:rPr>
                <w:fldChar w:fldCharType="end"/>
              </w:r>
              <w:r>
                <w:rPr>
                  <w:rFonts w:asciiTheme="minorBidi" w:hAnsiTheme="minorBidi"/>
                  <w:sz w:val="32"/>
                  <w:szCs w:val="32"/>
                </w:rPr>
                <w:fldChar w:fldCharType="end"/>
              </w:r>
            </w:p>
            <w:p w14:paraId="787B21A0">
              <w:pPr>
                <w:pStyle w:val="18"/>
                <w:tabs>
                  <w:tab w:val="left" w:pos="960"/>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"_Toc232699800" </w:instrText>
              </w:r>
              <w:r>
                <w:fldChar w:fldCharType="separate"/>
              </w:r>
              <w:r>
                <w:rPr>
                  <w:rStyle w:val="14"/>
                  <w:rFonts w:asciiTheme="minorBidi" w:hAnsiTheme="minorBidi"/>
                  <w:sz w:val="32"/>
                  <w:szCs w:val="32"/>
                </w:rPr>
                <w:t>2.2.2</w:t>
              </w:r>
              <w:r>
                <w:rPr>
                  <w:rFonts w:asciiTheme="minorBidi" w:hAnsiTheme="minorBidi"/>
                  <w:kern w:val="2"/>
                  <w:sz w:val="32"/>
                  <w:szCs w:val="32"/>
                  <w14:ligatures w14:val="standardContextual"/>
                </w:rPr>
                <w:tab/>
              </w:r>
              <w:r>
                <w:rPr>
                  <w:rStyle w:val="14"/>
                  <w:rFonts w:asciiTheme="minorBidi" w:hAnsiTheme="minorBidi"/>
                  <w:sz w:val="32"/>
                  <w:szCs w:val="32"/>
                </w:rPr>
                <w:t>International Climate Agreements and Sustainability Standards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_Toc232699800 \h </w:instrText>
              </w:r>
              <w:r>
                <w:rPr>
                  <w:rFonts w:asciiTheme="minorBidi" w:hAnsiTheme="minorBidi"/>
                  <w:sz w:val="32"/>
                  <w:szCs w:val="32"/>
                </w:rPr>
                <w:fldChar w:fldCharType="separate"/>
              </w:r>
              <w:r>
                <w:rPr>
                  <w:rFonts w:asciiTheme="minorBidi" w:hAnsiTheme="minorBidi"/>
                  <w:sz w:val="32"/>
                  <w:szCs w:val="32"/>
                </w:rPr>
                <w:t>9</w:t>
              </w:r>
              <w:r>
                <w:rPr>
                  <w:rFonts w:asciiTheme="minorBidi" w:hAnsiTheme="minorBidi"/>
                  <w:sz w:val="32"/>
                  <w:szCs w:val="32"/>
                </w:rPr>
                <w:fldChar w:fldCharType="end"/>
              </w:r>
              <w:r>
                <w:rPr>
                  <w:rFonts w:asciiTheme="minorBidi" w:hAnsiTheme="minorBidi"/>
                  <w:sz w:val="32"/>
                  <w:szCs w:val="32"/>
                </w:rPr>
                <w:fldChar w:fldCharType="end"/>
              </w:r>
            </w:p>
            <w:p w14:paraId="26C5F528">
              <w:pPr>
                <w:pStyle w:val="18"/>
                <w:tabs>
                  <w:tab w:val="left" w:pos="960"/>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"_Toc232699801" </w:instrText>
              </w:r>
              <w:r>
                <w:fldChar w:fldCharType="separate"/>
              </w:r>
              <w:r>
                <w:rPr>
                  <w:rStyle w:val="14"/>
                  <w:rFonts w:asciiTheme="minorBidi" w:hAnsiTheme="minorBidi"/>
                  <w:sz w:val="32"/>
                  <w:szCs w:val="32"/>
                </w:rPr>
                <w:t>2.2.3</w:t>
              </w:r>
              <w:r>
                <w:rPr>
                  <w:rFonts w:asciiTheme="minorBidi" w:hAnsiTheme="minorBidi"/>
                  <w:kern w:val="2"/>
                  <w:sz w:val="32"/>
                  <w:szCs w:val="32"/>
                  <w14:ligatures w14:val="standardContextual"/>
                </w:rPr>
                <w:tab/>
              </w:r>
              <w:r>
                <w:rPr>
                  <w:rStyle w:val="14"/>
                  <w:rFonts w:asciiTheme="minorBidi" w:hAnsiTheme="minorBidi"/>
                  <w:sz w:val="32"/>
                  <w:szCs w:val="32"/>
                </w:rPr>
                <w:t>International Investment and Regulatory Challenges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_Toc232699801 \h </w:instrText>
              </w:r>
              <w:r>
                <w:rPr>
                  <w:rFonts w:asciiTheme="minorBidi" w:hAnsiTheme="minorBidi"/>
                  <w:sz w:val="32"/>
                  <w:szCs w:val="32"/>
                </w:rPr>
                <w:fldChar w:fldCharType="separate"/>
              </w:r>
              <w:r>
                <w:rPr>
                  <w:rFonts w:asciiTheme="minorBidi" w:hAnsiTheme="minorBidi"/>
                  <w:sz w:val="32"/>
                  <w:szCs w:val="32"/>
                </w:rPr>
                <w:t>9</w:t>
              </w:r>
              <w:r>
                <w:rPr>
                  <w:rFonts w:asciiTheme="minorBidi" w:hAnsiTheme="minorBidi"/>
                  <w:sz w:val="32"/>
                  <w:szCs w:val="32"/>
                </w:rPr>
                <w:fldChar w:fldCharType="end"/>
              </w:r>
              <w:r>
                <w:rPr>
                  <w:rFonts w:asciiTheme="minorBidi" w:hAnsiTheme="minorBidi"/>
                  <w:sz w:val="32"/>
                  <w:szCs w:val="32"/>
                </w:rPr>
                <w:fldChar w:fldCharType="end"/>
              </w:r>
            </w:p>
            <w:p w14:paraId="135AC6F1">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"_Toc232699802" </w:instrText>
              </w:r>
              <w:r>
                <w:fldChar w:fldCharType="separate"/>
              </w:r>
              <w:r>
                <w:rPr>
                  <w:rStyle w:val="14"/>
                  <w:rFonts w:asciiTheme="minorBidi" w:hAnsiTheme="minorBidi"/>
                  <w:sz w:val="32"/>
                  <w:szCs w:val="32"/>
                </w:rPr>
                <w:t>2.2.4 Evaluation of BHP's Regulatory Position</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_Toc232699802 \h </w:instrText>
              </w:r>
              <w:r>
                <w:rPr>
                  <w:rFonts w:asciiTheme="minorBidi" w:hAnsiTheme="minorBidi"/>
                  <w:sz w:val="32"/>
                  <w:szCs w:val="32"/>
                </w:rPr>
                <w:fldChar w:fldCharType="separate"/>
              </w:r>
              <w:r>
                <w:rPr>
                  <w:rFonts w:asciiTheme="minorBidi" w:hAnsiTheme="minorBidi"/>
                  <w:sz w:val="32"/>
                  <w:szCs w:val="32"/>
                </w:rPr>
                <w:t>10</w:t>
              </w:r>
              <w:r>
                <w:rPr>
                  <w:rFonts w:asciiTheme="minorBidi" w:hAnsiTheme="minorBidi"/>
                  <w:sz w:val="32"/>
                  <w:szCs w:val="32"/>
                </w:rPr>
                <w:fldChar w:fldCharType="end"/>
              </w:r>
              <w:r>
                <w:rPr>
                  <w:rFonts w:asciiTheme="minorBidi" w:hAnsiTheme="minorBidi"/>
                  <w:sz w:val="32"/>
                  <w:szCs w:val="32"/>
                </w:rPr>
                <w:fldChar w:fldCharType="end"/>
              </w:r>
            </w:p>
            <w:p w14:paraId="1C8EC300">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"_Toc232699803" </w:instrText>
              </w:r>
              <w:r>
                <w:fldChar w:fldCharType="separate"/>
              </w:r>
              <w:r>
                <w:rPr>
                  <w:rStyle w:val="14"/>
                  <w:rFonts w:asciiTheme="minorBidi" w:hAnsiTheme="minorBidi"/>
                  <w:sz w:val="32"/>
                  <w:szCs w:val="32"/>
                </w:rPr>
                <w:t>2.4 Synthesis of Key Environmental Findings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_Toc232699803 \h </w:instrText>
              </w:r>
              <w:r>
                <w:rPr>
                  <w:rFonts w:asciiTheme="minorBidi" w:hAnsiTheme="minorBidi"/>
                  <w:sz w:val="32"/>
                  <w:szCs w:val="32"/>
                </w:rPr>
                <w:fldChar w:fldCharType="separate"/>
              </w:r>
              <w:r>
                <w:rPr>
                  <w:rFonts w:asciiTheme="minorBidi" w:hAnsiTheme="minorBidi"/>
                  <w:sz w:val="32"/>
                  <w:szCs w:val="32"/>
                </w:rPr>
                <w:t>11</w:t>
              </w:r>
              <w:r>
                <w:rPr>
                  <w:rFonts w:asciiTheme="minorBidi" w:hAnsiTheme="minorBidi"/>
                  <w:sz w:val="32"/>
                  <w:szCs w:val="32"/>
                </w:rPr>
                <w:fldChar w:fldCharType="end"/>
              </w:r>
              <w:r>
                <w:rPr>
                  <w:rFonts w:asciiTheme="minorBidi" w:hAnsiTheme="minorBidi"/>
                  <w:sz w:val="32"/>
                  <w:szCs w:val="32"/>
                </w:rPr>
                <w:fldChar w:fldCharType="end"/>
              </w:r>
            </w:p>
            <w:p w14:paraId="2BDB9A5D">
              <w:pPr>
                <w:pStyle w:val="17"/>
                <w:tabs>
                  <w:tab w:val="left" w:pos="420"/>
                </w:tabs>
                <w:rPr>
                  <w:rFonts w:asciiTheme="minorBidi" w:hAnsiTheme="minorBidi"/>
                  <w:kern w:val="2"/>
                  <w:sz w:val="32"/>
                  <w:szCs w:val="32"/>
                  <w14:ligatures w14:val="standardContextual"/>
                </w:rPr>
              </w:pPr>
              <w:r>
                <w:fldChar w:fldCharType="begin"/>
              </w:r>
              <w:r>
                <w:instrText xml:space="preserve"> HYPERLINK \l "_Toc232699804" </w:instrText>
              </w:r>
              <w:r>
                <w:fldChar w:fldCharType="separate"/>
              </w:r>
              <w:r>
                <w:rPr>
                  <w:rStyle w:val="14"/>
                  <w:rFonts w:asciiTheme="minorBidi" w:hAnsiTheme="minorBidi"/>
                  <w:sz w:val="32"/>
                  <w:szCs w:val="32"/>
                </w:rPr>
                <w:t>3.</w:t>
              </w:r>
              <w:r>
                <w:rPr>
                  <w:rFonts w:asciiTheme="minorBidi" w:hAnsiTheme="minorBidi"/>
                  <w:kern w:val="2"/>
                  <w:sz w:val="32"/>
                  <w:szCs w:val="32"/>
                  <w14:ligatures w14:val="standardContextual"/>
                </w:rPr>
                <w:tab/>
              </w:r>
              <w:r>
                <w:rPr>
                  <w:rStyle w:val="14"/>
                  <w:rFonts w:asciiTheme="minorBidi" w:hAnsiTheme="minorBidi"/>
                  <w:sz w:val="32"/>
                  <w:szCs w:val="32"/>
                </w:rPr>
                <w:t>Strategic Growth and Competitive Positioning</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_Toc232699804 \h </w:instrText>
              </w:r>
              <w:r>
                <w:rPr>
                  <w:rFonts w:asciiTheme="minorBidi" w:hAnsiTheme="minorBidi"/>
                  <w:sz w:val="32"/>
                  <w:szCs w:val="32"/>
                </w:rPr>
                <w:fldChar w:fldCharType="separate"/>
              </w:r>
              <w:r>
                <w:rPr>
                  <w:rFonts w:asciiTheme="minorBidi" w:hAnsiTheme="minorBidi"/>
                  <w:sz w:val="32"/>
                  <w:szCs w:val="32"/>
                </w:rPr>
                <w:t>12</w:t>
              </w:r>
              <w:r>
                <w:rPr>
                  <w:rFonts w:asciiTheme="minorBidi" w:hAnsiTheme="minorBidi"/>
                  <w:sz w:val="32"/>
                  <w:szCs w:val="32"/>
                </w:rPr>
                <w:fldChar w:fldCharType="end"/>
              </w:r>
              <w:r>
                <w:rPr>
                  <w:rFonts w:asciiTheme="minorBidi" w:hAnsiTheme="minorBidi"/>
                  <w:sz w:val="32"/>
                  <w:szCs w:val="32"/>
                </w:rPr>
                <w:fldChar w:fldCharType="end"/>
              </w:r>
            </w:p>
            <w:p w14:paraId="22BDA094">
              <w:pPr>
                <w:pStyle w:val="17"/>
                <w:rPr>
                  <w:rFonts w:asciiTheme="minorBidi" w:hAnsiTheme="minorBidi"/>
                  <w:kern w:val="2"/>
                  <w:sz w:val="32"/>
                  <w:szCs w:val="32"/>
                  <w14:ligatures w14:val="standardContextual"/>
                </w:rPr>
              </w:pPr>
              <w:r>
                <w:fldChar w:fldCharType="begin"/>
              </w:r>
              <w:r>
                <w:instrText xml:space="preserve"> HYPERLINK \l "_Toc232699805" </w:instrText>
              </w:r>
              <w:r>
                <w:fldChar w:fldCharType="separate"/>
              </w:r>
              <w:r>
                <w:rPr>
                  <w:rStyle w:val="14"/>
                  <w:rFonts w:asciiTheme="minorBidi" w:hAnsiTheme="minorBidi"/>
                  <w:sz w:val="32"/>
                  <w:szCs w:val="32"/>
                </w:rPr>
                <w:t>3.1 Evaluation of Strategic Growth Options Using the Ansoff Matrix</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_Toc232699805 \h </w:instrText>
              </w:r>
              <w:r>
                <w:rPr>
                  <w:rFonts w:asciiTheme="minorBidi" w:hAnsiTheme="minorBidi"/>
                  <w:sz w:val="32"/>
                  <w:szCs w:val="32"/>
                </w:rPr>
                <w:fldChar w:fldCharType="separate"/>
              </w:r>
              <w:r>
                <w:rPr>
                  <w:rFonts w:asciiTheme="minorBidi" w:hAnsiTheme="minorBidi"/>
                  <w:sz w:val="32"/>
                  <w:szCs w:val="32"/>
                </w:rPr>
                <w:t>12</w:t>
              </w:r>
              <w:r>
                <w:rPr>
                  <w:rFonts w:asciiTheme="minorBidi" w:hAnsiTheme="minorBidi"/>
                  <w:sz w:val="32"/>
                  <w:szCs w:val="32"/>
                </w:rPr>
                <w:fldChar w:fldCharType="end"/>
              </w:r>
              <w:r>
                <w:rPr>
                  <w:rFonts w:asciiTheme="minorBidi" w:hAnsiTheme="minorBidi"/>
                  <w:sz w:val="32"/>
                  <w:szCs w:val="32"/>
                </w:rPr>
                <w:fldChar w:fldCharType="end"/>
              </w:r>
            </w:p>
            <w:p w14:paraId="5FC6097B">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"_Toc232699806" </w:instrText>
              </w:r>
              <w:r>
                <w:fldChar w:fldCharType="separate"/>
              </w:r>
              <w:r>
                <w:rPr>
                  <w:rStyle w:val="14"/>
                  <w:rFonts w:asciiTheme="minorBidi" w:hAnsiTheme="minorBidi"/>
                  <w:sz w:val="32"/>
                  <w:szCs w:val="32"/>
                  <w:lang w:val="en-US"/>
                </w:rPr>
                <w:t>3.1.1 Market Penetration</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_Toc232699806 \h </w:instrText>
              </w:r>
              <w:r>
                <w:rPr>
                  <w:rFonts w:asciiTheme="minorBidi" w:hAnsiTheme="minorBidi"/>
                  <w:sz w:val="32"/>
                  <w:szCs w:val="32"/>
                </w:rPr>
                <w:fldChar w:fldCharType="separate"/>
              </w:r>
              <w:r>
                <w:rPr>
                  <w:rFonts w:asciiTheme="minorBidi" w:hAnsiTheme="minorBidi"/>
                  <w:sz w:val="32"/>
                  <w:szCs w:val="32"/>
                </w:rPr>
                <w:t>13</w:t>
              </w:r>
              <w:r>
                <w:rPr>
                  <w:rFonts w:asciiTheme="minorBidi" w:hAnsiTheme="minorBidi"/>
                  <w:sz w:val="32"/>
                  <w:szCs w:val="32"/>
                </w:rPr>
                <w:fldChar w:fldCharType="end"/>
              </w:r>
              <w:r>
                <w:rPr>
                  <w:rFonts w:asciiTheme="minorBidi" w:hAnsiTheme="minorBidi"/>
                  <w:sz w:val="32"/>
                  <w:szCs w:val="32"/>
                </w:rPr>
                <w:fldChar w:fldCharType="end"/>
              </w:r>
            </w:p>
            <w:p w14:paraId="4B66AAF8">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"_Toc232699807" </w:instrText>
              </w:r>
              <w:r>
                <w:fldChar w:fldCharType="separate"/>
              </w:r>
              <w:r>
                <w:rPr>
                  <w:rStyle w:val="14"/>
                  <w:rFonts w:asciiTheme="minorBidi" w:hAnsiTheme="minorBidi"/>
                  <w:sz w:val="32"/>
                  <w:szCs w:val="32"/>
                  <w:lang w:val="en-US"/>
                </w:rPr>
                <w:t>3.1.2 Market Development</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_Toc232699807 \h </w:instrText>
              </w:r>
              <w:r>
                <w:rPr>
                  <w:rFonts w:asciiTheme="minorBidi" w:hAnsiTheme="minorBidi"/>
                  <w:sz w:val="32"/>
                  <w:szCs w:val="32"/>
                </w:rPr>
                <w:fldChar w:fldCharType="separate"/>
              </w:r>
              <w:r>
                <w:rPr>
                  <w:rFonts w:asciiTheme="minorBidi" w:hAnsiTheme="minorBidi"/>
                  <w:sz w:val="32"/>
                  <w:szCs w:val="32"/>
                </w:rPr>
                <w:t>13</w:t>
              </w:r>
              <w:r>
                <w:rPr>
                  <w:rFonts w:asciiTheme="minorBidi" w:hAnsiTheme="minorBidi"/>
                  <w:sz w:val="32"/>
                  <w:szCs w:val="32"/>
                </w:rPr>
                <w:fldChar w:fldCharType="end"/>
              </w:r>
              <w:r>
                <w:rPr>
                  <w:rFonts w:asciiTheme="minorBidi" w:hAnsiTheme="minorBidi"/>
                  <w:sz w:val="32"/>
                  <w:szCs w:val="32"/>
                </w:rPr>
                <w:fldChar w:fldCharType="end"/>
              </w:r>
            </w:p>
            <w:p w14:paraId="3CB9CC87">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"_Toc232699808" </w:instrText>
              </w:r>
              <w:r>
                <w:fldChar w:fldCharType="separate"/>
              </w:r>
              <w:r>
                <w:rPr>
                  <w:rStyle w:val="14"/>
                  <w:rFonts w:asciiTheme="minorBidi" w:hAnsiTheme="minorBidi"/>
                  <w:sz w:val="32"/>
                  <w:szCs w:val="32"/>
                  <w:lang w:val="en-US"/>
                </w:rPr>
                <w:t>3.1.3 Product Development</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_Toc232699808 \h </w:instrText>
              </w:r>
              <w:r>
                <w:rPr>
                  <w:rFonts w:asciiTheme="minorBidi" w:hAnsiTheme="minorBidi"/>
                  <w:sz w:val="32"/>
                  <w:szCs w:val="32"/>
                </w:rPr>
                <w:fldChar w:fldCharType="separate"/>
              </w:r>
              <w:r>
                <w:rPr>
                  <w:rFonts w:asciiTheme="minorBidi" w:hAnsiTheme="minorBidi"/>
                  <w:sz w:val="32"/>
                  <w:szCs w:val="32"/>
                </w:rPr>
                <w:t>13</w:t>
              </w:r>
              <w:r>
                <w:rPr>
                  <w:rFonts w:asciiTheme="minorBidi" w:hAnsiTheme="minorBidi"/>
                  <w:sz w:val="32"/>
                  <w:szCs w:val="32"/>
                </w:rPr>
                <w:fldChar w:fldCharType="end"/>
              </w:r>
              <w:r>
                <w:rPr>
                  <w:rFonts w:asciiTheme="minorBidi" w:hAnsiTheme="minorBidi"/>
                  <w:sz w:val="32"/>
                  <w:szCs w:val="32"/>
                </w:rPr>
                <w:fldChar w:fldCharType="end"/>
              </w:r>
            </w:p>
            <w:p w14:paraId="3EE8281E">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"_Toc232699809" </w:instrText>
              </w:r>
              <w:r>
                <w:fldChar w:fldCharType="separate"/>
              </w:r>
              <w:r>
                <w:rPr>
                  <w:rStyle w:val="14"/>
                  <w:rFonts w:asciiTheme="minorBidi" w:hAnsiTheme="minorBidi"/>
                  <w:sz w:val="32"/>
                  <w:szCs w:val="32"/>
                  <w:lang w:val="en-US"/>
                </w:rPr>
                <w:t>3.1.4 Diversification</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_Toc232699809 \h </w:instrText>
              </w:r>
              <w:r>
                <w:rPr>
                  <w:rFonts w:asciiTheme="minorBidi" w:hAnsiTheme="minorBidi"/>
                  <w:sz w:val="32"/>
                  <w:szCs w:val="32"/>
                </w:rPr>
                <w:fldChar w:fldCharType="separate"/>
              </w:r>
              <w:r>
                <w:rPr>
                  <w:rFonts w:asciiTheme="minorBidi" w:hAnsiTheme="minorBidi"/>
                  <w:sz w:val="32"/>
                  <w:szCs w:val="32"/>
                </w:rPr>
                <w:t>13</w:t>
              </w:r>
              <w:r>
                <w:rPr>
                  <w:rFonts w:asciiTheme="minorBidi" w:hAnsiTheme="minorBidi"/>
                  <w:sz w:val="32"/>
                  <w:szCs w:val="32"/>
                </w:rPr>
                <w:fldChar w:fldCharType="end"/>
              </w:r>
              <w:r>
                <w:rPr>
                  <w:rFonts w:asciiTheme="minorBidi" w:hAnsiTheme="minorBidi"/>
                  <w:sz w:val="32"/>
                  <w:szCs w:val="32"/>
                </w:rPr>
                <w:fldChar w:fldCharType="end"/>
              </w:r>
            </w:p>
            <w:p w14:paraId="6B57CEE7">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"_Toc232699810" </w:instrText>
              </w:r>
              <w:r>
                <w:fldChar w:fldCharType="separate"/>
              </w:r>
              <w:r>
                <w:rPr>
                  <w:rStyle w:val="14"/>
                  <w:rFonts w:asciiTheme="minorBidi" w:hAnsiTheme="minorBidi"/>
                  <w:sz w:val="32"/>
                  <w:szCs w:val="32"/>
                </w:rPr>
                <w:t>3.1.2 Justification of the Preferred Strategic Option</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_Toc232699810 \h </w:instrText>
              </w:r>
              <w:r>
                <w:rPr>
                  <w:rFonts w:asciiTheme="minorBidi" w:hAnsiTheme="minorBidi"/>
                  <w:sz w:val="32"/>
                  <w:szCs w:val="32"/>
                </w:rPr>
                <w:fldChar w:fldCharType="separate"/>
              </w:r>
              <w:r>
                <w:rPr>
                  <w:rFonts w:asciiTheme="minorBidi" w:hAnsiTheme="minorBidi"/>
                  <w:sz w:val="32"/>
                  <w:szCs w:val="32"/>
                </w:rPr>
                <w:t>14</w:t>
              </w:r>
              <w:r>
                <w:rPr>
                  <w:rFonts w:asciiTheme="minorBidi" w:hAnsiTheme="minorBidi"/>
                  <w:sz w:val="32"/>
                  <w:szCs w:val="32"/>
                </w:rPr>
                <w:fldChar w:fldCharType="end"/>
              </w:r>
              <w:r>
                <w:rPr>
                  <w:rFonts w:asciiTheme="minorBidi" w:hAnsiTheme="minorBidi"/>
                  <w:sz w:val="32"/>
                  <w:szCs w:val="32"/>
                </w:rPr>
                <w:fldChar w:fldCharType="end"/>
              </w:r>
            </w:p>
            <w:p w14:paraId="22A9631D">
              <w:pPr>
                <w:pStyle w:val="17"/>
                <w:rPr>
                  <w:rFonts w:asciiTheme="minorBidi" w:hAnsiTheme="minorBidi"/>
                  <w:kern w:val="2"/>
                  <w:sz w:val="32"/>
                  <w:szCs w:val="32"/>
                  <w14:ligatures w14:val="standardContextual"/>
                </w:rPr>
              </w:pPr>
              <w:r>
                <w:fldChar w:fldCharType="begin"/>
              </w:r>
              <w:r>
                <w:instrText xml:space="preserve"> HYPERLINK \l "_Toc232699811" </w:instrText>
              </w:r>
              <w:r>
                <w:fldChar w:fldCharType="separate"/>
              </w:r>
              <w:r>
                <w:rPr>
                  <w:rStyle w:val="14"/>
                  <w:rFonts w:asciiTheme="minorBidi" w:hAnsiTheme="minorBidi"/>
                  <w:sz w:val="32"/>
                  <w:szCs w:val="32"/>
                </w:rPr>
                <w:t>3.2 Product Development as a Growth Strategy for BHP</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_Toc232699811 \h </w:instrText>
              </w:r>
              <w:r>
                <w:rPr>
                  <w:rFonts w:asciiTheme="minorBidi" w:hAnsiTheme="minorBidi"/>
                  <w:sz w:val="32"/>
                  <w:szCs w:val="32"/>
                </w:rPr>
                <w:fldChar w:fldCharType="separate"/>
              </w:r>
              <w:r>
                <w:rPr>
                  <w:rFonts w:asciiTheme="minorBidi" w:hAnsiTheme="minorBidi"/>
                  <w:sz w:val="32"/>
                  <w:szCs w:val="32"/>
                </w:rPr>
                <w:t>14</w:t>
              </w:r>
              <w:r>
                <w:rPr>
                  <w:rFonts w:asciiTheme="minorBidi" w:hAnsiTheme="minorBidi"/>
                  <w:sz w:val="32"/>
                  <w:szCs w:val="32"/>
                </w:rPr>
                <w:fldChar w:fldCharType="end"/>
              </w:r>
              <w:r>
                <w:rPr>
                  <w:rFonts w:asciiTheme="minorBidi" w:hAnsiTheme="minorBidi"/>
                  <w:sz w:val="32"/>
                  <w:szCs w:val="32"/>
                </w:rPr>
                <w:fldChar w:fldCharType="end"/>
              </w:r>
            </w:p>
            <w:p w14:paraId="574C184A">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"_Toc232699812" </w:instrText>
              </w:r>
              <w:r>
                <w:fldChar w:fldCharType="separate"/>
              </w:r>
              <w:r>
                <w:rPr>
                  <w:rStyle w:val="14"/>
                  <w:rFonts w:asciiTheme="minorBidi" w:hAnsiTheme="minorBidi"/>
                  <w:sz w:val="32"/>
                  <w:szCs w:val="32"/>
                </w:rPr>
                <w:t>3.2.1 Development of Low-Carbon Products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_Toc232699812 \h </w:instrText>
              </w:r>
              <w:r>
                <w:rPr>
                  <w:rFonts w:asciiTheme="minorBidi" w:hAnsiTheme="minorBidi"/>
                  <w:sz w:val="32"/>
                  <w:szCs w:val="32"/>
                </w:rPr>
                <w:fldChar w:fldCharType="separate"/>
              </w:r>
              <w:r>
                <w:rPr>
                  <w:rFonts w:asciiTheme="minorBidi" w:hAnsiTheme="minorBidi"/>
                  <w:sz w:val="32"/>
                  <w:szCs w:val="32"/>
                </w:rPr>
                <w:t>14</w:t>
              </w:r>
              <w:r>
                <w:rPr>
                  <w:rFonts w:asciiTheme="minorBidi" w:hAnsiTheme="minorBidi"/>
                  <w:sz w:val="32"/>
                  <w:szCs w:val="32"/>
                </w:rPr>
                <w:fldChar w:fldCharType="end"/>
              </w:r>
              <w:r>
                <w:rPr>
                  <w:rFonts w:asciiTheme="minorBidi" w:hAnsiTheme="minorBidi"/>
                  <w:sz w:val="32"/>
                  <w:szCs w:val="32"/>
                </w:rPr>
                <w:fldChar w:fldCharType="end"/>
              </w:r>
            </w:p>
            <w:p w14:paraId="1D4CB709">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"_Toc232699813" </w:instrText>
              </w:r>
              <w:r>
                <w:fldChar w:fldCharType="separate"/>
              </w:r>
              <w:r>
                <w:rPr>
                  <w:rStyle w:val="14"/>
                  <w:rFonts w:asciiTheme="minorBidi" w:hAnsiTheme="minorBidi"/>
                  <w:sz w:val="32"/>
                  <w:szCs w:val="32"/>
                </w:rPr>
                <w:t>3.2.2 Strategic Benefits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_Toc232699813 \h </w:instrText>
              </w:r>
              <w:r>
                <w:rPr>
                  <w:rFonts w:asciiTheme="minorBidi" w:hAnsiTheme="minorBidi"/>
                  <w:sz w:val="32"/>
                  <w:szCs w:val="32"/>
                </w:rPr>
                <w:fldChar w:fldCharType="separate"/>
              </w:r>
              <w:r>
                <w:rPr>
                  <w:rFonts w:asciiTheme="minorBidi" w:hAnsiTheme="minorBidi"/>
                  <w:sz w:val="32"/>
                  <w:szCs w:val="32"/>
                </w:rPr>
                <w:t>14</w:t>
              </w:r>
              <w:r>
                <w:rPr>
                  <w:rFonts w:asciiTheme="minorBidi" w:hAnsiTheme="minorBidi"/>
                  <w:sz w:val="32"/>
                  <w:szCs w:val="32"/>
                </w:rPr>
                <w:fldChar w:fldCharType="end"/>
              </w:r>
              <w:r>
                <w:rPr>
                  <w:rFonts w:asciiTheme="minorBidi" w:hAnsiTheme="minorBidi"/>
                  <w:sz w:val="32"/>
                  <w:szCs w:val="32"/>
                </w:rPr>
                <w:fldChar w:fldCharType="end"/>
              </w:r>
            </w:p>
            <w:p w14:paraId="23169A2E">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"_Toc232699814" </w:instrText>
              </w:r>
              <w:r>
                <w:fldChar w:fldCharType="separate"/>
              </w:r>
              <w:r>
                <w:rPr>
                  <w:rStyle w:val="14"/>
                  <w:rFonts w:asciiTheme="minorBidi" w:hAnsiTheme="minorBidi"/>
                  <w:sz w:val="32"/>
                  <w:szCs w:val="32"/>
                </w:rPr>
                <w:t>3.2.3 Strategic Risks and Limitations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_Toc232699814 \h </w:instrText>
              </w:r>
              <w:r>
                <w:rPr>
                  <w:rFonts w:asciiTheme="minorBidi" w:hAnsiTheme="minorBidi"/>
                  <w:sz w:val="32"/>
                  <w:szCs w:val="32"/>
                </w:rPr>
                <w:fldChar w:fldCharType="separate"/>
              </w:r>
              <w:r>
                <w:rPr>
                  <w:rFonts w:asciiTheme="minorBidi" w:hAnsiTheme="minorBidi"/>
                  <w:sz w:val="32"/>
                  <w:szCs w:val="32"/>
                </w:rPr>
                <w:t>15</w:t>
              </w:r>
              <w:r>
                <w:rPr>
                  <w:rFonts w:asciiTheme="minorBidi" w:hAnsiTheme="minorBidi"/>
                  <w:sz w:val="32"/>
                  <w:szCs w:val="32"/>
                </w:rPr>
                <w:fldChar w:fldCharType="end"/>
              </w:r>
              <w:r>
                <w:rPr>
                  <w:rFonts w:asciiTheme="minorBidi" w:hAnsiTheme="minorBidi"/>
                  <w:sz w:val="32"/>
                  <w:szCs w:val="32"/>
                </w:rPr>
                <w:fldChar w:fldCharType="end"/>
              </w:r>
            </w:p>
            <w:p w14:paraId="35259C3F">
              <w:pPr>
                <w:pStyle w:val="17"/>
                <w:rPr>
                  <w:rFonts w:asciiTheme="minorBidi" w:hAnsiTheme="minorBidi"/>
                  <w:kern w:val="2"/>
                  <w:sz w:val="32"/>
                  <w:szCs w:val="32"/>
                  <w14:ligatures w14:val="standardContextual"/>
                </w:rPr>
              </w:pPr>
              <w:r>
                <w:fldChar w:fldCharType="begin"/>
              </w:r>
              <w:r>
                <w:instrText xml:space="preserve"> HYPERLINK \l "_Toc232699815" </w:instrText>
              </w:r>
              <w:r>
                <w:fldChar w:fldCharType="separate"/>
              </w:r>
              <w:r>
                <w:rPr>
                  <w:rStyle w:val="14"/>
                  <w:rFonts w:asciiTheme="minorBidi" w:hAnsiTheme="minorBidi"/>
                  <w:sz w:val="32"/>
                  <w:szCs w:val="32"/>
                </w:rPr>
                <w:t>3.3 Achieving Competitive Advantage</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_Toc232699815 \h </w:instrText>
              </w:r>
              <w:r>
                <w:rPr>
                  <w:rFonts w:asciiTheme="minorBidi" w:hAnsiTheme="minorBidi"/>
                  <w:sz w:val="32"/>
                  <w:szCs w:val="32"/>
                </w:rPr>
                <w:fldChar w:fldCharType="separate"/>
              </w:r>
              <w:r>
                <w:rPr>
                  <w:rFonts w:asciiTheme="minorBidi" w:hAnsiTheme="minorBidi"/>
                  <w:sz w:val="32"/>
                  <w:szCs w:val="32"/>
                </w:rPr>
                <w:t>16</w:t>
              </w:r>
              <w:r>
                <w:rPr>
                  <w:rFonts w:asciiTheme="minorBidi" w:hAnsiTheme="minorBidi"/>
                  <w:sz w:val="32"/>
                  <w:szCs w:val="32"/>
                </w:rPr>
                <w:fldChar w:fldCharType="end"/>
              </w:r>
              <w:r>
                <w:rPr>
                  <w:rFonts w:asciiTheme="minorBidi" w:hAnsiTheme="minorBidi"/>
                  <w:sz w:val="32"/>
                  <w:szCs w:val="32"/>
                </w:rPr>
                <w:fldChar w:fldCharType="end"/>
              </w:r>
            </w:p>
            <w:p w14:paraId="7EE7E5F0">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"_Toc232699816" </w:instrText>
              </w:r>
              <w:r>
                <w:fldChar w:fldCharType="separate"/>
              </w:r>
              <w:r>
                <w:rPr>
                  <w:rStyle w:val="14"/>
                  <w:rFonts w:asciiTheme="minorBidi" w:hAnsiTheme="minorBidi"/>
                  <w:sz w:val="32"/>
                  <w:szCs w:val="32"/>
                </w:rPr>
                <w:t>3.3.1 Porter's Generic Strategies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_Toc232699816 \h </w:instrText>
              </w:r>
              <w:r>
                <w:rPr>
                  <w:rFonts w:asciiTheme="minorBidi" w:hAnsiTheme="minorBidi"/>
                  <w:sz w:val="32"/>
                  <w:szCs w:val="32"/>
                </w:rPr>
                <w:fldChar w:fldCharType="separate"/>
              </w:r>
              <w:r>
                <w:rPr>
                  <w:rFonts w:asciiTheme="minorBidi" w:hAnsiTheme="minorBidi"/>
                  <w:sz w:val="32"/>
                  <w:szCs w:val="32"/>
                </w:rPr>
                <w:t>16</w:t>
              </w:r>
              <w:r>
                <w:rPr>
                  <w:rFonts w:asciiTheme="minorBidi" w:hAnsiTheme="minorBidi"/>
                  <w:sz w:val="32"/>
                  <w:szCs w:val="32"/>
                </w:rPr>
                <w:fldChar w:fldCharType="end"/>
              </w:r>
              <w:r>
                <w:rPr>
                  <w:rFonts w:asciiTheme="minorBidi" w:hAnsiTheme="minorBidi"/>
                  <w:sz w:val="32"/>
                  <w:szCs w:val="32"/>
                </w:rPr>
                <w:fldChar w:fldCharType="end"/>
              </w:r>
            </w:p>
            <w:p w14:paraId="216D2C37">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"_Toc232699817" </w:instrText>
              </w:r>
              <w:r>
                <w:fldChar w:fldCharType="separate"/>
              </w:r>
              <w:r>
                <w:rPr>
                  <w:rStyle w:val="14"/>
                  <w:rFonts w:asciiTheme="minorBidi" w:hAnsiTheme="minorBidi"/>
                  <w:sz w:val="32"/>
                  <w:szCs w:val="32"/>
                </w:rPr>
                <w:t>3.3.2 Differentiation Through Sustainability</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_Toc232699817 \h </w:instrText>
              </w:r>
              <w:r>
                <w:rPr>
                  <w:rFonts w:asciiTheme="minorBidi" w:hAnsiTheme="minorBidi"/>
                  <w:sz w:val="32"/>
                  <w:szCs w:val="32"/>
                </w:rPr>
                <w:fldChar w:fldCharType="separate"/>
              </w:r>
              <w:r>
                <w:rPr>
                  <w:rFonts w:asciiTheme="minorBidi" w:hAnsiTheme="minorBidi"/>
                  <w:sz w:val="32"/>
                  <w:szCs w:val="32"/>
                </w:rPr>
                <w:t>17</w:t>
              </w:r>
              <w:r>
                <w:rPr>
                  <w:rFonts w:asciiTheme="minorBidi" w:hAnsiTheme="minorBidi"/>
                  <w:sz w:val="32"/>
                  <w:szCs w:val="32"/>
                </w:rPr>
                <w:fldChar w:fldCharType="end"/>
              </w:r>
              <w:r>
                <w:rPr>
                  <w:rFonts w:asciiTheme="minorBidi" w:hAnsiTheme="minorBidi"/>
                  <w:sz w:val="32"/>
                  <w:szCs w:val="32"/>
                </w:rPr>
                <w:fldChar w:fldCharType="end"/>
              </w:r>
            </w:p>
            <w:p w14:paraId="7445EF67">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"_Toc232699818" </w:instrText>
              </w:r>
              <w:r>
                <w:fldChar w:fldCharType="separate"/>
              </w:r>
              <w:r>
                <w:rPr>
                  <w:rStyle w:val="14"/>
                  <w:rFonts w:asciiTheme="minorBidi" w:hAnsiTheme="minorBidi"/>
                  <w:sz w:val="32"/>
                  <w:szCs w:val="32"/>
                </w:rPr>
                <w:t>3.3.3 Sustainability of Competitive Advantage</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_Toc232699818 \h </w:instrText>
              </w:r>
              <w:r>
                <w:rPr>
                  <w:rFonts w:asciiTheme="minorBidi" w:hAnsiTheme="minorBidi"/>
                  <w:sz w:val="32"/>
                  <w:szCs w:val="32"/>
                </w:rPr>
                <w:fldChar w:fldCharType="separate"/>
              </w:r>
              <w:r>
                <w:rPr>
                  <w:rFonts w:asciiTheme="minorBidi" w:hAnsiTheme="minorBidi"/>
                  <w:sz w:val="32"/>
                  <w:szCs w:val="32"/>
                </w:rPr>
                <w:t>17</w:t>
              </w:r>
              <w:r>
                <w:rPr>
                  <w:rFonts w:asciiTheme="minorBidi" w:hAnsiTheme="minorBidi"/>
                  <w:sz w:val="32"/>
                  <w:szCs w:val="32"/>
                </w:rPr>
                <w:fldChar w:fldCharType="end"/>
              </w:r>
              <w:r>
                <w:rPr>
                  <w:rFonts w:asciiTheme="minorBidi" w:hAnsiTheme="minorBidi"/>
                  <w:sz w:val="32"/>
                  <w:szCs w:val="32"/>
                </w:rPr>
                <w:fldChar w:fldCharType="end"/>
              </w:r>
            </w:p>
            <w:p w14:paraId="39FE2FD0">
              <w:pPr>
                <w:pStyle w:val="17"/>
                <w:rPr>
                  <w:rFonts w:asciiTheme="minorBidi" w:hAnsiTheme="minorBidi"/>
                  <w:kern w:val="2"/>
                  <w:sz w:val="32"/>
                  <w:szCs w:val="32"/>
                  <w14:ligatures w14:val="standardContextual"/>
                </w:rPr>
              </w:pPr>
              <w:r>
                <w:fldChar w:fldCharType="begin"/>
              </w:r>
              <w:r>
                <w:instrText xml:space="preserve"> HYPERLINK \l "_Toc232699819" </w:instrText>
              </w:r>
              <w:r>
                <w:fldChar w:fldCharType="separate"/>
              </w:r>
              <w:r>
                <w:rPr>
                  <w:rStyle w:val="14"/>
                  <w:rFonts w:asciiTheme="minorBidi" w:hAnsiTheme="minorBidi"/>
                  <w:sz w:val="32"/>
                  <w:szCs w:val="32"/>
                </w:rPr>
                <w:t>3.5 Strategic Recommendations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_Toc232699819 \h </w:instrText>
              </w:r>
              <w:r>
                <w:rPr>
                  <w:rFonts w:asciiTheme="minorBidi" w:hAnsiTheme="minorBidi"/>
                  <w:sz w:val="32"/>
                  <w:szCs w:val="32"/>
                </w:rPr>
                <w:fldChar w:fldCharType="separate"/>
              </w:r>
              <w:r>
                <w:rPr>
                  <w:rFonts w:asciiTheme="minorBidi" w:hAnsiTheme="minorBidi"/>
                  <w:sz w:val="32"/>
                  <w:szCs w:val="32"/>
                </w:rPr>
                <w:t>17</w:t>
              </w:r>
              <w:r>
                <w:rPr>
                  <w:rFonts w:asciiTheme="minorBidi" w:hAnsiTheme="minorBidi"/>
                  <w:sz w:val="32"/>
                  <w:szCs w:val="32"/>
                </w:rPr>
                <w:fldChar w:fldCharType="end"/>
              </w:r>
              <w:r>
                <w:rPr>
                  <w:rFonts w:asciiTheme="minorBidi" w:hAnsiTheme="minorBidi"/>
                  <w:sz w:val="32"/>
                  <w:szCs w:val="32"/>
                </w:rPr>
                <w:fldChar w:fldCharType="end"/>
              </w:r>
            </w:p>
            <w:p w14:paraId="677D1FE4">
              <w:pPr>
                <w:pStyle w:val="17"/>
                <w:tabs>
                  <w:tab w:val="left" w:pos="420"/>
                </w:tabs>
                <w:rPr>
                  <w:rFonts w:asciiTheme="minorBidi" w:hAnsiTheme="minorBidi"/>
                  <w:kern w:val="2"/>
                  <w:sz w:val="32"/>
                  <w:szCs w:val="32"/>
                  <w14:ligatures w14:val="standardContextual"/>
                </w:rPr>
              </w:pPr>
              <w:r>
                <w:fldChar w:fldCharType="begin"/>
              </w:r>
              <w:r>
                <w:instrText xml:space="preserve"> HYPERLINK \l "_Toc232699820" </w:instrText>
              </w:r>
              <w:r>
                <w:fldChar w:fldCharType="separate"/>
              </w:r>
              <w:r>
                <w:rPr>
                  <w:rStyle w:val="14"/>
                  <w:rFonts w:asciiTheme="minorBidi" w:hAnsiTheme="minorBidi"/>
                  <w:sz w:val="32"/>
                  <w:szCs w:val="32"/>
                </w:rPr>
                <w:t>4.</w:t>
              </w:r>
              <w:r>
                <w:rPr>
                  <w:rFonts w:asciiTheme="minorBidi" w:hAnsiTheme="minorBidi"/>
                  <w:kern w:val="2"/>
                  <w:sz w:val="32"/>
                  <w:szCs w:val="32"/>
                  <w14:ligatures w14:val="standardContextual"/>
                </w:rPr>
                <w:tab/>
              </w:r>
              <w:r>
                <w:rPr>
                  <w:rStyle w:val="14"/>
                  <w:rFonts w:asciiTheme="minorBidi" w:hAnsiTheme="minorBidi"/>
                  <w:sz w:val="32"/>
                  <w:szCs w:val="32"/>
                </w:rPr>
                <w:t>Critical Reflection on AI Usage</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_Toc232699820 \h </w:instrText>
              </w:r>
              <w:r>
                <w:rPr>
                  <w:rFonts w:asciiTheme="minorBidi" w:hAnsiTheme="minorBidi"/>
                  <w:sz w:val="32"/>
                  <w:szCs w:val="32"/>
                </w:rPr>
                <w:fldChar w:fldCharType="separate"/>
              </w:r>
              <w:r>
                <w:rPr>
                  <w:rFonts w:asciiTheme="minorBidi" w:hAnsiTheme="minorBidi"/>
                  <w:sz w:val="32"/>
                  <w:szCs w:val="32"/>
                </w:rPr>
                <w:t>19</w:t>
              </w:r>
              <w:r>
                <w:rPr>
                  <w:rFonts w:asciiTheme="minorBidi" w:hAnsiTheme="minorBidi"/>
                  <w:sz w:val="32"/>
                  <w:szCs w:val="32"/>
                </w:rPr>
                <w:fldChar w:fldCharType="end"/>
              </w:r>
              <w:r>
                <w:rPr>
                  <w:rFonts w:asciiTheme="minorBidi" w:hAnsiTheme="minorBidi"/>
                  <w:sz w:val="32"/>
                  <w:szCs w:val="32"/>
                </w:rPr>
                <w:fldChar w:fldCharType="end"/>
              </w:r>
            </w:p>
            <w:p w14:paraId="463D6C28">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"_Toc232699821" </w:instrText>
              </w:r>
              <w:r>
                <w:fldChar w:fldCharType="separate"/>
              </w:r>
              <w:r>
                <w:rPr>
                  <w:rStyle w:val="14"/>
                  <w:rFonts w:asciiTheme="minorBidi" w:hAnsiTheme="minorBidi"/>
                  <w:sz w:val="32"/>
                  <w:szCs w:val="32"/>
                  <w:lang w:val="en-US"/>
                </w:rPr>
                <w:t>4.1 Tool Disclosure</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_Toc232699821 \h </w:instrText>
              </w:r>
              <w:r>
                <w:rPr>
                  <w:rFonts w:asciiTheme="minorBidi" w:hAnsiTheme="minorBidi"/>
                  <w:sz w:val="32"/>
                  <w:szCs w:val="32"/>
                </w:rPr>
                <w:fldChar w:fldCharType="separate"/>
              </w:r>
              <w:r>
                <w:rPr>
                  <w:rFonts w:asciiTheme="minorBidi" w:hAnsiTheme="minorBidi"/>
                  <w:sz w:val="32"/>
                  <w:szCs w:val="32"/>
                </w:rPr>
                <w:t>19</w:t>
              </w:r>
              <w:r>
                <w:rPr>
                  <w:rFonts w:asciiTheme="minorBidi" w:hAnsiTheme="minorBidi"/>
                  <w:sz w:val="32"/>
                  <w:szCs w:val="32"/>
                </w:rPr>
                <w:fldChar w:fldCharType="end"/>
              </w:r>
              <w:r>
                <w:rPr>
                  <w:rFonts w:asciiTheme="minorBidi" w:hAnsiTheme="minorBidi"/>
                  <w:sz w:val="32"/>
                  <w:szCs w:val="32"/>
                </w:rPr>
                <w:fldChar w:fldCharType="end"/>
              </w:r>
            </w:p>
            <w:p w14:paraId="3D6B1DD0">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"_Toc232699822" </w:instrText>
              </w:r>
              <w:r>
                <w:fldChar w:fldCharType="separate"/>
              </w:r>
              <w:r>
                <w:rPr>
                  <w:rStyle w:val="14"/>
                  <w:rFonts w:asciiTheme="minorBidi" w:hAnsiTheme="minorBidi"/>
                  <w:sz w:val="32"/>
                  <w:szCs w:val="32"/>
                  <w:lang w:val="en-US"/>
                </w:rPr>
                <w:t>4.2 Verification and Evaluation of AI Outputs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_Toc232699822 \h </w:instrText>
              </w:r>
              <w:r>
                <w:rPr>
                  <w:rFonts w:asciiTheme="minorBidi" w:hAnsiTheme="minorBidi"/>
                  <w:sz w:val="32"/>
                  <w:szCs w:val="32"/>
                </w:rPr>
                <w:fldChar w:fldCharType="separate"/>
              </w:r>
              <w:r>
                <w:rPr>
                  <w:rFonts w:asciiTheme="minorBidi" w:hAnsiTheme="minorBidi"/>
                  <w:sz w:val="32"/>
                  <w:szCs w:val="32"/>
                </w:rPr>
                <w:t>19</w:t>
              </w:r>
              <w:r>
                <w:rPr>
                  <w:rFonts w:asciiTheme="minorBidi" w:hAnsiTheme="minorBidi"/>
                  <w:sz w:val="32"/>
                  <w:szCs w:val="32"/>
                </w:rPr>
                <w:fldChar w:fldCharType="end"/>
              </w:r>
              <w:r>
                <w:rPr>
                  <w:rFonts w:asciiTheme="minorBidi" w:hAnsiTheme="minorBidi"/>
                  <w:sz w:val="32"/>
                  <w:szCs w:val="32"/>
                </w:rPr>
                <w:fldChar w:fldCharType="end"/>
              </w:r>
            </w:p>
            <w:p w14:paraId="516381E3">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"_Toc232699823" </w:instrText>
              </w:r>
              <w:r>
                <w:fldChar w:fldCharType="separate"/>
              </w:r>
              <w:r>
                <w:rPr>
                  <w:rStyle w:val="14"/>
                  <w:rFonts w:asciiTheme="minorBidi" w:hAnsiTheme="minorBidi"/>
                  <w:sz w:val="32"/>
                  <w:szCs w:val="32"/>
                  <w:lang w:val="en-US"/>
                </w:rPr>
                <w:t>4.3 Distinguishing AI Contributions from Personal Contributions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_Toc232699823 \h </w:instrText>
              </w:r>
              <w:r>
                <w:rPr>
                  <w:rFonts w:asciiTheme="minorBidi" w:hAnsiTheme="minorBidi"/>
                  <w:sz w:val="32"/>
                  <w:szCs w:val="32"/>
                </w:rPr>
                <w:fldChar w:fldCharType="separate"/>
              </w:r>
              <w:r>
                <w:rPr>
                  <w:rFonts w:asciiTheme="minorBidi" w:hAnsiTheme="minorBidi"/>
                  <w:sz w:val="32"/>
                  <w:szCs w:val="32"/>
                </w:rPr>
                <w:t>20</w:t>
              </w:r>
              <w:r>
                <w:rPr>
                  <w:rFonts w:asciiTheme="minorBidi" w:hAnsiTheme="minorBidi"/>
                  <w:sz w:val="32"/>
                  <w:szCs w:val="32"/>
                </w:rPr>
                <w:fldChar w:fldCharType="end"/>
              </w:r>
              <w:r>
                <w:rPr>
                  <w:rFonts w:asciiTheme="minorBidi" w:hAnsiTheme="minorBidi"/>
                  <w:sz w:val="32"/>
                  <w:szCs w:val="32"/>
                </w:rPr>
                <w:fldChar w:fldCharType="end"/>
              </w:r>
            </w:p>
            <w:p w14:paraId="717ACCAF">
              <w:pPr>
                <w:pStyle w:val="18"/>
                <w:tabs>
                  <w:tab w:val="right" w:leader="dot" w:pos="9016"/>
                </w:tabs>
                <w:spacing w:line="360" w:lineRule="auto"/>
                <w:rPr>
                  <w:rFonts w:asciiTheme="minorBidi" w:hAnsiTheme="minorBidi"/>
                  <w:kern w:val="2"/>
                  <w:sz w:val="32"/>
                  <w:szCs w:val="32"/>
                  <w14:ligatures w14:val="standardContextual"/>
                </w:rPr>
              </w:pPr>
              <w:r>
                <w:fldChar w:fldCharType="begin"/>
              </w:r>
              <w:r>
                <w:instrText xml:space="preserve"> HYPERLINK \l "_Toc232699824" </w:instrText>
              </w:r>
              <w:r>
                <w:fldChar w:fldCharType="separate"/>
              </w:r>
              <w:r>
                <w:rPr>
                  <w:rStyle w:val="14"/>
                  <w:rFonts w:asciiTheme="minorBidi" w:hAnsiTheme="minorBidi"/>
                  <w:sz w:val="32"/>
                  <w:szCs w:val="32"/>
                  <w:lang w:val="en-US"/>
                </w:rPr>
                <w:t>4.4 Ethical and Professional Reflection</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_Toc232699824 \h </w:instrText>
              </w:r>
              <w:r>
                <w:rPr>
                  <w:rFonts w:asciiTheme="minorBidi" w:hAnsiTheme="minorBidi"/>
                  <w:sz w:val="32"/>
                  <w:szCs w:val="32"/>
                </w:rPr>
                <w:fldChar w:fldCharType="separate"/>
              </w:r>
              <w:r>
                <w:rPr>
                  <w:rFonts w:asciiTheme="minorBidi" w:hAnsiTheme="minorBidi"/>
                  <w:sz w:val="32"/>
                  <w:szCs w:val="32"/>
                </w:rPr>
                <w:t>20</w:t>
              </w:r>
              <w:r>
                <w:rPr>
                  <w:rFonts w:asciiTheme="minorBidi" w:hAnsiTheme="minorBidi"/>
                  <w:sz w:val="32"/>
                  <w:szCs w:val="32"/>
                </w:rPr>
                <w:fldChar w:fldCharType="end"/>
              </w:r>
              <w:r>
                <w:rPr>
                  <w:rFonts w:asciiTheme="minorBidi" w:hAnsiTheme="minorBidi"/>
                  <w:sz w:val="32"/>
                  <w:szCs w:val="32"/>
                </w:rPr>
                <w:fldChar w:fldCharType="end"/>
              </w:r>
            </w:p>
            <w:p w14:paraId="0F0B5302">
              <w:pPr>
                <w:pStyle w:val="17"/>
                <w:rPr>
                  <w:rFonts w:asciiTheme="minorBidi" w:hAnsiTheme="minorBidi"/>
                  <w:kern w:val="2"/>
                  <w:sz w:val="32"/>
                  <w:szCs w:val="32"/>
                  <w14:ligatures w14:val="standardContextual"/>
                </w:rPr>
              </w:pPr>
              <w:r>
                <w:fldChar w:fldCharType="begin"/>
              </w:r>
              <w:r>
                <w:instrText xml:space="preserve"> HYPERLINK \l "_Toc232699825" </w:instrText>
              </w:r>
              <w:r>
                <w:fldChar w:fldCharType="separate"/>
              </w:r>
              <w:r>
                <w:rPr>
                  <w:rStyle w:val="14"/>
                  <w:rFonts w:asciiTheme="minorBidi" w:hAnsiTheme="minorBidi"/>
                  <w:sz w:val="32"/>
                  <w:szCs w:val="32"/>
                </w:rPr>
                <w:t>References</w:t>
              </w:r>
              <w:r>
                <w:rPr>
                  <w:rFonts w:asciiTheme="minorBidi" w:hAnsiTheme="minorBidi"/>
                  <w:sz w:val="32"/>
                  <w:szCs w:val="32"/>
                </w:rPr>
                <w:tab/>
              </w:r>
              <w:r>
                <w:rPr>
                  <w:rFonts w:asciiTheme="minorBidi" w:hAnsiTheme="minorBidi"/>
                  <w:sz w:val="32"/>
                  <w:szCs w:val="32"/>
                </w:rPr>
                <w:fldChar w:fldCharType="begin"/>
              </w:r>
              <w:r>
                <w:rPr>
                  <w:rFonts w:asciiTheme="minorBidi" w:hAnsiTheme="minorBidi"/>
                  <w:sz w:val="32"/>
                  <w:szCs w:val="32"/>
                </w:rPr>
                <w:instrText xml:space="preserve"> PAGEREF _Toc232699825 \h </w:instrText>
              </w:r>
              <w:r>
                <w:rPr>
                  <w:rFonts w:asciiTheme="minorBidi" w:hAnsiTheme="minorBidi"/>
                  <w:sz w:val="32"/>
                  <w:szCs w:val="32"/>
                </w:rPr>
                <w:fldChar w:fldCharType="separate"/>
              </w:r>
              <w:r>
                <w:rPr>
                  <w:rFonts w:asciiTheme="minorBidi" w:hAnsiTheme="minorBidi"/>
                  <w:sz w:val="32"/>
                  <w:szCs w:val="32"/>
                </w:rPr>
                <w:t>22</w:t>
              </w:r>
              <w:r>
                <w:rPr>
                  <w:rFonts w:asciiTheme="minorBidi" w:hAnsiTheme="minorBidi"/>
                  <w:sz w:val="32"/>
                  <w:szCs w:val="32"/>
                </w:rPr>
                <w:fldChar w:fldCharType="end"/>
              </w:r>
              <w:r>
                <w:rPr>
                  <w:rFonts w:asciiTheme="minorBidi" w:hAnsiTheme="minorBidi"/>
                  <w:sz w:val="32"/>
                  <w:szCs w:val="32"/>
                </w:rPr>
                <w:fldChar w:fldCharType="end"/>
              </w:r>
            </w:p>
            <w:p w14:paraId="407C29C0">
              <w:pPr>
                <w:spacing w:line="360" w:lineRule="auto"/>
                <w:rPr>
                  <w:rFonts w:asciiTheme="minorBidi" w:hAnsiTheme="minorBidi"/>
                  <w:sz w:val="32"/>
                  <w:szCs w:val="32"/>
                </w:rPr>
              </w:pPr>
              <w:r>
                <w:rPr>
                  <w:rFonts w:asciiTheme="minorBidi" w:hAnsiTheme="minorBidi"/>
                  <w:b/>
                  <w:bCs/>
                  <w:sz w:val="32"/>
                  <w:szCs w:val="32"/>
                </w:rPr>
                <w:fldChar w:fldCharType="end"/>
              </w:r>
            </w:p>
          </w:sdtContent>
        </w:sdt>
        <w:p w14:paraId="765A832A">
          <w:pPr>
            <w:spacing w:line="360" w:lineRule="auto"/>
            <w:jc w:val="both"/>
            <w:rPr>
              <w:rFonts w:asciiTheme="minorBidi" w:hAnsiTheme="minorBidi"/>
              <w:sz w:val="32"/>
              <w:szCs w:val="32"/>
            </w:rPr>
          </w:pPr>
        </w:p>
      </w:sdtContent>
    </w:sdt>
    <w:p w14:paraId="0966C8FD">
      <w:pPr>
        <w:spacing w:line="360" w:lineRule="auto"/>
        <w:jc w:val="both"/>
        <w:rPr>
          <w:rFonts w:asciiTheme="minorBidi" w:hAnsiTheme="minorBidi" w:eastAsiaTheme="majorEastAsia"/>
          <w:b/>
          <w:color w:val="104862" w:themeColor="accent1" w:themeShade="BF"/>
          <w:sz w:val="32"/>
          <w:szCs w:val="32"/>
        </w:rPr>
      </w:pPr>
      <w:r>
        <w:rPr>
          <w:rFonts w:asciiTheme="minorBidi" w:hAnsiTheme="minorBidi"/>
          <w:sz w:val="32"/>
          <w:szCs w:val="32"/>
        </w:rPr>
        <w:br w:type="page"/>
      </w:r>
    </w:p>
    <w:p w14:paraId="47394696">
      <w:pPr>
        <w:pStyle w:val="2"/>
        <w:numPr>
          <w:ilvl w:val="0"/>
          <w:numId w:val="1"/>
        </w:numPr>
        <w:tabs>
          <w:tab w:val="left" w:pos="360"/>
        </w:tabs>
        <w:spacing w:line="360" w:lineRule="auto"/>
        <w:ind w:left="0" w:firstLine="0"/>
      </w:pPr>
      <w:bookmarkStart w:id="0" w:name="_Toc232606942"/>
      <w:bookmarkStart w:id="1" w:name="_Toc232699792"/>
      <w:r>
        <w:t>Introduction</w:t>
      </w:r>
      <w:bookmarkEnd w:id="0"/>
      <w:bookmarkEnd w:id="1"/>
    </w:p>
    <w:p w14:paraId="7B55B690">
      <w:pPr>
        <w:spacing w:after="160" w:line="360" w:lineRule="auto"/>
        <w:jc w:val="both"/>
        <w:rPr>
          <w:rFonts w:asciiTheme="minorBidi" w:hAnsiTheme="minorBidi"/>
          <w:sz w:val="28"/>
          <w:szCs w:val="28"/>
          <w:lang w:val="en-US"/>
        </w:rPr>
      </w:pPr>
      <w:r>
        <w:rPr>
          <w:rFonts w:hint="default" w:ascii="Arial" w:hAnsi="Arial" w:cs="Arial"/>
          <w:sz w:val="28"/>
          <w:szCs w:val="28"/>
        </w:rPr>
        <w:t xml:space="preserve">The mining industry is facing increasing pressure to reduce carbon emissions and support the transition towards sustainability. The sector is becoming more affected by climate change, stakeholder expectations and environmental regulations in the process of strategic decision making and competitiveness. </w:t>
      </w:r>
      <w:r>
        <w:rPr>
          <w:rFonts w:hint="default" w:ascii="Arial" w:hAnsi="Arial" w:cs="Arial"/>
          <w:sz w:val="28"/>
          <w:szCs w:val="28"/>
          <w:lang w:val="en-US"/>
        </w:rPr>
        <w:t>According to Vrtana and Gogolova (2019), organisations must continuously adapt to changes in the external marketing environment to create and sustain long-term value</w:t>
      </w:r>
      <w:r>
        <w:rPr>
          <w:rFonts w:asciiTheme="minorBidi" w:hAnsiTheme="minorBidi"/>
          <w:sz w:val="28"/>
          <w:szCs w:val="28"/>
          <w:lang w:val="en-US"/>
        </w:rPr>
        <w:t>.</w:t>
      </w:r>
    </w:p>
    <w:p w14:paraId="2249BCDB">
      <w:pPr>
        <w:spacing w:after="160" w:line="360" w:lineRule="auto"/>
        <w:jc w:val="both"/>
        <w:rPr>
          <w:rFonts w:asciiTheme="minorBidi" w:hAnsiTheme="minorBidi"/>
          <w:sz w:val="28"/>
          <w:szCs w:val="28"/>
          <w:lang w:val="en-US"/>
        </w:rPr>
      </w:pPr>
      <w:r>
        <w:rPr>
          <w:rFonts w:asciiTheme="minorBidi" w:hAnsiTheme="minorBidi"/>
          <w:sz w:val="28"/>
          <w:szCs w:val="28"/>
          <w:lang w:val="en-US"/>
        </w:rPr>
        <w:drawing>
          <wp:inline distT="0" distB="0" distL="0" distR="0">
            <wp:extent cx="5702935" cy="2798445"/>
            <wp:effectExtent l="0" t="0" r="0" b="1905"/>
            <wp:docPr id="11579350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35047"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723012" cy="2808218"/>
                    </a:xfrm>
                    <a:prstGeom prst="rect">
                      <a:avLst/>
                    </a:prstGeom>
                    <a:noFill/>
                  </pic:spPr>
                </pic:pic>
              </a:graphicData>
            </a:graphic>
          </wp:inline>
        </w:drawing>
      </w:r>
    </w:p>
    <w:p w14:paraId="01DEF1DB">
      <w:pPr>
        <w:spacing w:after="160" w:line="360" w:lineRule="auto"/>
        <w:jc w:val="center"/>
        <w:rPr>
          <w:rFonts w:asciiTheme="minorBidi" w:hAnsiTheme="minorBidi"/>
          <w:sz w:val="28"/>
          <w:szCs w:val="28"/>
          <w:u w:val="single"/>
          <w:lang w:val="en-US"/>
        </w:rPr>
      </w:pPr>
      <w:r>
        <w:rPr>
          <w:rFonts w:asciiTheme="minorBidi" w:hAnsiTheme="minorBidi"/>
          <w:b/>
          <w:bCs/>
          <w:sz w:val="28"/>
          <w:szCs w:val="28"/>
          <w:u w:val="single"/>
          <w:lang w:val="en-US"/>
        </w:rPr>
        <w:t>Figure 1: Projected Growth in Global Demand for Critical Minerals Required for the Clean Energy Transition (2023–2040)</w:t>
      </w:r>
    </w:p>
    <w:p w14:paraId="60F11F4C">
      <w:pPr>
        <w:spacing w:after="160" w:line="360" w:lineRule="auto"/>
        <w:jc w:val="center"/>
        <w:rPr>
          <w:rFonts w:asciiTheme="minorBidi" w:hAnsiTheme="minorBidi"/>
          <w:sz w:val="28"/>
          <w:szCs w:val="28"/>
          <w:u w:val="single"/>
          <w:lang w:val="en-US"/>
        </w:rPr>
      </w:pPr>
      <w:r>
        <w:rPr>
          <w:rFonts w:asciiTheme="minorBidi" w:hAnsiTheme="minorBidi"/>
          <w:sz w:val="28"/>
          <w:szCs w:val="28"/>
          <w:u w:val="single"/>
          <w:lang w:val="en-US"/>
        </w:rPr>
        <w:t>Source: Adapted from International Energy Agency (2024).</w:t>
      </w:r>
    </w:p>
    <w:p w14:paraId="1D4A7E0E">
      <w:pPr>
        <w:spacing w:after="160" w:line="360" w:lineRule="auto"/>
        <w:jc w:val="both"/>
        <w:rPr>
          <w:rFonts w:asciiTheme="minorBidi" w:hAnsiTheme="minorBidi"/>
          <w:sz w:val="28"/>
          <w:szCs w:val="28"/>
          <w:lang w:val="en-US"/>
        </w:rPr>
      </w:pPr>
    </w:p>
    <w:p w14:paraId="4DD2A897">
      <w:pPr>
        <w:spacing w:after="160" w:line="360" w:lineRule="auto"/>
        <w:jc w:val="both"/>
        <w:rPr>
          <w:rFonts w:asciiTheme="minorBidi" w:hAnsiTheme="minorBidi"/>
          <w:sz w:val="28"/>
          <w:szCs w:val="28"/>
        </w:rPr>
      </w:pPr>
      <w:r>
        <w:rPr>
          <w:rFonts w:asciiTheme="minorBidi" w:hAnsiTheme="minorBidi"/>
          <w:sz w:val="28"/>
          <w:szCs w:val="28"/>
        </w:rPr>
        <w:t>BHP is an industry leader in global mining, including iron ore, copper, nickel and potash, all of which play a vital role in the global energy transition. BHP also had a record copper production of 2.02 million tonnes in FY2025, an increase of +8% compared to FY2024, while its greenhouse gas (GHG) emissions from its operated assets were reduced by 5% compared to the previous year, in line with its decarbonisation target for FY2030 (BHP, 2025). The company also said it made US$19.5 billion in profit from operations and identified copper and potash as critical commodities for growth and decarbonisation efforts in the long-term. These successes still come with challenges and opportunities for a business moving towards a lower carbon footprint.</w:t>
      </w:r>
    </w:p>
    <w:p w14:paraId="259A89F7">
      <w:pPr>
        <w:pStyle w:val="2"/>
        <w:numPr>
          <w:ilvl w:val="0"/>
          <w:numId w:val="1"/>
        </w:numPr>
        <w:tabs>
          <w:tab w:val="left" w:pos="360"/>
        </w:tabs>
        <w:spacing w:line="360" w:lineRule="auto"/>
        <w:ind w:left="0" w:firstLine="0"/>
      </w:pPr>
      <w:bookmarkStart w:id="2" w:name="_Toc232606943"/>
      <w:bookmarkStart w:id="3" w:name="_Toc232699793"/>
      <w:r>
        <w:t>Marketing Environment Analysis</w:t>
      </w:r>
      <w:bookmarkEnd w:id="2"/>
      <w:bookmarkEnd w:id="3"/>
      <w:r>
        <w:t xml:space="preserve"> </w:t>
      </w:r>
    </w:p>
    <w:p w14:paraId="34AB8BCB">
      <w:pPr>
        <w:pStyle w:val="32"/>
        <w:spacing w:line="360" w:lineRule="auto"/>
        <w:ind w:left="765"/>
      </w:pPr>
    </w:p>
    <w:p w14:paraId="341EB407">
      <w:pPr>
        <w:spacing w:after="160" w:line="360" w:lineRule="auto"/>
        <w:jc w:val="both"/>
        <w:rPr>
          <w:rFonts w:asciiTheme="minorBidi" w:hAnsiTheme="minorBidi"/>
          <w:sz w:val="28"/>
          <w:szCs w:val="28"/>
        </w:rPr>
      </w:pPr>
      <w:bookmarkStart w:id="4" w:name="_Toc232606945"/>
      <w:r>
        <w:rPr>
          <w:rFonts w:asciiTheme="minorBidi" w:hAnsiTheme="minorBidi"/>
          <w:sz w:val="28"/>
          <w:szCs w:val="28"/>
        </w:rPr>
        <w:t>External Environmental analysis is used by the organisation to identify the factors which affect their stratagem and competitiveness. The Marketing Environment Framework is a tool that can be used to analyse external influences that offer opportunities and threats to marketing performance and decision making (Kotler et al., 2024). For this analysis, therefore, the focus is limited to two actors in the external marketing environment (the Natural Environment and the Political and Regulatory Environment), as these have strong influence on the transition of BHP to low carbon products.).</w:t>
      </w:r>
    </w:p>
    <w:p w14:paraId="18ED3CBF">
      <w:pPr>
        <w:spacing w:after="160" w:line="360" w:lineRule="auto"/>
        <w:jc w:val="both"/>
        <w:rPr>
          <w:rFonts w:asciiTheme="minorBidi" w:hAnsiTheme="minorBidi"/>
          <w:sz w:val="28"/>
          <w:szCs w:val="28"/>
        </w:rPr>
      </w:pPr>
      <w:r>
        <w:rPr>
          <w:rFonts w:asciiTheme="minorBidi" w:hAnsiTheme="minorBidi"/>
          <w:sz w:val="28"/>
          <w:szCs w:val="28"/>
        </w:rPr>
        <w:drawing>
          <wp:inline distT="0" distB="0" distL="0" distR="0">
            <wp:extent cx="5486400" cy="1922780"/>
            <wp:effectExtent l="0" t="25400" r="0" b="33020"/>
            <wp:docPr id="155183177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0403ACF">
      <w:pPr>
        <w:spacing w:line="360" w:lineRule="auto"/>
        <w:rPr>
          <w:rFonts w:asciiTheme="minorBidi" w:hAnsiTheme="minorBidi" w:eastAsiaTheme="majorEastAsia"/>
          <w:b/>
          <w:color w:val="104862" w:themeColor="accent1" w:themeShade="BF"/>
          <w:sz w:val="28"/>
          <w:szCs w:val="28"/>
        </w:rPr>
      </w:pPr>
      <w:r>
        <w:rPr>
          <w:rFonts w:asciiTheme="minorBidi" w:hAnsiTheme="minorBidi"/>
          <w:sz w:val="28"/>
          <w:szCs w:val="28"/>
        </w:rPr>
        <w:br w:type="page"/>
      </w:r>
    </w:p>
    <w:p w14:paraId="1B1D05B9">
      <w:pPr>
        <w:pStyle w:val="2"/>
        <w:spacing w:line="360" w:lineRule="auto"/>
      </w:pPr>
      <w:bookmarkStart w:id="5" w:name="_Toc232699794"/>
      <w:r>
        <w:t>2.1 Natural Environment</w:t>
      </w:r>
      <w:bookmarkEnd w:id="5"/>
      <w:r>
        <w:t xml:space="preserve"> </w:t>
      </w:r>
    </w:p>
    <w:p w14:paraId="43713A9C">
      <w:pPr>
        <w:pStyle w:val="3"/>
        <w:spacing w:line="360" w:lineRule="auto"/>
        <w:rPr>
          <w:rFonts w:eastAsia="Arial"/>
        </w:rPr>
      </w:pPr>
      <w:bookmarkStart w:id="6" w:name="_Toc232699795"/>
      <w:r>
        <w:rPr>
          <w:rFonts w:eastAsia="Arial"/>
        </w:rPr>
        <w:t>2.1.1 Climate Change and Sustainability Pressures</w:t>
      </w:r>
      <w:bookmarkEnd w:id="6"/>
    </w:p>
    <w:p w14:paraId="69E2598C">
      <w:pPr>
        <w:spacing w:line="360" w:lineRule="auto"/>
      </w:pPr>
    </w:p>
    <w:p w14:paraId="2B9238C3">
      <w:pPr>
        <w:spacing w:line="360" w:lineRule="auto"/>
        <w:jc w:val="both"/>
        <w:rPr>
          <w:rFonts w:asciiTheme="minorBidi" w:hAnsiTheme="minorBidi"/>
          <w:sz w:val="28"/>
          <w:szCs w:val="28"/>
        </w:rPr>
      </w:pPr>
      <w:r>
        <w:rPr>
          <w:rFonts w:asciiTheme="minorBidi" w:hAnsiTheme="minorBidi"/>
          <w:sz w:val="28"/>
          <w:szCs w:val="28"/>
        </w:rPr>
        <w:t>Pressure is building up on the mining industry to decrease carbon emissions and to help transition to sustainability. Climate change is influencing expectations, capital funding and long-term strategic focus from stakeholders, especially for energy-using, climate-scrutinised companies like BHP. This is putting pressure on BHP to enhance environmental performance and to show a credible path towards decarbonisation progress from the perspectives of its investors, its customers and its governments (BHP, 2024).</w:t>
      </w:r>
    </w:p>
    <w:p w14:paraId="23984FB5">
      <w:pPr>
        <w:spacing w:line="360" w:lineRule="auto"/>
        <w:jc w:val="center"/>
        <w:rPr>
          <w:rFonts w:asciiTheme="minorBidi" w:hAnsiTheme="minorBidi"/>
          <w:sz w:val="28"/>
          <w:szCs w:val="28"/>
        </w:rPr>
      </w:pPr>
      <w:r>
        <w:rPr>
          <w:rFonts w:asciiTheme="minorBidi" w:hAnsiTheme="minorBidi"/>
          <w:sz w:val="28"/>
          <w:szCs w:val="28"/>
        </w:rPr>
        <w:drawing>
          <wp:inline distT="0" distB="0" distL="0" distR="0">
            <wp:extent cx="5943600" cy="3606165"/>
            <wp:effectExtent l="0" t="0" r="0" b="0"/>
            <wp:docPr id="859653391" name="Picture 1" descr="BHP’s Copper Boom: Sustainable Mining to Meet Soaring Global Demand • Carbon Cred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653391" name="Picture 1" descr="BHP’s Copper Boom: Sustainable Mining to Meet Soaring Global Demand • Carbon Credit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5943600" cy="3606165"/>
                    </a:xfrm>
                    <a:prstGeom prst="rect">
                      <a:avLst/>
                    </a:prstGeom>
                    <a:noFill/>
                    <a:ln>
                      <a:noFill/>
                    </a:ln>
                  </pic:spPr>
                </pic:pic>
              </a:graphicData>
            </a:graphic>
          </wp:inline>
        </w:drawing>
      </w:r>
    </w:p>
    <w:p w14:paraId="25369571">
      <w:pPr>
        <w:spacing w:line="360" w:lineRule="auto"/>
        <w:jc w:val="center"/>
        <w:rPr>
          <w:rFonts w:asciiTheme="minorBidi" w:hAnsiTheme="minorBidi"/>
          <w:b/>
          <w:bCs/>
          <w:sz w:val="28"/>
          <w:szCs w:val="28"/>
          <w:u w:val="single"/>
        </w:rPr>
      </w:pPr>
      <w:r>
        <w:rPr>
          <w:rFonts w:asciiTheme="minorBidi" w:hAnsiTheme="minorBidi"/>
          <w:b/>
          <w:bCs/>
          <w:sz w:val="28"/>
          <w:szCs w:val="28"/>
          <w:u w:val="single"/>
        </w:rPr>
        <w:t>Figure 2: Projected pathway to BHP's operational greenhouse gas emissions medium-term target (FY2020-FY2030)</w:t>
      </w:r>
    </w:p>
    <w:p w14:paraId="3A0FDCDA">
      <w:pPr>
        <w:spacing w:line="360" w:lineRule="auto"/>
        <w:jc w:val="center"/>
        <w:rPr>
          <w:rFonts w:asciiTheme="minorBidi" w:hAnsiTheme="minorBidi"/>
          <w:sz w:val="28"/>
          <w:szCs w:val="28"/>
          <w:u w:val="single"/>
        </w:rPr>
      </w:pPr>
      <w:r>
        <w:rPr>
          <w:rFonts w:asciiTheme="minorBidi" w:hAnsiTheme="minorBidi"/>
          <w:sz w:val="28"/>
          <w:szCs w:val="28"/>
          <w:u w:val="single"/>
        </w:rPr>
        <w:t>Source: BHP (2025)</w:t>
      </w:r>
    </w:p>
    <w:p w14:paraId="0D987802">
      <w:pPr>
        <w:spacing w:line="360" w:lineRule="auto"/>
        <w:rPr>
          <w:rFonts w:asciiTheme="minorBidi" w:hAnsiTheme="minorBidi"/>
          <w:sz w:val="28"/>
          <w:szCs w:val="28"/>
        </w:rPr>
      </w:pPr>
    </w:p>
    <w:p w14:paraId="2D408BEA">
      <w:pPr>
        <w:spacing w:line="360" w:lineRule="auto"/>
        <w:jc w:val="both"/>
        <w:rPr>
          <w:rFonts w:asciiTheme="minorBidi" w:hAnsiTheme="minorBidi"/>
          <w:sz w:val="28"/>
          <w:szCs w:val="28"/>
        </w:rPr>
      </w:pPr>
      <w:r>
        <w:rPr>
          <w:rFonts w:asciiTheme="minorBidi" w:hAnsiTheme="minorBidi"/>
          <w:sz w:val="28"/>
          <w:szCs w:val="28"/>
        </w:rPr>
        <w:t>Environmental pressures from a marketing point of view are significant as they affect corporate reputation, stakeholder's trust and value in the global commodity market. While the low-carbon transition offers opportunities for differentiation, it also demands continued investment in lower carbon technologies, renewable energy and emissions reduction (Smith and Wentworth, 2022).</w:t>
      </w:r>
    </w:p>
    <w:p w14:paraId="204469C6">
      <w:pPr>
        <w:pStyle w:val="3"/>
        <w:spacing w:line="360" w:lineRule="auto"/>
        <w:rPr>
          <w:rFonts w:eastAsia="Arial"/>
        </w:rPr>
      </w:pPr>
      <w:bookmarkStart w:id="7" w:name="_Toc232699796"/>
      <w:r>
        <w:rPr>
          <w:rFonts w:eastAsia="Arial"/>
        </w:rPr>
        <w:t>2.1.2 Energy Transition and Demand for Critical Minerals</w:t>
      </w:r>
      <w:bookmarkEnd w:id="7"/>
    </w:p>
    <w:p w14:paraId="7B9A9BA1">
      <w:pPr>
        <w:spacing w:line="360" w:lineRule="auto"/>
        <w:jc w:val="both"/>
        <w:rPr>
          <w:rFonts w:asciiTheme="minorBidi" w:hAnsiTheme="minorBidi"/>
          <w:sz w:val="28"/>
          <w:szCs w:val="28"/>
        </w:rPr>
      </w:pPr>
      <w:r>
        <w:rPr>
          <w:rFonts w:asciiTheme="minorBidi" w:hAnsiTheme="minorBidi"/>
          <w:sz w:val="28"/>
          <w:szCs w:val="28"/>
        </w:rPr>
        <w:t>The Energy Transition and the need for critical minerals is a key priority that is essential to keeping the industry competitive. The world's shift to renewables and electric vehicles (EVs) is driving up demand for minerals BHP sees as vital to its growth – copper and nickel (McKay, 2019). This need presents an important opportunity but does not necessarily become a competitive opportunity as other companies such as Rio Tinto and Anglo American are also pursuing this market. Therefore, it will be more than just the production of these minerals that will determine BHP's competitive edge, it will also be the production of these minerals in a manner that is more resource efficient and less carbon intensive. In this way, the Natural Environment is both generating demand and changing the rules for measuring miners' performance, such as sustainability measures or their reliability of supply and environmental responsibility. This projected energy transition demand growth can therefore be illustrated in Figure 1 using transition minerals.</w:t>
      </w:r>
    </w:p>
    <w:p w14:paraId="7551735C">
      <w:pPr>
        <w:spacing w:after="160" w:line="360" w:lineRule="auto"/>
        <w:ind w:left="720"/>
        <w:jc w:val="both"/>
        <w:rPr>
          <w:rFonts w:asciiTheme="minorBidi" w:hAnsiTheme="minorBidi"/>
          <w:sz w:val="28"/>
          <w:szCs w:val="28"/>
        </w:rPr>
      </w:pPr>
      <w:r>
        <w:rPr>
          <w:rFonts w:asciiTheme="minorBidi" w:hAnsiTheme="minorBidi"/>
          <w:sz w:val="28"/>
          <w:szCs w:val="28"/>
        </w:rPr>
        <w:drawing>
          <wp:inline distT="0" distB="0" distL="0" distR="0">
            <wp:extent cx="5730875" cy="2921000"/>
            <wp:effectExtent l="0" t="0" r="3175" b="0"/>
            <wp:docPr id="15583553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55329"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t="7464"/>
                    <a:stretch>
                      <a:fillRect/>
                    </a:stretch>
                  </pic:blipFill>
                  <pic:spPr>
                    <a:xfrm>
                      <a:off x="0" y="0"/>
                      <a:ext cx="5731510" cy="2921547"/>
                    </a:xfrm>
                    <a:prstGeom prst="rect">
                      <a:avLst/>
                    </a:prstGeom>
                    <a:noFill/>
                    <a:ln>
                      <a:noFill/>
                    </a:ln>
                  </pic:spPr>
                </pic:pic>
              </a:graphicData>
            </a:graphic>
          </wp:inline>
        </w:drawing>
      </w:r>
    </w:p>
    <w:p w14:paraId="50C384A3">
      <w:pPr>
        <w:spacing w:after="160" w:line="360" w:lineRule="auto"/>
        <w:jc w:val="center"/>
        <w:rPr>
          <w:rFonts w:asciiTheme="minorBidi" w:hAnsiTheme="minorBidi"/>
          <w:b/>
          <w:bCs/>
          <w:sz w:val="28"/>
          <w:szCs w:val="28"/>
          <w:u w:val="single"/>
        </w:rPr>
      </w:pPr>
      <w:r>
        <w:rPr>
          <w:rFonts w:asciiTheme="minorBidi" w:hAnsiTheme="minorBidi"/>
          <w:b/>
          <w:bCs/>
          <w:sz w:val="28"/>
          <w:szCs w:val="28"/>
          <w:u w:val="single"/>
        </w:rPr>
        <w:t>Figure 3: Projected Growth in Demand for Transition Minerals Associated with the Energy Transition</w:t>
      </w:r>
    </w:p>
    <w:p w14:paraId="77C43090">
      <w:pPr>
        <w:spacing w:after="160" w:line="360" w:lineRule="auto"/>
        <w:jc w:val="center"/>
        <w:rPr>
          <w:rFonts w:asciiTheme="minorBidi" w:hAnsiTheme="minorBidi"/>
          <w:sz w:val="28"/>
          <w:szCs w:val="28"/>
          <w:u w:val="single"/>
        </w:rPr>
      </w:pPr>
      <w:r>
        <w:rPr>
          <w:rFonts w:asciiTheme="minorBidi" w:hAnsiTheme="minorBidi"/>
          <w:i/>
          <w:iCs/>
          <w:sz w:val="28"/>
          <w:szCs w:val="28"/>
          <w:u w:val="single"/>
        </w:rPr>
        <w:t>Source: Adapted from International Energy Agency (2024)</w:t>
      </w:r>
    </w:p>
    <w:p w14:paraId="3C87EBDD">
      <w:pPr>
        <w:pStyle w:val="3"/>
        <w:spacing w:line="360" w:lineRule="auto"/>
      </w:pPr>
      <w:bookmarkStart w:id="8" w:name="_Toc232699797"/>
      <w:r>
        <w:rPr>
          <w:rFonts w:eastAsia="Arial"/>
        </w:rPr>
        <w:t>2.1.3 Evaluation of BHP's Strategic Response</w:t>
      </w:r>
      <w:bookmarkEnd w:id="8"/>
    </w:p>
    <w:p w14:paraId="4570582C">
      <w:pPr>
        <w:spacing w:line="360" w:lineRule="auto"/>
        <w:jc w:val="both"/>
        <w:rPr>
          <w:rFonts w:asciiTheme="minorBidi" w:hAnsiTheme="minorBidi"/>
          <w:sz w:val="28"/>
          <w:szCs w:val="28"/>
        </w:rPr>
      </w:pPr>
      <w:r>
        <w:rPr>
          <w:rFonts w:asciiTheme="minorBidi" w:hAnsiTheme="minorBidi"/>
          <w:sz w:val="28"/>
          <w:szCs w:val="28"/>
        </w:rPr>
        <w:t>BHP is committed to investing in our renewable energy, emissions reduction and our operational decarbonisation programmes in response to these environmental pressures (BHP, 2024). These actions strengthen the brand of sustainability and showcase the company's capacity to meet changing expectations of its stakeholders. The outcome of the transition, however, is not guaranteed and it comes with costs, particularly in terms of technology uncertainties and costs of implementation. As the demand for sustainability continues to rapidly increase, BHP will need to integrate this concept into the industry and its production practice as well as its overall positioning in the market to be successful (Husain, 2022).</w:t>
      </w:r>
    </w:p>
    <w:bookmarkEnd w:id="4"/>
    <w:p w14:paraId="01F3767E">
      <w:pPr>
        <w:pStyle w:val="2"/>
        <w:spacing w:line="360" w:lineRule="auto"/>
      </w:pPr>
      <w:bookmarkStart w:id="9" w:name="_Toc232699798"/>
      <w:bookmarkStart w:id="10" w:name="_Toc232606948"/>
      <w:r>
        <w:t>2.2 Political and Regulatory Environment</w:t>
      </w:r>
      <w:bookmarkEnd w:id="9"/>
      <w:bookmarkEnd w:id="10"/>
    </w:p>
    <w:p w14:paraId="74155F77">
      <w:pPr>
        <w:pStyle w:val="3"/>
        <w:spacing w:line="360" w:lineRule="auto"/>
      </w:pPr>
      <w:bookmarkStart w:id="11" w:name="_Toc232606949"/>
      <w:bookmarkStart w:id="12" w:name="_Toc232699799"/>
      <w:r>
        <w:t>2.2.1 Environmental Regulation and Carbon Policies</w:t>
      </w:r>
      <w:bookmarkEnd w:id="11"/>
      <w:bookmarkEnd w:id="12"/>
    </w:p>
    <w:p w14:paraId="72FC5210">
      <w:pPr>
        <w:spacing w:after="160" w:line="360" w:lineRule="auto"/>
        <w:jc w:val="both"/>
        <w:rPr>
          <w:rFonts w:asciiTheme="minorBidi" w:hAnsiTheme="minorBidi"/>
          <w:sz w:val="28"/>
          <w:szCs w:val="28"/>
        </w:rPr>
      </w:pPr>
      <w:r>
        <w:rPr>
          <w:rFonts w:asciiTheme="minorBidi" w:hAnsiTheme="minorBidi"/>
          <w:sz w:val="28"/>
          <w:szCs w:val="28"/>
        </w:rPr>
        <w:t>The mining industry's strategic decisions are still driven by the more and more strict climate policies and emissions regulations. Environmental compliance costs are rising, along with emissions reduction targets and reporting obligations, while incentivizing investments in cleaner technologies. Regulatory pressure is a force for BHP that is not just a constraint, but also a catalyst for innovation and long-term competitiveness that is geared towards sustainability (McKay, 2019). Figure below illustrates the growing importance of carbon pricing mechanisms and carbon credit markets in global climate policy.</w:t>
      </w:r>
    </w:p>
    <w:p w14:paraId="54E52DEA">
      <w:pPr>
        <w:spacing w:after="160" w:line="360" w:lineRule="auto"/>
        <w:jc w:val="center"/>
        <w:rPr>
          <w:rFonts w:asciiTheme="minorBidi" w:hAnsiTheme="minorBidi"/>
          <w:sz w:val="28"/>
          <w:szCs w:val="28"/>
        </w:rPr>
      </w:pPr>
      <w:r>
        <w:rPr>
          <w:rFonts w:asciiTheme="minorBidi" w:hAnsiTheme="minorBidi"/>
          <w:sz w:val="28"/>
          <w:szCs w:val="28"/>
        </w:rPr>
        <w:drawing>
          <wp:inline distT="0" distB="0" distL="0" distR="0">
            <wp:extent cx="5828030" cy="3272155"/>
            <wp:effectExtent l="0" t="0" r="1270" b="4445"/>
            <wp:docPr id="859346004" name="Picture 2" descr="State and Trends of Carbon Pricing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46004" name="Picture 2" descr="State and Trends of Carbon Pricing 202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5833904" cy="3275672"/>
                    </a:xfrm>
                    <a:prstGeom prst="rect">
                      <a:avLst/>
                    </a:prstGeom>
                    <a:noFill/>
                    <a:ln>
                      <a:noFill/>
                    </a:ln>
                  </pic:spPr>
                </pic:pic>
              </a:graphicData>
            </a:graphic>
          </wp:inline>
        </w:drawing>
      </w:r>
    </w:p>
    <w:p w14:paraId="771F5ED1">
      <w:pPr>
        <w:spacing w:after="160" w:line="360" w:lineRule="auto"/>
        <w:jc w:val="center"/>
        <w:rPr>
          <w:rFonts w:asciiTheme="minorBidi" w:hAnsiTheme="minorBidi"/>
          <w:b/>
          <w:bCs/>
          <w:sz w:val="28"/>
          <w:szCs w:val="28"/>
          <w:u w:val="single"/>
        </w:rPr>
      </w:pPr>
      <w:r>
        <w:rPr>
          <w:rFonts w:asciiTheme="minorBidi" w:hAnsiTheme="minorBidi"/>
          <w:b/>
          <w:bCs/>
          <w:sz w:val="28"/>
          <w:szCs w:val="28"/>
          <w:u w:val="single"/>
        </w:rPr>
        <w:t>Figure 4: Global Trends in Carbon Pricing and Carbon Credit Markets</w:t>
      </w:r>
    </w:p>
    <w:p w14:paraId="09857EF3">
      <w:pPr>
        <w:spacing w:after="160" w:line="360" w:lineRule="auto"/>
        <w:jc w:val="center"/>
        <w:rPr>
          <w:rFonts w:asciiTheme="minorBidi" w:hAnsiTheme="minorBidi"/>
          <w:sz w:val="28"/>
          <w:szCs w:val="28"/>
          <w:u w:val="single"/>
        </w:rPr>
      </w:pPr>
      <w:r>
        <w:rPr>
          <w:rFonts w:asciiTheme="minorBidi" w:hAnsiTheme="minorBidi"/>
          <w:sz w:val="28"/>
          <w:szCs w:val="28"/>
          <w:u w:val="single"/>
        </w:rPr>
        <w:t>Source: Adapted from World Bank (2025).</w:t>
      </w:r>
    </w:p>
    <w:p w14:paraId="6163EFE4">
      <w:pPr>
        <w:spacing w:line="360" w:lineRule="auto"/>
        <w:rPr>
          <w:rFonts w:ascii="Arial" w:hAnsi="Arial" w:eastAsiaTheme="majorEastAsia" w:cstheme="majorBidi"/>
          <w:b/>
          <w:i/>
          <w:color w:val="000000" w:themeColor="text1"/>
          <w:sz w:val="32"/>
          <w:szCs w:val="28"/>
          <w:u w:val="single"/>
          <w14:textFill>
            <w14:solidFill>
              <w14:schemeClr w14:val="tx1"/>
            </w14:solidFill>
          </w14:textFill>
        </w:rPr>
      </w:pPr>
      <w:bookmarkStart w:id="13" w:name="_Toc232606950"/>
      <w:r>
        <w:br w:type="page"/>
      </w:r>
    </w:p>
    <w:p w14:paraId="51F6DFD5">
      <w:pPr>
        <w:pStyle w:val="3"/>
        <w:numPr>
          <w:ilvl w:val="2"/>
          <w:numId w:val="1"/>
        </w:numPr>
        <w:tabs>
          <w:tab w:val="left" w:pos="360"/>
        </w:tabs>
        <w:spacing w:line="360" w:lineRule="auto"/>
        <w:ind w:left="0" w:firstLine="0"/>
      </w:pPr>
      <w:bookmarkStart w:id="14" w:name="_Toc232699800"/>
      <w:r>
        <w:t>International Climate Agreements and Sustainability Standards</w:t>
      </w:r>
      <w:bookmarkEnd w:id="13"/>
      <w:bookmarkEnd w:id="14"/>
    </w:p>
    <w:p w14:paraId="06F5DEB3">
      <w:pPr>
        <w:pStyle w:val="32"/>
        <w:spacing w:line="360" w:lineRule="auto"/>
        <w:ind w:left="1155"/>
      </w:pPr>
    </w:p>
    <w:p w14:paraId="216D3738">
      <w:pPr>
        <w:spacing w:line="360" w:lineRule="auto"/>
        <w:jc w:val="both"/>
        <w:rPr>
          <w:rFonts w:asciiTheme="minorBidi" w:hAnsiTheme="minorBidi"/>
          <w:sz w:val="28"/>
          <w:szCs w:val="28"/>
        </w:rPr>
      </w:pPr>
      <w:r>
        <w:rPr>
          <w:rFonts w:asciiTheme="minorBidi" w:hAnsiTheme="minorBidi"/>
          <w:sz w:val="28"/>
          <w:szCs w:val="28"/>
        </w:rPr>
        <w:t>The expectations of the carbon-intensive industries for emissions reduction and sustainable business practices are bolstered by international agreements like the Paris Agreement (Beavon, 2019). In response, BHP meets global sustainability standards and investor expectations. But climate policies differ from one jurisdiction to another, which causes uncertainty over the rules and makes it more difficult for multinational mining companies to make investments and strategic plans.</w:t>
      </w:r>
    </w:p>
    <w:p w14:paraId="75EC300A">
      <w:pPr>
        <w:pStyle w:val="3"/>
        <w:numPr>
          <w:ilvl w:val="2"/>
          <w:numId w:val="1"/>
        </w:numPr>
        <w:tabs>
          <w:tab w:val="left" w:pos="360"/>
        </w:tabs>
        <w:spacing w:line="360" w:lineRule="auto"/>
        <w:ind w:left="0" w:firstLine="0"/>
      </w:pPr>
      <w:bookmarkStart w:id="15" w:name="_Toc232606951"/>
      <w:bookmarkStart w:id="16" w:name="_Toc232699801"/>
      <w:r>
        <w:t>International Investment and Regulatory Challenges</w:t>
      </w:r>
      <w:bookmarkEnd w:id="15"/>
      <w:bookmarkEnd w:id="16"/>
    </w:p>
    <w:p w14:paraId="00FBE187">
      <w:pPr>
        <w:spacing w:line="360" w:lineRule="auto"/>
      </w:pPr>
    </w:p>
    <w:p w14:paraId="5A07AF1D">
      <w:pPr>
        <w:spacing w:after="160" w:line="360" w:lineRule="auto"/>
        <w:jc w:val="both"/>
        <w:rPr>
          <w:rFonts w:asciiTheme="minorBidi" w:hAnsiTheme="minorBidi"/>
          <w:sz w:val="28"/>
          <w:szCs w:val="28"/>
        </w:rPr>
      </w:pPr>
      <w:r>
        <w:rPr>
          <w:rFonts w:asciiTheme="minorBidi" w:hAnsiTheme="minorBidi"/>
          <w:sz w:val="28"/>
          <w:szCs w:val="28"/>
        </w:rPr>
        <w:t>BHP is a multinational mining business and thus has to deal with jurisdictions that have different environmental regulations and climate policies (International Energy Agency, 2025). More stringent standards can be considered as a compliance cost but can also provide an entry barrier advantage to a mature company with a robust financial and operational capacity. As a result, BHP is constantly adjusting its policies to keep up with changing policy landscapes and stay competitive (BHP, 2024).</w:t>
      </w:r>
    </w:p>
    <w:p w14:paraId="73D5D8C7">
      <w:pPr>
        <w:spacing w:after="160" w:line="360" w:lineRule="auto"/>
        <w:rPr>
          <w:rFonts w:asciiTheme="minorBidi" w:hAnsiTheme="minorBidi"/>
          <w:b/>
          <w:bCs/>
          <w:sz w:val="28"/>
          <w:szCs w:val="28"/>
        </w:rPr>
      </w:pPr>
      <w:r>
        <w:rPr>
          <w:rFonts w:asciiTheme="minorBidi" w:hAnsiTheme="minorBidi"/>
          <w:sz w:val="28"/>
          <w:szCs w:val="28"/>
        </w:rPr>
        <w:drawing>
          <wp:inline distT="0" distB="0" distL="0" distR="0">
            <wp:extent cx="5619750" cy="2924175"/>
            <wp:effectExtent l="0" t="0" r="0" b="9525"/>
            <wp:docPr id="1232576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76440" name="Picture 1"/>
                    <pic:cNvPicPr>
                      <a:picLocks noChangeAspect="1"/>
                    </pic:cNvPicPr>
                  </pic:nvPicPr>
                  <pic:blipFill>
                    <a:blip r:embed="rId18"/>
                    <a:stretch>
                      <a:fillRect/>
                    </a:stretch>
                  </pic:blipFill>
                  <pic:spPr>
                    <a:xfrm>
                      <a:off x="0" y="0"/>
                      <a:ext cx="5619750" cy="2924175"/>
                    </a:xfrm>
                    <a:prstGeom prst="rect">
                      <a:avLst/>
                    </a:prstGeom>
                  </pic:spPr>
                </pic:pic>
              </a:graphicData>
            </a:graphic>
          </wp:inline>
        </w:drawing>
      </w:r>
    </w:p>
    <w:p w14:paraId="6DEA4F83">
      <w:pPr>
        <w:spacing w:after="160" w:line="360" w:lineRule="auto"/>
        <w:jc w:val="center"/>
        <w:rPr>
          <w:rFonts w:asciiTheme="minorBidi" w:hAnsiTheme="minorBidi"/>
          <w:b/>
          <w:bCs/>
          <w:sz w:val="28"/>
          <w:szCs w:val="28"/>
          <w:u w:val="single"/>
        </w:rPr>
      </w:pPr>
    </w:p>
    <w:p w14:paraId="50F95325">
      <w:pPr>
        <w:spacing w:after="160" w:line="360" w:lineRule="auto"/>
        <w:jc w:val="center"/>
        <w:rPr>
          <w:rFonts w:asciiTheme="minorBidi" w:hAnsiTheme="minorBidi"/>
          <w:sz w:val="28"/>
          <w:szCs w:val="28"/>
          <w:u w:val="single"/>
        </w:rPr>
      </w:pPr>
      <w:r>
        <w:rPr>
          <w:rFonts w:asciiTheme="minorBidi" w:hAnsiTheme="minorBidi"/>
          <w:b/>
          <w:bCs/>
          <w:sz w:val="28"/>
          <w:szCs w:val="28"/>
          <w:u w:val="single"/>
        </w:rPr>
        <w:t>Figure 5: Key Political and Regulatory Factors Influencing BHP's Transition Towards Lower-Carbon Products</w:t>
      </w:r>
      <w:r>
        <w:rPr>
          <w:rFonts w:asciiTheme="minorBidi" w:hAnsiTheme="minorBidi"/>
          <w:sz w:val="28"/>
          <w:szCs w:val="28"/>
          <w:u w:val="single"/>
        </w:rPr>
        <w:br w:type="textWrapping"/>
      </w:r>
      <w:r>
        <w:rPr>
          <w:rFonts w:asciiTheme="minorBidi" w:hAnsiTheme="minorBidi"/>
          <w:sz w:val="28"/>
          <w:szCs w:val="28"/>
          <w:u w:val="single"/>
        </w:rPr>
        <w:t>Source: Author, adapted from BHP (2024), International Energy Agency (2025) and Beavon (2019).</w:t>
      </w:r>
    </w:p>
    <w:p w14:paraId="07F78457">
      <w:pPr>
        <w:pStyle w:val="3"/>
        <w:spacing w:line="360" w:lineRule="auto"/>
      </w:pPr>
      <w:bookmarkStart w:id="17" w:name="_Toc232606952"/>
      <w:bookmarkStart w:id="18" w:name="_Toc232699802"/>
      <w:r>
        <w:t>2.2.4 Evaluation of BHP's Regulatory Position</w:t>
      </w:r>
      <w:bookmarkEnd w:id="17"/>
      <w:bookmarkEnd w:id="18"/>
    </w:p>
    <w:p w14:paraId="3D9CC589">
      <w:pPr>
        <w:spacing w:after="160" w:line="360" w:lineRule="auto"/>
        <w:jc w:val="both"/>
        <w:rPr>
          <w:rFonts w:asciiTheme="minorBidi" w:hAnsiTheme="minorBidi"/>
          <w:sz w:val="28"/>
          <w:szCs w:val="28"/>
        </w:rPr>
      </w:pPr>
      <w:r>
        <w:rPr>
          <w:rFonts w:asciiTheme="minorBidi" w:hAnsiTheme="minorBidi"/>
          <w:sz w:val="28"/>
          <w:szCs w:val="28"/>
        </w:rPr>
        <w:t>BHP has a relatively good position to deal with the rising pressure from the regulatory environment because of the investment in emissions reduction and sustainability projects (Laing et al., 2019). However, mere compliance is not likely to provide lasting competitive advantage as standards keep tightening and other competitors are seeking to decarbonise their operations in the same way. In conclusion, BHP must be able to predict and stay ahead of regulatory shifts and incorporate sustainability principles into its long-term strategy to make these efforts sustainable.</w:t>
      </w:r>
    </w:p>
    <w:p w14:paraId="425300FF">
      <w:pPr>
        <w:spacing w:line="360" w:lineRule="auto"/>
        <w:rPr>
          <w:rFonts w:asciiTheme="minorBidi" w:hAnsiTheme="minorBidi" w:eastAsiaTheme="majorEastAsia"/>
          <w:b/>
          <w:i/>
          <w:color w:val="000000" w:themeColor="text1"/>
          <w:sz w:val="28"/>
          <w:szCs w:val="28"/>
          <w:u w:val="single"/>
          <w14:textFill>
            <w14:solidFill>
              <w14:schemeClr w14:val="tx1"/>
            </w14:solidFill>
          </w14:textFill>
        </w:rPr>
      </w:pPr>
      <w:bookmarkStart w:id="19" w:name="_Toc232606953"/>
      <w:r>
        <w:rPr>
          <w:rFonts w:asciiTheme="minorBidi" w:hAnsiTheme="minorBidi"/>
          <w:sz w:val="28"/>
        </w:rPr>
        <w:br w:type="page"/>
      </w:r>
    </w:p>
    <w:p w14:paraId="055A0384">
      <w:pPr>
        <w:pStyle w:val="3"/>
        <w:spacing w:line="360" w:lineRule="auto"/>
        <w:rPr>
          <w:rFonts w:asciiTheme="minorBidi" w:hAnsiTheme="minorBidi" w:cstheme="minorBidi"/>
          <w:sz w:val="28"/>
        </w:rPr>
      </w:pPr>
      <w:bookmarkStart w:id="20" w:name="_Toc232699803"/>
      <w:r>
        <w:rPr>
          <w:rFonts w:asciiTheme="minorBidi" w:hAnsiTheme="minorBidi" w:cstheme="minorBidi"/>
          <w:sz w:val="28"/>
        </w:rPr>
        <w:t>2.4 Synthesis of Key Environmental Findings</w:t>
      </w:r>
      <w:bookmarkEnd w:id="19"/>
      <w:bookmarkEnd w:id="20"/>
    </w:p>
    <w:p w14:paraId="6945A05D">
      <w:pPr>
        <w:spacing w:line="360" w:lineRule="auto"/>
        <w:jc w:val="both"/>
        <w:rPr>
          <w:rFonts w:asciiTheme="minorBidi" w:hAnsiTheme="minorBidi"/>
          <w:sz w:val="28"/>
          <w:szCs w:val="28"/>
        </w:rPr>
      </w:pPr>
      <w:r>
        <w:rPr>
          <w:rFonts w:asciiTheme="minorBidi" w:hAnsiTheme="minorBidi"/>
          <w:sz w:val="28"/>
          <w:szCs w:val="28"/>
        </w:rPr>
        <w:t xml:space="preserve">The analysis shows that the Natural Environment and the Political and Regulatory Environment are significant factors impacting BHP's transition to lower-carbon products. Despite the growing demand for transition minerals, there are persistent environmental concerns and regulatory requirements that must be met. Based on these findings, future competitiveness is dependent on BHP's ability to integrate sustainability goals and strategic growth initiatives into a single package and provide a foundation for a strategic assessment, which will be presented in the next section (Calderon, 2020). </w:t>
      </w:r>
    </w:p>
    <w:p w14:paraId="2F25FF94">
      <w:pPr>
        <w:spacing w:line="360" w:lineRule="auto"/>
        <w:rPr>
          <w:rFonts w:ascii="Arial" w:hAnsi="Arial" w:eastAsiaTheme="majorEastAsia" w:cstheme="majorBidi"/>
          <w:b/>
          <w:color w:val="104862" w:themeColor="accent1" w:themeShade="BF"/>
          <w:sz w:val="36"/>
          <w:szCs w:val="40"/>
        </w:rPr>
      </w:pPr>
      <w:bookmarkStart w:id="21" w:name="_Toc232606954"/>
      <w:r>
        <w:br w:type="page"/>
      </w:r>
    </w:p>
    <w:p w14:paraId="5FCAAAE7">
      <w:pPr>
        <w:pStyle w:val="2"/>
        <w:numPr>
          <w:ilvl w:val="0"/>
          <w:numId w:val="1"/>
        </w:numPr>
        <w:tabs>
          <w:tab w:val="left" w:pos="360"/>
        </w:tabs>
        <w:spacing w:line="360" w:lineRule="auto"/>
        <w:ind w:left="0" w:firstLine="0"/>
      </w:pPr>
      <w:bookmarkStart w:id="22" w:name="_Toc232699804"/>
      <w:r>
        <w:t>Strategic Growth and Competitive Positioning</w:t>
      </w:r>
      <w:bookmarkEnd w:id="21"/>
      <w:bookmarkEnd w:id="22"/>
    </w:p>
    <w:p w14:paraId="7D0B4D76">
      <w:pPr>
        <w:pStyle w:val="2"/>
        <w:spacing w:line="360" w:lineRule="auto"/>
      </w:pPr>
      <w:bookmarkStart w:id="23" w:name="_Toc232606955"/>
      <w:bookmarkStart w:id="24" w:name="_Toc232699805"/>
      <w:r>
        <w:t>3.1 Evaluation of Strategic Growth Options Using the Ansoff Matrix</w:t>
      </w:r>
      <w:bookmarkEnd w:id="23"/>
      <w:bookmarkEnd w:id="24"/>
    </w:p>
    <w:p w14:paraId="35A79723">
      <w:pPr>
        <w:spacing w:line="360" w:lineRule="auto"/>
        <w:jc w:val="both"/>
        <w:rPr>
          <w:rFonts w:hint="default" w:ascii="Arial" w:hAnsi="Arial" w:cs="Arial"/>
          <w:sz w:val="28"/>
          <w:szCs w:val="28"/>
        </w:rPr>
      </w:pPr>
      <w:r>
        <w:rPr>
          <w:rFonts w:hint="default" w:ascii="Arial" w:hAnsi="Arial" w:cs="Arial"/>
          <w:sz w:val="28"/>
          <w:szCs w:val="28"/>
        </w:rPr>
        <w:t>The Ansoff Matrix is a useful tool for assessing strategic growth options, as it splits them into existing and new products, with existing and new markets. (Ansoff, 1957). The potential for each growth strategy will vary depending on BHP's ability to navigate into new areas to meet the challenges of environmental pressures, as well as the opportunities that emerge from the low-carbon transition.</w:t>
      </w:r>
    </w:p>
    <w:p w14:paraId="795DE983">
      <w:pPr>
        <w:spacing w:after="160" w:line="360" w:lineRule="auto"/>
        <w:jc w:val="center"/>
        <w:rPr>
          <w:rFonts w:asciiTheme="minorBidi" w:hAnsiTheme="minorBidi"/>
          <w:sz w:val="28"/>
          <w:szCs w:val="28"/>
        </w:rPr>
      </w:pPr>
      <w:r>
        <w:rPr>
          <w:rFonts w:asciiTheme="minorBidi" w:hAnsiTheme="minorBidi"/>
          <w:sz w:val="28"/>
          <w:szCs w:val="28"/>
        </w:rPr>
        <w:drawing>
          <wp:inline distT="0" distB="0" distL="0" distR="0">
            <wp:extent cx="5730875" cy="3764280"/>
            <wp:effectExtent l="0" t="0" r="3175" b="7620"/>
            <wp:docPr id="20897293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729377"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t="14804"/>
                    <a:stretch>
                      <a:fillRect/>
                    </a:stretch>
                  </pic:blipFill>
                  <pic:spPr>
                    <a:xfrm>
                      <a:off x="0" y="0"/>
                      <a:ext cx="5731510" cy="3764485"/>
                    </a:xfrm>
                    <a:prstGeom prst="rect">
                      <a:avLst/>
                    </a:prstGeom>
                    <a:noFill/>
                    <a:ln>
                      <a:noFill/>
                    </a:ln>
                  </pic:spPr>
                </pic:pic>
              </a:graphicData>
            </a:graphic>
          </wp:inline>
        </w:drawing>
      </w:r>
    </w:p>
    <w:p w14:paraId="22D43197">
      <w:pPr>
        <w:spacing w:line="360" w:lineRule="auto"/>
        <w:jc w:val="center"/>
        <w:rPr>
          <w:rFonts w:asciiTheme="minorBidi" w:hAnsiTheme="minorBidi"/>
          <w:b/>
          <w:bCs/>
          <w:sz w:val="28"/>
          <w:szCs w:val="28"/>
          <w:u w:val="single"/>
        </w:rPr>
      </w:pPr>
      <w:r>
        <w:rPr>
          <w:rFonts w:asciiTheme="minorBidi" w:hAnsiTheme="minorBidi"/>
          <w:b/>
          <w:bCs/>
          <w:sz w:val="28"/>
          <w:szCs w:val="28"/>
          <w:u w:val="single"/>
        </w:rPr>
        <w:t>Figure 7: Ansoff Matrix Evaluation of Strategic Growth Options for BHP</w:t>
      </w:r>
    </w:p>
    <w:p w14:paraId="417F3004">
      <w:pPr>
        <w:spacing w:line="360" w:lineRule="auto"/>
        <w:jc w:val="center"/>
        <w:rPr>
          <w:rFonts w:asciiTheme="minorBidi" w:hAnsiTheme="minorBidi"/>
          <w:sz w:val="28"/>
          <w:szCs w:val="28"/>
          <w:u w:val="single"/>
        </w:rPr>
      </w:pPr>
      <w:r>
        <w:rPr>
          <w:rFonts w:asciiTheme="minorBidi" w:hAnsiTheme="minorBidi"/>
          <w:sz w:val="28"/>
          <w:szCs w:val="28"/>
          <w:u w:val="single"/>
        </w:rPr>
        <w:t>Source: Author, (2026)</w:t>
      </w:r>
    </w:p>
    <w:p w14:paraId="4761F234">
      <w:pPr>
        <w:spacing w:after="160" w:line="360" w:lineRule="auto"/>
        <w:jc w:val="both"/>
        <w:rPr>
          <w:rFonts w:asciiTheme="minorBidi" w:hAnsiTheme="minorBidi"/>
          <w:b/>
          <w:bCs/>
          <w:sz w:val="28"/>
          <w:szCs w:val="28"/>
          <w:lang w:val="en-US"/>
        </w:rPr>
      </w:pPr>
    </w:p>
    <w:p w14:paraId="13958C2F">
      <w:pPr>
        <w:pStyle w:val="3"/>
        <w:spacing w:line="360" w:lineRule="auto"/>
        <w:rPr>
          <w:lang w:val="en-US"/>
        </w:rPr>
      </w:pPr>
      <w:bookmarkStart w:id="25" w:name="_Toc232699806"/>
      <w:r>
        <w:rPr>
          <w:lang w:val="en-US"/>
        </w:rPr>
        <w:t>3.1.1 Market Penetration</w:t>
      </w:r>
      <w:bookmarkEnd w:id="25"/>
    </w:p>
    <w:p w14:paraId="6B2FB200">
      <w:pPr>
        <w:spacing w:after="160" w:line="360" w:lineRule="auto"/>
        <w:jc w:val="both"/>
        <w:rPr>
          <w:rFonts w:asciiTheme="minorBidi" w:hAnsiTheme="minorBidi"/>
          <w:sz w:val="28"/>
          <w:szCs w:val="28"/>
          <w:lang w:val="en-US"/>
        </w:rPr>
      </w:pPr>
      <w:r>
        <w:rPr>
          <w:rFonts w:asciiTheme="minorBidi" w:hAnsiTheme="minorBidi"/>
          <w:sz w:val="28"/>
          <w:szCs w:val="28"/>
        </w:rPr>
        <w:t>Market penetration is a strategy that aims to grow the sale of current products in current markets. This is where BHP could benefit from the strategy as it may enhance market share and operational efficiency. It provides the company with limited support for the transition to low carbon products, however, since it is mostly based on existing product portfolio.</w:t>
      </w:r>
    </w:p>
    <w:p w14:paraId="1FCC9C6B">
      <w:pPr>
        <w:pStyle w:val="3"/>
        <w:spacing w:line="360" w:lineRule="auto"/>
        <w:rPr>
          <w:lang w:val="en-US"/>
        </w:rPr>
      </w:pPr>
      <w:bookmarkStart w:id="26" w:name="_Toc232699807"/>
      <w:r>
        <w:rPr>
          <w:lang w:val="en-US"/>
        </w:rPr>
        <w:t>3.1.2 Market Development</w:t>
      </w:r>
      <w:bookmarkEnd w:id="26"/>
    </w:p>
    <w:p w14:paraId="07997670">
      <w:pPr>
        <w:spacing w:after="160" w:line="360" w:lineRule="auto"/>
        <w:jc w:val="both"/>
        <w:rPr>
          <w:rFonts w:asciiTheme="minorBidi" w:hAnsiTheme="minorBidi"/>
          <w:sz w:val="28"/>
          <w:szCs w:val="28"/>
          <w:lang w:val="en-US"/>
        </w:rPr>
      </w:pPr>
      <w:r>
        <w:rPr>
          <w:rFonts w:asciiTheme="minorBidi" w:hAnsiTheme="minorBidi"/>
          <w:sz w:val="28"/>
          <w:szCs w:val="28"/>
        </w:rPr>
        <w:t>Market development – the process of exploiting opportunity by introducing existing products to new markets. The strategy might help BHP to grow its worldwide customer base and enter into new markets. However, it does not specifically respond to the growing demand for stakeholder mineral products to be lower carbon and more sustainable.</w:t>
      </w:r>
    </w:p>
    <w:p w14:paraId="256157B1">
      <w:pPr>
        <w:pStyle w:val="3"/>
        <w:spacing w:line="360" w:lineRule="auto"/>
        <w:rPr>
          <w:lang w:val="en-US"/>
        </w:rPr>
      </w:pPr>
      <w:bookmarkStart w:id="27" w:name="_Toc232699808"/>
      <w:r>
        <w:rPr>
          <w:lang w:val="en-US"/>
        </w:rPr>
        <w:t>3.1.3 Product Development</w:t>
      </w:r>
      <w:bookmarkEnd w:id="27"/>
    </w:p>
    <w:p w14:paraId="226DF333">
      <w:pPr>
        <w:spacing w:after="160" w:line="360" w:lineRule="auto"/>
        <w:jc w:val="both"/>
        <w:rPr>
          <w:rFonts w:asciiTheme="minorBidi" w:hAnsiTheme="minorBidi"/>
          <w:sz w:val="28"/>
          <w:szCs w:val="28"/>
          <w:lang w:val="en-US"/>
        </w:rPr>
      </w:pPr>
      <w:r>
        <w:rPr>
          <w:rFonts w:asciiTheme="minorBidi" w:hAnsiTheme="minorBidi"/>
          <w:sz w:val="28"/>
          <w:szCs w:val="28"/>
        </w:rPr>
        <w:t>Product development is an approach of launching new or improved products in to the new market. This is in line with BHP's sustainability goals to create lower carbon products and cleaner production methods. The added value of product development is apparent when the needs of the market change and innovation becomes more relevant (Lee et al., 2020).</w:t>
      </w:r>
    </w:p>
    <w:p w14:paraId="6F17B375">
      <w:pPr>
        <w:pStyle w:val="3"/>
        <w:spacing w:line="360" w:lineRule="auto"/>
        <w:rPr>
          <w:lang w:val="en-US"/>
        </w:rPr>
      </w:pPr>
      <w:bookmarkStart w:id="28" w:name="_Toc232699809"/>
      <w:r>
        <w:rPr>
          <w:lang w:val="en-US"/>
        </w:rPr>
        <w:t>3.1.4 Diversification</w:t>
      </w:r>
      <w:bookmarkEnd w:id="28"/>
    </w:p>
    <w:p w14:paraId="7B4C77BA">
      <w:pPr>
        <w:spacing w:after="160" w:line="360" w:lineRule="auto"/>
        <w:jc w:val="both"/>
        <w:rPr>
          <w:rFonts w:asciiTheme="minorBidi" w:hAnsiTheme="minorBidi"/>
          <w:sz w:val="28"/>
          <w:szCs w:val="28"/>
        </w:rPr>
      </w:pPr>
      <w:r>
        <w:rPr>
          <w:rFonts w:asciiTheme="minorBidi" w:hAnsiTheme="minorBidi"/>
          <w:sz w:val="28"/>
          <w:szCs w:val="28"/>
        </w:rPr>
        <w:t>Diversification is the process of entering into new markets and new products. The tradeoff is that this approach offers the potential for new growth opportunities and revenue streams, but it also has the greatest risk factor due to the investment needed and the markets and business segments in which they must operate.</w:t>
      </w:r>
    </w:p>
    <w:p w14:paraId="3F9A0DE3">
      <w:pPr>
        <w:pStyle w:val="3"/>
        <w:spacing w:line="360" w:lineRule="auto"/>
      </w:pPr>
      <w:bookmarkStart w:id="29" w:name="_Toc232606960"/>
      <w:bookmarkStart w:id="30" w:name="_Toc232699810"/>
      <w:r>
        <w:t>3.1.2 Justification of the Preferred Strategic Option</w:t>
      </w:r>
      <w:bookmarkEnd w:id="29"/>
      <w:bookmarkEnd w:id="30"/>
    </w:p>
    <w:p w14:paraId="141385EC">
      <w:pPr>
        <w:spacing w:line="360" w:lineRule="auto"/>
        <w:jc w:val="both"/>
        <w:rPr>
          <w:rFonts w:asciiTheme="minorBidi" w:hAnsiTheme="minorBidi"/>
          <w:sz w:val="28"/>
          <w:szCs w:val="28"/>
        </w:rPr>
      </w:pPr>
      <w:bookmarkStart w:id="31" w:name="_Toc232606961"/>
      <w:r>
        <w:rPr>
          <w:rFonts w:asciiTheme="minorBidi" w:hAnsiTheme="minorBidi"/>
          <w:sz w:val="28"/>
          <w:szCs w:val="28"/>
        </w:rPr>
        <w:t>Product development is the best strategic option for BHP of the four that were proposed. It directly tackles the increasing demand for sustainable products that are identified in the environmental analysis, in contrast with market penetration and market development. It also provides a risk/return profile that is more favorable than diversification, and aligns with BHP's decarbonisation goals. So, the most promising way to achieve growth and competitive advantage in the mining industry with the focus on sustainability is product development (Bogusz and Sulich, 2020).</w:t>
      </w:r>
    </w:p>
    <w:p w14:paraId="4C057B03">
      <w:pPr>
        <w:pStyle w:val="2"/>
        <w:spacing w:line="360" w:lineRule="auto"/>
      </w:pPr>
      <w:bookmarkStart w:id="32" w:name="_Toc232699811"/>
      <w:r>
        <w:t>3.2 Product Development as a Growth Strategy for BHP</w:t>
      </w:r>
      <w:bookmarkEnd w:id="31"/>
      <w:bookmarkEnd w:id="32"/>
    </w:p>
    <w:p w14:paraId="094CF87C">
      <w:pPr>
        <w:spacing w:line="360" w:lineRule="auto"/>
        <w:jc w:val="both"/>
        <w:rPr>
          <w:rFonts w:asciiTheme="minorBidi" w:hAnsiTheme="minorBidi"/>
          <w:sz w:val="28"/>
          <w:szCs w:val="28"/>
        </w:rPr>
      </w:pPr>
      <w:r>
        <w:rPr>
          <w:rFonts w:asciiTheme="minorBidi" w:hAnsiTheme="minorBidi"/>
          <w:sz w:val="28"/>
          <w:szCs w:val="28"/>
        </w:rPr>
        <w:t>Regulatory and ESG pressures heavily influence BHP's strategic decision-making process, adding to the compliance demands and fostering innovation and long-term sustainability integration.</w:t>
      </w:r>
    </w:p>
    <w:p w14:paraId="68E57114">
      <w:pPr>
        <w:pStyle w:val="3"/>
        <w:spacing w:line="360" w:lineRule="auto"/>
      </w:pPr>
      <w:bookmarkStart w:id="33" w:name="_Toc232606962"/>
      <w:bookmarkStart w:id="34" w:name="_Toc232699812"/>
      <w:r>
        <w:t>3.2.1 Development of Low-Carbon Products</w:t>
      </w:r>
      <w:bookmarkEnd w:id="33"/>
      <w:bookmarkEnd w:id="34"/>
    </w:p>
    <w:p w14:paraId="453009C5">
      <w:pPr>
        <w:spacing w:line="360" w:lineRule="auto"/>
        <w:jc w:val="both"/>
        <w:rPr>
          <w:rFonts w:asciiTheme="minorBidi" w:hAnsiTheme="minorBidi"/>
          <w:sz w:val="28"/>
          <w:szCs w:val="28"/>
        </w:rPr>
      </w:pPr>
      <w:r>
        <w:rPr>
          <w:rFonts w:asciiTheme="minorBidi" w:hAnsiTheme="minorBidi"/>
          <w:sz w:val="28"/>
          <w:szCs w:val="28"/>
        </w:rPr>
        <w:t>The development of products allows BHP to meet the growing demand for sustainable and responsibly sourced minerals. The company can lower carbon footprint, align its products with changing customer, investor, and regulatory demands, and transform its production processes through investments in lower-carbon products and cleaner production processes (Sun, 2025). This approach is particularly pertinent, given the ongoing rise in the demand for copper and nickel in the context of expanding renewable energy technologies and electric vehicle adoption (Basuhi et al., 2024).</w:t>
      </w:r>
    </w:p>
    <w:p w14:paraId="5EF3ADEB">
      <w:pPr>
        <w:pStyle w:val="3"/>
        <w:spacing w:line="360" w:lineRule="auto"/>
      </w:pPr>
      <w:bookmarkStart w:id="35" w:name="_Toc232606963"/>
      <w:bookmarkStart w:id="36" w:name="_Toc232699813"/>
      <w:r>
        <w:t>3.2.2 Strategic Benefits</w:t>
      </w:r>
      <w:bookmarkEnd w:id="35"/>
      <w:bookmarkEnd w:id="36"/>
    </w:p>
    <w:p w14:paraId="45640B07">
      <w:pPr>
        <w:spacing w:line="360" w:lineRule="auto"/>
        <w:jc w:val="both"/>
        <w:rPr>
          <w:rFonts w:asciiTheme="minorBidi" w:hAnsiTheme="minorBidi"/>
          <w:sz w:val="28"/>
          <w:szCs w:val="28"/>
        </w:rPr>
      </w:pPr>
      <w:r>
        <w:rPr>
          <w:rFonts w:asciiTheme="minorBidi" w:hAnsiTheme="minorBidi"/>
          <w:sz w:val="28"/>
          <w:szCs w:val="28"/>
        </w:rPr>
        <w:t>One of the strengths of product development is its potential to grow and at the same time improve sustainability performance. Lower-carbon products can positively influence BHP's ESG credentials, appeal to ESG-minded consumers and investors, and boost confidence. In addition, innovation that prioritizes sustainability could bolster market positioning, in the race for more competitive mineral markets (Beavon, 2019). This further highlights the role of capital allocation decisions in directly incorporating sustainability priorities and helping to create long-term value and decarbonisation targets.</w:t>
      </w:r>
    </w:p>
    <w:p w14:paraId="2A07F2A5">
      <w:pPr>
        <w:spacing w:line="360" w:lineRule="auto"/>
        <w:jc w:val="center"/>
        <w:rPr>
          <w:rFonts w:asciiTheme="minorBidi" w:hAnsiTheme="minorBidi"/>
          <w:sz w:val="28"/>
          <w:szCs w:val="28"/>
        </w:rPr>
      </w:pPr>
      <w:r>
        <w:rPr>
          <w:rFonts w:asciiTheme="minorBidi" w:hAnsiTheme="minorBidi"/>
          <w:sz w:val="28"/>
          <w:szCs w:val="28"/>
        </w:rPr>
        <w:drawing>
          <wp:inline distT="0" distB="0" distL="0" distR="0">
            <wp:extent cx="4763770" cy="2862580"/>
            <wp:effectExtent l="0" t="0" r="0" b="0"/>
            <wp:docPr id="15685214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21488"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a:xfrm>
                      <a:off x="0" y="0"/>
                      <a:ext cx="4783544" cy="2874578"/>
                    </a:xfrm>
                    <a:prstGeom prst="rect">
                      <a:avLst/>
                    </a:prstGeom>
                    <a:noFill/>
                    <a:ln>
                      <a:noFill/>
                    </a:ln>
                  </pic:spPr>
                </pic:pic>
              </a:graphicData>
            </a:graphic>
          </wp:inline>
        </w:drawing>
      </w:r>
    </w:p>
    <w:p w14:paraId="0DF47B63">
      <w:pPr>
        <w:spacing w:after="160" w:line="360" w:lineRule="auto"/>
        <w:jc w:val="center"/>
        <w:rPr>
          <w:rFonts w:asciiTheme="minorBidi" w:hAnsiTheme="minorBidi"/>
          <w:b/>
          <w:bCs/>
          <w:sz w:val="28"/>
          <w:szCs w:val="28"/>
          <w:u w:val="single"/>
        </w:rPr>
      </w:pPr>
      <w:r>
        <w:rPr>
          <w:rFonts w:asciiTheme="minorBidi" w:hAnsiTheme="minorBidi"/>
          <w:b/>
          <w:bCs/>
          <w:sz w:val="28"/>
          <w:szCs w:val="28"/>
          <w:u w:val="single"/>
        </w:rPr>
        <w:t>Figure 8: BHP's Capital Allocation Framework Supporting Sustainable Growth and Decarbonisation</w:t>
      </w:r>
    </w:p>
    <w:p w14:paraId="772E3777">
      <w:pPr>
        <w:spacing w:after="160" w:line="360" w:lineRule="auto"/>
        <w:jc w:val="center"/>
        <w:rPr>
          <w:rFonts w:asciiTheme="minorBidi" w:hAnsiTheme="minorBidi"/>
          <w:sz w:val="28"/>
          <w:szCs w:val="28"/>
          <w:u w:val="single"/>
        </w:rPr>
      </w:pPr>
      <w:r>
        <w:rPr>
          <w:rFonts w:asciiTheme="minorBidi" w:hAnsiTheme="minorBidi"/>
          <w:sz w:val="28"/>
          <w:szCs w:val="28"/>
          <w:u w:val="single"/>
        </w:rPr>
        <w:t>Source: (BHP, 2025)</w:t>
      </w:r>
    </w:p>
    <w:p w14:paraId="4312BA67">
      <w:pPr>
        <w:pStyle w:val="3"/>
        <w:spacing w:line="360" w:lineRule="auto"/>
      </w:pPr>
      <w:bookmarkStart w:id="37" w:name="_Toc232606964"/>
      <w:bookmarkStart w:id="38" w:name="_Toc232699814"/>
      <w:r>
        <w:t>3.2.3 Strategic Risks and Limitations</w:t>
      </w:r>
      <w:bookmarkEnd w:id="37"/>
      <w:bookmarkEnd w:id="38"/>
    </w:p>
    <w:p w14:paraId="4085EA18">
      <w:pPr>
        <w:spacing w:after="160" w:line="360" w:lineRule="auto"/>
        <w:jc w:val="both"/>
        <w:rPr>
          <w:rFonts w:asciiTheme="minorBidi" w:hAnsiTheme="minorBidi"/>
          <w:sz w:val="28"/>
          <w:szCs w:val="28"/>
        </w:rPr>
      </w:pPr>
      <w:r>
        <w:rPr>
          <w:rFonts w:asciiTheme="minorBidi" w:hAnsiTheme="minorBidi"/>
          <w:sz w:val="28"/>
          <w:szCs w:val="28"/>
        </w:rPr>
        <w:t>Although the advantages are many, product development has its share of difficulties. The development and implementation of low-carbon technologies are costly, and the technological uncertainty may have an impact on the expected returns. Furthermore, there is competition for similar sustainable activities, which makes it difficult to differentiate. So sustainability pledges are not sufficient for BHP's long-term success; they must continually strive to improve its innovation, operational efficiency and environmental performance (Heyes &amp; Cooper, 2019).</w:t>
      </w:r>
    </w:p>
    <w:p w14:paraId="6C726B0A">
      <w:pPr>
        <w:pStyle w:val="2"/>
        <w:spacing w:line="360" w:lineRule="auto"/>
      </w:pPr>
      <w:bookmarkStart w:id="39" w:name="_Toc232699815"/>
      <w:bookmarkStart w:id="40" w:name="_Toc232606965"/>
      <w:r>
        <w:t>3.3 Achieving Competitive Advantage</w:t>
      </w:r>
      <w:bookmarkEnd w:id="39"/>
      <w:bookmarkEnd w:id="40"/>
    </w:p>
    <w:p w14:paraId="7C81540B">
      <w:pPr>
        <w:pStyle w:val="3"/>
        <w:spacing w:line="360" w:lineRule="auto"/>
      </w:pPr>
      <w:bookmarkStart w:id="41" w:name="_Toc232699816"/>
      <w:bookmarkStart w:id="42" w:name="_Toc232606966"/>
      <w:r>
        <w:t>3.3.1 Porter's Generic Strategies</w:t>
      </w:r>
      <w:bookmarkEnd w:id="41"/>
      <w:bookmarkEnd w:id="42"/>
    </w:p>
    <w:p w14:paraId="08821C1E">
      <w:pPr>
        <w:spacing w:line="360" w:lineRule="auto"/>
        <w:jc w:val="both"/>
        <w:rPr>
          <w:rFonts w:asciiTheme="minorBidi" w:hAnsiTheme="minorBidi"/>
          <w:sz w:val="28"/>
          <w:szCs w:val="28"/>
        </w:rPr>
      </w:pPr>
      <w:r>
        <w:rPr>
          <w:rFonts w:asciiTheme="minorBidi" w:hAnsiTheme="minorBidi"/>
          <w:sz w:val="28"/>
          <w:szCs w:val="28"/>
        </w:rPr>
        <w:t>Porter (1985) believes that the only way for an organisation to gain a competitive advantage is by lowering their costs, they can differentiate themselves from their competitors or they can focus in a specific area.</w:t>
      </w:r>
    </w:p>
    <w:p w14:paraId="027D5097">
      <w:pPr>
        <w:spacing w:after="160" w:line="360" w:lineRule="auto"/>
        <w:jc w:val="center"/>
        <w:rPr>
          <w:rFonts w:asciiTheme="minorBidi" w:hAnsiTheme="minorBidi"/>
          <w:sz w:val="28"/>
          <w:szCs w:val="28"/>
        </w:rPr>
      </w:pPr>
      <w:r>
        <w:rPr>
          <w:rFonts w:asciiTheme="minorBidi" w:hAnsiTheme="minorBidi"/>
          <w:sz w:val="28"/>
          <w:szCs w:val="28"/>
        </w:rPr>
        <w:drawing>
          <wp:inline distT="0" distB="0" distL="0" distR="0">
            <wp:extent cx="5008880" cy="3757930"/>
            <wp:effectExtent l="0" t="0" r="1270" b="0"/>
            <wp:docPr id="559734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3401"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a:xfrm>
                      <a:off x="0" y="0"/>
                      <a:ext cx="5015236" cy="3762815"/>
                    </a:xfrm>
                    <a:prstGeom prst="rect">
                      <a:avLst/>
                    </a:prstGeom>
                    <a:noFill/>
                    <a:ln>
                      <a:noFill/>
                    </a:ln>
                  </pic:spPr>
                </pic:pic>
              </a:graphicData>
            </a:graphic>
          </wp:inline>
        </w:drawing>
      </w:r>
    </w:p>
    <w:p w14:paraId="1C897258">
      <w:pPr>
        <w:spacing w:line="360" w:lineRule="auto"/>
        <w:jc w:val="center"/>
        <w:rPr>
          <w:rFonts w:asciiTheme="minorBidi" w:hAnsiTheme="minorBidi"/>
          <w:b/>
          <w:bCs/>
          <w:sz w:val="28"/>
          <w:szCs w:val="28"/>
          <w:u w:val="single"/>
        </w:rPr>
      </w:pPr>
      <w:r>
        <w:rPr>
          <w:rFonts w:asciiTheme="minorBidi" w:hAnsiTheme="minorBidi"/>
          <w:b/>
          <w:bCs/>
          <w:sz w:val="28"/>
          <w:szCs w:val="28"/>
          <w:u w:val="single"/>
        </w:rPr>
        <w:t>Figure 9: Porter's Generic Strategies Framework Applied to BHP’s Competitive Positioning</w:t>
      </w:r>
    </w:p>
    <w:p w14:paraId="5FF46A5E">
      <w:pPr>
        <w:spacing w:line="360" w:lineRule="auto"/>
        <w:jc w:val="center"/>
        <w:rPr>
          <w:rFonts w:asciiTheme="minorBidi" w:hAnsiTheme="minorBidi"/>
          <w:sz w:val="28"/>
          <w:szCs w:val="28"/>
          <w:u w:val="single"/>
        </w:rPr>
      </w:pPr>
      <w:r>
        <w:rPr>
          <w:rFonts w:asciiTheme="minorBidi" w:hAnsiTheme="minorBidi"/>
          <w:sz w:val="28"/>
          <w:szCs w:val="28"/>
          <w:u w:val="single"/>
        </w:rPr>
        <w:t xml:space="preserve">Source: </w:t>
      </w:r>
      <w:r>
        <w:rPr>
          <w:rFonts w:hint="default" w:asciiTheme="minorBidi" w:hAnsiTheme="minorBidi"/>
          <w:sz w:val="28"/>
          <w:szCs w:val="28"/>
          <w:u w:val="single"/>
          <w:lang w:val="en-US"/>
        </w:rPr>
        <w:t>selfmade</w:t>
      </w:r>
      <w:r>
        <w:rPr>
          <w:rFonts w:asciiTheme="minorBidi" w:hAnsiTheme="minorBidi"/>
          <w:sz w:val="28"/>
          <w:szCs w:val="28"/>
          <w:u w:val="single"/>
        </w:rPr>
        <w:t>, (2026)</w:t>
      </w:r>
      <w:bookmarkStart w:id="57" w:name="_GoBack"/>
      <w:bookmarkEnd w:id="57"/>
    </w:p>
    <w:p w14:paraId="3EA1852B">
      <w:pPr>
        <w:spacing w:line="360" w:lineRule="auto"/>
        <w:jc w:val="both"/>
        <w:rPr>
          <w:rFonts w:asciiTheme="minorBidi" w:hAnsiTheme="minorBidi"/>
          <w:sz w:val="28"/>
          <w:szCs w:val="28"/>
        </w:rPr>
      </w:pPr>
      <w:r>
        <w:rPr>
          <w:rFonts w:asciiTheme="minorBidi" w:hAnsiTheme="minorBidi"/>
          <w:sz w:val="28"/>
          <w:szCs w:val="28"/>
        </w:rPr>
        <w:t>Differentiation is the best route for BHP since there is greater pressure to be more sustainable and thus the cost is no longer the key differentiator. Customers and investors are increasingly aware of environmental performance, and being able to offer a lower carbon product is an increasingly valued source of competitive value.</w:t>
      </w:r>
    </w:p>
    <w:p w14:paraId="557EA779">
      <w:pPr>
        <w:pStyle w:val="3"/>
        <w:spacing w:line="360" w:lineRule="auto"/>
      </w:pPr>
      <w:bookmarkStart w:id="43" w:name="_Toc232606967"/>
      <w:bookmarkStart w:id="44" w:name="_Toc232699817"/>
      <w:r>
        <w:t>3.3.2 Differentiation Through Sustainability</w:t>
      </w:r>
      <w:bookmarkEnd w:id="43"/>
      <w:bookmarkEnd w:id="44"/>
    </w:p>
    <w:p w14:paraId="76EBB986">
      <w:pPr>
        <w:spacing w:after="160" w:line="360" w:lineRule="auto"/>
        <w:jc w:val="both"/>
        <w:rPr>
          <w:rFonts w:asciiTheme="minorBidi" w:hAnsiTheme="minorBidi"/>
          <w:sz w:val="28"/>
          <w:szCs w:val="28"/>
        </w:rPr>
      </w:pPr>
      <w:r>
        <w:rPr>
          <w:rFonts w:asciiTheme="minorBidi" w:hAnsiTheme="minorBidi"/>
          <w:sz w:val="28"/>
          <w:szCs w:val="28"/>
        </w:rPr>
        <w:t>BHP has a potential advantage in the way it mines, reduces carbon emissions in its products and adopts responsible sourcing as a differentiator. Miftah Faridl and Mahbub (2025) state that when it comes to sustainability efforts, the hope is to make them a shared value, as environmental goals become part of business strategy. BHP can meet the demand for sustainable minerals as they invest in emissions reduction technologies and cleaner production processes whilst also improving its corporate reputation (International Energy Agency, 2023).</w:t>
      </w:r>
    </w:p>
    <w:p w14:paraId="4C395173">
      <w:pPr>
        <w:pStyle w:val="3"/>
        <w:spacing w:line="360" w:lineRule="auto"/>
      </w:pPr>
      <w:bookmarkStart w:id="45" w:name="_Toc232606968"/>
      <w:bookmarkStart w:id="46" w:name="_Toc232699818"/>
      <w:r>
        <w:t>3.3.3 Sustainability of Competitive Advantage</w:t>
      </w:r>
      <w:bookmarkEnd w:id="45"/>
      <w:bookmarkEnd w:id="46"/>
    </w:p>
    <w:p w14:paraId="4DF687B6">
      <w:pPr>
        <w:spacing w:line="360" w:lineRule="auto"/>
        <w:jc w:val="both"/>
        <w:rPr>
          <w:rFonts w:asciiTheme="minorBidi" w:hAnsiTheme="minorBidi"/>
          <w:sz w:val="28"/>
          <w:szCs w:val="28"/>
        </w:rPr>
      </w:pPr>
      <w:r>
        <w:rPr>
          <w:rStyle w:val="38"/>
          <w:rFonts w:asciiTheme="minorBidi" w:hAnsiTheme="minorBidi"/>
          <w:sz w:val="28"/>
          <w:szCs w:val="28"/>
        </w:rPr>
        <w:t>Sustainability efforts may help to differentiate, but competitive advantage continues to be achieved only through ongoing innovation and adaptation.</w:t>
      </w:r>
      <w:r>
        <w:rPr>
          <w:rFonts w:asciiTheme="minorBidi" w:hAnsiTheme="minorBidi"/>
          <w:sz w:val="28"/>
          <w:szCs w:val="28"/>
        </w:rPr>
        <w:t xml:space="preserve"> </w:t>
      </w:r>
      <w:r>
        <w:rPr>
          <w:rStyle w:val="38"/>
          <w:rFonts w:asciiTheme="minorBidi" w:hAnsiTheme="minorBidi"/>
          <w:sz w:val="28"/>
          <w:szCs w:val="28"/>
        </w:rPr>
        <w:t>However, sustainability is not enough to give a long-term competitive edge, as other companies like Rio Tinto and Anglo American are also investing in decarbonisation initiatives.</w:t>
      </w:r>
      <w:r>
        <w:rPr>
          <w:rFonts w:asciiTheme="minorBidi" w:hAnsiTheme="minorBidi"/>
          <w:sz w:val="28"/>
          <w:szCs w:val="28"/>
        </w:rPr>
        <w:t xml:space="preserve"> </w:t>
      </w:r>
      <w:r>
        <w:rPr>
          <w:rStyle w:val="38"/>
          <w:rFonts w:asciiTheme="minorBidi" w:hAnsiTheme="minorBidi"/>
          <w:sz w:val="28"/>
          <w:szCs w:val="28"/>
        </w:rPr>
        <w:t>So, BHP will have to return environmental and commercial benefits in measurable terms if it is to be a long-term success through technological innovation and operational efficiency.</w:t>
      </w:r>
    </w:p>
    <w:p w14:paraId="05C13048">
      <w:pPr>
        <w:pStyle w:val="2"/>
        <w:spacing w:line="360" w:lineRule="auto"/>
      </w:pPr>
      <w:bookmarkStart w:id="47" w:name="_Toc232699819"/>
      <w:bookmarkStart w:id="48" w:name="_Toc232606970"/>
      <w:r>
        <w:t>3.5 Strategic Recommendations</w:t>
      </w:r>
      <w:bookmarkEnd w:id="47"/>
      <w:bookmarkEnd w:id="48"/>
    </w:p>
    <w:p w14:paraId="5F65E17E">
      <w:pPr>
        <w:spacing w:line="360" w:lineRule="auto"/>
        <w:jc w:val="both"/>
        <w:rPr>
          <w:rFonts w:asciiTheme="minorBidi" w:hAnsiTheme="minorBidi"/>
          <w:b/>
          <w:sz w:val="28"/>
          <w:szCs w:val="28"/>
        </w:rPr>
      </w:pPr>
      <w:bookmarkStart w:id="49" w:name="_Toc232606971"/>
      <w:r>
        <w:rPr>
          <w:rFonts w:ascii="Times New Roman" w:hAnsi="Times New Roman" w:cs="Times New Roman"/>
          <w:sz w:val="24"/>
          <w:szCs w:val="24"/>
        </w:rPr>
        <w:t>BHP should prioritise lower-carbon product innovation, renewable energy integration and sustainability-based differentiation to support its transition towards a lower-carbon business model. These initiatives would help address growing demand for transition minerals and increasing environmental and regulatory pressures. Innovation is essential for maintaining competitive advantage in dynamic markets (Vrtana and Gogolova, 2019), while sustainability can strengthen corporate reputation, stakeholder relationships and long-term value creation (Karbovska et al., 2026).</w:t>
      </w:r>
      <w:bookmarkStart w:id="50" w:name="_Toc232699820"/>
    </w:p>
    <w:p w14:paraId="62888679">
      <w:pPr>
        <w:pStyle w:val="2"/>
        <w:rPr>
          <w:rFonts w:ascii="Times New Roman" w:hAnsi="Times New Roman" w:cs="Times New Roman"/>
          <w:sz w:val="24"/>
          <w:szCs w:val="24"/>
        </w:rPr>
      </w:pPr>
      <w:r>
        <w:t>4.Critical Reflection on AI Usage</w:t>
      </w:r>
      <w:bookmarkEnd w:id="49"/>
      <w:bookmarkEnd w:id="50"/>
    </w:p>
    <w:p w14:paraId="2A9BB8C9">
      <w:pPr>
        <w:pStyle w:val="3"/>
        <w:spacing w:line="360" w:lineRule="auto"/>
        <w:rPr>
          <w:lang w:val="en-US"/>
        </w:rPr>
      </w:pPr>
      <w:bookmarkStart w:id="51" w:name="_Toc232699821"/>
      <w:r>
        <w:rPr>
          <w:lang w:val="en-US"/>
        </w:rPr>
        <w:t>4.1 Tool Disclosure</w:t>
      </w:r>
      <w:bookmarkEnd w:id="51"/>
    </w:p>
    <w:p w14:paraId="330CAEEB">
      <w:pPr>
        <w:spacing w:line="360" w:lineRule="auto"/>
        <w:jc w:val="both"/>
        <w:rPr>
          <w:rFonts w:asciiTheme="minorBidi" w:hAnsiTheme="minorBidi"/>
          <w:sz w:val="28"/>
          <w:szCs w:val="28"/>
          <w:lang w:val="en-US"/>
        </w:rPr>
      </w:pPr>
      <w:r>
        <w:rPr>
          <w:rFonts w:asciiTheme="minorBidi" w:hAnsiTheme="minorBidi"/>
          <w:sz w:val="28"/>
          <w:szCs w:val="28"/>
          <w:lang w:val="en-US"/>
        </w:rPr>
        <w:t>This report was prepared, in large part, using ChatGPT as a proofreading and language supporting tool. It was only to provide grammar improvement, sentence structure, clarity and improve writing style for academic purposes. AI was not utilized in the process of writing the main analysis or analyzing strategic options and making the final recommendations for the report. The author independently identified and selected all research sources.</w:t>
      </w:r>
    </w:p>
    <w:p w14:paraId="089F342F">
      <w:pPr>
        <w:spacing w:line="360" w:lineRule="auto"/>
        <w:jc w:val="both"/>
        <w:rPr>
          <w:rFonts w:asciiTheme="minorBidi" w:hAnsiTheme="minorBidi"/>
          <w:sz w:val="28"/>
          <w:szCs w:val="28"/>
          <w:lang w:val="en-US"/>
        </w:rPr>
      </w:pPr>
      <w:r>
        <w:drawing>
          <wp:inline distT="0" distB="0" distL="0" distR="0">
            <wp:extent cx="5731510" cy="3612515"/>
            <wp:effectExtent l="0" t="0" r="2540" b="6985"/>
            <wp:docPr id="1204901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01271" name="Picture 1"/>
                    <pic:cNvPicPr>
                      <a:picLocks noChangeAspect="1"/>
                    </pic:cNvPicPr>
                  </pic:nvPicPr>
                  <pic:blipFill>
                    <a:blip r:embed="rId22"/>
                    <a:stretch>
                      <a:fillRect/>
                    </a:stretch>
                  </pic:blipFill>
                  <pic:spPr>
                    <a:xfrm>
                      <a:off x="0" y="0"/>
                      <a:ext cx="5731510" cy="3612515"/>
                    </a:xfrm>
                    <a:prstGeom prst="rect">
                      <a:avLst/>
                    </a:prstGeom>
                  </pic:spPr>
                </pic:pic>
              </a:graphicData>
            </a:graphic>
          </wp:inline>
        </w:drawing>
      </w:r>
    </w:p>
    <w:p w14:paraId="5EA19523">
      <w:pPr>
        <w:pStyle w:val="3"/>
        <w:spacing w:line="360" w:lineRule="auto"/>
        <w:rPr>
          <w:lang w:val="en-US"/>
        </w:rPr>
      </w:pPr>
      <w:bookmarkStart w:id="52" w:name="_Toc232699822"/>
      <w:r>
        <w:rPr>
          <w:lang w:val="en-US"/>
        </w:rPr>
        <w:t>4.2 Verification and Evaluation of AI Outputs</w:t>
      </w:r>
      <w:bookmarkEnd w:id="52"/>
    </w:p>
    <w:p w14:paraId="77E3440A">
      <w:pPr>
        <w:spacing w:line="360" w:lineRule="auto"/>
        <w:jc w:val="both"/>
        <w:rPr>
          <w:rFonts w:asciiTheme="minorBidi" w:hAnsiTheme="minorBidi"/>
          <w:sz w:val="28"/>
          <w:szCs w:val="28"/>
          <w:lang w:val="en-US"/>
        </w:rPr>
      </w:pPr>
      <w:r>
        <w:rPr>
          <w:rFonts w:asciiTheme="minorBidi" w:hAnsiTheme="minorBidi"/>
          <w:sz w:val="28"/>
          <w:szCs w:val="28"/>
          <w:lang w:val="en-US"/>
        </w:rPr>
        <w:t>All suggestions from ChatGPT were checked before being added to the report, though Chat GPT helped proofread it and changed its language. All academic content, references and factual information was verified using peer reviewed journal articles, books, industry reports and BHP publications. Suggestions which were not compatible with the report goals and/or academic needs were modified or discarded. The entire process worked well in maintaining the accuracy and evidence-based nature of the final submission.</w:t>
      </w:r>
    </w:p>
    <w:p w14:paraId="64B63C26">
      <w:pPr>
        <w:pStyle w:val="3"/>
        <w:spacing w:line="360" w:lineRule="auto"/>
        <w:rPr>
          <w:lang w:val="en-US"/>
        </w:rPr>
      </w:pPr>
      <w:bookmarkStart w:id="53" w:name="_Toc232699823"/>
      <w:r>
        <w:rPr>
          <w:lang w:val="en-US"/>
        </w:rPr>
        <w:t>4.3 Distinguishing AI Contributions from Personal Contributions</w:t>
      </w:r>
      <w:bookmarkEnd w:id="53"/>
    </w:p>
    <w:p w14:paraId="3E2E7C0F">
      <w:pPr>
        <w:spacing w:line="360" w:lineRule="auto"/>
        <w:jc w:val="both"/>
        <w:rPr>
          <w:rFonts w:asciiTheme="minorBidi" w:hAnsiTheme="minorBidi"/>
          <w:sz w:val="28"/>
          <w:szCs w:val="28"/>
          <w:lang w:val="en-US"/>
        </w:rPr>
      </w:pPr>
      <w:r>
        <w:rPr>
          <w:rFonts w:asciiTheme="minorBidi" w:hAnsiTheme="minorBidi"/>
          <w:sz w:val="28"/>
          <w:szCs w:val="28"/>
          <w:lang w:val="en-US"/>
        </w:rPr>
        <w:t>The ideas and opinions contained in this report do not necessarily reflect the views of the Government of Canada. An environmental analysis, an evaluation of strategic growth options, and the use of the Ansoff Matrix and the competitive positioning assessment and the strategic recommendations were carried out independently. ChatGPT was used solely for grammatical and readability edits, as well as sentence construction. Thus, the critical analysis, interpretation of findings and conclusions presented constitute the author's own judgment and understanding of the topic.</w:t>
      </w:r>
    </w:p>
    <w:p w14:paraId="185A27C3">
      <w:pPr>
        <w:pStyle w:val="3"/>
        <w:spacing w:line="360" w:lineRule="auto"/>
        <w:rPr>
          <w:lang w:val="en-US"/>
        </w:rPr>
      </w:pPr>
      <w:bookmarkStart w:id="54" w:name="_Toc232699824"/>
      <w:r>
        <w:rPr>
          <w:lang w:val="en-US"/>
        </w:rPr>
        <w:t>4.4 Ethical and Professional Reflection</w:t>
      </w:r>
      <w:bookmarkEnd w:id="54"/>
    </w:p>
    <w:p w14:paraId="55B43549">
      <w:pPr>
        <w:spacing w:line="360" w:lineRule="auto"/>
        <w:jc w:val="both"/>
        <w:rPr>
          <w:rFonts w:asciiTheme="minorBidi" w:hAnsiTheme="minorBidi"/>
          <w:sz w:val="28"/>
          <w:szCs w:val="28"/>
          <w:lang w:val="en-US"/>
        </w:rPr>
      </w:pPr>
      <w:r>
        <w:rPr>
          <w:rFonts w:asciiTheme="minorBidi" w:hAnsiTheme="minorBidi"/>
          <w:sz w:val="28"/>
          <w:szCs w:val="28"/>
          <w:lang w:val="en-US"/>
        </w:rPr>
        <w:t xml:space="preserve">In the academic and professional settings, the application of AI can bring efficiency and communication improvements. But over-reliance on AI could pose risks if the results are taken at face value. Academic integrity requires transparency to AI's use, and careful consideration of all proposed revisions. The use of AI in this report was purely as a tool to support independent thinking and analysis. This method ensured ethical and professional standards were adhered to and it enhanced the clarity and presentation of the report. </w:t>
      </w:r>
    </w:p>
    <w:p w14:paraId="7D6D1C5D">
      <w:pPr>
        <w:spacing w:line="360" w:lineRule="auto"/>
        <w:jc w:val="both"/>
        <w:rPr>
          <w:rFonts w:asciiTheme="minorBidi" w:hAnsiTheme="minorBidi"/>
          <w:sz w:val="28"/>
          <w:szCs w:val="28"/>
        </w:rPr>
      </w:pPr>
    </w:p>
    <w:p w14:paraId="5DE61CBC">
      <w:pPr>
        <w:spacing w:line="360" w:lineRule="auto"/>
        <w:jc w:val="both"/>
        <w:rPr>
          <w:rFonts w:asciiTheme="minorBidi" w:hAnsiTheme="minorBidi"/>
          <w:sz w:val="28"/>
          <w:szCs w:val="28"/>
        </w:rPr>
      </w:pPr>
      <w:r>
        <w:rPr>
          <w:rFonts w:asciiTheme="minorBidi" w:hAnsiTheme="minorBidi"/>
          <w:sz w:val="28"/>
          <w:szCs w:val="28"/>
        </w:rPr>
        <w:br w:type="page"/>
      </w:r>
    </w:p>
    <w:p w14:paraId="5FE9495D">
      <w:pPr>
        <w:pStyle w:val="2"/>
        <w:spacing w:line="360" w:lineRule="auto"/>
      </w:pPr>
      <w:bookmarkStart w:id="55" w:name="_Toc232699825"/>
      <w:bookmarkStart w:id="56" w:name="_Toc232606978"/>
      <w:r>
        <w:t>References</w:t>
      </w:r>
      <w:bookmarkEnd w:id="55"/>
      <w:bookmarkEnd w:id="56"/>
    </w:p>
    <w:p w14:paraId="13B0524C">
      <w:pPr>
        <w:spacing w:line="360" w:lineRule="auto"/>
        <w:ind w:left="284" w:hanging="284"/>
        <w:rPr>
          <w:rFonts w:asciiTheme="minorBidi" w:hAnsiTheme="minorBidi"/>
          <w:sz w:val="28"/>
          <w:szCs w:val="28"/>
        </w:rPr>
      </w:pPr>
      <w:r>
        <w:rPr>
          <w:rFonts w:asciiTheme="minorBidi" w:hAnsiTheme="minorBidi"/>
          <w:sz w:val="28"/>
          <w:szCs w:val="28"/>
        </w:rPr>
        <w:t xml:space="preserve">Ansoff, H.I. (1957) ‘Strategies for diversification’, </w:t>
      </w:r>
      <w:r>
        <w:rPr>
          <w:rFonts w:asciiTheme="minorBidi" w:hAnsiTheme="minorBidi"/>
          <w:i/>
          <w:iCs/>
          <w:sz w:val="28"/>
          <w:szCs w:val="28"/>
        </w:rPr>
        <w:t>Harvard Business Review</w:t>
      </w:r>
      <w:r>
        <w:rPr>
          <w:rFonts w:asciiTheme="minorBidi" w:hAnsiTheme="minorBidi"/>
          <w:sz w:val="28"/>
          <w:szCs w:val="28"/>
        </w:rPr>
        <w:t>, 35(5), pp. 113–124.</w:t>
      </w:r>
    </w:p>
    <w:p w14:paraId="6E51FB75">
      <w:pPr>
        <w:spacing w:line="360" w:lineRule="auto"/>
        <w:ind w:left="284" w:hanging="284"/>
        <w:rPr>
          <w:rFonts w:asciiTheme="minorBidi" w:hAnsiTheme="minorBidi"/>
          <w:sz w:val="28"/>
          <w:szCs w:val="28"/>
        </w:rPr>
      </w:pPr>
      <w:r>
        <w:rPr>
          <w:rFonts w:asciiTheme="minorBidi" w:hAnsiTheme="minorBidi"/>
          <w:sz w:val="28"/>
          <w:szCs w:val="28"/>
        </w:rPr>
        <w:t xml:space="preserve">Basuhi, R., Bhuwalka, K., Moore, E.A., Diersen, I., Malik, R.H., Young, E., Billy, R.G., Stoner, R., Ceder, G., Müller, D.B. and Roth, R. (2024) ‘Clean energy demand must secure sustainable nickel supply’, </w:t>
      </w:r>
      <w:r>
        <w:rPr>
          <w:rFonts w:asciiTheme="minorBidi" w:hAnsiTheme="minorBidi"/>
          <w:i/>
          <w:iCs/>
          <w:sz w:val="28"/>
          <w:szCs w:val="28"/>
        </w:rPr>
        <w:t>Joule</w:t>
      </w:r>
      <w:r>
        <w:rPr>
          <w:rFonts w:asciiTheme="minorBidi" w:hAnsiTheme="minorBidi"/>
          <w:sz w:val="28"/>
          <w:szCs w:val="28"/>
        </w:rPr>
        <w:t xml:space="preserve">, 8(11), pp. 2960–2973. Available at: </w:t>
      </w:r>
      <w:r>
        <w:fldChar w:fldCharType="begin"/>
      </w:r>
      <w:r>
        <w:instrText xml:space="preserve"> HYPERLINK "https://www.cell.com/joule/fulltext/S2542-4351(24)00458-6" \t "_new" </w:instrText>
      </w:r>
      <w:r>
        <w:fldChar w:fldCharType="separate"/>
      </w:r>
      <w:r>
        <w:rPr>
          <w:rStyle w:val="14"/>
          <w:rFonts w:asciiTheme="minorBidi" w:hAnsiTheme="minorBidi"/>
          <w:sz w:val="28"/>
          <w:szCs w:val="28"/>
        </w:rPr>
        <w:t>https://www.cell.com/joule/fulltext/S2542-4351(24)00458-6</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5A28AD24">
      <w:pPr>
        <w:spacing w:line="360" w:lineRule="auto"/>
        <w:ind w:left="284" w:hanging="284"/>
        <w:rPr>
          <w:rFonts w:asciiTheme="minorBidi" w:hAnsiTheme="minorBidi"/>
          <w:sz w:val="28"/>
          <w:szCs w:val="28"/>
        </w:rPr>
      </w:pPr>
      <w:r>
        <w:rPr>
          <w:rFonts w:asciiTheme="minorBidi" w:hAnsiTheme="minorBidi"/>
          <w:sz w:val="28"/>
          <w:szCs w:val="28"/>
        </w:rPr>
        <w:t xml:space="preserve">Beavon, C. (2019) </w:t>
      </w:r>
      <w:r>
        <w:rPr>
          <w:rFonts w:asciiTheme="minorBidi" w:hAnsiTheme="minorBidi"/>
          <w:i/>
          <w:iCs/>
          <w:sz w:val="28"/>
          <w:szCs w:val="28"/>
        </w:rPr>
        <w:t>The South African coal mining industry as a driver of green growth and a low carbon economy? A study on Sustainable Development Goals 7 &amp; 13</w:t>
      </w:r>
      <w:r>
        <w:rPr>
          <w:rFonts w:asciiTheme="minorBidi" w:hAnsiTheme="minorBidi"/>
          <w:sz w:val="28"/>
          <w:szCs w:val="28"/>
        </w:rPr>
        <w:t xml:space="preserve">. Available at: </w:t>
      </w:r>
      <w:r>
        <w:fldChar w:fldCharType="begin"/>
      </w:r>
      <w:r>
        <w:instrText xml:space="preserve"> HYPERLINK "https://open.uct.ac.za/server/api/core/bitstreams/d0f98058-cca0-4a15-938a-654aff5023f2/content" \t "_new" </w:instrText>
      </w:r>
      <w:r>
        <w:fldChar w:fldCharType="separate"/>
      </w:r>
      <w:r>
        <w:rPr>
          <w:rStyle w:val="14"/>
          <w:rFonts w:asciiTheme="minorBidi" w:hAnsiTheme="minorBidi"/>
          <w:sz w:val="28"/>
          <w:szCs w:val="28"/>
        </w:rPr>
        <w:t>https://open.uct.ac.za/server/api/core/bitstreams/d0f98058-cca0-4a15-938a-654aff5023f2/content</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65871EA9">
      <w:pPr>
        <w:spacing w:line="360" w:lineRule="auto"/>
        <w:ind w:left="284" w:hanging="284"/>
        <w:rPr>
          <w:rFonts w:asciiTheme="minorBidi" w:hAnsiTheme="minorBidi"/>
          <w:sz w:val="28"/>
          <w:szCs w:val="28"/>
        </w:rPr>
      </w:pPr>
      <w:r>
        <w:rPr>
          <w:rFonts w:asciiTheme="minorBidi" w:hAnsiTheme="minorBidi"/>
          <w:sz w:val="28"/>
          <w:szCs w:val="28"/>
        </w:rPr>
        <w:t xml:space="preserve">BHP (2024) </w:t>
      </w:r>
      <w:r>
        <w:rPr>
          <w:rFonts w:asciiTheme="minorBidi" w:hAnsiTheme="minorBidi"/>
          <w:i/>
          <w:iCs/>
          <w:sz w:val="28"/>
          <w:szCs w:val="28"/>
        </w:rPr>
        <w:t>Annual Report 2024</w:t>
      </w:r>
      <w:r>
        <w:rPr>
          <w:rFonts w:asciiTheme="minorBidi" w:hAnsiTheme="minorBidi"/>
          <w:sz w:val="28"/>
          <w:szCs w:val="28"/>
        </w:rPr>
        <w:t xml:space="preserve">. Melbourne: BHP Group. Available at: </w:t>
      </w:r>
      <w:r>
        <w:fldChar w:fldCharType="begin"/>
      </w:r>
      <w:r>
        <w:instrText xml:space="preserve"> HYPERLINK "https://www.bhp.com" \t "_new" </w:instrText>
      </w:r>
      <w:r>
        <w:fldChar w:fldCharType="separate"/>
      </w:r>
      <w:r>
        <w:rPr>
          <w:rStyle w:val="14"/>
          <w:rFonts w:asciiTheme="minorBidi" w:hAnsiTheme="minorBidi"/>
          <w:sz w:val="28"/>
          <w:szCs w:val="28"/>
        </w:rPr>
        <w:t>https://www.bhp.com</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0BB01868">
      <w:pPr>
        <w:spacing w:line="360" w:lineRule="auto"/>
        <w:ind w:left="284" w:hanging="284"/>
        <w:rPr>
          <w:rFonts w:asciiTheme="minorBidi" w:hAnsiTheme="minorBidi"/>
          <w:sz w:val="28"/>
          <w:szCs w:val="28"/>
        </w:rPr>
      </w:pPr>
      <w:r>
        <w:rPr>
          <w:rFonts w:asciiTheme="minorBidi" w:hAnsiTheme="minorBidi"/>
          <w:sz w:val="28"/>
          <w:szCs w:val="28"/>
        </w:rPr>
        <w:t xml:space="preserve">BHP (2025) </w:t>
      </w:r>
      <w:r>
        <w:rPr>
          <w:rFonts w:asciiTheme="minorBidi" w:hAnsiTheme="minorBidi"/>
          <w:i/>
          <w:iCs/>
          <w:sz w:val="28"/>
          <w:szCs w:val="28"/>
        </w:rPr>
        <w:t>Annual Report 2025</w:t>
      </w:r>
      <w:r>
        <w:rPr>
          <w:rFonts w:asciiTheme="minorBidi" w:hAnsiTheme="minorBidi"/>
          <w:sz w:val="28"/>
          <w:szCs w:val="28"/>
        </w:rPr>
        <w:t xml:space="preserve">. Melbourne: BHP Group. Available at: </w:t>
      </w:r>
      <w:r>
        <w:fldChar w:fldCharType="begin"/>
      </w:r>
      <w:r>
        <w:instrText xml:space="preserve"> HYPERLINK "https://www.bhp.com" \t "_new" </w:instrText>
      </w:r>
      <w:r>
        <w:fldChar w:fldCharType="separate"/>
      </w:r>
      <w:r>
        <w:rPr>
          <w:rStyle w:val="14"/>
          <w:rFonts w:asciiTheme="minorBidi" w:hAnsiTheme="minorBidi"/>
          <w:sz w:val="28"/>
          <w:szCs w:val="28"/>
        </w:rPr>
        <w:t>https://www.bhp.com</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7DA50D8B">
      <w:pPr>
        <w:spacing w:line="360" w:lineRule="auto"/>
        <w:ind w:left="284" w:hanging="284"/>
        <w:rPr>
          <w:rFonts w:asciiTheme="minorBidi" w:hAnsiTheme="minorBidi"/>
          <w:sz w:val="28"/>
          <w:szCs w:val="28"/>
        </w:rPr>
      </w:pPr>
      <w:r>
        <w:rPr>
          <w:rFonts w:asciiTheme="minorBidi" w:hAnsiTheme="minorBidi"/>
          <w:sz w:val="28"/>
          <w:szCs w:val="28"/>
        </w:rPr>
        <w:t xml:space="preserve">Bogusz, K. and Sulich, A. (2020) ‘The sustainable development strategies in mining industry’, </w:t>
      </w:r>
      <w:r>
        <w:rPr>
          <w:rFonts w:asciiTheme="minorBidi" w:hAnsiTheme="minorBidi"/>
          <w:i/>
          <w:iCs/>
          <w:sz w:val="28"/>
          <w:szCs w:val="28"/>
        </w:rPr>
        <w:t>Education Excellence and Innovation Management through Vision</w:t>
      </w:r>
      <w:r>
        <w:rPr>
          <w:rFonts w:asciiTheme="minorBidi" w:hAnsiTheme="minorBidi"/>
          <w:sz w:val="28"/>
          <w:szCs w:val="28"/>
        </w:rPr>
        <w:t>, 1(1), pp. 6893–6911.</w:t>
      </w:r>
    </w:p>
    <w:p w14:paraId="40057D70">
      <w:pPr>
        <w:spacing w:line="360" w:lineRule="auto"/>
        <w:ind w:left="284" w:hanging="284"/>
        <w:rPr>
          <w:rFonts w:asciiTheme="minorBidi" w:hAnsiTheme="minorBidi"/>
          <w:sz w:val="28"/>
          <w:szCs w:val="28"/>
        </w:rPr>
      </w:pPr>
      <w:r>
        <w:rPr>
          <w:rFonts w:asciiTheme="minorBidi" w:hAnsiTheme="minorBidi"/>
          <w:sz w:val="28"/>
          <w:szCs w:val="28"/>
        </w:rPr>
        <w:t xml:space="preserve">Calderon, C.A. (2020) </w:t>
      </w:r>
      <w:r>
        <w:rPr>
          <w:rFonts w:asciiTheme="minorBidi" w:hAnsiTheme="minorBidi"/>
          <w:i/>
          <w:iCs/>
          <w:sz w:val="28"/>
          <w:szCs w:val="28"/>
        </w:rPr>
        <w:t>BHP mine water management: An integrated approach to manage risk and optimise resource value</w:t>
      </w:r>
      <w:r>
        <w:rPr>
          <w:rFonts w:asciiTheme="minorBidi" w:hAnsiTheme="minorBidi"/>
          <w:sz w:val="28"/>
          <w:szCs w:val="28"/>
        </w:rPr>
        <w:t>. Slope Stability.</w:t>
      </w:r>
    </w:p>
    <w:p w14:paraId="2DAA19C4">
      <w:pPr>
        <w:spacing w:line="360" w:lineRule="auto"/>
        <w:ind w:left="284" w:hanging="284"/>
        <w:rPr>
          <w:rFonts w:asciiTheme="minorBidi" w:hAnsiTheme="minorBidi"/>
          <w:sz w:val="28"/>
          <w:szCs w:val="28"/>
        </w:rPr>
      </w:pPr>
      <w:r>
        <w:rPr>
          <w:rFonts w:asciiTheme="minorBidi" w:hAnsiTheme="minorBidi"/>
          <w:sz w:val="28"/>
          <w:szCs w:val="28"/>
        </w:rPr>
        <w:t xml:space="preserve">Foerster, A. and Spencer, M. (2023) ‘Corporate net zero pledges: a triumph of private climate regulation or more greenwash?’, </w:t>
      </w:r>
      <w:r>
        <w:rPr>
          <w:rFonts w:asciiTheme="minorBidi" w:hAnsiTheme="minorBidi"/>
          <w:i/>
          <w:iCs/>
          <w:sz w:val="28"/>
          <w:szCs w:val="28"/>
        </w:rPr>
        <w:t>Griffith Law Review</w:t>
      </w:r>
      <w:r>
        <w:rPr>
          <w:rFonts w:asciiTheme="minorBidi" w:hAnsiTheme="minorBidi"/>
          <w:sz w:val="28"/>
          <w:szCs w:val="28"/>
        </w:rPr>
        <w:t xml:space="preserve">, 32(1), pp. 110–142. Available at: </w:t>
      </w:r>
      <w:r>
        <w:fldChar w:fldCharType="begin"/>
      </w:r>
      <w:r>
        <w:instrText xml:space="preserve"> HYPERLINK "https://doi.org/10.1080/10383441.2023.2210450" \t "_new" </w:instrText>
      </w:r>
      <w:r>
        <w:fldChar w:fldCharType="separate"/>
      </w:r>
      <w:r>
        <w:rPr>
          <w:rStyle w:val="14"/>
          <w:rFonts w:asciiTheme="minorBidi" w:hAnsiTheme="minorBidi"/>
          <w:sz w:val="28"/>
          <w:szCs w:val="28"/>
        </w:rPr>
        <w:t>https://doi.org/10.1080/10383441.2023.2210450</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71AB3324">
      <w:pPr>
        <w:spacing w:line="360" w:lineRule="auto"/>
        <w:ind w:left="284" w:hanging="284"/>
        <w:rPr>
          <w:rFonts w:asciiTheme="minorBidi" w:hAnsiTheme="minorBidi"/>
          <w:sz w:val="28"/>
          <w:szCs w:val="28"/>
        </w:rPr>
      </w:pPr>
      <w:r>
        <w:rPr>
          <w:rFonts w:asciiTheme="minorBidi" w:hAnsiTheme="minorBidi"/>
          <w:sz w:val="28"/>
          <w:szCs w:val="28"/>
        </w:rPr>
        <w:t xml:space="preserve">Heyes, J. and Cooper, T. (2019) ‘Strengthening BHP’s closure framework: a strategy to realise enduring value’, in </w:t>
      </w:r>
      <w:r>
        <w:rPr>
          <w:rFonts w:asciiTheme="minorBidi" w:hAnsiTheme="minorBidi"/>
          <w:i/>
          <w:iCs/>
          <w:sz w:val="28"/>
          <w:szCs w:val="28"/>
        </w:rPr>
        <w:t>Mine Closure 2019: Proceedings of the 13th International Conference on Mine Closure</w:t>
      </w:r>
      <w:r>
        <w:rPr>
          <w:rFonts w:asciiTheme="minorBidi" w:hAnsiTheme="minorBidi"/>
          <w:sz w:val="28"/>
          <w:szCs w:val="28"/>
        </w:rPr>
        <w:t xml:space="preserve">, pp. 1005–1012. Available at: </w:t>
      </w:r>
      <w:r>
        <w:fldChar w:fldCharType="begin"/>
      </w:r>
      <w:r>
        <w:instrText xml:space="preserve"> HYPERLINK "https://doi.org/10.36487/ACG_rep/1915_79_Heyes" \t "_new" </w:instrText>
      </w:r>
      <w:r>
        <w:fldChar w:fldCharType="separate"/>
      </w:r>
      <w:r>
        <w:rPr>
          <w:rStyle w:val="14"/>
          <w:rFonts w:asciiTheme="minorBidi" w:hAnsiTheme="minorBidi"/>
          <w:sz w:val="28"/>
          <w:szCs w:val="28"/>
        </w:rPr>
        <w:t>https://doi.org/10.36487/ACG_rep/1915_79_Heyes</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4FD5DC18">
      <w:pPr>
        <w:spacing w:line="360" w:lineRule="auto"/>
        <w:ind w:left="284" w:hanging="284"/>
        <w:rPr>
          <w:rFonts w:asciiTheme="minorBidi" w:hAnsiTheme="minorBidi"/>
          <w:sz w:val="28"/>
          <w:szCs w:val="28"/>
        </w:rPr>
      </w:pPr>
      <w:r>
        <w:rPr>
          <w:rFonts w:asciiTheme="minorBidi" w:hAnsiTheme="minorBidi"/>
          <w:sz w:val="28"/>
          <w:szCs w:val="28"/>
        </w:rPr>
        <w:t xml:space="preserve">Husain, T. (2022) </w:t>
      </w:r>
      <w:r>
        <w:rPr>
          <w:rFonts w:asciiTheme="minorBidi" w:hAnsiTheme="minorBidi"/>
          <w:i/>
          <w:iCs/>
          <w:sz w:val="28"/>
          <w:szCs w:val="28"/>
        </w:rPr>
        <w:t>Sustainability reports versus sustainability practices: Impact of organised hypocrisy and organisational facades on sustainability behaviour of Australian mining companies</w:t>
      </w:r>
      <w:r>
        <w:rPr>
          <w:rFonts w:asciiTheme="minorBidi" w:hAnsiTheme="minorBidi"/>
          <w:sz w:val="28"/>
          <w:szCs w:val="28"/>
        </w:rPr>
        <w:t xml:space="preserve">. Doctoral dissertation, Macquarie University. Available at: </w:t>
      </w:r>
      <w:r>
        <w:fldChar w:fldCharType="begin"/>
      </w:r>
      <w:r>
        <w:instrText xml:space="preserve"> HYPERLINK "https://figshare.mq.edu.au/articles/thesis/Sustainability_reports_versus_sustainability_practices_impact_of_organised_hypocrisy_organisational_facades_on_sustainability_behaviour_of_Australian_mining_companies/19443302/1" \t "_new" </w:instrText>
      </w:r>
      <w:r>
        <w:fldChar w:fldCharType="separate"/>
      </w:r>
      <w:r>
        <w:rPr>
          <w:rStyle w:val="14"/>
          <w:rFonts w:asciiTheme="minorBidi" w:hAnsiTheme="minorBidi"/>
          <w:sz w:val="28"/>
          <w:szCs w:val="28"/>
        </w:rPr>
        <w:t>https://figshare.mq.edu.au/articles/thesis/Sustainability_reports_versus_sustainability_practices_impact_of_organised_hypocrisy_organisational_facades_on_sustainability_behaviour_of_Australian_mining_companies/19443302/1</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5A6973D6">
      <w:pPr>
        <w:spacing w:line="360" w:lineRule="auto"/>
        <w:ind w:left="284" w:hanging="284"/>
        <w:rPr>
          <w:rFonts w:asciiTheme="minorBidi" w:hAnsiTheme="minorBidi"/>
          <w:sz w:val="28"/>
          <w:szCs w:val="28"/>
        </w:rPr>
      </w:pPr>
      <w:r>
        <w:rPr>
          <w:rFonts w:asciiTheme="minorBidi" w:hAnsiTheme="minorBidi"/>
          <w:sz w:val="28"/>
          <w:szCs w:val="28"/>
        </w:rPr>
        <w:t xml:space="preserve">International Energy Agency (IEA) (2023) </w:t>
      </w:r>
      <w:r>
        <w:rPr>
          <w:rFonts w:asciiTheme="minorBidi" w:hAnsiTheme="minorBidi"/>
          <w:i/>
          <w:iCs/>
          <w:sz w:val="28"/>
          <w:szCs w:val="28"/>
        </w:rPr>
        <w:t>World energy outlook 2023</w:t>
      </w:r>
      <w:r>
        <w:rPr>
          <w:rFonts w:asciiTheme="minorBidi" w:hAnsiTheme="minorBidi"/>
          <w:sz w:val="28"/>
          <w:szCs w:val="28"/>
        </w:rPr>
        <w:t xml:space="preserve">. Paris: IEA. Available at: </w:t>
      </w:r>
      <w:r>
        <w:fldChar w:fldCharType="begin"/>
      </w:r>
      <w:r>
        <w:instrText xml:space="preserve"> HYPERLINK "https://iea.blob.core.windows.net/assets/86ede39e-4436-42d7-ba2a-edf61467e070/WorldEnergyOutlook2023.pdf" \t "_new" </w:instrText>
      </w:r>
      <w:r>
        <w:fldChar w:fldCharType="separate"/>
      </w:r>
      <w:r>
        <w:rPr>
          <w:rStyle w:val="14"/>
          <w:rFonts w:asciiTheme="minorBidi" w:hAnsiTheme="minorBidi"/>
          <w:sz w:val="28"/>
          <w:szCs w:val="28"/>
        </w:rPr>
        <w:t>https://iea.blob.core.windows.net/assets/86ede39e-4436-42d7-ba2a-edf61467e070/WorldEnergyOutlook2023.pdf</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1A8DC0E5">
      <w:pPr>
        <w:spacing w:line="360" w:lineRule="auto"/>
        <w:ind w:left="284" w:hanging="284"/>
        <w:rPr>
          <w:rFonts w:asciiTheme="minorBidi" w:hAnsiTheme="minorBidi"/>
          <w:sz w:val="28"/>
          <w:szCs w:val="28"/>
        </w:rPr>
      </w:pPr>
      <w:r>
        <w:rPr>
          <w:rFonts w:asciiTheme="minorBidi" w:hAnsiTheme="minorBidi"/>
          <w:sz w:val="28"/>
          <w:szCs w:val="28"/>
        </w:rPr>
        <w:t xml:space="preserve">International Energy Agency (IEA) (2024) </w:t>
      </w:r>
      <w:r>
        <w:rPr>
          <w:rFonts w:asciiTheme="minorBidi" w:hAnsiTheme="minorBidi"/>
          <w:i/>
          <w:iCs/>
          <w:sz w:val="28"/>
          <w:szCs w:val="28"/>
        </w:rPr>
        <w:t>Global critical minerals outlook 2024</w:t>
      </w:r>
      <w:r>
        <w:rPr>
          <w:rFonts w:asciiTheme="minorBidi" w:hAnsiTheme="minorBidi"/>
          <w:sz w:val="28"/>
          <w:szCs w:val="28"/>
        </w:rPr>
        <w:t xml:space="preserve">. Paris: IEA. Available at: </w:t>
      </w:r>
      <w:r>
        <w:fldChar w:fldCharType="begin"/>
      </w:r>
      <w:r>
        <w:instrText xml:space="preserve"> HYPERLINK "https://www.iea.org?utm_source=chatgpt.com" \t "_new" </w:instrText>
      </w:r>
      <w:r>
        <w:fldChar w:fldCharType="separate"/>
      </w:r>
      <w:r>
        <w:rPr>
          <w:rStyle w:val="14"/>
          <w:rFonts w:asciiTheme="minorBidi" w:hAnsiTheme="minorBidi"/>
          <w:sz w:val="28"/>
          <w:szCs w:val="28"/>
        </w:rPr>
        <w:t>https://www.iea.org</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4B2DD719">
      <w:pPr>
        <w:spacing w:line="360" w:lineRule="auto"/>
        <w:ind w:left="284" w:hanging="284"/>
        <w:rPr>
          <w:rFonts w:asciiTheme="minorBidi" w:hAnsiTheme="minorBidi"/>
          <w:sz w:val="28"/>
          <w:szCs w:val="28"/>
        </w:rPr>
      </w:pPr>
      <w:r>
        <w:rPr>
          <w:rFonts w:asciiTheme="minorBidi" w:hAnsiTheme="minorBidi"/>
          <w:sz w:val="28"/>
          <w:szCs w:val="28"/>
        </w:rPr>
        <w:t xml:space="preserve">International Energy Agency (IEA) (2025) </w:t>
      </w:r>
      <w:r>
        <w:rPr>
          <w:rFonts w:asciiTheme="minorBidi" w:hAnsiTheme="minorBidi"/>
          <w:i/>
          <w:iCs/>
          <w:sz w:val="28"/>
          <w:szCs w:val="28"/>
        </w:rPr>
        <w:t>World energy outlook 2025</w:t>
      </w:r>
      <w:r>
        <w:rPr>
          <w:rFonts w:asciiTheme="minorBidi" w:hAnsiTheme="minorBidi"/>
          <w:sz w:val="28"/>
          <w:szCs w:val="28"/>
        </w:rPr>
        <w:t xml:space="preserve">. Paris: IEA. Available at: </w:t>
      </w:r>
      <w:r>
        <w:fldChar w:fldCharType="begin"/>
      </w:r>
      <w:r>
        <w:instrText xml:space="preserve"> HYPERLINK "https://iea.blob.core.windows.net/assets/9753df19-0a71-422a-b725-012c555763b3/WorldEnergyOutlook2025.pdf" \t "_new" </w:instrText>
      </w:r>
      <w:r>
        <w:fldChar w:fldCharType="separate"/>
      </w:r>
      <w:r>
        <w:rPr>
          <w:rStyle w:val="14"/>
          <w:rFonts w:asciiTheme="minorBidi" w:hAnsiTheme="minorBidi"/>
          <w:sz w:val="28"/>
          <w:szCs w:val="28"/>
        </w:rPr>
        <w:t>https://iea.blob.core.windows.net/assets/9753df19-0a71-422a-b725-012c555763b3/WorldEnergyOutlook2025.pdf</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38A1C5FB">
      <w:pPr>
        <w:spacing w:line="360" w:lineRule="auto"/>
        <w:ind w:left="284" w:hanging="284"/>
        <w:rPr>
          <w:rFonts w:asciiTheme="minorBidi" w:hAnsiTheme="minorBidi"/>
          <w:sz w:val="28"/>
          <w:szCs w:val="28"/>
        </w:rPr>
      </w:pPr>
      <w:r>
        <w:rPr>
          <w:rFonts w:asciiTheme="minorBidi" w:hAnsiTheme="minorBidi"/>
          <w:sz w:val="28"/>
          <w:szCs w:val="28"/>
        </w:rPr>
        <w:t xml:space="preserve">Karbovska, L., Shuliar, N., Bratus, H., Kalina, I. and Kryshtal, N. (2026) ‘Marketing strategic planning of enterprises in the mining sector of the Ukrainian economy’, </w:t>
      </w:r>
      <w:r>
        <w:rPr>
          <w:rFonts w:asciiTheme="minorBidi" w:hAnsiTheme="minorBidi"/>
          <w:i/>
          <w:iCs/>
          <w:sz w:val="28"/>
          <w:szCs w:val="28"/>
        </w:rPr>
        <w:t>Scientific Bulletin of National Mining University</w:t>
      </w:r>
      <w:r>
        <w:rPr>
          <w:rFonts w:asciiTheme="minorBidi" w:hAnsiTheme="minorBidi"/>
          <w:sz w:val="28"/>
          <w:szCs w:val="28"/>
        </w:rPr>
        <w:t>, (2), p. 224.</w:t>
      </w:r>
    </w:p>
    <w:p w14:paraId="3134F73D">
      <w:pPr>
        <w:spacing w:line="360" w:lineRule="auto"/>
        <w:ind w:left="284" w:hanging="284"/>
        <w:rPr>
          <w:rFonts w:asciiTheme="minorBidi" w:hAnsiTheme="minorBidi"/>
          <w:sz w:val="28"/>
          <w:szCs w:val="28"/>
        </w:rPr>
      </w:pPr>
      <w:r>
        <w:rPr>
          <w:rFonts w:asciiTheme="minorBidi" w:hAnsiTheme="minorBidi"/>
          <w:sz w:val="28"/>
          <w:szCs w:val="28"/>
        </w:rPr>
        <w:t xml:space="preserve">Laing, T., Upadhyay, A., Mohan, S. and Subramanian, N. (2019) ‘Environmental improvement initiatives in the coal mining industry: maximisation of the triple bottom line’, </w:t>
      </w:r>
      <w:r>
        <w:rPr>
          <w:rFonts w:asciiTheme="minorBidi" w:hAnsiTheme="minorBidi"/>
          <w:i/>
          <w:iCs/>
          <w:sz w:val="28"/>
          <w:szCs w:val="28"/>
        </w:rPr>
        <w:t>Production Planning &amp; Control</w:t>
      </w:r>
      <w:r>
        <w:rPr>
          <w:rFonts w:asciiTheme="minorBidi" w:hAnsiTheme="minorBidi"/>
          <w:sz w:val="28"/>
          <w:szCs w:val="28"/>
        </w:rPr>
        <w:t>, 30(5–6), pp. 426–436.</w:t>
      </w:r>
    </w:p>
    <w:p w14:paraId="57FDBCD2">
      <w:pPr>
        <w:spacing w:line="360" w:lineRule="auto"/>
        <w:ind w:left="284" w:hanging="284"/>
        <w:rPr>
          <w:rFonts w:asciiTheme="minorBidi" w:hAnsiTheme="minorBidi"/>
          <w:sz w:val="28"/>
          <w:szCs w:val="28"/>
        </w:rPr>
      </w:pPr>
      <w:r>
        <w:rPr>
          <w:rFonts w:asciiTheme="minorBidi" w:hAnsiTheme="minorBidi"/>
          <w:sz w:val="28"/>
          <w:szCs w:val="28"/>
        </w:rPr>
        <w:t xml:space="preserve">Lee, J., Bazilian, M., Sovacool, B. and Greene, S. (2020) ‘Responsible or reckless? A critical review of the environmental and climate assessments of mineral supply chains’, </w:t>
      </w:r>
      <w:r>
        <w:rPr>
          <w:rFonts w:asciiTheme="minorBidi" w:hAnsiTheme="minorBidi"/>
          <w:i/>
          <w:iCs/>
          <w:sz w:val="28"/>
          <w:szCs w:val="28"/>
        </w:rPr>
        <w:t>Environmental Research Letters</w:t>
      </w:r>
      <w:r>
        <w:rPr>
          <w:rFonts w:asciiTheme="minorBidi" w:hAnsiTheme="minorBidi"/>
          <w:sz w:val="28"/>
          <w:szCs w:val="28"/>
        </w:rPr>
        <w:t>, 15(10).</w:t>
      </w:r>
    </w:p>
    <w:p w14:paraId="3C41A014">
      <w:pPr>
        <w:spacing w:line="360" w:lineRule="auto"/>
        <w:ind w:left="284" w:hanging="284"/>
        <w:rPr>
          <w:rFonts w:asciiTheme="minorBidi" w:hAnsiTheme="minorBidi"/>
          <w:sz w:val="28"/>
          <w:szCs w:val="28"/>
        </w:rPr>
      </w:pPr>
      <w:r>
        <w:rPr>
          <w:rFonts w:asciiTheme="minorBidi" w:hAnsiTheme="minorBidi"/>
          <w:sz w:val="28"/>
          <w:szCs w:val="28"/>
        </w:rPr>
        <w:t xml:space="preserve">McKay, H. (2019) </w:t>
      </w:r>
      <w:r>
        <w:rPr>
          <w:rFonts w:asciiTheme="minorBidi" w:hAnsiTheme="minorBidi"/>
          <w:i/>
          <w:iCs/>
          <w:sz w:val="28"/>
          <w:szCs w:val="28"/>
        </w:rPr>
        <w:t>BHP’s economic and commodity outlook</w:t>
      </w:r>
      <w:r>
        <w:rPr>
          <w:rFonts w:asciiTheme="minorBidi" w:hAnsiTheme="minorBidi"/>
          <w:sz w:val="28"/>
          <w:szCs w:val="28"/>
        </w:rPr>
        <w:t xml:space="preserve">. Available at: </w:t>
      </w:r>
      <w:r>
        <w:fldChar w:fldCharType="begin"/>
      </w:r>
      <w:r>
        <w:instrText xml:space="preserve"> HYPERLINK "https://www.bhp.com" \t "_new" </w:instrText>
      </w:r>
      <w:r>
        <w:fldChar w:fldCharType="separate"/>
      </w:r>
      <w:r>
        <w:rPr>
          <w:rStyle w:val="14"/>
          <w:rFonts w:asciiTheme="minorBidi" w:hAnsiTheme="minorBidi"/>
          <w:sz w:val="28"/>
          <w:szCs w:val="28"/>
        </w:rPr>
        <w:t>https://www.bhp.com</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3CA6E64C">
      <w:pPr>
        <w:spacing w:line="360" w:lineRule="auto"/>
        <w:ind w:left="284" w:hanging="284"/>
        <w:rPr>
          <w:rFonts w:asciiTheme="minorBidi" w:hAnsiTheme="minorBidi"/>
          <w:sz w:val="28"/>
          <w:szCs w:val="28"/>
        </w:rPr>
      </w:pPr>
      <w:r>
        <w:rPr>
          <w:rFonts w:asciiTheme="minorBidi" w:hAnsiTheme="minorBidi"/>
          <w:sz w:val="28"/>
          <w:szCs w:val="28"/>
        </w:rPr>
        <w:t xml:space="preserve">Miftah Faridl, W. and Mahbub, M. (2025) ‘Environmental Management Assessment Scheme (EMAS): Addressing the challenges of environmental, social, and economic performance assessment for industry in Indonesia and its opportunities to become a novel standard in ASEAN and Australia’, </w:t>
      </w:r>
      <w:r>
        <w:rPr>
          <w:rFonts w:asciiTheme="minorBidi" w:hAnsiTheme="minorBidi"/>
          <w:i/>
          <w:iCs/>
          <w:sz w:val="28"/>
          <w:szCs w:val="28"/>
        </w:rPr>
        <w:t>E3S Web of Conferences</w:t>
      </w:r>
      <w:r>
        <w:rPr>
          <w:rFonts w:asciiTheme="minorBidi" w:hAnsiTheme="minorBidi"/>
          <w:sz w:val="28"/>
          <w:szCs w:val="28"/>
        </w:rPr>
        <w:t xml:space="preserve">, 682, p. 05001. Available at: </w:t>
      </w:r>
      <w:r>
        <w:fldChar w:fldCharType="begin"/>
      </w:r>
      <w:r>
        <w:instrText xml:space="preserve"> HYPERLINK "https://www.e3s-conferences.org/articles/e3sconf/pdf/2025/82/e3sconf_11thiccc2025_05001.pdf" \t "_new" </w:instrText>
      </w:r>
      <w:r>
        <w:fldChar w:fldCharType="separate"/>
      </w:r>
      <w:r>
        <w:rPr>
          <w:rStyle w:val="14"/>
          <w:rFonts w:asciiTheme="minorBidi" w:hAnsiTheme="minorBidi"/>
          <w:sz w:val="28"/>
          <w:szCs w:val="28"/>
        </w:rPr>
        <w:t>https://www.e3s-conferences.org/articles/e3sconf/pdf/2025/82/e3sconf_11thiccc2025_05001.pdf</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69DDD2F0">
      <w:pPr>
        <w:spacing w:line="360" w:lineRule="auto"/>
        <w:ind w:left="284" w:hanging="284"/>
        <w:rPr>
          <w:rFonts w:asciiTheme="minorBidi" w:hAnsiTheme="minorBidi"/>
          <w:sz w:val="28"/>
          <w:szCs w:val="28"/>
        </w:rPr>
      </w:pPr>
      <w:r>
        <w:rPr>
          <w:rFonts w:asciiTheme="minorBidi" w:hAnsiTheme="minorBidi"/>
          <w:sz w:val="28"/>
          <w:szCs w:val="28"/>
        </w:rPr>
        <w:t xml:space="preserve">Porter, M.E. (1985) </w:t>
      </w:r>
      <w:r>
        <w:rPr>
          <w:rFonts w:asciiTheme="minorBidi" w:hAnsiTheme="minorBidi"/>
          <w:i/>
          <w:iCs/>
          <w:sz w:val="28"/>
          <w:szCs w:val="28"/>
        </w:rPr>
        <w:t>Competitive advantage: Creating and sustaining superior performance</w:t>
      </w:r>
      <w:r>
        <w:rPr>
          <w:rFonts w:asciiTheme="minorBidi" w:hAnsiTheme="minorBidi"/>
          <w:sz w:val="28"/>
          <w:szCs w:val="28"/>
        </w:rPr>
        <w:t>. New York: Free Press.</w:t>
      </w:r>
    </w:p>
    <w:p w14:paraId="7DF23F83">
      <w:pPr>
        <w:spacing w:line="360" w:lineRule="auto"/>
        <w:ind w:left="284" w:hanging="284"/>
        <w:rPr>
          <w:rFonts w:asciiTheme="minorBidi" w:hAnsiTheme="minorBidi"/>
          <w:sz w:val="28"/>
          <w:szCs w:val="28"/>
        </w:rPr>
      </w:pPr>
      <w:r>
        <w:rPr>
          <w:rFonts w:asciiTheme="minorBidi" w:hAnsiTheme="minorBidi"/>
          <w:sz w:val="28"/>
          <w:szCs w:val="28"/>
        </w:rPr>
        <w:t xml:space="preserve">Smith, D. and Wentworth, J. (2022) </w:t>
      </w:r>
      <w:r>
        <w:rPr>
          <w:rFonts w:asciiTheme="minorBidi" w:hAnsiTheme="minorBidi"/>
          <w:i/>
          <w:iCs/>
          <w:sz w:val="28"/>
          <w:szCs w:val="28"/>
        </w:rPr>
        <w:t>Mining and the sustainability of metals</w:t>
      </w:r>
      <w:r>
        <w:rPr>
          <w:rFonts w:asciiTheme="minorBidi" w:hAnsiTheme="minorBidi"/>
          <w:sz w:val="28"/>
          <w:szCs w:val="28"/>
        </w:rPr>
        <w:t>. UK Parliament, Parliamentary Office of Science and Technology, London.</w:t>
      </w:r>
    </w:p>
    <w:p w14:paraId="517B8E3B">
      <w:pPr>
        <w:spacing w:line="360" w:lineRule="auto"/>
        <w:ind w:left="284" w:hanging="284"/>
        <w:rPr>
          <w:rFonts w:asciiTheme="minorBidi" w:hAnsiTheme="minorBidi"/>
          <w:sz w:val="28"/>
          <w:szCs w:val="28"/>
        </w:rPr>
      </w:pPr>
      <w:r>
        <w:rPr>
          <w:rFonts w:asciiTheme="minorBidi" w:hAnsiTheme="minorBidi"/>
          <w:sz w:val="28"/>
          <w:szCs w:val="28"/>
        </w:rPr>
        <w:t xml:space="preserve">Sun, J. (2025) ‘The CSR practices of Western Australian mining based on innovation ecosystems: Pathways to collaborative innovation and sustainable development’, Available at: </w:t>
      </w:r>
      <w:r>
        <w:fldChar w:fldCharType="begin"/>
      </w:r>
      <w:r>
        <w:instrText xml:space="preserve"> HYPERLINK "https://ro.ecu.edu.au/cgi/viewcontent.cgi?article=7252&amp;context=ecuworks2022-2026" \t "_new" </w:instrText>
      </w:r>
      <w:r>
        <w:fldChar w:fldCharType="separate"/>
      </w:r>
      <w:r>
        <w:rPr>
          <w:rStyle w:val="14"/>
          <w:rFonts w:asciiTheme="minorBidi" w:hAnsiTheme="minorBidi"/>
          <w:sz w:val="28"/>
          <w:szCs w:val="28"/>
        </w:rPr>
        <w:t>https://ro.ecu.edu.au/cgi/viewcontent.cgi?article=7252&amp;context=ecuworks2022-2026</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0C0C6134">
      <w:pPr>
        <w:spacing w:line="360" w:lineRule="auto"/>
        <w:ind w:left="284" w:hanging="284"/>
        <w:rPr>
          <w:rFonts w:asciiTheme="minorBidi" w:hAnsiTheme="minorBidi"/>
          <w:sz w:val="28"/>
          <w:szCs w:val="28"/>
        </w:rPr>
      </w:pPr>
      <w:r>
        <w:rPr>
          <w:rFonts w:asciiTheme="minorBidi" w:hAnsiTheme="minorBidi"/>
          <w:sz w:val="28"/>
          <w:szCs w:val="28"/>
        </w:rPr>
        <w:t xml:space="preserve">Vrtana, D. and Gogolova, M. (2019) ‘Marketing strategy applied in the environment of an international company’, in </w:t>
      </w:r>
      <w:r>
        <w:rPr>
          <w:rFonts w:asciiTheme="minorBidi" w:hAnsiTheme="minorBidi"/>
          <w:i/>
          <w:iCs/>
          <w:sz w:val="28"/>
          <w:szCs w:val="28"/>
        </w:rPr>
        <w:t>SHS Web of Conferences</w:t>
      </w:r>
      <w:r>
        <w:rPr>
          <w:rFonts w:asciiTheme="minorBidi" w:hAnsiTheme="minorBidi"/>
          <w:sz w:val="28"/>
          <w:szCs w:val="28"/>
        </w:rPr>
        <w:t xml:space="preserve">, 74, p. 01037. Available at: </w:t>
      </w:r>
      <w:r>
        <w:fldChar w:fldCharType="begin"/>
      </w:r>
      <w:r>
        <w:instrText xml:space="preserve"> HYPERLINK "https://www.shs-conferences.org/articles/shsconf/pdf/2020/02/shsconf_glob2020_01037.pdf" \t "_new" </w:instrText>
      </w:r>
      <w:r>
        <w:fldChar w:fldCharType="separate"/>
      </w:r>
      <w:r>
        <w:rPr>
          <w:rStyle w:val="14"/>
          <w:rFonts w:asciiTheme="minorBidi" w:hAnsiTheme="minorBidi"/>
          <w:sz w:val="28"/>
          <w:szCs w:val="28"/>
        </w:rPr>
        <w:t>https://www.shs-conferences.org/articles/shsconf/pdf/2020/02/shsconf_glob2020_01037.pdf</w:t>
      </w:r>
      <w:r>
        <w:rPr>
          <w:rStyle w:val="14"/>
          <w:rFonts w:asciiTheme="minorBidi" w:hAnsiTheme="minorBidi"/>
          <w:sz w:val="28"/>
          <w:szCs w:val="28"/>
        </w:rPr>
        <w:fldChar w:fldCharType="end"/>
      </w:r>
      <w:r>
        <w:rPr>
          <w:rFonts w:asciiTheme="minorBidi" w:hAnsiTheme="minorBidi"/>
          <w:sz w:val="28"/>
          <w:szCs w:val="28"/>
        </w:rPr>
        <w:t xml:space="preserve"> (Accessed: 16 June 2026).</w:t>
      </w:r>
    </w:p>
    <w:p w14:paraId="51F9AD5B">
      <w:pPr>
        <w:spacing w:line="360" w:lineRule="auto"/>
        <w:ind w:left="284" w:hanging="284"/>
        <w:rPr>
          <w:rFonts w:asciiTheme="minorBidi" w:hAnsiTheme="minorBidi"/>
          <w:sz w:val="28"/>
          <w:szCs w:val="28"/>
        </w:rPr>
      </w:pPr>
      <w:r>
        <w:rPr>
          <w:rFonts w:asciiTheme="minorBidi" w:hAnsiTheme="minorBidi"/>
          <w:sz w:val="28"/>
          <w:szCs w:val="28"/>
        </w:rPr>
        <w:t xml:space="preserve">Kotler, P., Armstrong, G., Harris, L.C. and He, H. (2024) </w:t>
      </w:r>
      <w:r>
        <w:rPr>
          <w:rFonts w:asciiTheme="minorBidi" w:hAnsiTheme="minorBidi"/>
          <w:i/>
          <w:iCs/>
          <w:sz w:val="28"/>
          <w:szCs w:val="28"/>
        </w:rPr>
        <w:t>Principles of marketing</w:t>
      </w:r>
      <w:r>
        <w:rPr>
          <w:rFonts w:asciiTheme="minorBidi" w:hAnsiTheme="minorBidi"/>
          <w:sz w:val="28"/>
          <w:szCs w:val="28"/>
        </w:rPr>
        <w:t>. 19th edn. Harlow: Pearson.</w:t>
      </w:r>
    </w:p>
    <w:p w14:paraId="727C4F00">
      <w:pPr>
        <w:spacing w:line="360" w:lineRule="auto"/>
        <w:ind w:left="284" w:hanging="284"/>
        <w:rPr>
          <w:rFonts w:asciiTheme="minorBidi" w:hAnsiTheme="minorBidi"/>
          <w:sz w:val="28"/>
          <w:szCs w:val="28"/>
        </w:rPr>
      </w:pPr>
    </w:p>
    <w:p w14:paraId="25EFB620">
      <w:pPr>
        <w:spacing w:after="160" w:line="360" w:lineRule="auto"/>
        <w:rPr>
          <w:rFonts w:asciiTheme="minorBidi" w:hAnsiTheme="minorBidi"/>
          <w:sz w:val="28"/>
          <w:szCs w:val="28"/>
        </w:rPr>
      </w:pPr>
    </w:p>
    <w:p w14:paraId="782ABE84">
      <w:pPr>
        <w:spacing w:after="160" w:line="360" w:lineRule="auto"/>
        <w:rPr>
          <w:rFonts w:asciiTheme="minorBidi" w:hAnsiTheme="minorBidi"/>
          <w:sz w:val="28"/>
          <w:szCs w:val="28"/>
        </w:rPr>
      </w:pPr>
    </w:p>
    <w:p w14:paraId="1ADBC671">
      <w:pPr>
        <w:spacing w:after="160" w:line="360" w:lineRule="auto"/>
        <w:jc w:val="both"/>
        <w:rPr>
          <w:rFonts w:asciiTheme="minorBidi" w:hAnsiTheme="minorBidi"/>
          <w:sz w:val="28"/>
          <w:szCs w:val="28"/>
        </w:rPr>
      </w:pPr>
    </w:p>
    <w:p w14:paraId="7C589385">
      <w:pPr>
        <w:spacing w:after="160" w:line="360" w:lineRule="auto"/>
        <w:jc w:val="both"/>
        <w:rPr>
          <w:rFonts w:asciiTheme="minorBidi" w:hAnsiTheme="minorBidi"/>
          <w:sz w:val="28"/>
          <w:szCs w:val="28"/>
        </w:rPr>
      </w:pPr>
    </w:p>
    <w:p w14:paraId="6D20578A">
      <w:pPr>
        <w:spacing w:line="360" w:lineRule="auto"/>
        <w:jc w:val="both"/>
        <w:rPr>
          <w:rFonts w:asciiTheme="minorBidi" w:hAnsiTheme="minorBidi"/>
          <w:sz w:val="28"/>
          <w:szCs w:val="28"/>
        </w:rPr>
      </w:pPr>
    </w:p>
    <w:p w14:paraId="0CCB3D80">
      <w:pPr>
        <w:spacing w:line="360" w:lineRule="auto"/>
        <w:jc w:val="both"/>
        <w:rPr>
          <w:rFonts w:asciiTheme="minorBidi" w:hAnsiTheme="minorBidi"/>
          <w:sz w:val="28"/>
          <w:szCs w:val="28"/>
        </w:rPr>
      </w:pPr>
    </w:p>
    <w:p w14:paraId="49D40D9E"/>
    <w:sectPr>
      <w:footerReference r:id="rId5" w:type="default"/>
      <w:pgSz w:w="11906" w:h="16838"/>
      <w:pgMar w:top="1440" w:right="1440" w:bottom="1440" w:left="1440" w:header="708" w:footer="708" w:gutter="0"/>
      <w:pgBorders w:offsetFrom="page">
        <w:top w:val="double" w:color="auto" w:sz="4" w:space="24"/>
        <w:left w:val="double" w:color="auto" w:sz="4" w:space="24"/>
        <w:bottom w:val="double" w:color="auto" w:sz="4" w:space="24"/>
        <w:right w:val="double" w:color="auto" w:sz="4" w:space="24"/>
      </w:pgBorders>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ptos">
    <w:altName w:val="SimSun"/>
    <w:panose1 w:val="020B0004020202020204"/>
    <w:charset w:val="86"/>
    <w:family w:val="swiss"/>
    <w:pitch w:val="default"/>
    <w:sig w:usb0="00000000" w:usb1="00000000" w:usb2="00000000" w:usb3="00000000" w:csb0="0000019F" w:csb1="00000000"/>
  </w:font>
  <w:font w:name="Aptos">
    <w:altName w:val="Segoe Print"/>
    <w:panose1 w:val="00000000000000000000"/>
    <w:charset w:val="00"/>
    <w:family w:val="auto"/>
    <w:pitch w:val="default"/>
    <w:sig w:usb0="00000000" w:usb1="00000000" w:usb2="00000000" w:usb3="00000000" w:csb0="00000000" w:csb1="00000000"/>
  </w:font>
  <w:font w:name="等线">
    <w:altName w:val="Arial Unicode MS"/>
    <w:panose1 w:val="00000000000000000000"/>
    <w:charset w:val="00"/>
    <w:family w:val="auto"/>
    <w:pitch w:val="default"/>
    <w:sig w:usb0="00000000" w:usb1="00000000" w:usb2="00000000" w:usb3="00000000" w:csb0="00000000" w:csb1="00000000"/>
  </w:font>
  <w:font w:name="Aptos Display">
    <w:altName w:val="Segoe Print"/>
    <w:panose1 w:val="020B0004020202020204"/>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Unicode MS">
    <w:panose1 w:val="020B0604020202020204"/>
    <w:charset w:val="86"/>
    <w:family w:val="auto"/>
    <w:pitch w:val="default"/>
    <w:sig w:usb0="FFFFFFFF" w:usb1="E9FFFFFF" w:usb2="0000003F" w:usb3="00000000" w:csb0="603F01FF" w:csb1="FFFF0000"/>
  </w:font>
  <w:font w:name="Sitka Banner Semibold">
    <w:panose1 w:val="00000000000000000000"/>
    <w:charset w:val="00"/>
    <w:family w:val="auto"/>
    <w:pitch w:val="default"/>
    <w:sig w:usb0="A00002EF" w:usb1="4000204B" w:usb2="00000000" w:usb3="00000000" w:csb0="2000019F" w:csb1="00000000"/>
  </w:font>
  <w:font w:name="Snap ITC">
    <w:panose1 w:val="04040A07060A02020202"/>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92223010"/>
      <w:docPartObj>
        <w:docPartGallery w:val="AutoText"/>
      </w:docPartObj>
    </w:sdtPr>
    <w:sdtEndPr>
      <w:rPr>
        <w:color w:val="808080" w:themeColor="background1" w:themeShade="80"/>
        <w:spacing w:val="60"/>
      </w:rPr>
    </w:sdtEndPr>
    <w:sdtContent>
      <w:p w14:paraId="517D85AD">
        <w:pPr>
          <w:pStyle w:val="13"/>
          <w:pBdr>
            <w:top w:val="single" w:color="D8D8D8" w:themeColor="background1" w:themeShade="D9" w:sz="4" w:space="1"/>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808080" w:themeColor="background1" w:themeShade="80"/>
            <w:spacing w:val="60"/>
          </w:rPr>
          <w:t>Page</w:t>
        </w:r>
      </w:p>
    </w:sdtContent>
  </w:sdt>
  <w:p w14:paraId="577E2732">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88" w:lineRule="auto"/>
      </w:pPr>
      <w:r>
        <w:separator/>
      </w:r>
    </w:p>
  </w:footnote>
  <w:footnote w:type="continuationSeparator" w:id="1">
    <w:p>
      <w:pPr>
        <w:spacing w:before="0" w:after="0" w:line="28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8D753C0"/>
    <w:multiLevelType w:val="multilevel"/>
    <w:tmpl w:val="68D753C0"/>
    <w:lvl w:ilvl="0" w:tentative="0">
      <w:start w:val="1"/>
      <w:numFmt w:val="decimal"/>
      <w:lvlText w:val="%1."/>
      <w:lvlJc w:val="left"/>
      <w:pPr>
        <w:ind w:left="765" w:hanging="405"/>
      </w:pPr>
      <w:rPr>
        <w:rFonts w:hint="default"/>
      </w:rPr>
    </w:lvl>
    <w:lvl w:ilvl="1" w:tentative="0">
      <w:start w:val="2"/>
      <w:numFmt w:val="decimal"/>
      <w:isLgl/>
      <w:lvlText w:val="%1.%2"/>
      <w:lvlJc w:val="left"/>
      <w:pPr>
        <w:ind w:left="1155" w:hanging="795"/>
      </w:pPr>
      <w:rPr>
        <w:rFonts w:hint="default"/>
      </w:rPr>
    </w:lvl>
    <w:lvl w:ilvl="2" w:tentative="0">
      <w:start w:val="2"/>
      <w:numFmt w:val="decimal"/>
      <w:isLgl/>
      <w:lvlText w:val="%1.%2.%3"/>
      <w:lvlJc w:val="left"/>
      <w:pPr>
        <w:ind w:left="1155" w:hanging="795"/>
      </w:pPr>
      <w:rPr>
        <w:rFonts w:hint="default"/>
      </w:rPr>
    </w:lvl>
    <w:lvl w:ilvl="3" w:tentative="0">
      <w:start w:val="1"/>
      <w:numFmt w:val="decimal"/>
      <w:isLgl/>
      <w:lvlText w:val="%1.%2.%3.%4"/>
      <w:lvlJc w:val="left"/>
      <w:pPr>
        <w:ind w:left="1155" w:hanging="795"/>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440" w:hanging="108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FE3"/>
    <w:rsid w:val="000E6FE3"/>
    <w:rsid w:val="00B35EF4"/>
    <w:rsid w:val="3A9C6634"/>
    <w:rsid w:val="59842806"/>
    <w:rsid w:val="7F7D2B0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88" w:lineRule="auto"/>
    </w:pPr>
    <w:rPr>
      <w:rFonts w:asciiTheme="minorHAnsi" w:hAnsiTheme="minorHAnsi" w:eastAsiaTheme="minorEastAsia" w:cstheme="minorBidi"/>
      <w:kern w:val="0"/>
      <w:sz w:val="21"/>
      <w:szCs w:val="21"/>
      <w:lang w:val="en-IN" w:eastAsia="en-US" w:bidi="ar-SA"/>
      <w14:ligatures w14:val="none"/>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39"/>
    <w:unhideWhenUsed/>
    <w:uiPriority w:val="99"/>
    <w:pPr>
      <w:tabs>
        <w:tab w:val="center" w:pos="4513"/>
        <w:tab w:val="right" w:pos="9026"/>
      </w:tabs>
      <w:spacing w:after="0" w:line="240" w:lineRule="auto"/>
    </w:pPr>
  </w:style>
  <w:style w:type="character" w:styleId="14">
    <w:name w:val="Hyperlink"/>
    <w:basedOn w:val="11"/>
    <w:unhideWhenUsed/>
    <w:uiPriority w:val="99"/>
    <w:rPr>
      <w:color w:val="467886" w:themeColor="hyperlink"/>
      <w:u w:val="single"/>
      <w14:textFill>
        <w14:solidFill>
          <w14:schemeClr w14:val="hlink"/>
        </w14:solidFill>
      </w14:textFill>
    </w:rPr>
  </w:style>
  <w:style w:type="paragraph" w:styleId="15">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6">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7">
    <w:name w:val="toc 1"/>
    <w:basedOn w:val="1"/>
    <w:next w:val="1"/>
    <w:autoRedefine/>
    <w:unhideWhenUsed/>
    <w:uiPriority w:val="39"/>
    <w:pPr>
      <w:tabs>
        <w:tab w:val="right" w:leader="dot" w:pos="9016"/>
      </w:tabs>
      <w:spacing w:after="100" w:line="360" w:lineRule="auto"/>
    </w:pPr>
  </w:style>
  <w:style w:type="paragraph" w:styleId="18">
    <w:name w:val="toc 2"/>
    <w:basedOn w:val="1"/>
    <w:next w:val="1"/>
    <w:autoRedefine/>
    <w:unhideWhenUsed/>
    <w:uiPriority w:val="39"/>
    <w:pPr>
      <w:spacing w:after="100"/>
      <w:ind w:left="210"/>
    </w:pPr>
  </w:style>
  <w:style w:type="character" w:customStyle="1" w:styleId="19">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uiPriority w:val="9"/>
    <w:rPr>
      <w:rFonts w:eastAsiaTheme="majorEastAsia" w:cstheme="majorBidi"/>
      <w:color w:val="104862" w:themeColor="accent1" w:themeShade="BF"/>
      <w:sz w:val="28"/>
      <w:szCs w:val="28"/>
    </w:rPr>
  </w:style>
  <w:style w:type="character" w:customStyle="1" w:styleId="22">
    <w:name w:val="Heading 4 Char"/>
    <w:basedOn w:val="11"/>
    <w:link w:val="5"/>
    <w:semiHidden/>
    <w:uiPriority w:val="9"/>
    <w:rPr>
      <w:rFonts w:eastAsiaTheme="majorEastAsia" w:cstheme="majorBidi"/>
      <w:i/>
      <w:iCs/>
      <w:color w:val="104862" w:themeColor="accent1" w:themeShade="BF"/>
    </w:rPr>
  </w:style>
  <w:style w:type="character" w:customStyle="1" w:styleId="23">
    <w:name w:val="Heading 5 Char"/>
    <w:basedOn w:val="11"/>
    <w:link w:val="6"/>
    <w:semiHidden/>
    <w:uiPriority w:val="9"/>
    <w:rPr>
      <w:rFonts w:eastAsiaTheme="majorEastAsia" w:cstheme="majorBidi"/>
      <w:color w:val="104862" w:themeColor="accent1" w:themeShade="BF"/>
    </w:rPr>
  </w:style>
  <w:style w:type="character" w:customStyle="1" w:styleId="24">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6"/>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5"/>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uiPriority w:val="30"/>
    <w:rPr>
      <w:i/>
      <w:iCs/>
      <w:color w:val="104862" w:themeColor="accent1" w:themeShade="BF"/>
    </w:rPr>
  </w:style>
  <w:style w:type="character" w:customStyle="1" w:styleId="36">
    <w:name w:val="Intense Reference"/>
    <w:basedOn w:val="11"/>
    <w:qFormat/>
    <w:uiPriority w:val="32"/>
    <w:rPr>
      <w:b/>
      <w:bCs/>
      <w:smallCaps/>
      <w:color w:val="104862" w:themeColor="accent1" w:themeShade="BF"/>
      <w:spacing w:val="5"/>
    </w:rPr>
  </w:style>
  <w:style w:type="paragraph" w:customStyle="1" w:styleId="37">
    <w:name w:val="TOC Heading"/>
    <w:basedOn w:val="2"/>
    <w:next w:val="1"/>
    <w:unhideWhenUsed/>
    <w:qFormat/>
    <w:uiPriority w:val="39"/>
    <w:pPr>
      <w:spacing w:after="40" w:line="240" w:lineRule="auto"/>
      <w:jc w:val="center"/>
      <w:outlineLvl w:val="9"/>
    </w:pPr>
    <w:rPr>
      <w:rFonts w:ascii="Arial" w:hAnsi="Arial"/>
      <w:b/>
      <w:sz w:val="36"/>
    </w:rPr>
  </w:style>
  <w:style w:type="character" w:customStyle="1" w:styleId="38">
    <w:name w:val="cursor-pointer"/>
    <w:basedOn w:val="11"/>
    <w:uiPriority w:val="0"/>
  </w:style>
  <w:style w:type="character" w:customStyle="1" w:styleId="39">
    <w:name w:val="Footer Char"/>
    <w:basedOn w:val="11"/>
    <w:link w:val="13"/>
    <w:uiPriority w:val="99"/>
    <w:rPr>
      <w:rFonts w:eastAsiaTheme="minorEastAsia"/>
      <w:kern w:val="0"/>
      <w:sz w:val="21"/>
      <w:szCs w:val="21"/>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4" Type="http://schemas.openxmlformats.org/officeDocument/2006/relationships/fontTable" Target="fontTable.xml"/><Relationship Id="rId23" Type="http://schemas.openxmlformats.org/officeDocument/2006/relationships/numbering" Target="numbering.xml"/><Relationship Id="rId22" Type="http://schemas.openxmlformats.org/officeDocument/2006/relationships/image" Target="media/image10.png"/><Relationship Id="rId21" Type="http://schemas.openxmlformats.org/officeDocument/2006/relationships/image" Target="media/image9.png"/><Relationship Id="rId20" Type="http://schemas.openxmlformats.org/officeDocument/2006/relationships/image" Target="media/image8.png"/><Relationship Id="rId2" Type="http://schemas.openxmlformats.org/officeDocument/2006/relationships/settings" Target="settings.xml"/><Relationship Id="rId19" Type="http://schemas.openxmlformats.org/officeDocument/2006/relationships/image" Target="media/image7.png"/><Relationship Id="rId18" Type="http://schemas.openxmlformats.org/officeDocument/2006/relationships/image" Target="media/image6.png"/><Relationship Id="rId17" Type="http://schemas.openxmlformats.org/officeDocument/2006/relationships/image" Target="media/image5.jpeg"/><Relationship Id="rId16" Type="http://schemas.openxmlformats.org/officeDocument/2006/relationships/image" Target="media/image4.png"/><Relationship Id="rId15" Type="http://schemas.openxmlformats.org/officeDocument/2006/relationships/image" Target="media/image3.jpeg"/><Relationship Id="rId14" Type="http://schemas.microsoft.com/office/2007/relationships/diagramDrawing" Target="diagrams/drawing1.xml"/><Relationship Id="rId13" Type="http://schemas.openxmlformats.org/officeDocument/2006/relationships/diagramColors" Target="diagrams/colors1.xml"/><Relationship Id="rId12" Type="http://schemas.openxmlformats.org/officeDocument/2006/relationships/diagramQuickStyle" Target="diagrams/quickStyle1.xml"/><Relationship Id="rId11" Type="http://schemas.openxmlformats.org/officeDocument/2006/relationships/diagramLayout" Target="diagrams/layout1.xml"/><Relationship Id="rId10" Type="http://schemas.openxmlformats.org/officeDocument/2006/relationships/diagramData" Target="diagrams/data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389D157C-6466-456D-853D-AC213EE572A5}" type="doc">
      <dgm:prSet loTypeId="urn:microsoft.com/office/officeart/2005/8/layout/arrow4" loCatId="process" qsTypeId="urn:microsoft.com/office/officeart/2005/8/quickstyle/3d1" qsCatId="3D" csTypeId="urn:microsoft.com/office/officeart/2005/8/colors/colorful3" csCatId="colorful" phldr="1"/>
      <dgm:spPr/>
      <dgm:t>
        <a:bodyPr/>
        <a:p>
          <a:endParaRPr lang="en-US"/>
        </a:p>
      </dgm:t>
    </dgm:pt>
    <dgm:pt modelId="{54661177-C18F-4B7C-AB06-23F85C18A20E}">
      <dgm:prSet phldrT="[Text]"/>
      <dgm:spPr/>
      <dgm:t>
        <a:bodyPr/>
        <a:p>
          <a:r>
            <a:rPr lang="en-US"/>
            <a:t>1. Natural Environment </a:t>
          </a:r>
        </a:p>
      </dgm:t>
    </dgm:pt>
    <dgm:pt modelId="{A111B224-8327-49C5-9AE7-3F63CC907537}" cxnId="{A533F9DF-A753-42FB-A560-DC82E5A1187E}" type="parTrans">
      <dgm:prSet/>
      <dgm:spPr/>
      <dgm:t>
        <a:bodyPr/>
        <a:p>
          <a:endParaRPr lang="en-US"/>
        </a:p>
      </dgm:t>
    </dgm:pt>
    <dgm:pt modelId="{7EE7D457-6E38-4EFA-8703-7E85B45DC25F}" cxnId="{A533F9DF-A753-42FB-A560-DC82E5A1187E}" type="sibTrans">
      <dgm:prSet/>
      <dgm:spPr/>
      <dgm:t>
        <a:bodyPr/>
        <a:p>
          <a:endParaRPr lang="en-US"/>
        </a:p>
      </dgm:t>
    </dgm:pt>
    <dgm:pt modelId="{60B33BA1-AE3D-4742-8007-7202DB6FEE8C}">
      <dgm:prSet phldrT="[Text]"/>
      <dgm:spPr/>
      <dgm:t>
        <a:bodyPr/>
        <a:p>
          <a:r>
            <a:rPr lang="en-US"/>
            <a:t>2. Political and Regulatory Environment </a:t>
          </a:r>
        </a:p>
      </dgm:t>
    </dgm:pt>
    <dgm:pt modelId="{280ED589-AF22-4F83-A2B2-161BDD58DE30}" cxnId="{89A9910B-1807-4A9A-ADBF-2538CD7574BF}" type="parTrans">
      <dgm:prSet/>
      <dgm:spPr/>
      <dgm:t>
        <a:bodyPr/>
        <a:p>
          <a:endParaRPr lang="en-US"/>
        </a:p>
      </dgm:t>
    </dgm:pt>
    <dgm:pt modelId="{DDA5FCA1-47B6-4BC0-9161-9CCAFD95299B}" cxnId="{89A9910B-1807-4A9A-ADBF-2538CD7574BF}" type="sibTrans">
      <dgm:prSet/>
      <dgm:spPr/>
      <dgm:t>
        <a:bodyPr/>
        <a:p>
          <a:endParaRPr lang="en-US"/>
        </a:p>
      </dgm:t>
    </dgm:pt>
    <dgm:pt modelId="{FE3A64B4-C47A-4EAE-B1A0-5D6294A4E201}" type="pres">
      <dgm:prSet presAssocID="{389D157C-6466-456D-853D-AC213EE572A5}" presName="compositeShape" presStyleCnt="0">
        <dgm:presLayoutVars>
          <dgm:chMax val="2"/>
          <dgm:dir/>
          <dgm:resizeHandles val="exact"/>
        </dgm:presLayoutVars>
      </dgm:prSet>
      <dgm:spPr/>
    </dgm:pt>
    <dgm:pt modelId="{3FCD5BFA-0B80-4A2E-AFCF-A4800D30A8EE}" type="pres">
      <dgm:prSet presAssocID="{54661177-C18F-4B7C-AB06-23F85C18A20E}" presName="upArrow" presStyleLbl="node1" presStyleIdx="0" presStyleCnt="2"/>
      <dgm:spPr/>
    </dgm:pt>
    <dgm:pt modelId="{786E0422-71EF-4BED-A44C-011B727DCB6B}" type="pres">
      <dgm:prSet presAssocID="{54661177-C18F-4B7C-AB06-23F85C18A20E}" presName="upArrowText" presStyleLbl="revTx" presStyleIdx="0" presStyleCnt="2">
        <dgm:presLayoutVars>
          <dgm:chMax val="0"/>
          <dgm:bulletEnabled val="1"/>
        </dgm:presLayoutVars>
      </dgm:prSet>
      <dgm:spPr/>
    </dgm:pt>
    <dgm:pt modelId="{2D6C754D-9E7B-4363-8F0A-5486E37D6B6B}" type="pres">
      <dgm:prSet presAssocID="{60B33BA1-AE3D-4742-8007-7202DB6FEE8C}" presName="downArrow" presStyleLbl="node1" presStyleIdx="1" presStyleCnt="2"/>
      <dgm:spPr/>
    </dgm:pt>
    <dgm:pt modelId="{B6E20093-4024-4FB0-915D-A92AE9BE6403}" type="pres">
      <dgm:prSet presAssocID="{60B33BA1-AE3D-4742-8007-7202DB6FEE8C}" presName="downArrowText" presStyleLbl="revTx" presStyleIdx="1" presStyleCnt="2">
        <dgm:presLayoutVars>
          <dgm:chMax val="0"/>
          <dgm:bulletEnabled val="1"/>
        </dgm:presLayoutVars>
      </dgm:prSet>
      <dgm:spPr/>
    </dgm:pt>
  </dgm:ptLst>
  <dgm:cxnLst>
    <dgm:cxn modelId="{89A9910B-1807-4A9A-ADBF-2538CD7574BF}" srcId="{389D157C-6466-456D-853D-AC213EE572A5}" destId="{60B33BA1-AE3D-4742-8007-7202DB6FEE8C}" srcOrd="1" destOrd="0" parTransId="{280ED589-AF22-4F83-A2B2-161BDD58DE30}" sibTransId="{DDA5FCA1-47B6-4BC0-9161-9CCAFD95299B}"/>
    <dgm:cxn modelId="{23C2A63E-2D0E-4791-B6C1-A58DE103F2D9}" type="presOf" srcId="{60B33BA1-AE3D-4742-8007-7202DB6FEE8C}" destId="{B6E20093-4024-4FB0-915D-A92AE9BE6403}" srcOrd="0" destOrd="0" presId="urn:microsoft.com/office/officeart/2005/8/layout/arrow4"/>
    <dgm:cxn modelId="{5AE38F55-0FF4-4F0E-B39D-C080FBE959BD}" type="presOf" srcId="{54661177-C18F-4B7C-AB06-23F85C18A20E}" destId="{786E0422-71EF-4BED-A44C-011B727DCB6B}" srcOrd="0" destOrd="0" presId="urn:microsoft.com/office/officeart/2005/8/layout/arrow4"/>
    <dgm:cxn modelId="{B39AEC9C-208C-4791-9F0B-2002742AB5DB}" type="presOf" srcId="{389D157C-6466-456D-853D-AC213EE572A5}" destId="{FE3A64B4-C47A-4EAE-B1A0-5D6294A4E201}" srcOrd="0" destOrd="0" presId="urn:microsoft.com/office/officeart/2005/8/layout/arrow4"/>
    <dgm:cxn modelId="{A533F9DF-A753-42FB-A560-DC82E5A1187E}" srcId="{389D157C-6466-456D-853D-AC213EE572A5}" destId="{54661177-C18F-4B7C-AB06-23F85C18A20E}" srcOrd="0" destOrd="0" parTransId="{A111B224-8327-49C5-9AE7-3F63CC907537}" sibTransId="{7EE7D457-6E38-4EFA-8703-7E85B45DC25F}"/>
    <dgm:cxn modelId="{429831E6-8534-412E-9E40-D6BA3BDAF3B3}" type="presParOf" srcId="{FE3A64B4-C47A-4EAE-B1A0-5D6294A4E201}" destId="{3FCD5BFA-0B80-4A2E-AFCF-A4800D30A8EE}" srcOrd="0" destOrd="0" presId="urn:microsoft.com/office/officeart/2005/8/layout/arrow4"/>
    <dgm:cxn modelId="{EE130384-4DFF-416F-AADC-A0F33C9C9222}" type="presParOf" srcId="{FE3A64B4-C47A-4EAE-B1A0-5D6294A4E201}" destId="{786E0422-71EF-4BED-A44C-011B727DCB6B}" srcOrd="1" destOrd="0" presId="urn:microsoft.com/office/officeart/2005/8/layout/arrow4"/>
    <dgm:cxn modelId="{180DDAAC-931A-4620-8781-059991A44FE7}" type="presParOf" srcId="{FE3A64B4-C47A-4EAE-B1A0-5D6294A4E201}" destId="{2D6C754D-9E7B-4363-8F0A-5486E37D6B6B}" srcOrd="2" destOrd="0" presId="urn:microsoft.com/office/officeart/2005/8/layout/arrow4"/>
    <dgm:cxn modelId="{01AEF690-847C-4085-A3EA-3D8ED5C32DE2}" type="presParOf" srcId="{FE3A64B4-C47A-4EAE-B1A0-5D6294A4E201}" destId="{B6E20093-4024-4FB0-915D-A92AE9BE6403}" srcOrd="3" destOrd="0" presId="urn:microsoft.com/office/officeart/2005/8/layout/arrow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1922780"/>
        <a:chOff x="0" y="0"/>
        <a:chExt cx="5486400" cy="1922780"/>
      </a:xfrm>
    </dsp:grpSpPr>
    <dsp:sp modelId="{3FCD5BFA-0B80-4A2E-AFCF-A4800D30A8EE}">
      <dsp:nvSpPr>
        <dsp:cNvPr id="3" name="Up Arrow 2"/>
        <dsp:cNvSpPr/>
      </dsp:nvSpPr>
      <dsp:spPr bwMode="white">
        <a:xfrm>
          <a:off x="3018" y="0"/>
          <a:ext cx="1810512" cy="922934"/>
        </a:xfrm>
        <a:prstGeom prst="upArrow">
          <a:avLst/>
        </a:prstGeom>
        <a:sp3d prstMaterial="plastic">
          <a:bevelT w="120900" h="88900"/>
          <a:bevelB w="88900" h="31750" prst="angle"/>
        </a:sp3d>
      </dsp:spPr>
      <dsp:style>
        <a:lnRef idx="0">
          <a:schemeClr val="lt1"/>
        </a:lnRef>
        <a:fillRef idx="3">
          <a:schemeClr val="accent3">
            <a:hueOff val="0"/>
            <a:satOff val="0"/>
            <a:lumOff val="0"/>
            <a:alpha val="100000"/>
          </a:schemeClr>
        </a:fillRef>
        <a:effectRef idx="2">
          <a:scrgbClr r="0" g="0" b="0"/>
        </a:effectRef>
        <a:fontRef idx="minor">
          <a:schemeClr val="lt1"/>
        </a:fontRef>
      </dsp:style>
      <dsp:txXfrm>
        <a:off x="3018" y="0"/>
        <a:ext cx="1810512" cy="922934"/>
      </dsp:txXfrm>
    </dsp:sp>
    <dsp:sp modelId="{786E0422-71EF-4BED-A44C-011B727DCB6B}">
      <dsp:nvSpPr>
        <dsp:cNvPr id="4" name="Rectangles 3"/>
        <dsp:cNvSpPr/>
      </dsp:nvSpPr>
      <dsp:spPr bwMode="white">
        <a:xfrm>
          <a:off x="1867845" y="0"/>
          <a:ext cx="3072384" cy="922934"/>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35128" tIns="0" rIns="135128" bIns="135128" anchor="ctr"/>
        <a:lstStyle>
          <a:lvl1pPr algn="l">
            <a:defRPr sz="19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0">
            <a:lnSpc>
              <a:spcPct val="100000"/>
            </a:lnSpc>
            <a:spcBef>
              <a:spcPct val="0"/>
            </a:spcBef>
            <a:spcAft>
              <a:spcPct val="35000"/>
            </a:spcAft>
          </a:pPr>
          <a:r>
            <a:rPr lang="en-US">
              <a:solidFill>
                <a:schemeClr val="tx1"/>
              </a:solidFill>
            </a:rPr>
            <a:t>1. Natural Environment </a:t>
          </a:r>
          <a:endParaRPr>
            <a:solidFill>
              <a:schemeClr val="tx1"/>
            </a:solidFill>
          </a:endParaRPr>
        </a:p>
      </dsp:txBody>
      <dsp:txXfrm>
        <a:off x="1867845" y="0"/>
        <a:ext cx="3072384" cy="922934"/>
      </dsp:txXfrm>
    </dsp:sp>
    <dsp:sp modelId="{2D6C754D-9E7B-4363-8F0A-5486E37D6B6B}">
      <dsp:nvSpPr>
        <dsp:cNvPr id="5" name="Down Arrow 4"/>
        <dsp:cNvSpPr/>
      </dsp:nvSpPr>
      <dsp:spPr bwMode="white">
        <a:xfrm>
          <a:off x="546171" y="999846"/>
          <a:ext cx="1810512" cy="922934"/>
        </a:xfrm>
        <a:prstGeom prst="downArrow">
          <a:avLst/>
        </a:prstGeom>
        <a:sp3d prstMaterial="plastic">
          <a:bevelT w="120900" h="88900"/>
          <a:bevelB w="88900" h="31750" prst="angle"/>
        </a:sp3d>
      </dsp:spPr>
      <dsp:style>
        <a:lnRef idx="0">
          <a:schemeClr val="lt1"/>
        </a:lnRef>
        <a:fillRef idx="3">
          <a:schemeClr val="accent3">
            <a:hueOff val="4080000"/>
            <a:satOff val="24706"/>
            <a:lumOff val="18824"/>
            <a:alpha val="100000"/>
          </a:schemeClr>
        </a:fillRef>
        <a:effectRef idx="2">
          <a:scrgbClr r="0" g="0" b="0"/>
        </a:effectRef>
        <a:fontRef idx="minor">
          <a:schemeClr val="lt1"/>
        </a:fontRef>
      </dsp:style>
      <dsp:txXfrm>
        <a:off x="546171" y="999846"/>
        <a:ext cx="1810512" cy="922934"/>
      </dsp:txXfrm>
    </dsp:sp>
    <dsp:sp modelId="{B6E20093-4024-4FB0-915D-A92AE9BE6403}">
      <dsp:nvSpPr>
        <dsp:cNvPr id="6" name="Rectangles 5"/>
        <dsp:cNvSpPr/>
      </dsp:nvSpPr>
      <dsp:spPr bwMode="white">
        <a:xfrm>
          <a:off x="2410998" y="999846"/>
          <a:ext cx="3072384" cy="922934"/>
        </a:xfrm>
        <a:prstGeom prst="rect">
          <a:avLst/>
        </a:prstGeom>
      </dsp:spPr>
      <dsp:style>
        <a:lnRef idx="0">
          <a:schemeClr val="dk1">
            <a:alpha val="0"/>
          </a:schemeClr>
        </a:lnRef>
        <a:fillRef idx="0">
          <a:schemeClr val="lt1">
            <a:alpha val="0"/>
          </a:schemeClr>
        </a:fillRef>
        <a:effectRef idx="0">
          <a:scrgbClr r="0" g="0" b="0"/>
        </a:effectRef>
        <a:fontRef idx="minor"/>
      </dsp:style>
      <dsp:txBody>
        <a:bodyPr lIns="135128" tIns="0" rIns="135128" bIns="135128" anchor="ctr"/>
        <a:lstStyle>
          <a:lvl1pPr algn="l">
            <a:defRPr sz="1900"/>
          </a:lvl1pPr>
          <a:lvl2pPr marL="114300" indent="-114300" algn="l">
            <a:defRPr sz="1400"/>
          </a:lvl2pPr>
          <a:lvl3pPr marL="228600" indent="-114300" algn="l">
            <a:defRPr sz="1400"/>
          </a:lvl3pPr>
          <a:lvl4pPr marL="342900" indent="-114300" algn="l">
            <a:defRPr sz="1400"/>
          </a:lvl4pPr>
          <a:lvl5pPr marL="457200" indent="-114300" algn="l">
            <a:defRPr sz="1400"/>
          </a:lvl5pPr>
          <a:lvl6pPr marL="571500" indent="-114300" algn="l">
            <a:defRPr sz="1400"/>
          </a:lvl6pPr>
          <a:lvl7pPr marL="685800" indent="-114300" algn="l">
            <a:defRPr sz="1400"/>
          </a:lvl7pPr>
          <a:lvl8pPr marL="800100" indent="-114300" algn="l">
            <a:defRPr sz="1400"/>
          </a:lvl8pPr>
          <a:lvl9pPr marL="914400" indent="-114300" algn="l">
            <a:defRPr sz="1400"/>
          </a:lvl9pPr>
        </a:lstStyle>
        <a:p>
          <a:pPr lvl="0">
            <a:lnSpc>
              <a:spcPct val="100000"/>
            </a:lnSpc>
            <a:spcBef>
              <a:spcPct val="0"/>
            </a:spcBef>
            <a:spcAft>
              <a:spcPct val="35000"/>
            </a:spcAft>
          </a:pPr>
          <a:r>
            <a:rPr lang="en-US">
              <a:solidFill>
                <a:schemeClr val="tx1"/>
              </a:solidFill>
            </a:rPr>
            <a:t>2. Political and Regulatory Environment </a:t>
          </a:r>
          <a:endParaRPr>
            <a:solidFill>
              <a:schemeClr val="tx1"/>
            </a:solidFill>
          </a:endParaRPr>
        </a:p>
      </dsp:txBody>
      <dsp:txXfrm>
        <a:off x="2410998" y="999846"/>
        <a:ext cx="3072384" cy="922934"/>
      </dsp:txXfrm>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26</Pages>
  <Words>4276</Words>
  <Characters>24377</Characters>
  <Lines>203</Lines>
  <Paragraphs>57</Paragraphs>
  <TotalTime>3</TotalTime>
  <ScaleCrop>false</ScaleCrop>
  <LinksUpToDate>false</LinksUpToDate>
  <CharactersWithSpaces>28596</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2026-06-24T15:19:00Z</dcterms:created>
  <dc:creator>Ishan kevadiya</dc:creator>
  <cp:lastModifiedBy>yaatri bapodra</cp:lastModifiedBy>
  <dcterms:modified xsi:type="dcterms:W3CDTF">2026-06-25T16:05:30Z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E9BE3D03300542F191BD14B93953B0FC_12</vt:lpwstr>
  </property>
</Properties>
</file>