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877C2" w14:textId="77777777" w:rsidR="00F7176B" w:rsidRPr="00A74B3E" w:rsidRDefault="00F7176B" w:rsidP="00F7176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Pr="00A74B3E">
        <w:rPr>
          <w:rFonts w:ascii="Arial" w:hAnsi="Arial" w:cs="Arial"/>
          <w:b/>
          <w:sz w:val="22"/>
          <w:szCs w:val="22"/>
        </w:rPr>
        <w:t>READING LIST</w:t>
      </w:r>
    </w:p>
    <w:p w14:paraId="2A17466A" w14:textId="77777777" w:rsidR="00F7176B" w:rsidRPr="00A74B3E" w:rsidRDefault="00F7176B" w:rsidP="00F7176B">
      <w:pPr>
        <w:rPr>
          <w:rFonts w:ascii="Arial" w:hAnsi="Arial" w:cs="Arial"/>
          <w:b/>
          <w:sz w:val="22"/>
          <w:szCs w:val="22"/>
        </w:rPr>
      </w:pPr>
    </w:p>
    <w:p w14:paraId="59F50A93" w14:textId="77777777" w:rsidR="00F7176B" w:rsidRPr="00A74B3E" w:rsidRDefault="00F7176B" w:rsidP="00F7176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F7176B" w:rsidRPr="00A74B3E" w14:paraId="3E02C15E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28A3A0D7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285E201D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ACEA 50</w:t>
            </w:r>
          </w:p>
        </w:tc>
      </w:tr>
      <w:tr w:rsidR="00F7176B" w:rsidRPr="00A74B3E" w14:paraId="390B3973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0AC0FBE8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288CB512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Six Sigma Green Belt</w:t>
            </w:r>
          </w:p>
        </w:tc>
      </w:tr>
      <w:tr w:rsidR="00F7176B" w:rsidRPr="00A74B3E" w14:paraId="5033999C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7EA7B64F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0309E41F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2D8130A3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F7176B" w:rsidRPr="00A74B3E" w14:paraId="698CF15C" w14:textId="77777777" w:rsidTr="00B61AFF">
        <w:tc>
          <w:tcPr>
            <w:tcW w:w="1689" w:type="dxa"/>
          </w:tcPr>
          <w:p w14:paraId="6698CF95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0F608623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Pyzdek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T (2018) The Six Sigma Handbook, 5</w:t>
            </w:r>
            <w:r w:rsidRPr="00D6113C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Edition, McGraw Hill Education, United States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5069BA0" w14:textId="77777777" w:rsidR="00F7176B" w:rsidRPr="00A74B3E" w:rsidRDefault="00F7176B" w:rsidP="00B61AF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7176B" w:rsidRPr="00A74B3E" w14:paraId="74124D12" w14:textId="77777777" w:rsidTr="00B61AFF">
        <w:tc>
          <w:tcPr>
            <w:tcW w:w="1689" w:type="dxa"/>
          </w:tcPr>
          <w:p w14:paraId="5F144504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27A88831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Muroe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A (2007) The Certified Six Sigma Green Belt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Handbook,  ASQ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Quality Press, Milwaukee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77D7C32" w14:textId="77777777" w:rsidR="00F7176B" w:rsidRPr="00A74B3E" w:rsidRDefault="00F7176B" w:rsidP="00B61AF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7176B" w:rsidRPr="00A74B3E" w14:paraId="75F5CB78" w14:textId="77777777" w:rsidTr="00B61AFF">
        <w:tc>
          <w:tcPr>
            <w:tcW w:w="1689" w:type="dxa"/>
          </w:tcPr>
          <w:p w14:paraId="7D23B39B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5DAE3C1D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Bicheno, J and Holweg, M (2016) The Lean Toolbox, 5</w:t>
            </w:r>
            <w:r w:rsidRPr="00011074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Edition,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Picsie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Books, Buckingham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04519A7" w14:textId="77777777" w:rsidR="00F7176B" w:rsidRPr="00A74B3E" w:rsidRDefault="00F7176B" w:rsidP="00B61AF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7176B" w:rsidRPr="00A74B3E" w14:paraId="21C9CA98" w14:textId="77777777" w:rsidTr="00B61AFF">
        <w:tc>
          <w:tcPr>
            <w:tcW w:w="1689" w:type="dxa"/>
          </w:tcPr>
          <w:p w14:paraId="718BB673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17E34BBF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Dale, B. Bamford, D and Van der Wiele, T (2016) Managing Quality: An Essential Guide and Resource Gateway, 6</w:t>
            </w:r>
            <w:r w:rsidRPr="00011074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Edition, John Wiley &amp; Sons, Chichester</w:t>
            </w:r>
          </w:p>
        </w:tc>
        <w:tc>
          <w:tcPr>
            <w:tcW w:w="1366" w:type="dxa"/>
          </w:tcPr>
          <w:p w14:paraId="05DD9C82" w14:textId="77777777" w:rsidR="00F7176B" w:rsidRDefault="00F7176B" w:rsidP="00B61A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176B" w:rsidRPr="00A74B3E" w14:paraId="6C896764" w14:textId="77777777" w:rsidTr="00B61AFF">
        <w:tc>
          <w:tcPr>
            <w:tcW w:w="1689" w:type="dxa"/>
          </w:tcPr>
          <w:p w14:paraId="556DF8DE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76F139B5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Russell, R.S (2009) Operations Management, John Wiley &amp; Sons, USA</w:t>
            </w:r>
          </w:p>
        </w:tc>
        <w:tc>
          <w:tcPr>
            <w:tcW w:w="1366" w:type="dxa"/>
          </w:tcPr>
          <w:p w14:paraId="1F3FC586" w14:textId="77777777" w:rsidR="00F7176B" w:rsidRDefault="00F7176B" w:rsidP="00B61A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176B" w:rsidRPr="00A74B3E" w14:paraId="63B7E855" w14:textId="77777777" w:rsidTr="00B61AFF">
        <w:tc>
          <w:tcPr>
            <w:tcW w:w="1689" w:type="dxa"/>
          </w:tcPr>
          <w:p w14:paraId="6E504CA1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998AC82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Trivium (2019) Six Sigma Green Belt Study Guide 2019: Trivium Test Prep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11EBFFC" w14:textId="77777777" w:rsidR="00F7176B" w:rsidRPr="00A74B3E" w:rsidRDefault="00F7176B" w:rsidP="00B61AF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7176B" w:rsidRPr="00A74B3E" w14:paraId="47E66726" w14:textId="77777777" w:rsidTr="00B61AFF">
        <w:tc>
          <w:tcPr>
            <w:tcW w:w="1689" w:type="dxa"/>
          </w:tcPr>
          <w:p w14:paraId="2158F127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C282AB3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Setter, C (2018) Six Sigma: A Complete Step-by-Step Guide, Council for Six Sigma Certification, Buffalo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BFB0472" w14:textId="77777777" w:rsidR="00F7176B" w:rsidRPr="00A74B3E" w:rsidRDefault="00F7176B" w:rsidP="00B61AF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7176B" w:rsidRPr="00A74B3E" w14:paraId="7EA91CD2" w14:textId="77777777" w:rsidTr="00B61AFF">
        <w:tc>
          <w:tcPr>
            <w:tcW w:w="1689" w:type="dxa"/>
          </w:tcPr>
          <w:p w14:paraId="6D0FFF8F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9CBFA3A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Barsalou, M (2014) Root Cause Analysis, Productivity Press, Boca Raton</w:t>
            </w:r>
          </w:p>
        </w:tc>
        <w:tc>
          <w:tcPr>
            <w:tcW w:w="1366" w:type="dxa"/>
          </w:tcPr>
          <w:p w14:paraId="414B3E7D" w14:textId="77777777" w:rsidR="00F7176B" w:rsidRDefault="00F7176B" w:rsidP="00B61A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176B" w:rsidRPr="00A74B3E" w14:paraId="13D26297" w14:textId="77777777" w:rsidTr="00B61AFF">
        <w:tc>
          <w:tcPr>
            <w:tcW w:w="1689" w:type="dxa"/>
          </w:tcPr>
          <w:p w14:paraId="38C39535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23FE1E7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Sartor, M and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Orzes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G (2019) Quality Management: Tools, Methods and Standards, Emerald Publishing Limited, Bingley</w:t>
            </w:r>
          </w:p>
        </w:tc>
        <w:tc>
          <w:tcPr>
            <w:tcW w:w="1366" w:type="dxa"/>
          </w:tcPr>
          <w:p w14:paraId="27CA37FB" w14:textId="77777777" w:rsidR="00F7176B" w:rsidRDefault="00F7176B" w:rsidP="00B61A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176B" w:rsidRPr="00A74B3E" w14:paraId="79568194" w14:textId="77777777" w:rsidTr="00B61AFF">
        <w:tc>
          <w:tcPr>
            <w:tcW w:w="1689" w:type="dxa"/>
          </w:tcPr>
          <w:p w14:paraId="091CFC7F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380F4C1C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Slack, N and Brandon-Jones, A (2019) Operations Management, 9</w:t>
            </w:r>
            <w:r w:rsidRPr="00BF4B47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Edition, Pearson, Harlow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DE79BF3" w14:textId="77777777" w:rsidR="00F7176B" w:rsidRPr="00A74B3E" w:rsidRDefault="00F7176B" w:rsidP="00B61AF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7176B" w:rsidRPr="00A74B3E" w14:paraId="38EE9FD9" w14:textId="77777777" w:rsidTr="00B61AFF">
        <w:tc>
          <w:tcPr>
            <w:tcW w:w="1689" w:type="dxa"/>
          </w:tcPr>
          <w:p w14:paraId="06B615D6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2706B04" w14:textId="77777777" w:rsidR="00F7176B" w:rsidRPr="00A74B3E" w:rsidRDefault="00F7176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Stevenson, W (2018) Operations Management, McGraw Hill Education, New York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DC63BBC" w14:textId="77777777" w:rsidR="00F7176B" w:rsidRPr="00A74B3E" w:rsidRDefault="00F7176B" w:rsidP="00B61AF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357707BF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327101E7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Journals</w:t>
      </w:r>
    </w:p>
    <w:p w14:paraId="3462DAC1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Computers and Industrial Engineering</w:t>
      </w:r>
    </w:p>
    <w:p w14:paraId="4F6EDDCD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European Journal of Operations Research</w:t>
      </w:r>
    </w:p>
    <w:p w14:paraId="6B3FEA72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International Journal of Production Economics</w:t>
      </w:r>
    </w:p>
    <w:p w14:paraId="0E12039D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International Journal for Project Management</w:t>
      </w:r>
    </w:p>
    <w:p w14:paraId="64215C99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Journal of Cleaner Production</w:t>
      </w:r>
    </w:p>
    <w:p w14:paraId="6EEA4D1E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Journal of Manufacturing Systems</w:t>
      </w:r>
    </w:p>
    <w:p w14:paraId="2D9D7B8D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Journal of Operations Management</w:t>
      </w:r>
    </w:p>
    <w:p w14:paraId="0D99893F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Journal of Purchasing and Supply Management</w:t>
      </w:r>
    </w:p>
    <w:p w14:paraId="5632F221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Operations Research Perspectives</w:t>
      </w:r>
    </w:p>
    <w:p w14:paraId="7B7FB753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Reliability Engineering and System Safety</w:t>
      </w:r>
    </w:p>
    <w:p w14:paraId="6DA8D519" w14:textId="77777777" w:rsidR="00F7176B" w:rsidRPr="005C1E5D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1041A4B" w14:textId="77777777" w:rsidR="00F7176B" w:rsidRPr="009D31A0" w:rsidRDefault="00F7176B" w:rsidP="00F7176B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Websites</w:t>
      </w:r>
    </w:p>
    <w:p w14:paraId="15716C9E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hyperlink r:id="rId4" w:history="1">
        <w:r w:rsidRPr="00E944E1">
          <w:rPr>
            <w:rStyle w:val="Hyperlink"/>
            <w:rFonts w:ascii="Arial" w:hAnsi="Arial" w:cs="Arial"/>
            <w:b w:val="0"/>
            <w:sz w:val="22"/>
            <w:szCs w:val="22"/>
          </w:rPr>
          <w:t>www.quality.org</w:t>
        </w:r>
      </w:hyperlink>
    </w:p>
    <w:p w14:paraId="3B6093CF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hyperlink r:id="rId5" w:history="1">
        <w:r w:rsidRPr="00E944E1">
          <w:rPr>
            <w:rStyle w:val="Hyperlink"/>
            <w:rFonts w:ascii="Arial" w:hAnsi="Arial" w:cs="Arial"/>
            <w:b w:val="0"/>
            <w:sz w:val="22"/>
            <w:szCs w:val="22"/>
          </w:rPr>
          <w:t>www.asp.org</w:t>
        </w:r>
      </w:hyperlink>
    </w:p>
    <w:p w14:paraId="03134A33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hyperlink r:id="rId6" w:history="1">
        <w:r w:rsidRPr="00E944E1">
          <w:rPr>
            <w:rStyle w:val="Hyperlink"/>
            <w:rFonts w:ascii="Arial" w:hAnsi="Arial" w:cs="Arial"/>
            <w:b w:val="0"/>
            <w:sz w:val="22"/>
            <w:szCs w:val="22"/>
          </w:rPr>
          <w:t>www.isixsigma.com</w:t>
        </w:r>
      </w:hyperlink>
    </w:p>
    <w:p w14:paraId="1612482B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hyperlink r:id="rId7" w:history="1">
        <w:r w:rsidRPr="00E944E1">
          <w:rPr>
            <w:rStyle w:val="Hyperlink"/>
            <w:rFonts w:ascii="Arial" w:hAnsi="Arial" w:cs="Arial"/>
            <w:b w:val="0"/>
            <w:sz w:val="22"/>
            <w:szCs w:val="22"/>
          </w:rPr>
          <w:t>www.cips.org</w:t>
        </w:r>
      </w:hyperlink>
    </w:p>
    <w:p w14:paraId="56675198" w14:textId="77777777" w:rsidR="00F7176B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hyperlink r:id="rId8" w:history="1">
        <w:r w:rsidRPr="00E944E1">
          <w:rPr>
            <w:rStyle w:val="Hyperlink"/>
            <w:rFonts w:ascii="Arial" w:hAnsi="Arial" w:cs="Arial"/>
            <w:b w:val="0"/>
            <w:sz w:val="22"/>
            <w:szCs w:val="22"/>
          </w:rPr>
          <w:t>www.ciltuk.org</w:t>
        </w:r>
      </w:hyperlink>
    </w:p>
    <w:p w14:paraId="54B218FF" w14:textId="77777777" w:rsidR="00F7176B" w:rsidRPr="00CD76C0" w:rsidRDefault="00F7176B" w:rsidP="00F7176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52DCC71" w14:textId="77777777" w:rsidR="00000000" w:rsidRDefault="00000000"/>
    <w:sectPr w:rsidR="004207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76B"/>
    <w:rsid w:val="00497875"/>
    <w:rsid w:val="005E02D1"/>
    <w:rsid w:val="00C944D9"/>
    <w:rsid w:val="00F40A20"/>
    <w:rsid w:val="00F71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67E05"/>
  <w15:chartTrackingRefBased/>
  <w15:docId w15:val="{6984BB21-5A19-47C0-A591-9245F354E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76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176B"/>
    <w:pPr>
      <w:keepNext/>
      <w:keepLines/>
      <w:overflowPunct/>
      <w:autoSpaceDE/>
      <w:autoSpaceDN/>
      <w:adjustRightInd/>
      <w:spacing w:before="360" w:after="80" w:line="259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176B"/>
    <w:pPr>
      <w:keepNext/>
      <w:keepLines/>
      <w:overflowPunct/>
      <w:autoSpaceDE/>
      <w:autoSpaceDN/>
      <w:adjustRightInd/>
      <w:spacing w:before="160" w:after="80" w:line="259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176B"/>
    <w:pPr>
      <w:keepNext/>
      <w:keepLines/>
      <w:overflowPunct/>
      <w:autoSpaceDE/>
      <w:autoSpaceDN/>
      <w:adjustRightInd/>
      <w:spacing w:before="160" w:after="80" w:line="259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176B"/>
    <w:pPr>
      <w:keepNext/>
      <w:keepLines/>
      <w:overflowPunct/>
      <w:autoSpaceDE/>
      <w:autoSpaceDN/>
      <w:adjustRightInd/>
      <w:spacing w:before="80" w:after="40" w:line="259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176B"/>
    <w:pPr>
      <w:keepNext/>
      <w:keepLines/>
      <w:overflowPunct/>
      <w:autoSpaceDE/>
      <w:autoSpaceDN/>
      <w:adjustRightInd/>
      <w:spacing w:before="80" w:after="40" w:line="259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zh-C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176B"/>
    <w:pPr>
      <w:keepNext/>
      <w:keepLines/>
      <w:overflowPunct/>
      <w:autoSpaceDE/>
      <w:autoSpaceDN/>
      <w:adjustRightInd/>
      <w:spacing w:before="40" w:line="259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zh-C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176B"/>
    <w:pPr>
      <w:keepNext/>
      <w:keepLines/>
      <w:overflowPunct/>
      <w:autoSpaceDE/>
      <w:autoSpaceDN/>
      <w:adjustRightInd/>
      <w:spacing w:before="40" w:line="259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zh-C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176B"/>
    <w:pPr>
      <w:keepNext/>
      <w:keepLines/>
      <w:overflowPunct/>
      <w:autoSpaceDE/>
      <w:autoSpaceDN/>
      <w:adjustRightInd/>
      <w:spacing w:line="259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176B"/>
    <w:pPr>
      <w:keepNext/>
      <w:keepLines/>
      <w:overflowPunct/>
      <w:autoSpaceDE/>
      <w:autoSpaceDN/>
      <w:adjustRightInd/>
      <w:spacing w:line="259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17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17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17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176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176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17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17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17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17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176B"/>
    <w:pPr>
      <w:overflowPunct/>
      <w:autoSpaceDE/>
      <w:autoSpaceDN/>
      <w:adjustRightInd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itleChar">
    <w:name w:val="Title Char"/>
    <w:basedOn w:val="DefaultParagraphFont"/>
    <w:link w:val="Title"/>
    <w:uiPriority w:val="10"/>
    <w:rsid w:val="00F717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176B"/>
    <w:pPr>
      <w:numPr>
        <w:ilvl w:val="1"/>
      </w:numPr>
      <w:overflowPunct/>
      <w:autoSpaceDE/>
      <w:autoSpaceDN/>
      <w:adjustRightInd/>
      <w:spacing w:after="160" w:line="259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F717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176B"/>
    <w:pPr>
      <w:overflowPunct/>
      <w:autoSpaceDE/>
      <w:autoSpaceDN/>
      <w:adjustRightInd/>
      <w:spacing w:before="160" w:after="160" w:line="259" w:lineRule="auto"/>
      <w:jc w:val="center"/>
      <w:textAlignment w:val="auto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2"/>
      <w:lang w:eastAsia="zh-CN"/>
    </w:rPr>
  </w:style>
  <w:style w:type="character" w:customStyle="1" w:styleId="QuoteChar">
    <w:name w:val="Quote Char"/>
    <w:basedOn w:val="DefaultParagraphFont"/>
    <w:link w:val="Quote"/>
    <w:uiPriority w:val="29"/>
    <w:rsid w:val="00F717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176B"/>
    <w:pPr>
      <w:overflowPunct/>
      <w:autoSpaceDE/>
      <w:autoSpaceDN/>
      <w:adjustRightInd/>
      <w:spacing w:after="160" w:line="259" w:lineRule="auto"/>
      <w:ind w:left="720"/>
      <w:contextualSpacing/>
      <w:jc w:val="left"/>
      <w:textAlignment w:val="auto"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character" w:styleId="IntenseEmphasis">
    <w:name w:val="Intense Emphasis"/>
    <w:basedOn w:val="DefaultParagraphFont"/>
    <w:uiPriority w:val="21"/>
    <w:qFormat/>
    <w:rsid w:val="00F7176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17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:szCs w:val="22"/>
      <w:lang w:eastAsia="zh-C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176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176B"/>
    <w:rPr>
      <w:b/>
      <w:bCs/>
      <w:smallCaps/>
      <w:color w:val="2F5496" w:themeColor="accent1" w:themeShade="BF"/>
      <w:spacing w:val="5"/>
    </w:rPr>
  </w:style>
  <w:style w:type="paragraph" w:customStyle="1" w:styleId="heading">
    <w:name w:val="heading"/>
    <w:basedOn w:val="Normal"/>
    <w:link w:val="headingChar"/>
    <w:rsid w:val="00F7176B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  <w:jc w:val="left"/>
    </w:pPr>
    <w:rPr>
      <w:b/>
    </w:rPr>
  </w:style>
  <w:style w:type="character" w:customStyle="1" w:styleId="headingChar">
    <w:name w:val="heading Char"/>
    <w:link w:val="heading"/>
    <w:rsid w:val="00F7176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uiPriority w:val="99"/>
    <w:rsid w:val="00F7176B"/>
    <w:rPr>
      <w:color w:val="0000FF"/>
      <w:u w:val="single"/>
    </w:rPr>
  </w:style>
  <w:style w:type="table" w:styleId="TableGrid">
    <w:name w:val="Table Grid"/>
    <w:basedOn w:val="TableNormal"/>
    <w:uiPriority w:val="59"/>
    <w:rsid w:val="00F717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ltuk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ips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sixsigma.com" TargetMode="External"/><Relationship Id="rId5" Type="http://schemas.openxmlformats.org/officeDocument/2006/relationships/hyperlink" Target="http://www.asp.org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quality.or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2024-10-09T23:59:00Z</dcterms:created>
  <dcterms:modified xsi:type="dcterms:W3CDTF">2024-10-10T00:00:00Z</dcterms:modified>
</cp:coreProperties>
</file>