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7DB6F" w14:textId="5D5716AF" w:rsidR="004C2C1C" w:rsidRDefault="004C2C1C" w:rsidP="00AB7AA7">
      <w:pPr>
        <w:spacing w:line="360" w:lineRule="auto"/>
        <w:jc w:val="center"/>
        <w:rPr>
          <w:rFonts w:ascii="Arial" w:hAnsi="Arial" w:cs="Arial"/>
          <w:sz w:val="22"/>
          <w:szCs w:val="22"/>
        </w:rPr>
      </w:pPr>
    </w:p>
    <w:p w14:paraId="11F554C8" w14:textId="730FF015" w:rsidR="004C2C1C" w:rsidRDefault="004C2C1C" w:rsidP="00AB7AA7">
      <w:pPr>
        <w:spacing w:line="360" w:lineRule="auto"/>
        <w:jc w:val="center"/>
        <w:rPr>
          <w:rFonts w:ascii="Arial" w:hAnsi="Arial" w:cs="Arial"/>
          <w:sz w:val="22"/>
          <w:szCs w:val="22"/>
        </w:rPr>
      </w:pPr>
      <w:r w:rsidRPr="004C2C1C">
        <w:rPr>
          <w:rFonts w:ascii="Arial" w:hAnsi="Arial" w:cs="Arial"/>
          <w:sz w:val="22"/>
          <w:szCs w:val="22"/>
        </w:rPr>
        <w:drawing>
          <wp:inline distT="0" distB="0" distL="0" distR="0" wp14:anchorId="457A5CCD" wp14:editId="7B33C629">
            <wp:extent cx="2765508" cy="1234602"/>
            <wp:effectExtent l="0" t="0" r="3175" b="0"/>
            <wp:docPr id="1118075437"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075437" name="Picture 1" descr="A close-up of a sign&#10;&#10;Description automatically generated"/>
                    <pic:cNvPicPr/>
                  </pic:nvPicPr>
                  <pic:blipFill>
                    <a:blip r:embed="rId8"/>
                    <a:stretch>
                      <a:fillRect/>
                    </a:stretch>
                  </pic:blipFill>
                  <pic:spPr>
                    <a:xfrm>
                      <a:off x="0" y="0"/>
                      <a:ext cx="2784822" cy="1243224"/>
                    </a:xfrm>
                    <a:prstGeom prst="rect">
                      <a:avLst/>
                    </a:prstGeom>
                  </pic:spPr>
                </pic:pic>
              </a:graphicData>
            </a:graphic>
          </wp:inline>
        </w:drawing>
      </w:r>
    </w:p>
    <w:p w14:paraId="61A3A0A7" w14:textId="77777777" w:rsidR="004C2C1C" w:rsidRPr="004C2C1C" w:rsidRDefault="004C2C1C" w:rsidP="00AB7AA7">
      <w:pPr>
        <w:spacing w:line="360" w:lineRule="auto"/>
        <w:rPr>
          <w:rFonts w:ascii="Arial" w:hAnsi="Arial" w:cs="Arial"/>
          <w:sz w:val="22"/>
          <w:szCs w:val="22"/>
        </w:rPr>
      </w:pPr>
    </w:p>
    <w:p w14:paraId="71E36044" w14:textId="77777777" w:rsidR="004C2C1C" w:rsidRPr="004C2C1C" w:rsidRDefault="004C2C1C" w:rsidP="00AB7AA7">
      <w:pPr>
        <w:spacing w:line="360" w:lineRule="auto"/>
        <w:jc w:val="center"/>
        <w:rPr>
          <w:rFonts w:ascii="American Typewriter" w:hAnsi="American Typewriter" w:cs="Arial"/>
          <w:sz w:val="32"/>
          <w:szCs w:val="32"/>
        </w:rPr>
      </w:pPr>
    </w:p>
    <w:p w14:paraId="4E223A71" w14:textId="78A8460D" w:rsidR="004C2C1C" w:rsidRPr="004C2C1C" w:rsidRDefault="004C2C1C" w:rsidP="00836A8D">
      <w:pPr>
        <w:spacing w:line="360" w:lineRule="auto"/>
        <w:jc w:val="center"/>
        <w:rPr>
          <w:rFonts w:ascii="American Typewriter" w:hAnsi="American Typewriter" w:cs="Arial"/>
          <w:sz w:val="32"/>
          <w:szCs w:val="32"/>
        </w:rPr>
      </w:pPr>
      <w:r w:rsidRPr="004C2C1C">
        <w:rPr>
          <w:rFonts w:ascii="American Typewriter" w:hAnsi="American Typewriter" w:cs="Arial"/>
          <w:sz w:val="32"/>
          <w:szCs w:val="32"/>
        </w:rPr>
        <w:t xml:space="preserve">Student name: Vladmir </w:t>
      </w:r>
      <w:proofErr w:type="spellStart"/>
      <w:r w:rsidRPr="004C2C1C">
        <w:rPr>
          <w:rFonts w:ascii="American Typewriter" w:hAnsi="American Typewriter" w:cs="Arial"/>
          <w:sz w:val="32"/>
          <w:szCs w:val="32"/>
        </w:rPr>
        <w:t>Totev</w:t>
      </w:r>
      <w:proofErr w:type="spellEnd"/>
    </w:p>
    <w:p w14:paraId="24EC56A2" w14:textId="6A944A25" w:rsidR="004C2C1C" w:rsidRPr="004C2C1C" w:rsidRDefault="004C2C1C" w:rsidP="00836A8D">
      <w:pPr>
        <w:spacing w:line="360" w:lineRule="auto"/>
        <w:jc w:val="center"/>
        <w:rPr>
          <w:rFonts w:ascii="American Typewriter" w:hAnsi="American Typewriter" w:cs="Arial"/>
          <w:sz w:val="32"/>
          <w:szCs w:val="32"/>
        </w:rPr>
      </w:pPr>
      <w:r w:rsidRPr="004C2C1C">
        <w:rPr>
          <w:rFonts w:ascii="American Typewriter" w:hAnsi="American Typewriter" w:cs="Arial"/>
          <w:sz w:val="32"/>
          <w:szCs w:val="32"/>
        </w:rPr>
        <w:t>Programme: IBM</w:t>
      </w:r>
    </w:p>
    <w:p w14:paraId="5DECA924" w14:textId="7EE2B7DE" w:rsidR="004C2C1C" w:rsidRPr="004C2C1C" w:rsidRDefault="004C2C1C" w:rsidP="00836A8D">
      <w:pPr>
        <w:spacing w:line="360" w:lineRule="auto"/>
        <w:jc w:val="center"/>
        <w:rPr>
          <w:rFonts w:ascii="American Typewriter" w:hAnsi="American Typewriter" w:cs="Arial"/>
          <w:sz w:val="32"/>
          <w:szCs w:val="32"/>
        </w:rPr>
      </w:pPr>
      <w:r w:rsidRPr="004C2C1C">
        <w:rPr>
          <w:rFonts w:ascii="American Typewriter" w:hAnsi="American Typewriter" w:cs="Arial"/>
          <w:sz w:val="32"/>
          <w:szCs w:val="32"/>
        </w:rPr>
        <w:t>Student number: 2024467</w:t>
      </w:r>
    </w:p>
    <w:p w14:paraId="1FCEF1B8" w14:textId="5CE9C55A" w:rsidR="004C2C1C" w:rsidRPr="004C2C1C" w:rsidRDefault="004C2C1C" w:rsidP="00836A8D">
      <w:pPr>
        <w:spacing w:line="360" w:lineRule="auto"/>
        <w:jc w:val="center"/>
        <w:rPr>
          <w:rFonts w:ascii="American Typewriter" w:hAnsi="American Typewriter" w:cs="Arial"/>
          <w:sz w:val="32"/>
          <w:szCs w:val="32"/>
        </w:rPr>
      </w:pPr>
      <w:r w:rsidRPr="004C2C1C">
        <w:rPr>
          <w:rFonts w:ascii="American Typewriter" w:hAnsi="American Typewriter" w:cs="Arial"/>
          <w:sz w:val="32"/>
          <w:szCs w:val="32"/>
        </w:rPr>
        <w:t>Module: Financial Management (LCMB7002)</w:t>
      </w:r>
    </w:p>
    <w:p w14:paraId="62E6234E" w14:textId="13E2D5D3" w:rsidR="004C2C1C" w:rsidRPr="004C2C1C" w:rsidRDefault="004C2C1C" w:rsidP="00836A8D">
      <w:pPr>
        <w:spacing w:line="360" w:lineRule="auto"/>
        <w:jc w:val="center"/>
        <w:rPr>
          <w:rFonts w:ascii="American Typewriter" w:hAnsi="American Typewriter" w:cs="Arial"/>
          <w:sz w:val="32"/>
          <w:szCs w:val="32"/>
        </w:rPr>
      </w:pPr>
      <w:r w:rsidRPr="004C2C1C">
        <w:rPr>
          <w:rFonts w:ascii="American Typewriter" w:hAnsi="American Typewriter" w:cs="Arial"/>
          <w:sz w:val="32"/>
          <w:szCs w:val="32"/>
        </w:rPr>
        <w:t>Task: Business Report</w:t>
      </w:r>
      <w:r>
        <w:rPr>
          <w:rFonts w:ascii="American Typewriter" w:hAnsi="American Typewriter" w:cs="Arial"/>
          <w:sz w:val="32"/>
          <w:szCs w:val="32"/>
        </w:rPr>
        <w:t xml:space="preserve"> – Apple Inc.</w:t>
      </w:r>
    </w:p>
    <w:p w14:paraId="0DEA5D20" w14:textId="55ED5D29" w:rsidR="004C2C1C" w:rsidRPr="004C2C1C" w:rsidRDefault="004C2C1C" w:rsidP="00836A8D">
      <w:pPr>
        <w:spacing w:line="360" w:lineRule="auto"/>
        <w:jc w:val="center"/>
        <w:rPr>
          <w:rFonts w:ascii="American Typewriter" w:hAnsi="American Typewriter" w:cs="Arial"/>
          <w:sz w:val="32"/>
          <w:szCs w:val="32"/>
        </w:rPr>
      </w:pPr>
      <w:r w:rsidRPr="004C2C1C">
        <w:rPr>
          <w:rFonts w:ascii="American Typewriter" w:hAnsi="American Typewriter" w:cs="Arial"/>
          <w:sz w:val="32"/>
          <w:szCs w:val="32"/>
        </w:rPr>
        <w:t>Lecturer: David Coker</w:t>
      </w:r>
    </w:p>
    <w:p w14:paraId="60CC8BF1" w14:textId="77777777" w:rsidR="004C2C1C" w:rsidRDefault="004C2C1C" w:rsidP="00AB7AA7">
      <w:pPr>
        <w:spacing w:line="360" w:lineRule="auto"/>
        <w:rPr>
          <w:rFonts w:ascii="Arial" w:hAnsi="Arial" w:cs="Arial"/>
          <w:sz w:val="22"/>
          <w:szCs w:val="22"/>
        </w:rPr>
      </w:pPr>
    </w:p>
    <w:p w14:paraId="1F3F6C45" w14:textId="10AF98C7" w:rsidR="004C2C1C" w:rsidRDefault="002B49A6" w:rsidP="00836A8D">
      <w:pPr>
        <w:spacing w:line="360" w:lineRule="auto"/>
        <w:jc w:val="center"/>
        <w:rPr>
          <w:rFonts w:ascii="Arial" w:hAnsi="Arial" w:cs="Arial"/>
          <w:sz w:val="22"/>
          <w:szCs w:val="22"/>
        </w:rPr>
      </w:pPr>
      <w:r w:rsidRPr="002B49A6">
        <w:rPr>
          <w:rFonts w:ascii="Arial" w:hAnsi="Arial" w:cs="Arial"/>
          <w:sz w:val="22"/>
          <w:szCs w:val="22"/>
        </w:rPr>
        <w:drawing>
          <wp:inline distT="0" distB="0" distL="0" distR="0" wp14:anchorId="6906F5C8" wp14:editId="5FC4CFB5">
            <wp:extent cx="3903175" cy="2468675"/>
            <wp:effectExtent l="0" t="0" r="0" b="0"/>
            <wp:docPr id="998630330" name="Picture 1" descr="A group of different colored logo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630330" name="Picture 1" descr="A group of different colored logos&#10;&#10;Description automatically generated"/>
                    <pic:cNvPicPr/>
                  </pic:nvPicPr>
                  <pic:blipFill>
                    <a:blip r:embed="rId9"/>
                    <a:stretch>
                      <a:fillRect/>
                    </a:stretch>
                  </pic:blipFill>
                  <pic:spPr>
                    <a:xfrm>
                      <a:off x="0" y="0"/>
                      <a:ext cx="3971330" cy="2511782"/>
                    </a:xfrm>
                    <a:prstGeom prst="rect">
                      <a:avLst/>
                    </a:prstGeom>
                  </pic:spPr>
                </pic:pic>
              </a:graphicData>
            </a:graphic>
          </wp:inline>
        </w:drawing>
      </w:r>
    </w:p>
    <w:p w14:paraId="51DC821E" w14:textId="77777777" w:rsidR="004C2C1C" w:rsidRDefault="004C2C1C" w:rsidP="00AB7AA7">
      <w:pPr>
        <w:spacing w:line="360" w:lineRule="auto"/>
        <w:jc w:val="center"/>
        <w:rPr>
          <w:rFonts w:ascii="Arial" w:hAnsi="Arial" w:cs="Arial"/>
          <w:sz w:val="22"/>
          <w:szCs w:val="22"/>
        </w:rPr>
      </w:pPr>
    </w:p>
    <w:p w14:paraId="480762AB" w14:textId="77777777" w:rsidR="004C2C1C" w:rsidRDefault="004C2C1C" w:rsidP="00AB7AA7">
      <w:pPr>
        <w:spacing w:line="360" w:lineRule="auto"/>
        <w:rPr>
          <w:rFonts w:ascii="Arial" w:hAnsi="Arial" w:cs="Arial"/>
          <w:sz w:val="22"/>
          <w:szCs w:val="22"/>
        </w:rPr>
      </w:pPr>
    </w:p>
    <w:p w14:paraId="664A450C" w14:textId="347A0465" w:rsidR="004C2C1C" w:rsidRDefault="004C2C1C" w:rsidP="00AB7AA7">
      <w:pPr>
        <w:spacing w:line="360" w:lineRule="auto"/>
        <w:jc w:val="center"/>
        <w:rPr>
          <w:rFonts w:ascii="Arial" w:hAnsi="Arial" w:cs="Arial"/>
          <w:b/>
          <w:bCs/>
          <w:sz w:val="36"/>
          <w:szCs w:val="36"/>
        </w:rPr>
      </w:pPr>
      <w:r w:rsidRPr="004C2C1C">
        <w:rPr>
          <w:rFonts w:ascii="Arial" w:hAnsi="Arial" w:cs="Arial"/>
          <w:b/>
          <w:bCs/>
          <w:sz w:val="36"/>
          <w:szCs w:val="36"/>
        </w:rPr>
        <w:t>Table of Contents</w:t>
      </w:r>
    </w:p>
    <w:p w14:paraId="487E8935" w14:textId="77777777" w:rsidR="00AC5477" w:rsidRDefault="00AC5477" w:rsidP="00AC5477">
      <w:pPr>
        <w:spacing w:line="360" w:lineRule="auto"/>
        <w:rPr>
          <w:rFonts w:ascii="Arial" w:hAnsi="Arial" w:cs="Arial"/>
          <w:b/>
          <w:bCs/>
          <w:sz w:val="22"/>
          <w:szCs w:val="22"/>
        </w:rPr>
      </w:pPr>
    </w:p>
    <w:p w14:paraId="52F5AAB2" w14:textId="043A37E2" w:rsidR="00AC5477" w:rsidRPr="00C4273D" w:rsidRDefault="00AC5477" w:rsidP="00C4273D">
      <w:pPr>
        <w:spacing w:line="360" w:lineRule="auto"/>
        <w:jc w:val="center"/>
        <w:rPr>
          <w:rFonts w:ascii="American Typewriter" w:hAnsi="American Typewriter" w:cs="Arial"/>
          <w:color w:val="000000" w:themeColor="text1"/>
          <w:sz w:val="22"/>
          <w:szCs w:val="22"/>
        </w:rPr>
      </w:pPr>
      <w:r w:rsidRPr="00C4273D">
        <w:rPr>
          <w:rFonts w:ascii="American Typewriter" w:hAnsi="American Typewriter" w:cs="Arial"/>
          <w:color w:val="000000" w:themeColor="text1"/>
          <w:sz w:val="22"/>
          <w:szCs w:val="22"/>
        </w:rPr>
        <w:t>1. Introduction</w:t>
      </w:r>
    </w:p>
    <w:p w14:paraId="35A25757" w14:textId="77777777" w:rsidR="00AC5477" w:rsidRPr="00C4273D" w:rsidRDefault="00AC5477" w:rsidP="00C4273D">
      <w:pPr>
        <w:spacing w:line="360" w:lineRule="auto"/>
        <w:jc w:val="center"/>
        <w:rPr>
          <w:rFonts w:ascii="American Typewriter" w:hAnsi="American Typewriter" w:cs="Arial"/>
          <w:color w:val="000000" w:themeColor="text1"/>
          <w:sz w:val="22"/>
          <w:szCs w:val="22"/>
        </w:rPr>
      </w:pPr>
      <w:r w:rsidRPr="00C4273D">
        <w:rPr>
          <w:rFonts w:ascii="American Typewriter" w:hAnsi="American Typewriter" w:cs="Arial"/>
          <w:color w:val="000000" w:themeColor="text1"/>
          <w:sz w:val="22"/>
          <w:szCs w:val="22"/>
        </w:rPr>
        <w:t>2. Industry/Business Model/Marketplace</w:t>
      </w:r>
    </w:p>
    <w:p w14:paraId="2FFD74EE" w14:textId="77777777" w:rsidR="00AC5477" w:rsidRPr="00C4273D" w:rsidRDefault="00AC5477" w:rsidP="00C4273D">
      <w:pPr>
        <w:spacing w:line="360" w:lineRule="auto"/>
        <w:jc w:val="center"/>
        <w:rPr>
          <w:rFonts w:ascii="American Typewriter" w:hAnsi="American Typewriter" w:cs="Arial"/>
          <w:color w:val="000000" w:themeColor="text1"/>
          <w:sz w:val="22"/>
          <w:szCs w:val="22"/>
        </w:rPr>
      </w:pPr>
      <w:r w:rsidRPr="00C4273D">
        <w:rPr>
          <w:rFonts w:ascii="American Typewriter" w:hAnsi="American Typewriter" w:cs="Arial"/>
          <w:color w:val="000000" w:themeColor="text1"/>
          <w:sz w:val="22"/>
          <w:szCs w:val="22"/>
        </w:rPr>
        <w:t>3. Significant events over the previous five years</w:t>
      </w:r>
    </w:p>
    <w:p w14:paraId="297B9D83" w14:textId="77777777" w:rsidR="00AC5477" w:rsidRPr="00C4273D" w:rsidRDefault="00AC5477" w:rsidP="00C4273D">
      <w:pPr>
        <w:spacing w:line="360" w:lineRule="auto"/>
        <w:jc w:val="center"/>
        <w:rPr>
          <w:rFonts w:ascii="American Typewriter" w:hAnsi="American Typewriter" w:cs="Arial"/>
          <w:color w:val="000000" w:themeColor="text1"/>
          <w:sz w:val="22"/>
          <w:szCs w:val="22"/>
        </w:rPr>
      </w:pPr>
      <w:r w:rsidRPr="00C4273D">
        <w:rPr>
          <w:rFonts w:ascii="American Typewriter" w:hAnsi="American Typewriter" w:cs="Arial"/>
          <w:color w:val="000000" w:themeColor="text1"/>
          <w:sz w:val="22"/>
          <w:szCs w:val="22"/>
        </w:rPr>
        <w:t>4. Calculation of Apple's Financial Ratios</w:t>
      </w:r>
    </w:p>
    <w:p w14:paraId="06567645" w14:textId="5C728121" w:rsidR="00AC5477" w:rsidRPr="00C4273D" w:rsidRDefault="00AC5477" w:rsidP="00C4273D">
      <w:pPr>
        <w:spacing w:line="360" w:lineRule="auto"/>
        <w:jc w:val="center"/>
        <w:rPr>
          <w:rFonts w:ascii="American Typewriter" w:hAnsi="American Typewriter" w:cs="Arial"/>
          <w:color w:val="000000" w:themeColor="text1"/>
          <w:sz w:val="22"/>
          <w:szCs w:val="22"/>
        </w:rPr>
      </w:pPr>
      <w:r w:rsidRPr="00C4273D">
        <w:rPr>
          <w:rFonts w:ascii="American Typewriter" w:hAnsi="American Typewriter" w:cs="Arial"/>
          <w:color w:val="000000" w:themeColor="text1"/>
          <w:sz w:val="22"/>
          <w:szCs w:val="22"/>
        </w:rPr>
        <w:t>4.1. Net Profit Margin</w:t>
      </w:r>
    </w:p>
    <w:p w14:paraId="3E03FA13" w14:textId="2FD0B14C" w:rsidR="00AC5477" w:rsidRPr="00C4273D" w:rsidRDefault="00AC5477" w:rsidP="00C4273D">
      <w:pPr>
        <w:spacing w:line="360" w:lineRule="auto"/>
        <w:jc w:val="center"/>
        <w:rPr>
          <w:rFonts w:ascii="American Typewriter" w:hAnsi="American Typewriter" w:cs="Arial"/>
          <w:color w:val="000000" w:themeColor="text1"/>
          <w:sz w:val="22"/>
          <w:szCs w:val="22"/>
        </w:rPr>
      </w:pPr>
      <w:r w:rsidRPr="00C4273D">
        <w:rPr>
          <w:rFonts w:ascii="American Typewriter" w:hAnsi="American Typewriter" w:cs="Arial"/>
          <w:color w:val="000000" w:themeColor="text1"/>
          <w:sz w:val="22"/>
          <w:szCs w:val="22"/>
        </w:rPr>
        <w:t>4.2. Current Ratio</w:t>
      </w:r>
    </w:p>
    <w:p w14:paraId="399D8FE8" w14:textId="742E7012" w:rsidR="00AC5477" w:rsidRPr="00C4273D" w:rsidRDefault="00AC5477" w:rsidP="00C4273D">
      <w:pPr>
        <w:spacing w:line="360" w:lineRule="auto"/>
        <w:jc w:val="center"/>
        <w:rPr>
          <w:rFonts w:ascii="American Typewriter" w:hAnsi="American Typewriter" w:cs="Arial"/>
          <w:color w:val="000000" w:themeColor="text1"/>
          <w:sz w:val="22"/>
          <w:szCs w:val="22"/>
        </w:rPr>
      </w:pPr>
      <w:r w:rsidRPr="00C4273D">
        <w:rPr>
          <w:rFonts w:ascii="American Typewriter" w:hAnsi="American Typewriter" w:cs="Arial"/>
          <w:color w:val="000000" w:themeColor="text1"/>
          <w:sz w:val="22"/>
          <w:szCs w:val="22"/>
        </w:rPr>
        <w:t>4.3. Debt-to-Equity Ratio</w:t>
      </w:r>
    </w:p>
    <w:p w14:paraId="6CA68B6C" w14:textId="348E5CF9" w:rsidR="00AC5477" w:rsidRPr="00C4273D" w:rsidRDefault="00AC5477" w:rsidP="00C4273D">
      <w:pPr>
        <w:spacing w:line="360" w:lineRule="auto"/>
        <w:jc w:val="center"/>
        <w:rPr>
          <w:rFonts w:ascii="American Typewriter" w:hAnsi="American Typewriter" w:cs="Arial"/>
          <w:color w:val="000000" w:themeColor="text1"/>
          <w:sz w:val="22"/>
          <w:szCs w:val="22"/>
        </w:rPr>
      </w:pPr>
      <w:r w:rsidRPr="00C4273D">
        <w:rPr>
          <w:rFonts w:ascii="American Typewriter" w:hAnsi="American Typewriter" w:cs="Arial"/>
          <w:color w:val="000000" w:themeColor="text1"/>
          <w:sz w:val="22"/>
          <w:szCs w:val="22"/>
        </w:rPr>
        <w:t>4.4. Asset Turnover Ratio</w:t>
      </w:r>
    </w:p>
    <w:p w14:paraId="4C3FADC3" w14:textId="77777777" w:rsidR="00AC5477" w:rsidRPr="00C4273D" w:rsidRDefault="00AC5477" w:rsidP="00C4273D">
      <w:pPr>
        <w:spacing w:line="360" w:lineRule="auto"/>
        <w:jc w:val="center"/>
        <w:rPr>
          <w:rFonts w:ascii="American Typewriter" w:hAnsi="American Typewriter" w:cs="Arial"/>
          <w:color w:val="000000" w:themeColor="text1"/>
          <w:sz w:val="22"/>
          <w:szCs w:val="22"/>
        </w:rPr>
      </w:pPr>
      <w:r w:rsidRPr="00C4273D">
        <w:rPr>
          <w:rFonts w:ascii="American Typewriter" w:hAnsi="American Typewriter" w:cs="Arial"/>
          <w:color w:val="000000" w:themeColor="text1"/>
          <w:sz w:val="22"/>
          <w:szCs w:val="22"/>
        </w:rPr>
        <w:t>5. Critical Evaluation of the Ratios</w:t>
      </w:r>
    </w:p>
    <w:p w14:paraId="41F9F186" w14:textId="54918EA7" w:rsidR="00AC5477" w:rsidRPr="00C4273D" w:rsidRDefault="00AC5477" w:rsidP="00C4273D">
      <w:pPr>
        <w:spacing w:line="360" w:lineRule="auto"/>
        <w:jc w:val="center"/>
        <w:rPr>
          <w:rFonts w:ascii="American Typewriter" w:hAnsi="American Typewriter" w:cs="Arial"/>
          <w:color w:val="000000" w:themeColor="text1"/>
          <w:sz w:val="22"/>
          <w:szCs w:val="22"/>
        </w:rPr>
      </w:pPr>
      <w:r w:rsidRPr="00C4273D">
        <w:rPr>
          <w:rFonts w:ascii="American Typewriter" w:hAnsi="American Typewriter" w:cs="Arial"/>
          <w:color w:val="000000" w:themeColor="text1"/>
          <w:sz w:val="22"/>
          <w:szCs w:val="22"/>
        </w:rPr>
        <w:t>5.1. Net Profit Margin</w:t>
      </w:r>
    </w:p>
    <w:p w14:paraId="2CB379CC" w14:textId="6F1A8078" w:rsidR="00AC5477" w:rsidRPr="00C4273D" w:rsidRDefault="00AC5477" w:rsidP="00C4273D">
      <w:pPr>
        <w:spacing w:line="360" w:lineRule="auto"/>
        <w:jc w:val="center"/>
        <w:rPr>
          <w:rFonts w:ascii="American Typewriter" w:hAnsi="American Typewriter" w:cs="Arial"/>
          <w:color w:val="000000" w:themeColor="text1"/>
          <w:sz w:val="22"/>
          <w:szCs w:val="22"/>
        </w:rPr>
      </w:pPr>
      <w:r w:rsidRPr="00C4273D">
        <w:rPr>
          <w:rFonts w:ascii="American Typewriter" w:hAnsi="American Typewriter" w:cs="Arial"/>
          <w:color w:val="000000" w:themeColor="text1"/>
          <w:sz w:val="22"/>
          <w:szCs w:val="22"/>
        </w:rPr>
        <w:t>5.2. Liquidity Ratio: Current Ratio</w:t>
      </w:r>
    </w:p>
    <w:p w14:paraId="7C5451F6" w14:textId="66BF79B2" w:rsidR="00AC5477" w:rsidRPr="00C4273D" w:rsidRDefault="00AC5477" w:rsidP="00C4273D">
      <w:pPr>
        <w:spacing w:line="360" w:lineRule="auto"/>
        <w:jc w:val="center"/>
        <w:rPr>
          <w:rFonts w:ascii="American Typewriter" w:hAnsi="American Typewriter" w:cs="Arial"/>
          <w:color w:val="000000" w:themeColor="text1"/>
          <w:sz w:val="22"/>
          <w:szCs w:val="22"/>
        </w:rPr>
      </w:pPr>
      <w:r w:rsidRPr="00C4273D">
        <w:rPr>
          <w:rFonts w:ascii="American Typewriter" w:hAnsi="American Typewriter" w:cs="Arial"/>
          <w:color w:val="000000" w:themeColor="text1"/>
          <w:sz w:val="22"/>
          <w:szCs w:val="22"/>
        </w:rPr>
        <w:t>5.3. The gearing ratio: Debt-to-Equity Ratio</w:t>
      </w:r>
    </w:p>
    <w:p w14:paraId="49D935D0" w14:textId="5AAC967A" w:rsidR="00AC5477" w:rsidRPr="00C4273D" w:rsidRDefault="00AC5477" w:rsidP="00C4273D">
      <w:pPr>
        <w:spacing w:line="360" w:lineRule="auto"/>
        <w:jc w:val="center"/>
        <w:rPr>
          <w:rFonts w:ascii="American Typewriter" w:hAnsi="American Typewriter" w:cs="Arial"/>
          <w:color w:val="000000" w:themeColor="text1"/>
          <w:sz w:val="22"/>
          <w:szCs w:val="22"/>
        </w:rPr>
      </w:pPr>
      <w:r w:rsidRPr="00C4273D">
        <w:rPr>
          <w:rFonts w:ascii="American Typewriter" w:hAnsi="American Typewriter" w:cs="Arial"/>
          <w:color w:val="000000" w:themeColor="text1"/>
          <w:sz w:val="22"/>
          <w:szCs w:val="22"/>
        </w:rPr>
        <w:t>5.4. Efficiency Ratio: Asset Turnover Ratio</w:t>
      </w:r>
    </w:p>
    <w:p w14:paraId="2CF25889" w14:textId="77777777" w:rsidR="00AC5477" w:rsidRPr="00C4273D" w:rsidRDefault="00AC5477" w:rsidP="00C4273D">
      <w:pPr>
        <w:spacing w:line="360" w:lineRule="auto"/>
        <w:jc w:val="center"/>
        <w:rPr>
          <w:rFonts w:ascii="American Typewriter" w:hAnsi="American Typewriter" w:cs="Arial"/>
          <w:color w:val="000000" w:themeColor="text1"/>
          <w:sz w:val="22"/>
          <w:szCs w:val="22"/>
        </w:rPr>
      </w:pPr>
      <w:r w:rsidRPr="00C4273D">
        <w:rPr>
          <w:rFonts w:ascii="American Typewriter" w:hAnsi="American Typewriter" w:cs="Arial"/>
          <w:color w:val="000000" w:themeColor="text1"/>
          <w:sz w:val="22"/>
          <w:szCs w:val="22"/>
        </w:rPr>
        <w:t>6. Comparison to a Major Competitor: Samsung Electronics</w:t>
      </w:r>
    </w:p>
    <w:p w14:paraId="683B4FCA" w14:textId="2A15A6FB" w:rsidR="00AC5477" w:rsidRPr="00C4273D" w:rsidRDefault="00AC5477" w:rsidP="00C4273D">
      <w:pPr>
        <w:spacing w:line="360" w:lineRule="auto"/>
        <w:jc w:val="center"/>
        <w:rPr>
          <w:rFonts w:ascii="American Typewriter" w:hAnsi="American Typewriter" w:cs="Arial"/>
          <w:color w:val="000000" w:themeColor="text1"/>
          <w:sz w:val="22"/>
          <w:szCs w:val="22"/>
        </w:rPr>
      </w:pPr>
      <w:r w:rsidRPr="00C4273D">
        <w:rPr>
          <w:rFonts w:ascii="American Typewriter" w:hAnsi="American Typewriter" w:cs="Arial"/>
          <w:color w:val="000000" w:themeColor="text1"/>
          <w:sz w:val="22"/>
          <w:szCs w:val="22"/>
        </w:rPr>
        <w:t>6.1. Profitability ratio: net profit margin</w:t>
      </w:r>
    </w:p>
    <w:p w14:paraId="4670F849" w14:textId="1BB3AACD" w:rsidR="00AC5477" w:rsidRPr="00C4273D" w:rsidRDefault="00AC5477" w:rsidP="00C4273D">
      <w:pPr>
        <w:spacing w:line="360" w:lineRule="auto"/>
        <w:jc w:val="center"/>
        <w:rPr>
          <w:rFonts w:ascii="American Typewriter" w:hAnsi="American Typewriter" w:cs="Arial"/>
          <w:color w:val="000000" w:themeColor="text1"/>
          <w:sz w:val="22"/>
          <w:szCs w:val="22"/>
        </w:rPr>
      </w:pPr>
      <w:r w:rsidRPr="00C4273D">
        <w:rPr>
          <w:rFonts w:ascii="American Typewriter" w:hAnsi="American Typewriter" w:cs="Arial"/>
          <w:color w:val="000000" w:themeColor="text1"/>
          <w:sz w:val="22"/>
          <w:szCs w:val="22"/>
        </w:rPr>
        <w:t>6.2. Liquidity Ratio: Current Ratio</w:t>
      </w:r>
    </w:p>
    <w:p w14:paraId="76F1E4AE" w14:textId="56AC361D" w:rsidR="00AC5477" w:rsidRPr="00C4273D" w:rsidRDefault="00AC5477" w:rsidP="00C4273D">
      <w:pPr>
        <w:spacing w:line="360" w:lineRule="auto"/>
        <w:jc w:val="center"/>
        <w:rPr>
          <w:rFonts w:ascii="American Typewriter" w:hAnsi="American Typewriter" w:cs="Arial"/>
          <w:color w:val="000000" w:themeColor="text1"/>
          <w:sz w:val="22"/>
          <w:szCs w:val="22"/>
        </w:rPr>
      </w:pPr>
      <w:r w:rsidRPr="00C4273D">
        <w:rPr>
          <w:rFonts w:ascii="American Typewriter" w:hAnsi="American Typewriter" w:cs="Arial"/>
          <w:color w:val="000000" w:themeColor="text1"/>
          <w:sz w:val="22"/>
          <w:szCs w:val="22"/>
        </w:rPr>
        <w:t>6.3. The Gearing Ratio: Debt-to-Equity Ratio</w:t>
      </w:r>
    </w:p>
    <w:p w14:paraId="38DED116" w14:textId="27A4E6DB" w:rsidR="00AC5477" w:rsidRPr="00C4273D" w:rsidRDefault="00AC5477" w:rsidP="00C4273D">
      <w:pPr>
        <w:spacing w:line="360" w:lineRule="auto"/>
        <w:jc w:val="center"/>
        <w:rPr>
          <w:rFonts w:ascii="American Typewriter" w:hAnsi="American Typewriter" w:cs="Arial"/>
          <w:color w:val="000000" w:themeColor="text1"/>
          <w:sz w:val="22"/>
          <w:szCs w:val="22"/>
        </w:rPr>
      </w:pPr>
      <w:r w:rsidRPr="00C4273D">
        <w:rPr>
          <w:rFonts w:ascii="American Typewriter" w:hAnsi="American Typewriter" w:cs="Arial"/>
          <w:color w:val="000000" w:themeColor="text1"/>
          <w:sz w:val="22"/>
          <w:szCs w:val="22"/>
        </w:rPr>
        <w:t>6.4. Efficiency Ratio: Asset Turnover Ratio</w:t>
      </w:r>
    </w:p>
    <w:p w14:paraId="570805CB" w14:textId="77777777" w:rsidR="00AC5477" w:rsidRPr="00C4273D" w:rsidRDefault="00AC5477" w:rsidP="00C4273D">
      <w:pPr>
        <w:spacing w:line="360" w:lineRule="auto"/>
        <w:jc w:val="center"/>
        <w:rPr>
          <w:rFonts w:ascii="American Typewriter" w:hAnsi="American Typewriter" w:cs="Arial"/>
          <w:color w:val="000000" w:themeColor="text1"/>
          <w:sz w:val="22"/>
          <w:szCs w:val="22"/>
        </w:rPr>
      </w:pPr>
      <w:r w:rsidRPr="00C4273D">
        <w:rPr>
          <w:rFonts w:ascii="American Typewriter" w:hAnsi="American Typewriter" w:cs="Arial"/>
          <w:color w:val="000000" w:themeColor="text1"/>
          <w:sz w:val="22"/>
          <w:szCs w:val="22"/>
        </w:rPr>
        <w:t>7. Recommendations for Improving Apple's Financial Management</w:t>
      </w:r>
    </w:p>
    <w:p w14:paraId="69D31D8D" w14:textId="77777777" w:rsidR="00AC5477" w:rsidRPr="00C4273D" w:rsidRDefault="00AC5477" w:rsidP="00C4273D">
      <w:pPr>
        <w:spacing w:line="360" w:lineRule="auto"/>
        <w:jc w:val="center"/>
        <w:rPr>
          <w:rFonts w:ascii="American Typewriter" w:hAnsi="American Typewriter" w:cs="Arial"/>
          <w:color w:val="000000" w:themeColor="text1"/>
          <w:sz w:val="22"/>
          <w:szCs w:val="22"/>
        </w:rPr>
      </w:pPr>
      <w:r w:rsidRPr="00C4273D">
        <w:rPr>
          <w:rFonts w:ascii="American Typewriter" w:hAnsi="American Typewriter" w:cs="Arial"/>
          <w:color w:val="000000" w:themeColor="text1"/>
          <w:sz w:val="22"/>
          <w:szCs w:val="22"/>
        </w:rPr>
        <w:t>8. Calculation – Part C</w:t>
      </w:r>
    </w:p>
    <w:p w14:paraId="63219E23" w14:textId="7C391DBF" w:rsidR="00AC5477" w:rsidRPr="00C4273D" w:rsidRDefault="00AC5477" w:rsidP="00C4273D">
      <w:pPr>
        <w:spacing w:line="360" w:lineRule="auto"/>
        <w:jc w:val="center"/>
        <w:rPr>
          <w:rFonts w:ascii="American Typewriter" w:hAnsi="American Typewriter" w:cs="Arial"/>
          <w:color w:val="000000" w:themeColor="text1"/>
          <w:sz w:val="22"/>
          <w:szCs w:val="22"/>
        </w:rPr>
      </w:pPr>
      <w:r w:rsidRPr="00C4273D">
        <w:rPr>
          <w:rFonts w:ascii="American Typewriter" w:hAnsi="American Typewriter" w:cs="Arial"/>
          <w:color w:val="000000" w:themeColor="text1"/>
          <w:sz w:val="22"/>
          <w:szCs w:val="22"/>
        </w:rPr>
        <w:t>8.1. Calculation of PBP, ARR, and NPV of the Projects</w:t>
      </w:r>
    </w:p>
    <w:p w14:paraId="1BBC7E7B" w14:textId="36371F73" w:rsidR="00AC5477" w:rsidRPr="00C4273D" w:rsidRDefault="00AC5477" w:rsidP="00C4273D">
      <w:pPr>
        <w:spacing w:line="360" w:lineRule="auto"/>
        <w:jc w:val="center"/>
        <w:rPr>
          <w:rFonts w:ascii="American Typewriter" w:hAnsi="American Typewriter" w:cs="Arial"/>
          <w:color w:val="000000" w:themeColor="text1"/>
          <w:sz w:val="22"/>
          <w:szCs w:val="22"/>
        </w:rPr>
      </w:pPr>
      <w:r w:rsidRPr="00C4273D">
        <w:rPr>
          <w:rFonts w:ascii="American Typewriter" w:hAnsi="American Typewriter" w:cs="Arial"/>
          <w:color w:val="000000" w:themeColor="text1"/>
          <w:sz w:val="22"/>
          <w:szCs w:val="22"/>
        </w:rPr>
        <w:lastRenderedPageBreak/>
        <w:t>8.2. Evaluation and Recommendation</w:t>
      </w:r>
    </w:p>
    <w:p w14:paraId="294CFF64" w14:textId="7BBE4A60" w:rsidR="00AC5477" w:rsidRPr="00C4273D" w:rsidRDefault="00AC5477" w:rsidP="00C4273D">
      <w:pPr>
        <w:spacing w:line="360" w:lineRule="auto"/>
        <w:jc w:val="center"/>
        <w:rPr>
          <w:rFonts w:ascii="American Typewriter" w:hAnsi="American Typewriter" w:cs="Arial"/>
          <w:color w:val="000000" w:themeColor="text1"/>
          <w:sz w:val="22"/>
          <w:szCs w:val="22"/>
        </w:rPr>
      </w:pPr>
      <w:r w:rsidRPr="00C4273D">
        <w:rPr>
          <w:rFonts w:ascii="American Typewriter" w:hAnsi="American Typewriter" w:cs="Arial"/>
          <w:color w:val="000000" w:themeColor="text1"/>
          <w:sz w:val="22"/>
          <w:szCs w:val="22"/>
        </w:rPr>
        <w:t>8.3. NPVs Recalculation with 10% Increased Initial Investments and 10% Decrease in Cash Flows</w:t>
      </w:r>
    </w:p>
    <w:p w14:paraId="09EE567B" w14:textId="77777777" w:rsidR="00AC5477" w:rsidRPr="00C4273D" w:rsidRDefault="00AC5477" w:rsidP="00C4273D">
      <w:pPr>
        <w:spacing w:line="360" w:lineRule="auto"/>
        <w:jc w:val="center"/>
        <w:rPr>
          <w:rFonts w:ascii="American Typewriter" w:hAnsi="American Typewriter" w:cs="Arial"/>
          <w:color w:val="000000" w:themeColor="text1"/>
          <w:sz w:val="22"/>
          <w:szCs w:val="22"/>
        </w:rPr>
      </w:pPr>
      <w:r w:rsidRPr="00C4273D">
        <w:rPr>
          <w:rFonts w:ascii="American Typewriter" w:hAnsi="American Typewriter" w:cs="Arial"/>
          <w:color w:val="000000" w:themeColor="text1"/>
          <w:sz w:val="22"/>
          <w:szCs w:val="22"/>
        </w:rPr>
        <w:t>9. Advantages and Shortcomings of the PBP, ARR, and NPV</w:t>
      </w:r>
    </w:p>
    <w:p w14:paraId="1778542C" w14:textId="77777777" w:rsidR="00AC5477" w:rsidRPr="00C4273D" w:rsidRDefault="00AC5477" w:rsidP="00C4273D">
      <w:pPr>
        <w:spacing w:line="360" w:lineRule="auto"/>
        <w:jc w:val="center"/>
        <w:rPr>
          <w:rFonts w:ascii="American Typewriter" w:hAnsi="American Typewriter" w:cs="Arial"/>
          <w:color w:val="000000" w:themeColor="text1"/>
          <w:sz w:val="22"/>
          <w:szCs w:val="22"/>
        </w:rPr>
      </w:pPr>
      <w:r w:rsidRPr="00C4273D">
        <w:rPr>
          <w:rFonts w:ascii="American Typewriter" w:hAnsi="American Typewriter" w:cs="Arial"/>
          <w:color w:val="000000" w:themeColor="text1"/>
          <w:sz w:val="22"/>
          <w:szCs w:val="22"/>
        </w:rPr>
        <w:t>10. Non-financial Factors to Consider</w:t>
      </w:r>
    </w:p>
    <w:p w14:paraId="112AA46E" w14:textId="7E41EB41" w:rsidR="004744BE" w:rsidRPr="00C4273D" w:rsidRDefault="00AC5477" w:rsidP="00C4273D">
      <w:pPr>
        <w:spacing w:line="360" w:lineRule="auto"/>
        <w:jc w:val="center"/>
        <w:rPr>
          <w:rFonts w:ascii="American Typewriter" w:hAnsi="American Typewriter" w:cs="Arial"/>
          <w:color w:val="000000" w:themeColor="text1"/>
          <w:sz w:val="22"/>
          <w:szCs w:val="22"/>
        </w:rPr>
      </w:pPr>
      <w:r w:rsidRPr="00C4273D">
        <w:rPr>
          <w:rFonts w:ascii="American Typewriter" w:hAnsi="American Typewriter" w:cs="Arial"/>
          <w:color w:val="000000" w:themeColor="text1"/>
          <w:sz w:val="22"/>
          <w:szCs w:val="22"/>
        </w:rPr>
        <w:t>11. References</w:t>
      </w:r>
    </w:p>
    <w:p w14:paraId="7A5BF826" w14:textId="77777777" w:rsidR="004744BE" w:rsidRDefault="004744BE" w:rsidP="00AB7AA7">
      <w:pPr>
        <w:spacing w:line="360" w:lineRule="auto"/>
        <w:rPr>
          <w:rFonts w:ascii="Arial" w:hAnsi="Arial" w:cs="Arial"/>
          <w:sz w:val="22"/>
          <w:szCs w:val="22"/>
        </w:rPr>
      </w:pPr>
      <w:r>
        <w:rPr>
          <w:rFonts w:ascii="Arial" w:hAnsi="Arial" w:cs="Arial"/>
          <w:sz w:val="22"/>
          <w:szCs w:val="22"/>
        </w:rPr>
        <w:br w:type="page"/>
      </w:r>
    </w:p>
    <w:p w14:paraId="7BF31C3F" w14:textId="51B5173B" w:rsidR="004C2C1C" w:rsidRPr="00971113" w:rsidRDefault="004744BE" w:rsidP="00AB7AA7">
      <w:pPr>
        <w:spacing w:line="360" w:lineRule="auto"/>
        <w:jc w:val="center"/>
        <w:rPr>
          <w:rFonts w:ascii="Arial" w:hAnsi="Arial" w:cs="Arial"/>
          <w:b/>
          <w:bCs/>
          <w:color w:val="FF0000"/>
          <w:sz w:val="36"/>
          <w:szCs w:val="36"/>
        </w:rPr>
      </w:pPr>
      <w:r w:rsidRPr="00971113">
        <w:rPr>
          <w:rFonts w:ascii="Arial" w:hAnsi="Arial" w:cs="Arial"/>
          <w:b/>
          <w:bCs/>
          <w:color w:val="FF0000"/>
          <w:sz w:val="36"/>
          <w:szCs w:val="36"/>
        </w:rPr>
        <w:lastRenderedPageBreak/>
        <w:t xml:space="preserve">Introduction </w:t>
      </w:r>
    </w:p>
    <w:p w14:paraId="1BCA8228" w14:textId="4178F64A" w:rsidR="00654367" w:rsidRDefault="00654367" w:rsidP="00AB7AA7">
      <w:pPr>
        <w:spacing w:line="360" w:lineRule="auto"/>
        <w:rPr>
          <w:rFonts w:ascii="Arial" w:hAnsi="Arial" w:cs="Arial"/>
          <w:sz w:val="22"/>
          <w:szCs w:val="22"/>
        </w:rPr>
      </w:pPr>
    </w:p>
    <w:p w14:paraId="1DEF4B01" w14:textId="77777777" w:rsidR="00E60E73" w:rsidRDefault="00E60E73" w:rsidP="00AB7AA7">
      <w:pPr>
        <w:spacing w:line="360" w:lineRule="auto"/>
        <w:rPr>
          <w:rFonts w:ascii="Arial" w:hAnsi="Arial" w:cs="Arial"/>
          <w:sz w:val="22"/>
          <w:szCs w:val="22"/>
        </w:rPr>
      </w:pPr>
      <w:r w:rsidRPr="00E60E73">
        <w:rPr>
          <w:rFonts w:ascii="Arial" w:hAnsi="Arial" w:cs="Arial"/>
          <w:sz w:val="22"/>
          <w:szCs w:val="22"/>
        </w:rPr>
        <w:t xml:space="preserve">The chosen company for analysis is Apple Inc., the American technology company known for producing the most famous products such as iPhones, iPads, or Mac computers. I think Apple could be a perfect subject for analysis as it is a well-known company subject to extensive developments and strategic changes over the past five years, from 2018 to 2022. </w:t>
      </w:r>
    </w:p>
    <w:p w14:paraId="6E23EC2E" w14:textId="7328820A" w:rsidR="00971113" w:rsidRPr="00971113" w:rsidRDefault="00E60E73" w:rsidP="00AB7AA7">
      <w:pPr>
        <w:spacing w:line="360" w:lineRule="auto"/>
        <w:jc w:val="center"/>
        <w:rPr>
          <w:rFonts w:ascii="Arial" w:hAnsi="Arial" w:cs="Arial"/>
          <w:color w:val="FF0000"/>
          <w:sz w:val="22"/>
          <w:szCs w:val="22"/>
        </w:rPr>
      </w:pPr>
      <w:r w:rsidRPr="00971113">
        <w:rPr>
          <w:rFonts w:ascii="Arial" w:hAnsi="Arial" w:cs="Arial"/>
          <w:color w:val="FF0000"/>
          <w:sz w:val="22"/>
          <w:szCs w:val="22"/>
        </w:rPr>
        <w:t>Industry/Business Model/Marketplace</w:t>
      </w:r>
    </w:p>
    <w:p w14:paraId="7A2EA0AB" w14:textId="789E5B5D" w:rsidR="00E60E73" w:rsidRDefault="00E60E73" w:rsidP="00AB7AA7">
      <w:pPr>
        <w:spacing w:line="360" w:lineRule="auto"/>
        <w:rPr>
          <w:rFonts w:ascii="Arial" w:hAnsi="Arial" w:cs="Arial"/>
          <w:sz w:val="22"/>
          <w:szCs w:val="22"/>
        </w:rPr>
      </w:pPr>
      <w:r w:rsidRPr="00E60E73">
        <w:rPr>
          <w:rFonts w:ascii="Arial" w:hAnsi="Arial" w:cs="Arial"/>
          <w:sz w:val="22"/>
          <w:szCs w:val="22"/>
        </w:rPr>
        <w:t xml:space="preserve">Apple operates in the technology hardware and software industry. The firm produces and develops its own revolutionary consumer electronics and expands its digital services portfolio. Apple is the leading consumer electronics and mobile devices firm founded on a premium brand, strong consumer experience, and a closely linked product </w:t>
      </w:r>
      <w:r w:rsidRPr="00E60E73">
        <w:rPr>
          <w:rFonts w:ascii="Arial" w:hAnsi="Arial" w:cs="Arial"/>
          <w:sz w:val="22"/>
          <w:szCs w:val="22"/>
        </w:rPr>
        <w:t>ecosystem.</w:t>
      </w:r>
      <w:r w:rsidRPr="00E60E73">
        <w:rPr>
          <w:rFonts w:ascii="Arial" w:hAnsi="Arial" w:cs="Arial"/>
          <w:sz w:val="22"/>
          <w:szCs w:val="22"/>
        </w:rPr>
        <w:t xml:space="preserve"> </w:t>
      </w:r>
    </w:p>
    <w:p w14:paraId="6BABF204" w14:textId="77777777" w:rsidR="00E60E73" w:rsidRDefault="00E60E73" w:rsidP="00AB7AA7">
      <w:pPr>
        <w:spacing w:line="360" w:lineRule="auto"/>
        <w:rPr>
          <w:rFonts w:ascii="Arial" w:hAnsi="Arial" w:cs="Arial"/>
          <w:sz w:val="22"/>
          <w:szCs w:val="22"/>
        </w:rPr>
      </w:pPr>
      <w:r w:rsidRPr="00E60E73">
        <w:rPr>
          <w:rFonts w:ascii="Arial" w:hAnsi="Arial" w:cs="Arial"/>
          <w:sz w:val="22"/>
          <w:szCs w:val="22"/>
        </w:rPr>
        <w:t xml:space="preserve">The company competes with many other technology firms, such as Samsung, Google, Microsoft, Amazon, or Sony. Despite the competitive pressure, Apple is </w:t>
      </w:r>
      <w:r w:rsidRPr="00E60E73">
        <w:rPr>
          <w:rFonts w:ascii="Arial" w:hAnsi="Arial" w:cs="Arial"/>
          <w:sz w:val="22"/>
          <w:szCs w:val="22"/>
        </w:rPr>
        <w:t>favoured</w:t>
      </w:r>
      <w:r w:rsidRPr="00E60E73">
        <w:rPr>
          <w:rFonts w:ascii="Arial" w:hAnsi="Arial" w:cs="Arial"/>
          <w:sz w:val="22"/>
          <w:szCs w:val="22"/>
        </w:rPr>
        <w:t xml:space="preserve"> by the market. It is a market leader due to its product design, consumer popularity, and company coherence due to a closed ecosystem. </w:t>
      </w:r>
    </w:p>
    <w:p w14:paraId="7C77C136" w14:textId="77777777" w:rsidR="00E60E73" w:rsidRDefault="00E60E73" w:rsidP="00AB7AA7">
      <w:pPr>
        <w:spacing w:line="360" w:lineRule="auto"/>
        <w:rPr>
          <w:rFonts w:ascii="Arial" w:hAnsi="Arial" w:cs="Arial"/>
          <w:sz w:val="22"/>
          <w:szCs w:val="22"/>
        </w:rPr>
      </w:pPr>
      <w:r w:rsidRPr="00E60E73">
        <w:rPr>
          <w:rFonts w:ascii="Arial" w:hAnsi="Arial" w:cs="Arial"/>
          <w:sz w:val="22"/>
          <w:szCs w:val="22"/>
        </w:rPr>
        <w:t xml:space="preserve">It is a business that has long profited from integrating hardware, software, and services into a single product, which has secured it </w:t>
      </w:r>
      <w:r w:rsidRPr="00E60E73">
        <w:rPr>
          <w:rFonts w:ascii="Arial" w:hAnsi="Arial" w:cs="Arial"/>
          <w:sz w:val="22"/>
          <w:szCs w:val="22"/>
        </w:rPr>
        <w:t>many</w:t>
      </w:r>
      <w:r w:rsidRPr="00E60E73">
        <w:rPr>
          <w:rFonts w:ascii="Arial" w:hAnsi="Arial" w:cs="Arial"/>
          <w:sz w:val="22"/>
          <w:szCs w:val="22"/>
        </w:rPr>
        <w:t xml:space="preserve"> faithful users. In addition, Apple is recognized for its focus on consumer privacy and security.</w:t>
      </w:r>
    </w:p>
    <w:p w14:paraId="332B2BD6" w14:textId="44D7F4DD" w:rsidR="00E60E73" w:rsidRPr="00E60E73" w:rsidRDefault="00E60E73" w:rsidP="00AB7AA7">
      <w:pPr>
        <w:spacing w:line="360" w:lineRule="auto"/>
        <w:jc w:val="center"/>
        <w:rPr>
          <w:rFonts w:ascii="Arial" w:hAnsi="Arial" w:cs="Arial"/>
          <w:color w:val="FF0000"/>
          <w:sz w:val="22"/>
          <w:szCs w:val="22"/>
        </w:rPr>
      </w:pPr>
      <w:r w:rsidRPr="00E60E73">
        <w:rPr>
          <w:rFonts w:ascii="Arial" w:hAnsi="Arial" w:cs="Arial"/>
          <w:color w:val="FF0000"/>
          <w:sz w:val="22"/>
          <w:szCs w:val="22"/>
        </w:rPr>
        <w:t>Significant events over the previous five years.</w:t>
      </w:r>
    </w:p>
    <w:p w14:paraId="7B2070C5" w14:textId="193C2384" w:rsidR="00E60E73" w:rsidRPr="00E60E73" w:rsidRDefault="00E60E73" w:rsidP="00AB7AA7">
      <w:pPr>
        <w:spacing w:line="360" w:lineRule="auto"/>
        <w:rPr>
          <w:rFonts w:ascii="Arial" w:hAnsi="Arial" w:cs="Arial"/>
          <w:sz w:val="22"/>
          <w:szCs w:val="22"/>
        </w:rPr>
      </w:pPr>
      <w:r w:rsidRPr="00E60E73">
        <w:rPr>
          <w:rFonts w:ascii="Arial" w:hAnsi="Arial" w:cs="Arial"/>
          <w:sz w:val="22"/>
          <w:szCs w:val="22"/>
        </w:rPr>
        <w:t xml:space="preserve">In 2018, Apple announced record revenues and earnings, </w:t>
      </w:r>
      <w:r w:rsidRPr="00E60E73">
        <w:rPr>
          <w:rFonts w:ascii="Arial" w:hAnsi="Arial" w:cs="Arial"/>
          <w:sz w:val="22"/>
          <w:szCs w:val="22"/>
        </w:rPr>
        <w:t>fuelled</w:t>
      </w:r>
      <w:r w:rsidRPr="00E60E73">
        <w:rPr>
          <w:rFonts w:ascii="Arial" w:hAnsi="Arial" w:cs="Arial"/>
          <w:sz w:val="22"/>
          <w:szCs w:val="22"/>
        </w:rPr>
        <w:t xml:space="preserve"> by the iPhone’s growing popularity and the growth of its services segment. The firm additionally disclosed a significant $100 billion share mitigation </w:t>
      </w:r>
      <w:r w:rsidRPr="00E60E73">
        <w:rPr>
          <w:rFonts w:ascii="Arial" w:hAnsi="Arial" w:cs="Arial"/>
          <w:sz w:val="22"/>
          <w:szCs w:val="22"/>
        </w:rPr>
        <w:t>initiative.</w:t>
      </w:r>
    </w:p>
    <w:p w14:paraId="09114D66" w14:textId="77777777" w:rsidR="00E60E73" w:rsidRDefault="00E60E73" w:rsidP="00AB7AA7">
      <w:pPr>
        <w:spacing w:line="360" w:lineRule="auto"/>
        <w:rPr>
          <w:rFonts w:ascii="Arial" w:hAnsi="Arial" w:cs="Arial"/>
          <w:sz w:val="22"/>
          <w:szCs w:val="22"/>
        </w:rPr>
      </w:pPr>
      <w:r w:rsidRPr="00E60E73">
        <w:rPr>
          <w:rFonts w:ascii="Arial" w:hAnsi="Arial" w:cs="Arial"/>
          <w:sz w:val="22"/>
          <w:szCs w:val="22"/>
        </w:rPr>
        <w:t xml:space="preserve">The following year, 2019, Apple launched its streaming service, Apple TV+, </w:t>
      </w:r>
      <w:r w:rsidRPr="00E60E73">
        <w:rPr>
          <w:rFonts w:ascii="Arial" w:hAnsi="Arial" w:cs="Arial"/>
          <w:sz w:val="22"/>
          <w:szCs w:val="22"/>
        </w:rPr>
        <w:t>to</w:t>
      </w:r>
      <w:r w:rsidRPr="00E60E73">
        <w:rPr>
          <w:rFonts w:ascii="Arial" w:hAnsi="Arial" w:cs="Arial"/>
          <w:sz w:val="22"/>
          <w:szCs w:val="22"/>
        </w:rPr>
        <w:t xml:space="preserve"> diversify revenue sources away from the sale of hardware devices (The New York Times, 2019</w:t>
      </w:r>
      <w:r w:rsidRPr="00E60E73">
        <w:rPr>
          <w:rFonts w:ascii="Arial" w:hAnsi="Arial" w:cs="Arial"/>
          <w:sz w:val="22"/>
          <w:szCs w:val="22"/>
        </w:rPr>
        <w:t>).</w:t>
      </w:r>
      <w:r w:rsidRPr="00E60E73">
        <w:rPr>
          <w:rFonts w:ascii="Arial" w:hAnsi="Arial" w:cs="Arial"/>
          <w:sz w:val="22"/>
          <w:szCs w:val="22"/>
        </w:rPr>
        <w:t xml:space="preserve"> The company faced some legal issues as well, most notably a European Union investigation into antitrust practices (The Verge, 2019</w:t>
      </w:r>
      <w:r w:rsidRPr="00E60E73">
        <w:rPr>
          <w:rFonts w:ascii="Arial" w:hAnsi="Arial" w:cs="Arial"/>
          <w:sz w:val="22"/>
          <w:szCs w:val="22"/>
        </w:rPr>
        <w:t>).</w:t>
      </w:r>
      <w:r w:rsidRPr="00E60E73">
        <w:rPr>
          <w:rFonts w:ascii="Arial" w:hAnsi="Arial" w:cs="Arial"/>
          <w:sz w:val="22"/>
          <w:szCs w:val="22"/>
        </w:rPr>
        <w:t xml:space="preserve"> </w:t>
      </w:r>
    </w:p>
    <w:p w14:paraId="1B32C234" w14:textId="77777777" w:rsidR="00A52F56" w:rsidRDefault="00E60E73" w:rsidP="00AB7AA7">
      <w:pPr>
        <w:spacing w:line="360" w:lineRule="auto"/>
        <w:rPr>
          <w:rFonts w:ascii="Arial" w:hAnsi="Arial" w:cs="Arial"/>
          <w:sz w:val="22"/>
          <w:szCs w:val="22"/>
        </w:rPr>
      </w:pPr>
      <w:r w:rsidRPr="00E60E73">
        <w:rPr>
          <w:rFonts w:ascii="Arial" w:hAnsi="Arial" w:cs="Arial"/>
          <w:sz w:val="22"/>
          <w:szCs w:val="22"/>
        </w:rPr>
        <w:t xml:space="preserve">In 2020, the company faced disruptions to operations and the supply chain systems </w:t>
      </w:r>
      <w:r w:rsidRPr="00E60E73">
        <w:rPr>
          <w:rFonts w:ascii="Arial" w:hAnsi="Arial" w:cs="Arial"/>
          <w:sz w:val="22"/>
          <w:szCs w:val="22"/>
        </w:rPr>
        <w:t>because of</w:t>
      </w:r>
      <w:r w:rsidRPr="00E60E73">
        <w:rPr>
          <w:rFonts w:ascii="Arial" w:hAnsi="Arial" w:cs="Arial"/>
          <w:sz w:val="22"/>
          <w:szCs w:val="22"/>
        </w:rPr>
        <w:t xml:space="preserve"> the COVID-19 pandemic. Apple was able to weather the storm and reported impressive financial results due to the strong demand for products and services (Apple, 2020</w:t>
      </w:r>
      <w:r w:rsidRPr="00E60E73">
        <w:rPr>
          <w:rFonts w:ascii="Arial" w:hAnsi="Arial" w:cs="Arial"/>
          <w:sz w:val="22"/>
          <w:szCs w:val="22"/>
        </w:rPr>
        <w:t>).</w:t>
      </w:r>
      <w:r w:rsidRPr="00E60E73">
        <w:rPr>
          <w:rFonts w:ascii="Arial" w:hAnsi="Arial" w:cs="Arial"/>
          <w:sz w:val="22"/>
          <w:szCs w:val="22"/>
        </w:rPr>
        <w:t xml:space="preserve"> </w:t>
      </w:r>
    </w:p>
    <w:p w14:paraId="0E749E67" w14:textId="23D61A83" w:rsidR="00A52F56" w:rsidRDefault="00E60E73" w:rsidP="00AB7AA7">
      <w:pPr>
        <w:spacing w:line="360" w:lineRule="auto"/>
        <w:rPr>
          <w:rFonts w:ascii="Arial" w:hAnsi="Arial" w:cs="Arial"/>
          <w:sz w:val="22"/>
          <w:szCs w:val="22"/>
        </w:rPr>
      </w:pPr>
      <w:r w:rsidRPr="00E60E73">
        <w:rPr>
          <w:rFonts w:ascii="Arial" w:hAnsi="Arial" w:cs="Arial"/>
          <w:sz w:val="22"/>
          <w:szCs w:val="22"/>
        </w:rPr>
        <w:lastRenderedPageBreak/>
        <w:t xml:space="preserve">The year also saw the release of the first Mac based on Apple Silicon. In 2021, Apple announced a significant migration to Apple Silicon chips, the M1 series, for its Macs, which were previously powered by Intel processors </w:t>
      </w:r>
      <w:r w:rsidR="00A12696" w:rsidRPr="00A12696">
        <w:rPr>
          <w:rFonts w:ascii="Arial" w:hAnsi="Arial" w:cs="Arial"/>
          <w:sz w:val="22"/>
          <w:szCs w:val="22"/>
        </w:rPr>
        <w:t>Warren, T. (2020).</w:t>
      </w:r>
      <w:r w:rsidRPr="00E60E73">
        <w:rPr>
          <w:rFonts w:ascii="Arial" w:hAnsi="Arial" w:cs="Arial"/>
          <w:sz w:val="22"/>
          <w:szCs w:val="22"/>
        </w:rPr>
        <w:t xml:space="preserve"> The move is made to improve performance, reduce power consumption, and improve continuity and integration with an operating system and other Apple devices. </w:t>
      </w:r>
    </w:p>
    <w:p w14:paraId="6089FCE0" w14:textId="77777777" w:rsidR="00A12696" w:rsidRDefault="00E60E73" w:rsidP="00AB7AA7">
      <w:pPr>
        <w:spacing w:line="360" w:lineRule="auto"/>
        <w:rPr>
          <w:rFonts w:ascii="Arial" w:hAnsi="Arial" w:cs="Arial"/>
          <w:sz w:val="22"/>
          <w:szCs w:val="22"/>
        </w:rPr>
      </w:pPr>
      <w:r w:rsidRPr="00E60E73">
        <w:rPr>
          <w:rFonts w:ascii="Arial" w:hAnsi="Arial" w:cs="Arial"/>
          <w:sz w:val="22"/>
          <w:szCs w:val="22"/>
        </w:rPr>
        <w:t>Apple continued to deliver record results in its most recent fiscal year, 2022 (Apple, 2022b</w:t>
      </w:r>
      <w:r w:rsidRPr="00E60E73">
        <w:rPr>
          <w:rFonts w:ascii="Arial" w:hAnsi="Arial" w:cs="Arial"/>
          <w:sz w:val="22"/>
          <w:szCs w:val="22"/>
        </w:rPr>
        <w:t>).</w:t>
      </w:r>
      <w:r w:rsidRPr="00E60E73">
        <w:rPr>
          <w:rFonts w:ascii="Arial" w:hAnsi="Arial" w:cs="Arial"/>
          <w:sz w:val="22"/>
          <w:szCs w:val="22"/>
        </w:rPr>
        <w:t xml:space="preserve"> The company was involved in litigation with Epic Games about in-game purchases and the App Store’s business model (The New York Times, 2022</w:t>
      </w:r>
      <w:r w:rsidRPr="00E60E73">
        <w:rPr>
          <w:rFonts w:ascii="Arial" w:hAnsi="Arial" w:cs="Arial"/>
          <w:sz w:val="22"/>
          <w:szCs w:val="22"/>
        </w:rPr>
        <w:t>).</w:t>
      </w:r>
      <w:r w:rsidRPr="00E60E73">
        <w:rPr>
          <w:rFonts w:ascii="Arial" w:hAnsi="Arial" w:cs="Arial"/>
          <w:sz w:val="22"/>
          <w:szCs w:val="22"/>
        </w:rPr>
        <w:t xml:space="preserve"> The launch of new iPhones, iPads, and Apple Watches was a major addition to the company’s product range in 2022. </w:t>
      </w:r>
    </w:p>
    <w:p w14:paraId="46829E9D" w14:textId="77777777" w:rsidR="00AE75A7" w:rsidRDefault="00E60E73" w:rsidP="00AB7AA7">
      <w:pPr>
        <w:spacing w:line="360" w:lineRule="auto"/>
        <w:rPr>
          <w:rFonts w:ascii="Arial" w:hAnsi="Arial" w:cs="Arial"/>
          <w:sz w:val="22"/>
          <w:szCs w:val="22"/>
        </w:rPr>
      </w:pPr>
      <w:r w:rsidRPr="00E60E73">
        <w:rPr>
          <w:rFonts w:ascii="Arial" w:hAnsi="Arial" w:cs="Arial"/>
          <w:sz w:val="22"/>
          <w:szCs w:val="22"/>
        </w:rPr>
        <w:t xml:space="preserve">Through </w:t>
      </w:r>
      <w:r w:rsidRPr="00E60E73">
        <w:rPr>
          <w:rFonts w:ascii="Arial" w:hAnsi="Arial" w:cs="Arial"/>
          <w:sz w:val="22"/>
          <w:szCs w:val="22"/>
        </w:rPr>
        <w:t>all</w:t>
      </w:r>
      <w:r w:rsidRPr="00E60E73">
        <w:rPr>
          <w:rFonts w:ascii="Arial" w:hAnsi="Arial" w:cs="Arial"/>
          <w:sz w:val="22"/>
          <w:szCs w:val="22"/>
        </w:rPr>
        <w:t xml:space="preserve"> these years, Apple has remained true to its business model. Loyal to innovation and customer commitment, it has been at the forefront of the entire era.</w:t>
      </w:r>
    </w:p>
    <w:p w14:paraId="0B212DD1" w14:textId="77777777" w:rsidR="00AE75A7" w:rsidRDefault="00AE75A7" w:rsidP="00AB7AA7">
      <w:pPr>
        <w:spacing w:line="360" w:lineRule="auto"/>
        <w:rPr>
          <w:rFonts w:ascii="Arial" w:hAnsi="Arial" w:cs="Arial"/>
          <w:sz w:val="22"/>
          <w:szCs w:val="22"/>
        </w:rPr>
      </w:pPr>
    </w:p>
    <w:p w14:paraId="58A05E70" w14:textId="77CDB9E2" w:rsidR="00A005CE" w:rsidRDefault="00A005CE" w:rsidP="00AB7AA7">
      <w:pPr>
        <w:spacing w:line="360" w:lineRule="auto"/>
        <w:rPr>
          <w:rFonts w:ascii="Arial" w:hAnsi="Arial" w:cs="Arial"/>
          <w:sz w:val="22"/>
          <w:szCs w:val="22"/>
        </w:rPr>
      </w:pPr>
    </w:p>
    <w:p w14:paraId="6AD21633" w14:textId="77777777" w:rsidR="00A005CE" w:rsidRDefault="00A005CE" w:rsidP="00AB7AA7">
      <w:pPr>
        <w:spacing w:line="360" w:lineRule="auto"/>
        <w:rPr>
          <w:rFonts w:ascii="Arial" w:hAnsi="Arial" w:cs="Arial"/>
          <w:sz w:val="22"/>
          <w:szCs w:val="22"/>
        </w:rPr>
      </w:pPr>
    </w:p>
    <w:p w14:paraId="623DB39E" w14:textId="57D75BBC" w:rsidR="00A005CE" w:rsidRDefault="00A005CE" w:rsidP="00AB7AA7">
      <w:pPr>
        <w:spacing w:line="360" w:lineRule="auto"/>
        <w:jc w:val="center"/>
        <w:rPr>
          <w:rFonts w:ascii="Arial" w:hAnsi="Arial" w:cs="Arial"/>
          <w:color w:val="FF0000"/>
          <w:sz w:val="36"/>
          <w:szCs w:val="36"/>
        </w:rPr>
      </w:pPr>
      <w:r w:rsidRPr="00A005CE">
        <w:rPr>
          <w:rFonts w:ascii="Arial" w:hAnsi="Arial" w:cs="Arial"/>
          <w:color w:val="FF0000"/>
          <w:sz w:val="36"/>
          <w:szCs w:val="36"/>
        </w:rPr>
        <w:t>Calculation of Apple’s Financial Ratios</w:t>
      </w:r>
    </w:p>
    <w:p w14:paraId="061D61D4" w14:textId="77777777" w:rsidR="00A005CE" w:rsidRDefault="00A005CE" w:rsidP="00AB7AA7">
      <w:pPr>
        <w:spacing w:line="360" w:lineRule="auto"/>
        <w:rPr>
          <w:rFonts w:ascii="Arial" w:hAnsi="Arial" w:cs="Arial"/>
          <w:color w:val="FF0000"/>
          <w:sz w:val="36"/>
          <w:szCs w:val="36"/>
        </w:rPr>
      </w:pPr>
    </w:p>
    <w:p w14:paraId="0C056678" w14:textId="77777777" w:rsidR="00971113" w:rsidRDefault="002A5953" w:rsidP="00AB7AA7">
      <w:pPr>
        <w:spacing w:line="360" w:lineRule="auto"/>
        <w:rPr>
          <w:rFonts w:ascii="Arial" w:hAnsi="Arial" w:cs="Arial"/>
          <w:color w:val="000000" w:themeColor="text1"/>
          <w:sz w:val="22"/>
          <w:szCs w:val="22"/>
        </w:rPr>
      </w:pPr>
      <w:r w:rsidRPr="002A5953">
        <w:rPr>
          <w:rFonts w:ascii="Arial" w:hAnsi="Arial" w:cs="Arial"/>
          <w:color w:val="000000" w:themeColor="text1"/>
          <w:sz w:val="22"/>
          <w:szCs w:val="22"/>
        </w:rPr>
        <w:t xml:space="preserve">To </w:t>
      </w:r>
      <w:r w:rsidRPr="002A5953">
        <w:rPr>
          <w:rFonts w:ascii="Arial" w:hAnsi="Arial" w:cs="Arial"/>
          <w:color w:val="000000" w:themeColor="text1"/>
          <w:sz w:val="22"/>
          <w:szCs w:val="22"/>
        </w:rPr>
        <w:t>analyse</w:t>
      </w:r>
      <w:r w:rsidRPr="002A5953">
        <w:rPr>
          <w:rFonts w:ascii="Arial" w:hAnsi="Arial" w:cs="Arial"/>
          <w:color w:val="000000" w:themeColor="text1"/>
          <w:sz w:val="22"/>
          <w:szCs w:val="22"/>
        </w:rPr>
        <w:t xml:space="preserve"> Apple’s financial performance, I will compute one financial ratio from each type: profitability, liquidity, gearing, and efficiency. I will select Apple’s most recent financial year, for which data is available – the fiscal year 2022 that ended on September 24, </w:t>
      </w:r>
      <w:r w:rsidRPr="002A5953">
        <w:rPr>
          <w:rFonts w:ascii="Arial" w:hAnsi="Arial" w:cs="Arial"/>
          <w:color w:val="000000" w:themeColor="text1"/>
          <w:sz w:val="22"/>
          <w:szCs w:val="22"/>
        </w:rPr>
        <w:t>2022.</w:t>
      </w:r>
      <w:r w:rsidRPr="002A5953">
        <w:rPr>
          <w:rFonts w:ascii="Arial" w:hAnsi="Arial" w:cs="Arial"/>
          <w:color w:val="000000" w:themeColor="text1"/>
          <w:sz w:val="22"/>
          <w:szCs w:val="22"/>
        </w:rPr>
        <w:t xml:space="preserve"> Thus, the employed financial figures are retrieved from </w:t>
      </w:r>
      <w:r w:rsidRPr="002A5953">
        <w:rPr>
          <w:rFonts w:ascii="Arial" w:hAnsi="Arial" w:cs="Arial"/>
          <w:color w:val="000000" w:themeColor="text1"/>
          <w:sz w:val="22"/>
          <w:szCs w:val="22"/>
        </w:rPr>
        <w:t>Apple.</w:t>
      </w:r>
      <w:r w:rsidRPr="002A5953">
        <w:rPr>
          <w:rFonts w:ascii="Arial" w:hAnsi="Arial" w:cs="Arial"/>
          <w:color w:val="000000" w:themeColor="text1"/>
          <w:sz w:val="22"/>
          <w:szCs w:val="22"/>
        </w:rPr>
        <w:t xml:space="preserve"> </w:t>
      </w:r>
    </w:p>
    <w:p w14:paraId="274B1DBB" w14:textId="66CE1B97" w:rsidR="002A5953" w:rsidRDefault="002A5953" w:rsidP="00AB7AA7">
      <w:pPr>
        <w:spacing w:line="360" w:lineRule="auto"/>
        <w:rPr>
          <w:rFonts w:ascii="Arial" w:hAnsi="Arial" w:cs="Arial"/>
          <w:color w:val="000000" w:themeColor="text1"/>
          <w:sz w:val="22"/>
          <w:szCs w:val="22"/>
        </w:rPr>
      </w:pPr>
      <w:r w:rsidRPr="002A5953">
        <w:rPr>
          <w:rFonts w:ascii="Arial" w:hAnsi="Arial" w:cs="Arial"/>
          <w:color w:val="000000" w:themeColor="text1"/>
          <w:sz w:val="22"/>
          <w:szCs w:val="22"/>
        </w:rPr>
        <w:t xml:space="preserve">Including profitability, the first selected ratio is Net Profit Margin: </w:t>
      </w:r>
    </w:p>
    <w:p w14:paraId="3CCB1199" w14:textId="77777777" w:rsidR="002A5953" w:rsidRDefault="002A5953" w:rsidP="00AB7AA7">
      <w:pPr>
        <w:spacing w:line="360" w:lineRule="auto"/>
        <w:rPr>
          <w:rFonts w:ascii="Arial" w:hAnsi="Arial" w:cs="Arial"/>
          <w:color w:val="000000" w:themeColor="text1"/>
          <w:sz w:val="22"/>
          <w:szCs w:val="22"/>
        </w:rPr>
      </w:pPr>
      <w:r w:rsidRPr="002A5953">
        <w:rPr>
          <w:rFonts w:ascii="Arial" w:hAnsi="Arial" w:cs="Arial"/>
          <w:color w:val="000000" w:themeColor="text1"/>
          <w:sz w:val="22"/>
          <w:szCs w:val="22"/>
        </w:rPr>
        <w:t xml:space="preserve">Net Profit Margin = Net Income / Revenue * </w:t>
      </w:r>
      <w:r w:rsidRPr="002A5953">
        <w:rPr>
          <w:rFonts w:ascii="Arial" w:hAnsi="Arial" w:cs="Arial"/>
          <w:color w:val="000000" w:themeColor="text1"/>
          <w:sz w:val="22"/>
          <w:szCs w:val="22"/>
        </w:rPr>
        <w:t>100.</w:t>
      </w:r>
      <w:r w:rsidRPr="002A5953">
        <w:rPr>
          <w:rFonts w:ascii="Arial" w:hAnsi="Arial" w:cs="Arial"/>
          <w:color w:val="000000" w:themeColor="text1"/>
          <w:sz w:val="22"/>
          <w:szCs w:val="22"/>
        </w:rPr>
        <w:t xml:space="preserve"> </w:t>
      </w:r>
    </w:p>
    <w:p w14:paraId="76811F26" w14:textId="3314B75C" w:rsidR="002A5953" w:rsidRDefault="002A5953" w:rsidP="00AB7AA7">
      <w:pPr>
        <w:spacing w:line="360" w:lineRule="auto"/>
        <w:rPr>
          <w:rFonts w:ascii="Arial" w:hAnsi="Arial" w:cs="Arial"/>
          <w:color w:val="000000" w:themeColor="text1"/>
          <w:sz w:val="22"/>
          <w:szCs w:val="22"/>
        </w:rPr>
      </w:pPr>
      <w:r w:rsidRPr="002A5953">
        <w:rPr>
          <w:rFonts w:ascii="Arial" w:hAnsi="Arial" w:cs="Arial"/>
          <w:color w:val="000000" w:themeColor="text1"/>
          <w:sz w:val="22"/>
          <w:szCs w:val="22"/>
        </w:rPr>
        <w:t xml:space="preserve">For fiscal year 2022, Apple holds a net income of $99.8 billion and a total net revenue of $394.3 </w:t>
      </w:r>
      <w:r w:rsidRPr="002A5953">
        <w:rPr>
          <w:rFonts w:ascii="Arial" w:hAnsi="Arial" w:cs="Arial"/>
          <w:color w:val="000000" w:themeColor="text1"/>
          <w:sz w:val="22"/>
          <w:szCs w:val="22"/>
        </w:rPr>
        <w:t>billion.</w:t>
      </w:r>
      <w:r w:rsidRPr="002A5953">
        <w:rPr>
          <w:rFonts w:ascii="Arial" w:hAnsi="Arial" w:cs="Arial"/>
          <w:color w:val="000000" w:themeColor="text1"/>
          <w:sz w:val="22"/>
          <w:szCs w:val="22"/>
        </w:rPr>
        <w:t xml:space="preserve"> </w:t>
      </w:r>
    </w:p>
    <w:p w14:paraId="61AB542B" w14:textId="77777777" w:rsidR="00C54F1F" w:rsidRDefault="002A5953" w:rsidP="00AB7AA7">
      <w:pPr>
        <w:spacing w:line="360" w:lineRule="auto"/>
        <w:rPr>
          <w:rFonts w:ascii="Arial" w:hAnsi="Arial" w:cs="Arial"/>
          <w:color w:val="000000" w:themeColor="text1"/>
          <w:sz w:val="22"/>
          <w:szCs w:val="22"/>
        </w:rPr>
      </w:pPr>
      <w:r w:rsidRPr="002A5953">
        <w:rPr>
          <w:rFonts w:ascii="Arial" w:hAnsi="Arial" w:cs="Arial"/>
          <w:color w:val="000000" w:themeColor="text1"/>
          <w:sz w:val="22"/>
          <w:szCs w:val="22"/>
        </w:rPr>
        <w:t xml:space="preserve">Plugging in these values, the net profit margin is 25.3%. This indicates the proportion of net income to revenue and signifies that Apple retains roughly 25.3% of its revenue as net income, which is a strong </w:t>
      </w:r>
      <w:r w:rsidRPr="002A5953">
        <w:rPr>
          <w:rFonts w:ascii="Arial" w:hAnsi="Arial" w:cs="Arial"/>
          <w:color w:val="000000" w:themeColor="text1"/>
          <w:sz w:val="22"/>
          <w:szCs w:val="22"/>
        </w:rPr>
        <w:t>performance.</w:t>
      </w:r>
      <w:r w:rsidRPr="002A5953">
        <w:rPr>
          <w:rFonts w:ascii="Arial" w:hAnsi="Arial" w:cs="Arial"/>
          <w:color w:val="000000" w:themeColor="text1"/>
          <w:sz w:val="22"/>
          <w:szCs w:val="22"/>
        </w:rPr>
        <w:t xml:space="preserve"> </w:t>
      </w:r>
    </w:p>
    <w:p w14:paraId="2D927EB7" w14:textId="4638D1AD" w:rsidR="00C54F1F" w:rsidRDefault="002A5953" w:rsidP="00AB7AA7">
      <w:pPr>
        <w:spacing w:line="360" w:lineRule="auto"/>
        <w:rPr>
          <w:rFonts w:ascii="Arial" w:hAnsi="Arial" w:cs="Arial"/>
          <w:color w:val="000000" w:themeColor="text1"/>
          <w:sz w:val="22"/>
          <w:szCs w:val="22"/>
        </w:rPr>
      </w:pPr>
      <w:r w:rsidRPr="002A5953">
        <w:rPr>
          <w:rFonts w:ascii="Arial" w:hAnsi="Arial" w:cs="Arial"/>
          <w:color w:val="000000" w:themeColor="text1"/>
          <w:sz w:val="22"/>
          <w:szCs w:val="22"/>
        </w:rPr>
        <w:lastRenderedPageBreak/>
        <w:t xml:space="preserve">Current Ratio = Current Assets / Current </w:t>
      </w:r>
      <w:r w:rsidRPr="002A5953">
        <w:rPr>
          <w:rFonts w:ascii="Arial" w:hAnsi="Arial" w:cs="Arial"/>
          <w:color w:val="000000" w:themeColor="text1"/>
          <w:sz w:val="22"/>
          <w:szCs w:val="22"/>
        </w:rPr>
        <w:t>Liabilities.</w:t>
      </w:r>
      <w:r w:rsidRPr="002A5953">
        <w:rPr>
          <w:rFonts w:ascii="Arial" w:hAnsi="Arial" w:cs="Arial"/>
          <w:color w:val="000000" w:themeColor="text1"/>
          <w:sz w:val="22"/>
          <w:szCs w:val="22"/>
        </w:rPr>
        <w:t xml:space="preserve"> Based on fiscal year 2022’s financial data, Apple holds $169.9 billion in current assets while owing zero in current </w:t>
      </w:r>
      <w:r w:rsidRPr="002A5953">
        <w:rPr>
          <w:rFonts w:ascii="Arial" w:hAnsi="Arial" w:cs="Arial"/>
          <w:color w:val="000000" w:themeColor="text1"/>
          <w:sz w:val="22"/>
          <w:szCs w:val="22"/>
        </w:rPr>
        <w:t>liabilities.</w:t>
      </w:r>
      <w:r w:rsidRPr="002A5953">
        <w:rPr>
          <w:rFonts w:ascii="Arial" w:hAnsi="Arial" w:cs="Arial"/>
          <w:color w:val="000000" w:themeColor="text1"/>
          <w:sz w:val="22"/>
          <w:szCs w:val="22"/>
        </w:rPr>
        <w:t xml:space="preserve"> Calculating the measure, it equals 1.16, where ratios exceeding one imply generally satisfactory liquidity – in other words, it has enough current assets to comfortably cover its short-term liabilities </w:t>
      </w:r>
      <w:r w:rsidRPr="002A5953">
        <w:rPr>
          <w:rFonts w:ascii="Arial" w:hAnsi="Arial" w:cs="Arial"/>
          <w:color w:val="000000" w:themeColor="text1"/>
          <w:sz w:val="22"/>
          <w:szCs w:val="22"/>
        </w:rPr>
        <w:t>possibilities.</w:t>
      </w:r>
      <w:r w:rsidRPr="002A5953">
        <w:rPr>
          <w:rFonts w:ascii="Arial" w:hAnsi="Arial" w:cs="Arial"/>
          <w:color w:val="000000" w:themeColor="text1"/>
          <w:sz w:val="22"/>
          <w:szCs w:val="22"/>
        </w:rPr>
        <w:t xml:space="preserve"> </w:t>
      </w:r>
    </w:p>
    <w:p w14:paraId="1D27DEF6" w14:textId="2B99FC30" w:rsidR="002A5953" w:rsidRDefault="002A5953" w:rsidP="00AB7AA7">
      <w:pPr>
        <w:spacing w:line="360" w:lineRule="auto"/>
        <w:rPr>
          <w:rFonts w:ascii="Arial" w:hAnsi="Arial" w:cs="Arial"/>
          <w:color w:val="000000" w:themeColor="text1"/>
          <w:sz w:val="22"/>
          <w:szCs w:val="22"/>
        </w:rPr>
      </w:pPr>
      <w:r w:rsidRPr="002A5953">
        <w:rPr>
          <w:rFonts w:ascii="Arial" w:hAnsi="Arial" w:cs="Arial"/>
          <w:color w:val="000000" w:themeColor="text1"/>
          <w:sz w:val="22"/>
          <w:szCs w:val="22"/>
        </w:rPr>
        <w:t xml:space="preserve">Considering gearing, the third financial ratio is Ratio Debt-to-Equity Ratio = Total Debt / Total </w:t>
      </w:r>
      <w:r w:rsidRPr="002A5953">
        <w:rPr>
          <w:rFonts w:ascii="Arial" w:hAnsi="Arial" w:cs="Arial"/>
          <w:color w:val="000000" w:themeColor="text1"/>
          <w:sz w:val="22"/>
          <w:szCs w:val="22"/>
        </w:rPr>
        <w:t>Equity.</w:t>
      </w:r>
      <w:r w:rsidRPr="002A5953">
        <w:rPr>
          <w:rFonts w:ascii="Arial" w:hAnsi="Arial" w:cs="Arial"/>
          <w:color w:val="000000" w:themeColor="text1"/>
          <w:sz w:val="22"/>
          <w:szCs w:val="22"/>
        </w:rPr>
        <w:t xml:space="preserve"> </w:t>
      </w:r>
    </w:p>
    <w:p w14:paraId="4640870A" w14:textId="338A6EB7" w:rsidR="00C54F1F" w:rsidRDefault="002A5953" w:rsidP="00AB7AA7">
      <w:pPr>
        <w:spacing w:line="360" w:lineRule="auto"/>
        <w:rPr>
          <w:rFonts w:ascii="Arial" w:hAnsi="Arial" w:cs="Arial"/>
          <w:color w:val="000000" w:themeColor="text1"/>
          <w:sz w:val="22"/>
          <w:szCs w:val="22"/>
        </w:rPr>
      </w:pPr>
      <w:r w:rsidRPr="002A5953">
        <w:rPr>
          <w:rFonts w:ascii="Arial" w:hAnsi="Arial" w:cs="Arial"/>
          <w:color w:val="000000" w:themeColor="text1"/>
          <w:sz w:val="22"/>
          <w:szCs w:val="22"/>
        </w:rPr>
        <w:t xml:space="preserve">With $122.1 billion in total debt and $99.3 in total </w:t>
      </w:r>
      <w:r w:rsidRPr="002A5953">
        <w:rPr>
          <w:rFonts w:ascii="Arial" w:hAnsi="Arial" w:cs="Arial"/>
          <w:color w:val="000000" w:themeColor="text1"/>
          <w:sz w:val="22"/>
          <w:szCs w:val="22"/>
        </w:rPr>
        <w:t>equity,</w:t>
      </w:r>
      <w:r w:rsidRPr="002A5953">
        <w:rPr>
          <w:rFonts w:ascii="Arial" w:hAnsi="Arial" w:cs="Arial"/>
          <w:color w:val="000000" w:themeColor="text1"/>
          <w:sz w:val="22"/>
          <w:szCs w:val="22"/>
        </w:rPr>
        <w:t xml:space="preserve"> the computed figure would be 1.23. A ratio of </w:t>
      </w:r>
      <w:r w:rsidR="00C54F1F">
        <w:rPr>
          <w:rFonts w:ascii="Arial" w:hAnsi="Arial" w:cs="Arial"/>
          <w:color w:val="000000" w:themeColor="text1"/>
          <w:sz w:val="22"/>
          <w:szCs w:val="22"/>
        </w:rPr>
        <w:t>less</w:t>
      </w:r>
      <w:r w:rsidRPr="002A5953">
        <w:rPr>
          <w:rFonts w:ascii="Arial" w:hAnsi="Arial" w:cs="Arial"/>
          <w:color w:val="000000" w:themeColor="text1"/>
          <w:sz w:val="22"/>
          <w:szCs w:val="22"/>
        </w:rPr>
        <w:t xml:space="preserve"> than </w:t>
      </w:r>
      <w:r w:rsidR="00C54F1F">
        <w:rPr>
          <w:rFonts w:ascii="Arial" w:hAnsi="Arial" w:cs="Arial"/>
          <w:color w:val="000000" w:themeColor="text1"/>
          <w:sz w:val="22"/>
          <w:szCs w:val="22"/>
        </w:rPr>
        <w:t>2</w:t>
      </w:r>
      <w:r w:rsidRPr="002A5953">
        <w:rPr>
          <w:rFonts w:ascii="Arial" w:hAnsi="Arial" w:cs="Arial"/>
          <w:color w:val="000000" w:themeColor="text1"/>
          <w:sz w:val="22"/>
          <w:szCs w:val="22"/>
        </w:rPr>
        <w:t xml:space="preserve"> is acceptable, meaning Apple’s capital structure is not overly reliant on </w:t>
      </w:r>
      <w:r w:rsidRPr="002A5953">
        <w:rPr>
          <w:rFonts w:ascii="Arial" w:hAnsi="Arial" w:cs="Arial"/>
          <w:color w:val="000000" w:themeColor="text1"/>
          <w:sz w:val="22"/>
          <w:szCs w:val="22"/>
        </w:rPr>
        <w:t>debt.</w:t>
      </w:r>
      <w:r w:rsidRPr="002A5953">
        <w:rPr>
          <w:rFonts w:ascii="Arial" w:hAnsi="Arial" w:cs="Arial"/>
          <w:color w:val="000000" w:themeColor="text1"/>
          <w:sz w:val="22"/>
          <w:szCs w:val="22"/>
        </w:rPr>
        <w:t xml:space="preserve"> </w:t>
      </w:r>
    </w:p>
    <w:p w14:paraId="14B834F4" w14:textId="77777777" w:rsidR="00C54F1F" w:rsidRDefault="002A5953" w:rsidP="00AB7AA7">
      <w:pPr>
        <w:spacing w:line="360" w:lineRule="auto"/>
        <w:rPr>
          <w:rFonts w:ascii="Arial" w:hAnsi="Arial" w:cs="Arial"/>
          <w:color w:val="000000" w:themeColor="text1"/>
          <w:sz w:val="22"/>
          <w:szCs w:val="22"/>
        </w:rPr>
      </w:pPr>
      <w:r w:rsidRPr="002A5953">
        <w:rPr>
          <w:rFonts w:ascii="Arial" w:hAnsi="Arial" w:cs="Arial"/>
          <w:color w:val="000000" w:themeColor="text1"/>
          <w:sz w:val="22"/>
          <w:szCs w:val="22"/>
        </w:rPr>
        <w:t xml:space="preserve">Offering an efficiency ratio, I would compute the Asset Turnover Ratio as Asset Turnover Ratio = Revenue / Total </w:t>
      </w:r>
      <w:r w:rsidRPr="002A5953">
        <w:rPr>
          <w:rFonts w:ascii="Arial" w:hAnsi="Arial" w:cs="Arial"/>
          <w:color w:val="000000" w:themeColor="text1"/>
          <w:sz w:val="22"/>
          <w:szCs w:val="22"/>
        </w:rPr>
        <w:t>Assets.</w:t>
      </w:r>
      <w:r w:rsidRPr="002A5953">
        <w:rPr>
          <w:rFonts w:ascii="Arial" w:hAnsi="Arial" w:cs="Arial"/>
          <w:color w:val="000000" w:themeColor="text1"/>
          <w:sz w:val="22"/>
          <w:szCs w:val="22"/>
        </w:rPr>
        <w:t xml:space="preserve"> </w:t>
      </w:r>
    </w:p>
    <w:p w14:paraId="6D6A3722" w14:textId="34895CC1" w:rsidR="002A5953" w:rsidRPr="002A5953" w:rsidRDefault="002A5953" w:rsidP="00AB7AA7">
      <w:pPr>
        <w:spacing w:line="360" w:lineRule="auto"/>
        <w:rPr>
          <w:rFonts w:ascii="Arial" w:hAnsi="Arial" w:cs="Arial"/>
          <w:color w:val="000000" w:themeColor="text1"/>
          <w:sz w:val="22"/>
          <w:szCs w:val="22"/>
        </w:rPr>
      </w:pPr>
      <w:r w:rsidRPr="002A5953">
        <w:rPr>
          <w:rFonts w:ascii="Arial" w:hAnsi="Arial" w:cs="Arial"/>
          <w:color w:val="000000" w:themeColor="text1"/>
          <w:sz w:val="22"/>
          <w:szCs w:val="22"/>
        </w:rPr>
        <w:t xml:space="preserve">With $394.3 billion in revenue and $351.0 billion in total assets for the year in </w:t>
      </w:r>
      <w:r w:rsidRPr="002A5953">
        <w:rPr>
          <w:rFonts w:ascii="Arial" w:hAnsi="Arial" w:cs="Arial"/>
          <w:color w:val="000000" w:themeColor="text1"/>
          <w:sz w:val="22"/>
          <w:szCs w:val="22"/>
        </w:rPr>
        <w:t>question,</w:t>
      </w:r>
      <w:r w:rsidRPr="002A5953">
        <w:rPr>
          <w:rFonts w:ascii="Arial" w:hAnsi="Arial" w:cs="Arial"/>
          <w:color w:val="000000" w:themeColor="text1"/>
          <w:sz w:val="22"/>
          <w:szCs w:val="22"/>
        </w:rPr>
        <w:t xml:space="preserve"> the measure would be 1.12. Since higher ratios represent more efficient asset utilization, Apple’s utilization of its assets to convert them into revenue stands at roughly 1.12, which signals strong efficiency.</w:t>
      </w:r>
    </w:p>
    <w:p w14:paraId="121E6645" w14:textId="0E831ACE" w:rsidR="00A005CE" w:rsidRDefault="00A005CE" w:rsidP="00AB7AA7">
      <w:pPr>
        <w:spacing w:line="360" w:lineRule="auto"/>
        <w:rPr>
          <w:rFonts w:ascii="Arial" w:hAnsi="Arial" w:cs="Arial"/>
          <w:color w:val="000000" w:themeColor="text1"/>
          <w:sz w:val="22"/>
          <w:szCs w:val="22"/>
        </w:rPr>
      </w:pPr>
    </w:p>
    <w:p w14:paraId="005A39F0" w14:textId="0206417C" w:rsidR="0085744C" w:rsidRPr="0085744C" w:rsidRDefault="0085744C" w:rsidP="00AB7AA7">
      <w:pPr>
        <w:spacing w:line="360" w:lineRule="auto"/>
        <w:jc w:val="center"/>
        <w:rPr>
          <w:rFonts w:ascii="Arial" w:hAnsi="Arial" w:cs="Arial"/>
          <w:b/>
          <w:bCs/>
          <w:color w:val="FF0000"/>
          <w:sz w:val="36"/>
          <w:szCs w:val="36"/>
        </w:rPr>
      </w:pPr>
      <w:r w:rsidRPr="0085744C">
        <w:rPr>
          <w:rFonts w:ascii="Arial" w:hAnsi="Arial" w:cs="Arial"/>
          <w:b/>
          <w:bCs/>
          <w:color w:val="FF0000"/>
          <w:sz w:val="36"/>
          <w:szCs w:val="36"/>
        </w:rPr>
        <w:t>Critical Evaluation of the Ratios</w:t>
      </w:r>
    </w:p>
    <w:p w14:paraId="1D6C4069" w14:textId="77777777" w:rsidR="0085744C" w:rsidRPr="00A005CE" w:rsidRDefault="0085744C" w:rsidP="00AB7AA7">
      <w:pPr>
        <w:spacing w:line="360" w:lineRule="auto"/>
        <w:rPr>
          <w:rFonts w:ascii="Arial" w:hAnsi="Arial" w:cs="Arial"/>
          <w:color w:val="000000" w:themeColor="text1"/>
          <w:sz w:val="22"/>
          <w:szCs w:val="22"/>
        </w:rPr>
      </w:pPr>
    </w:p>
    <w:p w14:paraId="6AA8ADAD" w14:textId="275438A9" w:rsidR="0073079E" w:rsidRPr="0073079E" w:rsidRDefault="0073079E" w:rsidP="00AB7AA7">
      <w:pPr>
        <w:spacing w:line="360" w:lineRule="auto"/>
        <w:rPr>
          <w:rFonts w:ascii="Arial" w:hAnsi="Arial" w:cs="Arial"/>
          <w:color w:val="FF0000"/>
          <w:sz w:val="22"/>
          <w:szCs w:val="22"/>
        </w:rPr>
      </w:pPr>
      <w:r w:rsidRPr="0073079E">
        <w:rPr>
          <w:rFonts w:ascii="Arial" w:hAnsi="Arial" w:cs="Arial"/>
          <w:color w:val="FF0000"/>
          <w:sz w:val="22"/>
          <w:szCs w:val="22"/>
        </w:rPr>
        <w:t>Net Profit Margin</w:t>
      </w:r>
      <w:r w:rsidR="0085744C" w:rsidRPr="00927653">
        <w:rPr>
          <w:rFonts w:ascii="Arial" w:hAnsi="Arial" w:cs="Arial"/>
          <w:color w:val="FF0000"/>
          <w:sz w:val="22"/>
          <w:szCs w:val="22"/>
        </w:rPr>
        <w:t>:</w:t>
      </w:r>
    </w:p>
    <w:p w14:paraId="641BC167" w14:textId="778E8315" w:rsidR="0073079E" w:rsidRDefault="0073079E" w:rsidP="00AB7AA7">
      <w:pPr>
        <w:spacing w:line="360" w:lineRule="auto"/>
        <w:rPr>
          <w:rFonts w:ascii="Arial" w:hAnsi="Arial" w:cs="Arial"/>
          <w:sz w:val="22"/>
          <w:szCs w:val="22"/>
        </w:rPr>
      </w:pPr>
      <w:r w:rsidRPr="0073079E">
        <w:rPr>
          <w:rFonts w:ascii="Arial" w:hAnsi="Arial" w:cs="Arial"/>
          <w:sz w:val="22"/>
          <w:szCs w:val="22"/>
        </w:rPr>
        <w:t>The net profit margin of 25.3% in fy2022</w:t>
      </w:r>
      <w:r w:rsidR="0085744C">
        <w:rPr>
          <w:rFonts w:ascii="Arial" w:hAnsi="Arial" w:cs="Arial"/>
          <w:sz w:val="22"/>
          <w:szCs w:val="22"/>
        </w:rPr>
        <w:t xml:space="preserve"> </w:t>
      </w:r>
      <w:r w:rsidRPr="0073079E">
        <w:rPr>
          <w:rFonts w:ascii="Arial" w:hAnsi="Arial" w:cs="Arial"/>
          <w:sz w:val="22"/>
          <w:szCs w:val="22"/>
        </w:rPr>
        <w:t xml:space="preserve">for Apple is strong, given that the average profit margin for its industry is between 8% and 10%. According to an industry report developed by McKinsey &amp; Company, the average aggregate net margin of technology hardware and equipment companies is 12% percent in </w:t>
      </w:r>
      <w:r w:rsidR="0085744C" w:rsidRPr="0073079E">
        <w:rPr>
          <w:rFonts w:ascii="Arial" w:hAnsi="Arial" w:cs="Arial"/>
          <w:sz w:val="22"/>
          <w:szCs w:val="22"/>
        </w:rPr>
        <w:t>2021.</w:t>
      </w:r>
      <w:r w:rsidRPr="0073079E">
        <w:rPr>
          <w:rFonts w:ascii="Arial" w:hAnsi="Arial" w:cs="Arial"/>
          <w:sz w:val="22"/>
          <w:szCs w:val="22"/>
        </w:rPr>
        <w:t xml:space="preserve"> Therefore, it is implied that Apple is more than twice as profitable as the average </w:t>
      </w:r>
      <w:r w:rsidR="0085744C">
        <w:rPr>
          <w:rFonts w:ascii="Arial" w:hAnsi="Arial" w:cs="Arial"/>
          <w:sz w:val="22"/>
          <w:szCs w:val="22"/>
        </w:rPr>
        <w:t>competitor</w:t>
      </w:r>
      <w:r w:rsidRPr="0073079E">
        <w:rPr>
          <w:rFonts w:ascii="Arial" w:hAnsi="Arial" w:cs="Arial"/>
          <w:sz w:val="22"/>
          <w:szCs w:val="22"/>
        </w:rPr>
        <w:t>.</w:t>
      </w:r>
    </w:p>
    <w:p w14:paraId="042D4FAA" w14:textId="314EFD12" w:rsidR="0085744C" w:rsidRPr="0085744C" w:rsidRDefault="0085744C" w:rsidP="00AB7AA7">
      <w:pPr>
        <w:spacing w:line="360" w:lineRule="auto"/>
        <w:rPr>
          <w:rFonts w:ascii="Arial" w:hAnsi="Arial" w:cs="Arial"/>
          <w:sz w:val="22"/>
          <w:szCs w:val="22"/>
        </w:rPr>
      </w:pPr>
      <w:r w:rsidRPr="0085744C">
        <w:rPr>
          <w:rFonts w:ascii="Arial" w:hAnsi="Arial" w:cs="Arial"/>
          <w:sz w:val="22"/>
          <w:szCs w:val="22"/>
        </w:rPr>
        <w:t xml:space="preserve">Apple’s high net profit margin is </w:t>
      </w:r>
      <w:r w:rsidR="0000232E">
        <w:rPr>
          <w:rFonts w:ascii="Arial" w:hAnsi="Arial" w:cs="Arial"/>
          <w:sz w:val="22"/>
          <w:szCs w:val="22"/>
        </w:rPr>
        <w:t>meaning</w:t>
      </w:r>
      <w:r w:rsidRPr="0085744C">
        <w:rPr>
          <w:rFonts w:ascii="Arial" w:hAnsi="Arial" w:cs="Arial"/>
          <w:sz w:val="22"/>
          <w:szCs w:val="22"/>
        </w:rPr>
        <w:t xml:space="preserve"> the company can easily sell its products at a premium price because of its brand power and ecosystem, controlling costs and benefiting from cutting-edge marketing such as the services business, and much </w:t>
      </w:r>
      <w:r w:rsidRPr="0085744C">
        <w:rPr>
          <w:rFonts w:ascii="Arial" w:hAnsi="Arial" w:cs="Arial"/>
          <w:sz w:val="22"/>
          <w:szCs w:val="22"/>
        </w:rPr>
        <w:t>more.</w:t>
      </w:r>
      <w:r w:rsidRPr="0085744C">
        <w:rPr>
          <w:rFonts w:ascii="Arial" w:hAnsi="Arial" w:cs="Arial"/>
          <w:sz w:val="22"/>
          <w:szCs w:val="22"/>
        </w:rPr>
        <w:t xml:space="preserve"> Nonetheless, cost control and operational effectiveness will be crucial for Apple to preserve the level of profits and profitability at current levels in the future technology market as the sector is highly competitive.</w:t>
      </w:r>
      <w:r w:rsidRPr="0085744C">
        <w:rPr>
          <w:rFonts w:ascii="Times New Roman" w:eastAsia="Times New Roman" w:hAnsi="Times New Roman" w:cs="Times New Roman"/>
          <w:sz w:val="24"/>
          <w:szCs w:val="24"/>
          <w:lang w:eastAsia="en-GB"/>
        </w:rPr>
        <w:t xml:space="preserve"> </w:t>
      </w:r>
      <w:r w:rsidRPr="0085744C">
        <w:rPr>
          <w:rFonts w:ascii="Arial" w:hAnsi="Arial" w:cs="Arial"/>
          <w:sz w:val="22"/>
          <w:szCs w:val="22"/>
        </w:rPr>
        <w:t>(Gartner, 2022).</w:t>
      </w:r>
    </w:p>
    <w:p w14:paraId="747801A1" w14:textId="29A90A5D" w:rsidR="0085744C" w:rsidRDefault="0085744C" w:rsidP="00AB7AA7">
      <w:pPr>
        <w:spacing w:line="360" w:lineRule="auto"/>
        <w:rPr>
          <w:rFonts w:ascii="Arial" w:hAnsi="Arial" w:cs="Arial"/>
          <w:sz w:val="22"/>
          <w:szCs w:val="22"/>
        </w:rPr>
      </w:pPr>
      <w:r w:rsidRPr="0085744C">
        <w:rPr>
          <w:rFonts w:ascii="Arial" w:hAnsi="Arial" w:cs="Arial"/>
          <w:sz w:val="22"/>
          <w:szCs w:val="22"/>
        </w:rPr>
        <w:lastRenderedPageBreak/>
        <w:t xml:space="preserve">From an academic viewpoint, a high net profit margin is </w:t>
      </w:r>
      <w:r w:rsidRPr="0085744C">
        <w:rPr>
          <w:rFonts w:ascii="Arial" w:hAnsi="Arial" w:cs="Arial"/>
          <w:sz w:val="22"/>
          <w:szCs w:val="22"/>
        </w:rPr>
        <w:t>a</w:t>
      </w:r>
      <w:r w:rsidRPr="0085744C">
        <w:rPr>
          <w:rFonts w:ascii="Arial" w:hAnsi="Arial" w:cs="Arial"/>
          <w:sz w:val="22"/>
          <w:szCs w:val="22"/>
        </w:rPr>
        <w:t xml:space="preserve"> positive factor in a company’s performance because it indicates that the firm may create many profits when compared to its </w:t>
      </w:r>
      <w:r w:rsidRPr="0085744C">
        <w:rPr>
          <w:rFonts w:ascii="Arial" w:hAnsi="Arial" w:cs="Arial"/>
          <w:sz w:val="22"/>
          <w:szCs w:val="22"/>
        </w:rPr>
        <w:t>revenue</w:t>
      </w:r>
      <w:r>
        <w:rPr>
          <w:rFonts w:ascii="Arial" w:hAnsi="Arial" w:cs="Arial"/>
          <w:sz w:val="22"/>
          <w:szCs w:val="22"/>
        </w:rPr>
        <w:t xml:space="preserve"> </w:t>
      </w:r>
      <w:r w:rsidRPr="0085744C">
        <w:rPr>
          <w:rFonts w:ascii="Arial" w:hAnsi="Arial" w:cs="Arial"/>
          <w:sz w:val="22"/>
          <w:szCs w:val="22"/>
        </w:rPr>
        <w:t>(</w:t>
      </w:r>
      <w:r w:rsidRPr="0085744C">
        <w:rPr>
          <w:rFonts w:ascii="Arial" w:hAnsi="Arial" w:cs="Arial"/>
          <w:sz w:val="22"/>
          <w:szCs w:val="22"/>
        </w:rPr>
        <w:t>Brigham &amp; Houston, 2019). As a result, the company can become more financially solid and be able to expand, survive during periods of recession, and perhaps pass more value back to shareholders through dividends or share buybacks.</w:t>
      </w:r>
    </w:p>
    <w:p w14:paraId="769585C2" w14:textId="77777777" w:rsidR="005B4952" w:rsidRPr="005B4952" w:rsidRDefault="005B4952" w:rsidP="00AB7AA7">
      <w:pPr>
        <w:spacing w:line="360" w:lineRule="auto"/>
        <w:rPr>
          <w:rFonts w:ascii="Arial" w:hAnsi="Arial" w:cs="Arial"/>
          <w:sz w:val="22"/>
          <w:szCs w:val="22"/>
        </w:rPr>
      </w:pPr>
      <w:r w:rsidRPr="005B4952">
        <w:rPr>
          <w:rFonts w:ascii="Arial" w:hAnsi="Arial" w:cs="Arial"/>
          <w:sz w:val="22"/>
          <w:szCs w:val="22"/>
        </w:rPr>
        <w:t xml:space="preserve">Having said that, it is essential for Apple to make sure it can reconcile its high profitability with its investment in research and development to remain competitive and innovative (Palepu &amp; Healy, 2013). Alternatively, Apple focusing too much on short-term profitability may put its position at risk given the high level of competition in the technology industry. </w:t>
      </w:r>
    </w:p>
    <w:p w14:paraId="2896F2C2" w14:textId="77777777" w:rsidR="005B4952" w:rsidRPr="005B4952" w:rsidRDefault="005B4952" w:rsidP="00AB7AA7">
      <w:pPr>
        <w:spacing w:line="360" w:lineRule="auto"/>
        <w:rPr>
          <w:rFonts w:ascii="Arial" w:hAnsi="Arial" w:cs="Arial"/>
          <w:color w:val="FF0000"/>
          <w:sz w:val="22"/>
          <w:szCs w:val="22"/>
        </w:rPr>
      </w:pPr>
      <w:r w:rsidRPr="005B4952">
        <w:rPr>
          <w:rFonts w:ascii="Arial" w:hAnsi="Arial" w:cs="Arial"/>
          <w:color w:val="FF0000"/>
          <w:sz w:val="22"/>
          <w:szCs w:val="22"/>
        </w:rPr>
        <w:t>Liquidity Ratio: Current Ratio</w:t>
      </w:r>
    </w:p>
    <w:p w14:paraId="41EBCFB9" w14:textId="7280317F" w:rsidR="005B4952" w:rsidRDefault="005B4952" w:rsidP="00AB7AA7">
      <w:pPr>
        <w:spacing w:line="360" w:lineRule="auto"/>
        <w:rPr>
          <w:rFonts w:ascii="Arial" w:hAnsi="Arial" w:cs="Arial"/>
          <w:sz w:val="22"/>
          <w:szCs w:val="22"/>
        </w:rPr>
      </w:pPr>
      <w:r w:rsidRPr="005B4952">
        <w:rPr>
          <w:rFonts w:ascii="Arial" w:hAnsi="Arial" w:cs="Arial"/>
          <w:i/>
          <w:iCs/>
          <w:sz w:val="22"/>
          <w:szCs w:val="22"/>
        </w:rPr>
        <w:t>Current ratio</w:t>
      </w:r>
      <w:r w:rsidRPr="005B4952">
        <w:rPr>
          <w:rFonts w:ascii="Arial" w:hAnsi="Arial" w:cs="Arial"/>
          <w:sz w:val="22"/>
          <w:szCs w:val="22"/>
        </w:rPr>
        <w:t xml:space="preserve"> </w:t>
      </w:r>
      <w:r w:rsidRPr="005B4952">
        <w:rPr>
          <w:rFonts w:ascii="Arial" w:hAnsi="Arial" w:cs="Arial"/>
          <w:b/>
          <w:bCs/>
          <w:sz w:val="22"/>
          <w:szCs w:val="22"/>
        </w:rPr>
        <w:t>= 1.16</w:t>
      </w:r>
      <w:r w:rsidRPr="005B4952">
        <w:rPr>
          <w:rFonts w:ascii="Arial" w:hAnsi="Arial" w:cs="Arial"/>
          <w:sz w:val="22"/>
          <w:szCs w:val="22"/>
        </w:rPr>
        <w:t>. The current ratio reflects that Apple is in a good liquidity position when it is inferred that current assets are more than sufficient to cover short liabilities. In fact, “most commonly acceptable current ratio is between 1 and 2, while the ratio above 1.5 is considered as strong</w:t>
      </w:r>
      <w:r w:rsidRPr="005B4952">
        <w:rPr>
          <w:rFonts w:ascii="Arial" w:hAnsi="Arial" w:cs="Arial"/>
          <w:sz w:val="22"/>
          <w:szCs w:val="22"/>
        </w:rPr>
        <w:t>”. (</w:t>
      </w:r>
      <w:r w:rsidRPr="005B4952">
        <w:rPr>
          <w:rFonts w:ascii="Arial" w:hAnsi="Arial" w:cs="Arial"/>
          <w:sz w:val="22"/>
          <w:szCs w:val="22"/>
        </w:rPr>
        <w:t>Brigham &amp; Houston, 2019).</w:t>
      </w:r>
    </w:p>
    <w:p w14:paraId="6066C9C3" w14:textId="06C8F149" w:rsidR="005B4952" w:rsidRPr="005B4952" w:rsidRDefault="005B4952" w:rsidP="00AB7AA7">
      <w:pPr>
        <w:spacing w:line="360" w:lineRule="auto"/>
        <w:rPr>
          <w:rFonts w:ascii="Arial" w:hAnsi="Arial" w:cs="Arial"/>
          <w:sz w:val="22"/>
          <w:szCs w:val="22"/>
        </w:rPr>
      </w:pPr>
      <w:r w:rsidRPr="005B4952">
        <w:rPr>
          <w:rFonts w:ascii="Arial" w:hAnsi="Arial" w:cs="Arial"/>
          <w:sz w:val="22"/>
          <w:szCs w:val="22"/>
        </w:rPr>
        <w:t xml:space="preserve">Apple’s working capital management appears to be effective and efficient, as demonstrated by the high current ratio. As such, the company manages its current assets and current liabilities in such way that it </w:t>
      </w:r>
      <w:r w:rsidRPr="005B4952">
        <w:rPr>
          <w:rFonts w:ascii="Arial" w:hAnsi="Arial" w:cs="Arial"/>
          <w:sz w:val="22"/>
          <w:szCs w:val="22"/>
        </w:rPr>
        <w:t>can</w:t>
      </w:r>
      <w:r w:rsidRPr="005B4952">
        <w:rPr>
          <w:rFonts w:ascii="Arial" w:hAnsi="Arial" w:cs="Arial"/>
          <w:sz w:val="22"/>
          <w:szCs w:val="22"/>
        </w:rPr>
        <w:t xml:space="preserve"> cover its short-term obligations with liquidity to spare. From the perspective of </w:t>
      </w:r>
      <w:r w:rsidRPr="005B4952">
        <w:rPr>
          <w:rFonts w:ascii="Arial" w:hAnsi="Arial" w:cs="Arial"/>
          <w:sz w:val="22"/>
          <w:szCs w:val="22"/>
        </w:rPr>
        <w:t>investment,</w:t>
      </w:r>
      <w:r w:rsidRPr="005B4952">
        <w:rPr>
          <w:rFonts w:ascii="Arial" w:hAnsi="Arial" w:cs="Arial"/>
          <w:sz w:val="22"/>
          <w:szCs w:val="22"/>
        </w:rPr>
        <w:t xml:space="preserve"> this ensures Apple’s ability to invest into expansion, </w:t>
      </w:r>
      <w:r w:rsidRPr="005B4952">
        <w:rPr>
          <w:rFonts w:ascii="Arial" w:hAnsi="Arial" w:cs="Arial"/>
          <w:sz w:val="22"/>
          <w:szCs w:val="22"/>
        </w:rPr>
        <w:t>research,</w:t>
      </w:r>
      <w:r w:rsidRPr="005B4952">
        <w:rPr>
          <w:rFonts w:ascii="Arial" w:hAnsi="Arial" w:cs="Arial"/>
          <w:sz w:val="22"/>
          <w:szCs w:val="22"/>
        </w:rPr>
        <w:t xml:space="preserve"> and development, and withstand market turbulence. (Damodaran, 2012).</w:t>
      </w:r>
    </w:p>
    <w:p w14:paraId="5990A999" w14:textId="577126ED" w:rsidR="00B54CB0" w:rsidRDefault="00B54CB0" w:rsidP="00AB7AA7">
      <w:pPr>
        <w:spacing w:line="360" w:lineRule="auto"/>
        <w:rPr>
          <w:rFonts w:ascii="Arial" w:hAnsi="Arial" w:cs="Arial"/>
          <w:sz w:val="22"/>
          <w:szCs w:val="22"/>
        </w:rPr>
      </w:pPr>
      <w:r w:rsidRPr="00B54CB0">
        <w:rPr>
          <w:rFonts w:ascii="Arial" w:hAnsi="Arial" w:cs="Arial"/>
          <w:sz w:val="22"/>
          <w:szCs w:val="22"/>
        </w:rPr>
        <w:t xml:space="preserve">From a theoretical perspective, the current ratio is one of the key indicators that shows a company’s short-term financial health and its ability to cover short-term financial </w:t>
      </w:r>
      <w:r w:rsidR="005E7BAD" w:rsidRPr="00B54CB0">
        <w:rPr>
          <w:rFonts w:ascii="Arial" w:hAnsi="Arial" w:cs="Arial"/>
          <w:sz w:val="22"/>
          <w:szCs w:val="22"/>
        </w:rPr>
        <w:t>obligations.</w:t>
      </w:r>
      <w:r w:rsidRPr="00B54CB0">
        <w:rPr>
          <w:rFonts w:ascii="Arial" w:hAnsi="Arial" w:cs="Arial"/>
          <w:sz w:val="22"/>
          <w:szCs w:val="22"/>
        </w:rPr>
        <w:t xml:space="preserve"> In Apple’s case, a high current ratio will help avoid situations when the company is unable to pay the suppliers or run out of cash to meet the payroll, halting their </w:t>
      </w:r>
      <w:r w:rsidR="005E7BAD" w:rsidRPr="00B54CB0">
        <w:rPr>
          <w:rFonts w:ascii="Arial" w:hAnsi="Arial" w:cs="Arial"/>
          <w:sz w:val="22"/>
          <w:szCs w:val="22"/>
        </w:rPr>
        <w:t>operations,</w:t>
      </w:r>
      <w:r w:rsidRPr="00B54CB0">
        <w:rPr>
          <w:rFonts w:ascii="Arial" w:hAnsi="Arial" w:cs="Arial"/>
          <w:sz w:val="22"/>
          <w:szCs w:val="22"/>
        </w:rPr>
        <w:t xml:space="preserve"> and damaging their reputation. Nonetheless, Apple should not let the current assets to grow too high as it would lower asset use and potentially increase opportunity </w:t>
      </w:r>
      <w:r w:rsidR="005E7BAD" w:rsidRPr="00B54CB0">
        <w:rPr>
          <w:rFonts w:ascii="Arial" w:hAnsi="Arial" w:cs="Arial"/>
          <w:sz w:val="22"/>
          <w:szCs w:val="22"/>
        </w:rPr>
        <w:t>expenses.</w:t>
      </w:r>
      <w:r w:rsidRPr="00B54CB0">
        <w:rPr>
          <w:rFonts w:ascii="Arial" w:hAnsi="Arial" w:cs="Arial"/>
          <w:sz w:val="22"/>
          <w:szCs w:val="22"/>
        </w:rPr>
        <w:t xml:space="preserve"> The company should maintain stringent control over the current ratio and work towards optimal working capital levels by balancing stability and efficiency.</w:t>
      </w:r>
      <w:r w:rsidR="00381FD9" w:rsidRPr="00381FD9">
        <w:rPr>
          <w:rFonts w:eastAsiaTheme="minorHAnsi"/>
          <w:kern w:val="2"/>
          <w:sz w:val="24"/>
          <w:szCs w:val="24"/>
          <w14:ligatures w14:val="standardContextual"/>
        </w:rPr>
        <w:t xml:space="preserve"> </w:t>
      </w:r>
      <w:r w:rsidR="00381FD9" w:rsidRPr="00381FD9">
        <w:rPr>
          <w:rFonts w:ascii="Arial" w:hAnsi="Arial" w:cs="Arial"/>
          <w:sz w:val="22"/>
          <w:szCs w:val="22"/>
        </w:rPr>
        <w:t>(</w:t>
      </w:r>
      <w:proofErr w:type="spellStart"/>
      <w:r w:rsidR="00381FD9" w:rsidRPr="00381FD9">
        <w:rPr>
          <w:rFonts w:ascii="Arial" w:hAnsi="Arial" w:cs="Arial"/>
          <w:sz w:val="22"/>
          <w:szCs w:val="22"/>
        </w:rPr>
        <w:t>Gitman</w:t>
      </w:r>
      <w:proofErr w:type="spellEnd"/>
      <w:r w:rsidR="00381FD9" w:rsidRPr="00381FD9">
        <w:rPr>
          <w:rFonts w:ascii="Arial" w:hAnsi="Arial" w:cs="Arial"/>
          <w:sz w:val="22"/>
          <w:szCs w:val="22"/>
        </w:rPr>
        <w:t xml:space="preserve"> &amp; </w:t>
      </w:r>
      <w:proofErr w:type="spellStart"/>
      <w:r w:rsidR="00381FD9" w:rsidRPr="00381FD9">
        <w:rPr>
          <w:rFonts w:ascii="Arial" w:hAnsi="Arial" w:cs="Arial"/>
          <w:sz w:val="22"/>
          <w:szCs w:val="22"/>
        </w:rPr>
        <w:t>Zutter</w:t>
      </w:r>
      <w:proofErr w:type="spellEnd"/>
      <w:r w:rsidR="00381FD9" w:rsidRPr="00381FD9">
        <w:rPr>
          <w:rFonts w:ascii="Arial" w:hAnsi="Arial" w:cs="Arial"/>
          <w:sz w:val="22"/>
          <w:szCs w:val="22"/>
        </w:rPr>
        <w:t>, 2015).</w:t>
      </w:r>
    </w:p>
    <w:p w14:paraId="0A97CC4F" w14:textId="0C199156" w:rsidR="00E35626" w:rsidRDefault="00FC5EEA" w:rsidP="00AB7AA7">
      <w:pPr>
        <w:spacing w:line="360" w:lineRule="auto"/>
        <w:rPr>
          <w:rFonts w:ascii="Arial" w:hAnsi="Arial" w:cs="Arial"/>
          <w:sz w:val="22"/>
          <w:szCs w:val="22"/>
        </w:rPr>
      </w:pPr>
      <w:r w:rsidRPr="00FC5EEA">
        <w:rPr>
          <w:rFonts w:ascii="Arial" w:hAnsi="Arial" w:cs="Arial"/>
          <w:color w:val="FF0000"/>
          <w:sz w:val="22"/>
          <w:szCs w:val="22"/>
        </w:rPr>
        <w:t xml:space="preserve">The gearing ratio: </w:t>
      </w:r>
    </w:p>
    <w:p w14:paraId="7AE58863" w14:textId="35DD6C7D" w:rsidR="00FC5EEA" w:rsidRPr="00FC5EEA" w:rsidRDefault="00FC5EEA" w:rsidP="00AB7AA7">
      <w:pPr>
        <w:spacing w:line="360" w:lineRule="auto"/>
        <w:rPr>
          <w:rFonts w:ascii="Arial" w:hAnsi="Arial" w:cs="Arial"/>
          <w:sz w:val="22"/>
          <w:szCs w:val="22"/>
        </w:rPr>
      </w:pPr>
      <w:r w:rsidRPr="00FC5EEA">
        <w:rPr>
          <w:rFonts w:ascii="Arial" w:hAnsi="Arial" w:cs="Arial"/>
          <w:sz w:val="22"/>
          <w:szCs w:val="22"/>
        </w:rPr>
        <w:t xml:space="preserve">Debt to Equity Ratio of Apple is 1.23 compared to both the industry average and hypothetical top company, indicating a moderately leveraged capital structure where a large proportion of finance is funded through debt as opposed to equity Percentage of finance is debt. </w:t>
      </w:r>
      <w:r>
        <w:rPr>
          <w:rFonts w:ascii="Arial" w:hAnsi="Arial" w:cs="Arial"/>
          <w:sz w:val="22"/>
          <w:szCs w:val="22"/>
        </w:rPr>
        <w:t>(</w:t>
      </w:r>
      <w:r w:rsidRPr="00FC5EEA">
        <w:rPr>
          <w:rFonts w:ascii="Arial" w:hAnsi="Arial" w:cs="Arial"/>
          <w:sz w:val="22"/>
          <w:szCs w:val="22"/>
        </w:rPr>
        <w:t xml:space="preserve">Brealey et al. </w:t>
      </w:r>
      <w:r w:rsidR="00CA36BF">
        <w:rPr>
          <w:rFonts w:ascii="Arial" w:hAnsi="Arial" w:cs="Arial"/>
          <w:sz w:val="22"/>
          <w:szCs w:val="22"/>
        </w:rPr>
        <w:t xml:space="preserve">2020) </w:t>
      </w:r>
      <w:r w:rsidRPr="00FC5EEA">
        <w:rPr>
          <w:rFonts w:ascii="Arial" w:hAnsi="Arial" w:cs="Arial"/>
          <w:sz w:val="22"/>
          <w:szCs w:val="22"/>
        </w:rPr>
        <w:t xml:space="preserve">confirmed by academic finance research that a </w:t>
      </w:r>
      <w:r w:rsidRPr="00FC5EEA">
        <w:rPr>
          <w:rFonts w:ascii="Arial" w:hAnsi="Arial" w:cs="Arial"/>
          <w:sz w:val="22"/>
          <w:szCs w:val="22"/>
        </w:rPr>
        <w:t>debt-to-equity</w:t>
      </w:r>
      <w:r w:rsidRPr="00FC5EEA">
        <w:rPr>
          <w:rFonts w:ascii="Arial" w:hAnsi="Arial" w:cs="Arial"/>
          <w:sz w:val="22"/>
          <w:szCs w:val="22"/>
        </w:rPr>
        <w:t xml:space="preserve"> ratio under 2 is </w:t>
      </w:r>
      <w:r w:rsidRPr="00FC5EEA">
        <w:rPr>
          <w:rFonts w:ascii="Arial" w:hAnsi="Arial" w:cs="Arial"/>
          <w:sz w:val="22"/>
          <w:szCs w:val="22"/>
        </w:rPr>
        <w:lastRenderedPageBreak/>
        <w:t xml:space="preserve">generally a healthy distribution of capital. This enables the firm to use the advantages of debt’s subsidy and maintain sufficient financial </w:t>
      </w:r>
      <w:r w:rsidRPr="00FC5EEA">
        <w:rPr>
          <w:rFonts w:ascii="Arial" w:hAnsi="Arial" w:cs="Arial"/>
          <w:sz w:val="22"/>
          <w:szCs w:val="22"/>
        </w:rPr>
        <w:t>resources.</w:t>
      </w:r>
    </w:p>
    <w:p w14:paraId="506266CE" w14:textId="77777777" w:rsidR="00BA4D9D" w:rsidRDefault="00BA4D9D" w:rsidP="00AB7AA7">
      <w:pPr>
        <w:spacing w:line="360" w:lineRule="auto"/>
        <w:rPr>
          <w:rFonts w:ascii="Arial" w:hAnsi="Arial" w:cs="Arial"/>
          <w:sz w:val="22"/>
          <w:szCs w:val="22"/>
        </w:rPr>
      </w:pPr>
      <w:r w:rsidRPr="00BA4D9D">
        <w:rPr>
          <w:rFonts w:ascii="Arial" w:hAnsi="Arial" w:cs="Arial"/>
          <w:sz w:val="22"/>
          <w:szCs w:val="22"/>
        </w:rPr>
        <w:t>Apple can profit from the lower cost of debt financing, which is usually lower than the cost of equity, by doing business with a reasonable degree of leverage. It could help improve the company’s profitability and, therefore, its shareholders’ prospects (Ross et al., 2019). Nevertheless, cost of debt may become problematic for Apple’s financial health and credit quality if the corporation does not keep track of its debt at a reasonable level.</w:t>
      </w:r>
    </w:p>
    <w:p w14:paraId="6E0DFD3F" w14:textId="77777777" w:rsidR="005E2B98" w:rsidRPr="005E2B98" w:rsidRDefault="005E2B98" w:rsidP="00AB7AA7">
      <w:pPr>
        <w:spacing w:line="360" w:lineRule="auto"/>
        <w:rPr>
          <w:rFonts w:ascii="Arial" w:hAnsi="Arial" w:cs="Arial"/>
          <w:sz w:val="22"/>
          <w:szCs w:val="22"/>
        </w:rPr>
      </w:pPr>
      <w:r w:rsidRPr="005E2B98">
        <w:rPr>
          <w:rFonts w:ascii="Arial" w:hAnsi="Arial" w:cs="Arial"/>
          <w:sz w:val="22"/>
          <w:szCs w:val="22"/>
        </w:rPr>
        <w:t>The debt-to-equity ratio is, therefore, an essential indicator of a company’s theoretical capital structure and financial risk profile. A high ratio indicates a highly leveraged company, which is undesirable since its financial flexibility is constrained, and a slight change in the market or economy renders it insolvent (Brealey et al., 2020). On the other hand, a low ratio implies that a company does not maximize the benefits of debt financing, including the tax shield and the effect of leverage. By using a moderate debt-to-equity ratio, Apple balances the advantages and disadvantages of debt financing and secures the necessary funds for its strategic initiatives while maintaining financial discipline to ensure it is never overloaded with debt.</w:t>
      </w:r>
    </w:p>
    <w:p w14:paraId="36023497" w14:textId="77777777" w:rsidR="0000232E" w:rsidRPr="0000232E" w:rsidRDefault="0000232E" w:rsidP="00AB7AA7">
      <w:pPr>
        <w:spacing w:line="360" w:lineRule="auto"/>
        <w:rPr>
          <w:rFonts w:ascii="Arial" w:hAnsi="Arial" w:cs="Arial"/>
          <w:color w:val="FF0000"/>
          <w:sz w:val="22"/>
          <w:szCs w:val="22"/>
        </w:rPr>
      </w:pPr>
      <w:r w:rsidRPr="0000232E">
        <w:rPr>
          <w:rFonts w:ascii="Arial" w:hAnsi="Arial" w:cs="Arial"/>
          <w:color w:val="FF0000"/>
          <w:sz w:val="22"/>
          <w:szCs w:val="22"/>
        </w:rPr>
        <w:t>Efficiency Ratio: Asset Turnover Ratio</w:t>
      </w:r>
    </w:p>
    <w:p w14:paraId="0DA84586" w14:textId="77777777" w:rsidR="0000232E" w:rsidRPr="0000232E" w:rsidRDefault="0000232E" w:rsidP="00AB7AA7">
      <w:pPr>
        <w:spacing w:line="360" w:lineRule="auto"/>
        <w:rPr>
          <w:rFonts w:ascii="Arial" w:hAnsi="Arial" w:cs="Arial"/>
          <w:sz w:val="22"/>
          <w:szCs w:val="22"/>
        </w:rPr>
      </w:pPr>
      <w:r w:rsidRPr="0000232E">
        <w:rPr>
          <w:rFonts w:ascii="Arial" w:hAnsi="Arial" w:cs="Arial"/>
          <w:sz w:val="22"/>
          <w:szCs w:val="22"/>
        </w:rPr>
        <w:t>Apple’s asset turnover ratio is 1.12, which indicates a high level of efficiency in converting its assets into revenue. The value implies that the firm makes a lot of sales in relation to its total asset base. It is a good trait for the technology company to have (Palepu &amp; Healy, 2013).</w:t>
      </w:r>
    </w:p>
    <w:p w14:paraId="79C94FFD" w14:textId="77777777" w:rsidR="003B49D0" w:rsidRPr="003B49D0" w:rsidRDefault="003B49D0" w:rsidP="00AB7AA7">
      <w:pPr>
        <w:spacing w:line="360" w:lineRule="auto"/>
        <w:rPr>
          <w:rFonts w:ascii="Arial" w:hAnsi="Arial" w:cs="Arial"/>
          <w:sz w:val="22"/>
          <w:szCs w:val="22"/>
        </w:rPr>
      </w:pPr>
      <w:r w:rsidRPr="003B49D0">
        <w:rPr>
          <w:rFonts w:ascii="Arial" w:hAnsi="Arial" w:cs="Arial"/>
          <w:sz w:val="22"/>
          <w:szCs w:val="22"/>
        </w:rPr>
        <w:t>High asset turnover ratio is possible due to Apple’s business model focused on asset-light operations, including manufacturing and supplies. Moreover, Apple’s business is attractive enough to maintain a high level of demand for its products and services around the world, and its inventory management is also effective (Investopedia, 2022).</w:t>
      </w:r>
    </w:p>
    <w:p w14:paraId="42E0470F" w14:textId="5BC5D091" w:rsidR="00205F0A" w:rsidRPr="00205F0A" w:rsidRDefault="00205F0A" w:rsidP="00AB7AA7">
      <w:pPr>
        <w:spacing w:line="360" w:lineRule="auto"/>
        <w:rPr>
          <w:rFonts w:ascii="Arial" w:hAnsi="Arial" w:cs="Arial"/>
          <w:sz w:val="22"/>
          <w:szCs w:val="22"/>
        </w:rPr>
      </w:pPr>
      <w:r w:rsidRPr="00205F0A">
        <w:rPr>
          <w:rFonts w:ascii="Arial" w:hAnsi="Arial" w:cs="Arial"/>
          <w:sz w:val="22"/>
          <w:szCs w:val="22"/>
        </w:rPr>
        <w:t xml:space="preserve">Theoretically, the asset turnover ratio is a vital indicator of a company’s operational effectiveness and the ability to create sales from the investments made in </w:t>
      </w:r>
      <w:r w:rsidRPr="00205F0A">
        <w:rPr>
          <w:rFonts w:ascii="Arial" w:hAnsi="Arial" w:cs="Arial"/>
          <w:sz w:val="22"/>
          <w:szCs w:val="22"/>
        </w:rPr>
        <w:t>assets.</w:t>
      </w:r>
      <w:r w:rsidRPr="00205F0A">
        <w:rPr>
          <w:rFonts w:ascii="Arial" w:hAnsi="Arial" w:cs="Arial"/>
          <w:sz w:val="22"/>
          <w:szCs w:val="22"/>
        </w:rPr>
        <w:t xml:space="preserve"> Normally, an increased asset turnover rate implies a company is using its resources more efficiently to drive sales, resulting in greater profitability and returns to shareholders (Palepu &amp; Healy, 2013).</w:t>
      </w:r>
    </w:p>
    <w:p w14:paraId="231FB5C1" w14:textId="5D90C8D7" w:rsidR="006046A9" w:rsidRPr="006046A9" w:rsidRDefault="006046A9" w:rsidP="00AB7AA7">
      <w:pPr>
        <w:spacing w:line="360" w:lineRule="auto"/>
        <w:rPr>
          <w:rFonts w:ascii="Arial" w:hAnsi="Arial" w:cs="Arial"/>
          <w:sz w:val="22"/>
          <w:szCs w:val="22"/>
        </w:rPr>
      </w:pPr>
      <w:r w:rsidRPr="006046A9">
        <w:rPr>
          <w:rFonts w:ascii="Arial" w:hAnsi="Arial" w:cs="Arial"/>
          <w:sz w:val="22"/>
          <w:szCs w:val="22"/>
        </w:rPr>
        <w:t xml:space="preserve">Nonetheless, the company must review its asset management strategies and the extent to which it underinvests in critical areas including its research and development to maintain a competitive edge in what could be a very dynamic industry </w:t>
      </w:r>
      <w:r>
        <w:rPr>
          <w:rFonts w:ascii="Arial" w:hAnsi="Arial" w:cs="Arial"/>
          <w:sz w:val="22"/>
          <w:szCs w:val="22"/>
        </w:rPr>
        <w:t>(</w:t>
      </w:r>
      <w:r w:rsidRPr="006046A9">
        <w:rPr>
          <w:rFonts w:ascii="Arial" w:hAnsi="Arial" w:cs="Arial"/>
          <w:sz w:val="22"/>
          <w:szCs w:val="22"/>
        </w:rPr>
        <w:t>Palepu &amp; Healy, 2013</w:t>
      </w:r>
      <w:r>
        <w:rPr>
          <w:rFonts w:ascii="Arial" w:hAnsi="Arial" w:cs="Arial"/>
          <w:sz w:val="22"/>
          <w:szCs w:val="22"/>
        </w:rPr>
        <w:t>)</w:t>
      </w:r>
      <w:r w:rsidRPr="006046A9">
        <w:rPr>
          <w:rFonts w:ascii="Arial" w:hAnsi="Arial" w:cs="Arial"/>
          <w:sz w:val="22"/>
          <w:szCs w:val="22"/>
        </w:rPr>
        <w:t xml:space="preserve">. Thus, </w:t>
      </w:r>
      <w:r w:rsidRPr="006046A9">
        <w:rPr>
          <w:rFonts w:ascii="Arial" w:hAnsi="Arial" w:cs="Arial"/>
          <w:sz w:val="22"/>
          <w:szCs w:val="22"/>
        </w:rPr>
        <w:lastRenderedPageBreak/>
        <w:t>the company should lower the extent to which it under-utilizes its assets while continuing to commit significant resources to expand its global presence and innovating new products.</w:t>
      </w:r>
    </w:p>
    <w:p w14:paraId="42E9E184" w14:textId="77777777" w:rsidR="00FE1DFC" w:rsidRDefault="00FE1DFC" w:rsidP="00AB7AA7">
      <w:pPr>
        <w:spacing w:line="360" w:lineRule="auto"/>
        <w:rPr>
          <w:rFonts w:ascii="Arial" w:hAnsi="Arial" w:cs="Arial"/>
          <w:sz w:val="22"/>
          <w:szCs w:val="22"/>
        </w:rPr>
      </w:pPr>
    </w:p>
    <w:p w14:paraId="618AC4D7" w14:textId="77777777" w:rsidR="00FE1DFC" w:rsidRDefault="00FE1DFC" w:rsidP="00AB7AA7">
      <w:pPr>
        <w:spacing w:line="360" w:lineRule="auto"/>
        <w:rPr>
          <w:rFonts w:ascii="Arial" w:hAnsi="Arial" w:cs="Arial"/>
          <w:sz w:val="22"/>
          <w:szCs w:val="22"/>
        </w:rPr>
      </w:pPr>
    </w:p>
    <w:p w14:paraId="5F9C5079" w14:textId="78BF045D" w:rsidR="00FE1DFC" w:rsidRPr="00FE1DFC" w:rsidRDefault="00FE1DFC" w:rsidP="00AB7AA7">
      <w:pPr>
        <w:spacing w:line="360" w:lineRule="auto"/>
        <w:jc w:val="center"/>
        <w:rPr>
          <w:rFonts w:ascii="Arial" w:hAnsi="Arial" w:cs="Arial"/>
          <w:color w:val="FF0000"/>
          <w:sz w:val="36"/>
          <w:szCs w:val="36"/>
        </w:rPr>
      </w:pPr>
      <w:r w:rsidRPr="00FE1DFC">
        <w:rPr>
          <w:rFonts w:ascii="Arial" w:hAnsi="Arial" w:cs="Arial"/>
          <w:color w:val="FF0000"/>
          <w:sz w:val="36"/>
          <w:szCs w:val="36"/>
        </w:rPr>
        <w:t xml:space="preserve">Comparison to a Major </w:t>
      </w:r>
      <w:r w:rsidRPr="00FE1DFC">
        <w:rPr>
          <w:rFonts w:ascii="Arial" w:hAnsi="Arial" w:cs="Arial"/>
          <w:color w:val="FF0000"/>
          <w:sz w:val="36"/>
          <w:szCs w:val="36"/>
        </w:rPr>
        <w:t>Competitor</w:t>
      </w:r>
    </w:p>
    <w:p w14:paraId="3AE05B99" w14:textId="598C5C55" w:rsidR="00FE1DFC" w:rsidRPr="00FE1DFC" w:rsidRDefault="00FE1DFC" w:rsidP="00AB7AA7">
      <w:pPr>
        <w:spacing w:line="360" w:lineRule="auto"/>
        <w:jc w:val="center"/>
        <w:rPr>
          <w:rFonts w:ascii="Arial" w:hAnsi="Arial" w:cs="Arial"/>
          <w:color w:val="FF0000"/>
          <w:sz w:val="28"/>
          <w:szCs w:val="28"/>
        </w:rPr>
      </w:pPr>
      <w:r w:rsidRPr="00FE1DFC">
        <w:rPr>
          <w:rFonts w:ascii="Arial" w:hAnsi="Arial" w:cs="Arial"/>
          <w:color w:val="FF0000"/>
          <w:sz w:val="28"/>
          <w:szCs w:val="28"/>
        </w:rPr>
        <w:t>Samsung Electronics</w:t>
      </w:r>
    </w:p>
    <w:p w14:paraId="05C3C407" w14:textId="77777777" w:rsidR="00FE1DFC" w:rsidRDefault="00FE1DFC" w:rsidP="00AB7AA7">
      <w:pPr>
        <w:spacing w:line="360" w:lineRule="auto"/>
        <w:rPr>
          <w:rFonts w:ascii="Arial" w:hAnsi="Arial" w:cs="Arial"/>
          <w:sz w:val="22"/>
          <w:szCs w:val="22"/>
        </w:rPr>
      </w:pPr>
    </w:p>
    <w:p w14:paraId="78E6213C" w14:textId="77777777" w:rsidR="00D825FC" w:rsidRPr="00D825FC" w:rsidRDefault="00FE1DFC" w:rsidP="00AB7AA7">
      <w:pPr>
        <w:spacing w:line="360" w:lineRule="auto"/>
        <w:rPr>
          <w:rFonts w:ascii="Arial" w:hAnsi="Arial" w:cs="Arial"/>
          <w:sz w:val="22"/>
          <w:szCs w:val="22"/>
        </w:rPr>
      </w:pPr>
      <w:r w:rsidRPr="00FE1DFC">
        <w:rPr>
          <w:rFonts w:ascii="Arial" w:hAnsi="Arial" w:cs="Arial"/>
          <w:sz w:val="22"/>
          <w:szCs w:val="22"/>
        </w:rPr>
        <w:t>To</w:t>
      </w:r>
      <w:r w:rsidRPr="00FE1DFC">
        <w:rPr>
          <w:rFonts w:ascii="Arial" w:hAnsi="Arial" w:cs="Arial"/>
          <w:sz w:val="22"/>
          <w:szCs w:val="22"/>
        </w:rPr>
        <w:t xml:space="preserve"> facilitate the comparison, I also retrieved the financial ratios of pre-dominant Apple’s competitor, Samsung Electronics, for the same FY2022 period. Profitability ratio: net profit margin. </w:t>
      </w:r>
      <w:r>
        <w:rPr>
          <w:rFonts w:ascii="Arial" w:hAnsi="Arial" w:cs="Arial"/>
          <w:sz w:val="22"/>
          <w:szCs w:val="22"/>
        </w:rPr>
        <w:t>(</w:t>
      </w:r>
      <w:r w:rsidRPr="00FE1DFC">
        <w:rPr>
          <w:rFonts w:ascii="Arial" w:hAnsi="Arial" w:cs="Arial"/>
          <w:sz w:val="22"/>
          <w:szCs w:val="22"/>
        </w:rPr>
        <w:t>Samsung Electronics, 2022</w:t>
      </w:r>
      <w:r>
        <w:rPr>
          <w:rFonts w:ascii="Arial" w:hAnsi="Arial" w:cs="Arial"/>
          <w:sz w:val="22"/>
          <w:szCs w:val="22"/>
        </w:rPr>
        <w:t>)</w:t>
      </w:r>
      <w:r w:rsidRPr="00FE1DFC">
        <w:rPr>
          <w:rFonts w:ascii="Arial" w:hAnsi="Arial" w:cs="Arial"/>
          <w:sz w:val="22"/>
          <w:szCs w:val="22"/>
        </w:rPr>
        <w:t xml:space="preserve">, reported a net profit margin of 19.5%. This index is below the performance of Apple of 25.3%, which means that Apple generates more profit is relation to the revenue it obtains. The reason for the difference is the higher brand recognition and the capacity to charge a premium by Apple, as well as the successful ecosystem approach that enables the company to attain higher </w:t>
      </w:r>
      <w:r w:rsidRPr="00FE1DFC">
        <w:rPr>
          <w:rFonts w:ascii="Arial" w:hAnsi="Arial" w:cs="Arial"/>
          <w:sz w:val="22"/>
          <w:szCs w:val="22"/>
        </w:rPr>
        <w:t>margins.</w:t>
      </w:r>
      <w:r w:rsidRPr="00FE1DFC">
        <w:rPr>
          <w:rFonts w:ascii="Arial" w:hAnsi="Arial" w:cs="Arial"/>
          <w:sz w:val="22"/>
          <w:szCs w:val="22"/>
        </w:rPr>
        <w:t xml:space="preserve"> Samsung is also a leader, but it has diverse additional components and customer electronics offering in its portfolio, which contracts its </w:t>
      </w:r>
      <w:r w:rsidRPr="00FE1DFC">
        <w:rPr>
          <w:rFonts w:ascii="Arial" w:hAnsi="Arial" w:cs="Arial"/>
          <w:sz w:val="22"/>
          <w:szCs w:val="22"/>
        </w:rPr>
        <w:t>profitability</w:t>
      </w:r>
      <w:r w:rsidR="00D825FC">
        <w:rPr>
          <w:rFonts w:ascii="Arial" w:hAnsi="Arial" w:cs="Arial"/>
          <w:sz w:val="22"/>
          <w:szCs w:val="22"/>
        </w:rPr>
        <w:t xml:space="preserve"> </w:t>
      </w:r>
      <w:r w:rsidR="00D825FC" w:rsidRPr="00D825FC">
        <w:rPr>
          <w:rFonts w:ascii="Arial" w:hAnsi="Arial" w:cs="Arial"/>
          <w:sz w:val="22"/>
          <w:szCs w:val="22"/>
        </w:rPr>
        <w:t>(Gartner, 2022).</w:t>
      </w:r>
    </w:p>
    <w:p w14:paraId="2DD9CEB9" w14:textId="51BCE0F3" w:rsidR="00286A32" w:rsidRPr="00286A32" w:rsidRDefault="00286A32" w:rsidP="00AB7AA7">
      <w:pPr>
        <w:spacing w:line="360" w:lineRule="auto"/>
        <w:rPr>
          <w:rFonts w:ascii="Arial" w:hAnsi="Arial" w:cs="Arial"/>
          <w:sz w:val="22"/>
          <w:szCs w:val="22"/>
        </w:rPr>
      </w:pPr>
      <w:r w:rsidRPr="00286A32">
        <w:rPr>
          <w:rFonts w:ascii="Arial" w:hAnsi="Arial" w:cs="Arial"/>
          <w:sz w:val="22"/>
          <w:szCs w:val="22"/>
        </w:rPr>
        <w:t xml:space="preserve">In terms of academic merit, the higher figure of net profit margin is usually welcome because it shows that a company is better at converting its revenue into </w:t>
      </w:r>
      <w:r w:rsidRPr="00286A32">
        <w:rPr>
          <w:rFonts w:ascii="Arial" w:hAnsi="Arial" w:cs="Arial"/>
          <w:sz w:val="22"/>
          <w:szCs w:val="22"/>
        </w:rPr>
        <w:t>profit.</w:t>
      </w:r>
      <w:r w:rsidRPr="00286A32">
        <w:rPr>
          <w:rFonts w:ascii="Arial" w:hAnsi="Arial" w:cs="Arial"/>
          <w:sz w:val="22"/>
          <w:szCs w:val="22"/>
        </w:rPr>
        <w:t xml:space="preserve"> As a result, it gives the business more financial options in terms of investment in growth projects, resistance to a downturn in the market and contribution of capital to shareholders (Brigham &amp; Houston, 2019).</w:t>
      </w:r>
    </w:p>
    <w:p w14:paraId="7C8A32FE" w14:textId="122D935A" w:rsidR="00A94E6B" w:rsidRDefault="00A307F4" w:rsidP="00AB7AA7">
      <w:pPr>
        <w:spacing w:line="360" w:lineRule="auto"/>
        <w:rPr>
          <w:rFonts w:ascii="Arial" w:hAnsi="Arial" w:cs="Arial"/>
          <w:sz w:val="22"/>
          <w:szCs w:val="22"/>
        </w:rPr>
      </w:pPr>
      <w:r w:rsidRPr="00A307F4">
        <w:rPr>
          <w:rFonts w:ascii="Arial" w:hAnsi="Arial" w:cs="Arial"/>
          <w:sz w:val="22"/>
          <w:szCs w:val="22"/>
        </w:rPr>
        <w:t xml:space="preserve">The current ratio applied to Samsung Electronics is 1.36 for the fiscal year </w:t>
      </w:r>
      <w:r w:rsidRPr="00A307F4">
        <w:rPr>
          <w:rFonts w:ascii="Arial" w:hAnsi="Arial" w:cs="Arial"/>
          <w:sz w:val="22"/>
          <w:szCs w:val="22"/>
        </w:rPr>
        <w:t>2022</w:t>
      </w:r>
      <w:r w:rsidR="001E6EE6" w:rsidRPr="001E6EE6">
        <w:rPr>
          <w:rFonts w:ascii="Times New Roman" w:eastAsia="Times New Roman" w:hAnsi="Times New Roman" w:cs="Times New Roman"/>
          <w:sz w:val="24"/>
          <w:szCs w:val="24"/>
          <w:lang w:eastAsia="en-GB"/>
        </w:rPr>
        <w:t xml:space="preserve"> </w:t>
      </w:r>
      <w:r w:rsidR="001E6EE6" w:rsidRPr="001E6EE6">
        <w:rPr>
          <w:rFonts w:ascii="Arial" w:hAnsi="Arial" w:cs="Arial"/>
          <w:sz w:val="22"/>
          <w:szCs w:val="22"/>
        </w:rPr>
        <w:t>(Samsung Electronics, 2022)</w:t>
      </w:r>
      <w:r w:rsidR="001E6EE6">
        <w:rPr>
          <w:rFonts w:ascii="Arial" w:hAnsi="Arial" w:cs="Arial"/>
          <w:sz w:val="22"/>
          <w:szCs w:val="22"/>
        </w:rPr>
        <w:t xml:space="preserve">. </w:t>
      </w:r>
      <w:r w:rsidRPr="00A307F4">
        <w:rPr>
          <w:rFonts w:ascii="Arial" w:hAnsi="Arial" w:cs="Arial"/>
          <w:sz w:val="22"/>
          <w:szCs w:val="22"/>
        </w:rPr>
        <w:t xml:space="preserve">The ratio is higher than that of Apple, </w:t>
      </w:r>
      <w:r w:rsidRPr="00A307F4">
        <w:rPr>
          <w:rFonts w:ascii="Arial" w:hAnsi="Arial" w:cs="Arial"/>
          <w:sz w:val="22"/>
          <w:szCs w:val="22"/>
        </w:rPr>
        <w:t>equalling</w:t>
      </w:r>
      <w:r w:rsidRPr="00A307F4">
        <w:rPr>
          <w:rFonts w:ascii="Arial" w:hAnsi="Arial" w:cs="Arial"/>
          <w:sz w:val="22"/>
          <w:szCs w:val="22"/>
        </w:rPr>
        <w:t xml:space="preserve"> 1.16. The calculation means the company has a better liquidity position, and its short-term obligations are more manageable than the </w:t>
      </w:r>
      <w:r w:rsidRPr="00A307F4">
        <w:rPr>
          <w:rFonts w:ascii="Arial" w:hAnsi="Arial" w:cs="Arial"/>
          <w:sz w:val="22"/>
          <w:szCs w:val="22"/>
        </w:rPr>
        <w:t>competitors</w:t>
      </w:r>
      <w:r w:rsidRPr="00A307F4">
        <w:rPr>
          <w:rFonts w:ascii="Arial" w:hAnsi="Arial" w:cs="Arial"/>
          <w:sz w:val="22"/>
          <w:szCs w:val="22"/>
        </w:rPr>
        <w:t xml:space="preserve"> are. The higher current ratio is likely attributable to Samsung’s substantial inventory and cash, which stem from the company’s significant share in a variety of markets, including semiconductors and household appliances, and Apple’s limited consumer electronics and services </w:t>
      </w:r>
      <w:r w:rsidR="001E6EE6" w:rsidRPr="00A307F4">
        <w:rPr>
          <w:rFonts w:ascii="Arial" w:hAnsi="Arial" w:cs="Arial"/>
          <w:sz w:val="22"/>
          <w:szCs w:val="22"/>
        </w:rPr>
        <w:t>specialization</w:t>
      </w:r>
      <w:r w:rsidR="001E6EE6">
        <w:rPr>
          <w:rFonts w:ascii="Arial" w:hAnsi="Arial" w:cs="Arial"/>
          <w:sz w:val="22"/>
          <w:szCs w:val="22"/>
        </w:rPr>
        <w:t xml:space="preserve"> </w:t>
      </w:r>
      <w:r w:rsidR="00A94E6B" w:rsidRPr="00A94E6B">
        <w:rPr>
          <w:rFonts w:ascii="Arial" w:hAnsi="Arial" w:cs="Arial"/>
          <w:sz w:val="22"/>
          <w:szCs w:val="22"/>
        </w:rPr>
        <w:t>(</w:t>
      </w:r>
      <w:proofErr w:type="spellStart"/>
      <w:r w:rsidR="00A94E6B" w:rsidRPr="00A94E6B">
        <w:rPr>
          <w:rFonts w:ascii="Arial" w:hAnsi="Arial" w:cs="Arial"/>
          <w:sz w:val="22"/>
          <w:szCs w:val="22"/>
        </w:rPr>
        <w:t>Gitman</w:t>
      </w:r>
      <w:proofErr w:type="spellEnd"/>
      <w:r w:rsidR="00A94E6B" w:rsidRPr="00A94E6B">
        <w:rPr>
          <w:rFonts w:ascii="Arial" w:hAnsi="Arial" w:cs="Arial"/>
          <w:sz w:val="22"/>
          <w:szCs w:val="22"/>
        </w:rPr>
        <w:t xml:space="preserve"> &amp; </w:t>
      </w:r>
      <w:proofErr w:type="spellStart"/>
      <w:r w:rsidR="00A94E6B" w:rsidRPr="00A94E6B">
        <w:rPr>
          <w:rFonts w:ascii="Arial" w:hAnsi="Arial" w:cs="Arial"/>
          <w:sz w:val="22"/>
          <w:szCs w:val="22"/>
        </w:rPr>
        <w:t>Zutter</w:t>
      </w:r>
      <w:proofErr w:type="spellEnd"/>
      <w:r w:rsidR="00A94E6B" w:rsidRPr="00A94E6B">
        <w:rPr>
          <w:rFonts w:ascii="Arial" w:hAnsi="Arial" w:cs="Arial"/>
          <w:sz w:val="22"/>
          <w:szCs w:val="22"/>
        </w:rPr>
        <w:t>, 2015)</w:t>
      </w:r>
      <w:r w:rsidR="00A94E6B">
        <w:rPr>
          <w:rFonts w:ascii="Arial" w:hAnsi="Arial" w:cs="Arial"/>
          <w:sz w:val="22"/>
          <w:szCs w:val="22"/>
        </w:rPr>
        <w:t>.</w:t>
      </w:r>
    </w:p>
    <w:p w14:paraId="070C008B" w14:textId="77777777" w:rsidR="004D5FD9" w:rsidRPr="004D5FD9" w:rsidRDefault="0018733A" w:rsidP="00AB7AA7">
      <w:pPr>
        <w:spacing w:line="360" w:lineRule="auto"/>
        <w:rPr>
          <w:rFonts w:ascii="Arial" w:hAnsi="Arial" w:cs="Arial"/>
          <w:sz w:val="22"/>
          <w:szCs w:val="22"/>
        </w:rPr>
      </w:pPr>
      <w:r w:rsidRPr="0018733A">
        <w:rPr>
          <w:rFonts w:ascii="Arial" w:hAnsi="Arial" w:cs="Arial"/>
          <w:sz w:val="22"/>
          <w:szCs w:val="22"/>
        </w:rPr>
        <w:t xml:space="preserve">From a theoretical point of view, a higher current ratio means that a company has a larger basket to cover its current liabilities, giving it more financial elbow room and more stable </w:t>
      </w:r>
      <w:r w:rsidRPr="0018733A">
        <w:rPr>
          <w:rFonts w:ascii="Arial" w:hAnsi="Arial" w:cs="Arial"/>
          <w:sz w:val="22"/>
          <w:szCs w:val="22"/>
        </w:rPr>
        <w:t>ground.</w:t>
      </w:r>
      <w:r w:rsidRPr="0018733A">
        <w:rPr>
          <w:rFonts w:ascii="Arial" w:hAnsi="Arial" w:cs="Arial"/>
          <w:sz w:val="22"/>
          <w:szCs w:val="22"/>
        </w:rPr>
        <w:t xml:space="preserve"> However, Apple and Samsung both need to monitor how they manage their working </w:t>
      </w:r>
      <w:r w:rsidRPr="0018733A">
        <w:rPr>
          <w:rFonts w:ascii="Arial" w:hAnsi="Arial" w:cs="Arial"/>
          <w:sz w:val="22"/>
          <w:szCs w:val="22"/>
        </w:rPr>
        <w:lastRenderedPageBreak/>
        <w:t>capital and make sure not to over-accumulate current assets, which would mean less utilization of assets and more opportunity costs</w:t>
      </w:r>
      <w:r w:rsidR="004D5FD9">
        <w:rPr>
          <w:rFonts w:ascii="Arial" w:hAnsi="Arial" w:cs="Arial"/>
          <w:sz w:val="22"/>
          <w:szCs w:val="22"/>
        </w:rPr>
        <w:t xml:space="preserve"> </w:t>
      </w:r>
      <w:r w:rsidR="004D5FD9" w:rsidRPr="004D5FD9">
        <w:rPr>
          <w:rFonts w:ascii="Arial" w:hAnsi="Arial" w:cs="Arial"/>
          <w:sz w:val="22"/>
          <w:szCs w:val="22"/>
        </w:rPr>
        <w:t>(Brigham &amp; Houston, 2019)</w:t>
      </w:r>
    </w:p>
    <w:p w14:paraId="369D2F6A" w14:textId="77777777" w:rsidR="0040252D" w:rsidRPr="0040252D" w:rsidRDefault="0040252D" w:rsidP="00AB7AA7">
      <w:pPr>
        <w:spacing w:line="360" w:lineRule="auto"/>
        <w:rPr>
          <w:rFonts w:ascii="Arial" w:hAnsi="Arial" w:cs="Arial"/>
          <w:color w:val="FF0000"/>
          <w:sz w:val="22"/>
          <w:szCs w:val="22"/>
        </w:rPr>
      </w:pPr>
      <w:r w:rsidRPr="0040252D">
        <w:rPr>
          <w:rFonts w:ascii="Arial" w:hAnsi="Arial" w:cs="Arial"/>
          <w:color w:val="FF0000"/>
          <w:sz w:val="22"/>
          <w:szCs w:val="22"/>
        </w:rPr>
        <w:t>The Gearing Ratio: Debt-to-Equity Ratio</w:t>
      </w:r>
    </w:p>
    <w:p w14:paraId="4730D6EA" w14:textId="73B82E26" w:rsidR="0040252D" w:rsidRDefault="0040252D" w:rsidP="00AB7AA7">
      <w:pPr>
        <w:spacing w:line="360" w:lineRule="auto"/>
        <w:rPr>
          <w:rFonts w:ascii="Arial" w:hAnsi="Arial" w:cs="Arial"/>
          <w:sz w:val="22"/>
          <w:szCs w:val="22"/>
        </w:rPr>
      </w:pPr>
      <w:r w:rsidRPr="0040252D">
        <w:rPr>
          <w:rFonts w:ascii="Arial" w:hAnsi="Arial" w:cs="Arial"/>
          <w:sz w:val="22"/>
          <w:szCs w:val="22"/>
        </w:rPr>
        <w:t>For the fiscal year 2022, Samsung Electronics has reported a debt-to-equity ratio equal to 0.38</w:t>
      </w:r>
      <w:r w:rsidR="004415BF">
        <w:rPr>
          <w:rFonts w:ascii="Arial" w:hAnsi="Arial" w:cs="Arial"/>
          <w:sz w:val="22"/>
          <w:szCs w:val="22"/>
        </w:rPr>
        <w:t xml:space="preserve"> </w:t>
      </w:r>
      <w:r w:rsidR="004415BF" w:rsidRPr="004415BF">
        <w:rPr>
          <w:rFonts w:ascii="Arial" w:hAnsi="Arial" w:cs="Arial"/>
          <w:sz w:val="22"/>
          <w:szCs w:val="22"/>
        </w:rPr>
        <w:t>(Samsung Electronics, 2022)</w:t>
      </w:r>
      <w:r w:rsidR="004415BF">
        <w:rPr>
          <w:rFonts w:ascii="Arial" w:hAnsi="Arial" w:cs="Arial"/>
          <w:sz w:val="22"/>
          <w:szCs w:val="22"/>
        </w:rPr>
        <w:t xml:space="preserve">, </w:t>
      </w:r>
      <w:r w:rsidRPr="0040252D">
        <w:rPr>
          <w:rFonts w:ascii="Arial" w:hAnsi="Arial" w:cs="Arial"/>
          <w:sz w:val="22"/>
          <w:szCs w:val="22"/>
        </w:rPr>
        <w:t xml:space="preserve">whereas this indicator for Apple is equal to </w:t>
      </w:r>
      <w:r w:rsidRPr="0040252D">
        <w:rPr>
          <w:rFonts w:ascii="Arial" w:hAnsi="Arial" w:cs="Arial"/>
          <w:sz w:val="22"/>
          <w:szCs w:val="22"/>
        </w:rPr>
        <w:t>1.23.</w:t>
      </w:r>
      <w:r w:rsidRPr="0040252D">
        <w:rPr>
          <w:rFonts w:ascii="Arial" w:hAnsi="Arial" w:cs="Arial"/>
          <w:sz w:val="22"/>
          <w:szCs w:val="22"/>
        </w:rPr>
        <w:t xml:space="preserve"> Based on this information, it is possible to suggest that Samsung utilizes more conservative capital structure, which implies that a higher proportion of capital is generated using equity financing. In turn, it is possible to suggest that the lower debt-to-equity ratio indicates a lower level of financial leverage, which may be interpreted as less risky approach for capital structure, as the company has more financial stability and </w:t>
      </w:r>
      <w:r w:rsidRPr="0040252D">
        <w:rPr>
          <w:rFonts w:ascii="Arial" w:hAnsi="Arial" w:cs="Arial"/>
          <w:sz w:val="22"/>
          <w:szCs w:val="22"/>
        </w:rPr>
        <w:t>flexibility</w:t>
      </w:r>
      <w:r w:rsidR="00AB11E6">
        <w:rPr>
          <w:rFonts w:ascii="Arial" w:hAnsi="Arial" w:cs="Arial"/>
          <w:sz w:val="22"/>
          <w:szCs w:val="22"/>
        </w:rPr>
        <w:t xml:space="preserve"> </w:t>
      </w:r>
      <w:r w:rsidR="00AB11E6" w:rsidRPr="00AB11E6">
        <w:rPr>
          <w:rFonts w:ascii="Arial" w:hAnsi="Arial" w:cs="Arial"/>
          <w:sz w:val="22"/>
          <w:szCs w:val="22"/>
        </w:rPr>
        <w:t>(Brealey et al., 2020)</w:t>
      </w:r>
      <w:r w:rsidRPr="0040252D">
        <w:rPr>
          <w:rFonts w:ascii="Arial" w:hAnsi="Arial" w:cs="Arial"/>
          <w:sz w:val="22"/>
          <w:szCs w:val="22"/>
        </w:rPr>
        <w:t>.</w:t>
      </w:r>
      <w:r w:rsidRPr="0040252D">
        <w:rPr>
          <w:rFonts w:ascii="Arial" w:hAnsi="Arial" w:cs="Arial"/>
          <w:sz w:val="22"/>
          <w:szCs w:val="22"/>
        </w:rPr>
        <w:t xml:space="preserve"> At the same, this fact implies that Samsung is more limited in its growth opportunities that could be financed by debts.</w:t>
      </w:r>
    </w:p>
    <w:p w14:paraId="277B3A8A" w14:textId="72995596" w:rsidR="004415BF" w:rsidRDefault="009576AF" w:rsidP="00AB7AA7">
      <w:pPr>
        <w:spacing w:line="360" w:lineRule="auto"/>
        <w:rPr>
          <w:rFonts w:ascii="Arial" w:hAnsi="Arial" w:cs="Arial"/>
          <w:sz w:val="22"/>
          <w:szCs w:val="22"/>
        </w:rPr>
      </w:pPr>
      <w:r w:rsidRPr="009576AF">
        <w:rPr>
          <w:rFonts w:ascii="Arial" w:hAnsi="Arial" w:cs="Arial"/>
          <w:sz w:val="22"/>
          <w:szCs w:val="22"/>
        </w:rPr>
        <w:t xml:space="preserve">Academically, a lower debt-to-equity ratio is indicated to be more conservative and less risky as a capital structure. This is because it lowers the company’s exposure to adverse consequences of too much debt financing, such as increased interest expenses and financial </w:t>
      </w:r>
      <w:r w:rsidRPr="009576AF">
        <w:rPr>
          <w:rFonts w:ascii="Arial" w:hAnsi="Arial" w:cs="Arial"/>
          <w:sz w:val="22"/>
          <w:szCs w:val="22"/>
        </w:rPr>
        <w:t>distress.</w:t>
      </w:r>
      <w:r w:rsidRPr="009576AF">
        <w:rPr>
          <w:rFonts w:ascii="Arial" w:hAnsi="Arial" w:cs="Arial"/>
          <w:sz w:val="22"/>
          <w:szCs w:val="22"/>
        </w:rPr>
        <w:t xml:space="preserve"> However, it is critical for both Apple and Samsung to keep reviewing their capital structure to make sure that they are employing their use of debt and equity financing to accomplish their strategic goals</w:t>
      </w:r>
      <w:r w:rsidR="0020583C">
        <w:rPr>
          <w:rFonts w:ascii="Arial" w:hAnsi="Arial" w:cs="Arial"/>
          <w:sz w:val="22"/>
          <w:szCs w:val="22"/>
        </w:rPr>
        <w:t>.</w:t>
      </w:r>
    </w:p>
    <w:p w14:paraId="07657623" w14:textId="77777777" w:rsidR="00CA66F4" w:rsidRPr="00CA66F4" w:rsidRDefault="00CA66F4" w:rsidP="00AB7AA7">
      <w:pPr>
        <w:spacing w:line="360" w:lineRule="auto"/>
        <w:rPr>
          <w:rFonts w:ascii="Arial" w:hAnsi="Arial" w:cs="Arial"/>
          <w:color w:val="FF0000"/>
          <w:sz w:val="22"/>
          <w:szCs w:val="22"/>
        </w:rPr>
      </w:pPr>
      <w:r w:rsidRPr="00CA66F4">
        <w:rPr>
          <w:rFonts w:ascii="Arial" w:hAnsi="Arial" w:cs="Arial"/>
          <w:color w:val="FF0000"/>
          <w:sz w:val="22"/>
          <w:szCs w:val="22"/>
        </w:rPr>
        <w:t>Efficiency Ratio: Asset Turnover Ratio:</w:t>
      </w:r>
    </w:p>
    <w:p w14:paraId="5CC268A9" w14:textId="74F3E801" w:rsidR="00CA66F4" w:rsidRDefault="00CA66F4" w:rsidP="00AB7AA7">
      <w:pPr>
        <w:spacing w:line="360" w:lineRule="auto"/>
        <w:rPr>
          <w:rFonts w:ascii="Arial" w:hAnsi="Arial" w:cs="Arial"/>
          <w:sz w:val="22"/>
          <w:szCs w:val="22"/>
        </w:rPr>
      </w:pPr>
      <w:r w:rsidRPr="00CA66F4">
        <w:rPr>
          <w:rFonts w:ascii="Arial" w:hAnsi="Arial" w:cs="Arial"/>
          <w:sz w:val="22"/>
          <w:szCs w:val="22"/>
        </w:rPr>
        <w:t xml:space="preserve">The asset turnover ratio for Samsung Electronics for the fiscal year 2022 is </w:t>
      </w:r>
      <w:r w:rsidRPr="00CA66F4">
        <w:rPr>
          <w:rFonts w:ascii="Arial" w:hAnsi="Arial" w:cs="Arial"/>
          <w:sz w:val="22"/>
          <w:szCs w:val="22"/>
        </w:rPr>
        <w:t>0.84</w:t>
      </w:r>
      <w:r w:rsidR="003F0FE2">
        <w:rPr>
          <w:rFonts w:ascii="Arial" w:hAnsi="Arial" w:cs="Arial"/>
          <w:sz w:val="22"/>
          <w:szCs w:val="22"/>
        </w:rPr>
        <w:t xml:space="preserve"> </w:t>
      </w:r>
      <w:r w:rsidR="003F0FE2" w:rsidRPr="003F0FE2">
        <w:rPr>
          <w:rFonts w:ascii="Arial" w:hAnsi="Arial" w:cs="Arial"/>
          <w:sz w:val="22"/>
          <w:szCs w:val="22"/>
        </w:rPr>
        <w:t>(Samsung Electronics, 2022)</w:t>
      </w:r>
      <w:r w:rsidRPr="00CA66F4">
        <w:rPr>
          <w:rFonts w:ascii="Arial" w:hAnsi="Arial" w:cs="Arial"/>
          <w:sz w:val="22"/>
          <w:szCs w:val="22"/>
        </w:rPr>
        <w:t>.</w:t>
      </w:r>
      <w:r w:rsidRPr="00CA66F4">
        <w:rPr>
          <w:rFonts w:ascii="Arial" w:hAnsi="Arial" w:cs="Arial"/>
          <w:sz w:val="22"/>
          <w:szCs w:val="22"/>
        </w:rPr>
        <w:t xml:space="preserve"> Thus, Apple’s asset turnover ratio of 1.12 suggests that Apple is more efficient when it comes to converting its assets into revenue. Indeed, Investopedia states that the asset turnover ratio reflects how effective the company is in generating sales relative to its asset base. The website also suggests that Apple’s superior asset turnover ratio can be due to its slimmer operations, a more focused portfolio, and stronger branding. However, in theory, since Apple is better at utilizing its assets to generate sales, it should also be better when it comes to reaping the reward of the sales in the form of the bottom line and shareholder returns overall. Nevertheless, both Apple and Samsung need to keep a close eye on their asset management strategies and ensure that they apply the funds profitably to retain the high levels of growth and competitiveness.</w:t>
      </w:r>
    </w:p>
    <w:p w14:paraId="73677E9F" w14:textId="77777777" w:rsidR="003F0FE2" w:rsidRPr="00CA66F4" w:rsidRDefault="003F0FE2" w:rsidP="00AB7AA7">
      <w:pPr>
        <w:spacing w:line="360" w:lineRule="auto"/>
        <w:rPr>
          <w:rFonts w:ascii="Arial" w:hAnsi="Arial" w:cs="Arial"/>
          <w:sz w:val="22"/>
          <w:szCs w:val="22"/>
        </w:rPr>
      </w:pPr>
    </w:p>
    <w:p w14:paraId="552BC353" w14:textId="77777777" w:rsidR="0020583C" w:rsidRPr="0040252D" w:rsidRDefault="0020583C" w:rsidP="00AB7AA7">
      <w:pPr>
        <w:spacing w:line="360" w:lineRule="auto"/>
        <w:rPr>
          <w:rFonts w:ascii="Arial" w:hAnsi="Arial" w:cs="Arial"/>
          <w:sz w:val="22"/>
          <w:szCs w:val="22"/>
        </w:rPr>
      </w:pPr>
    </w:p>
    <w:p w14:paraId="73EA70E9" w14:textId="16DC27D6" w:rsidR="0018733A" w:rsidRPr="00E3233E" w:rsidRDefault="00E3233E" w:rsidP="00AB7AA7">
      <w:pPr>
        <w:spacing w:line="360" w:lineRule="auto"/>
        <w:jc w:val="center"/>
        <w:rPr>
          <w:rFonts w:ascii="Arial" w:hAnsi="Arial" w:cs="Arial"/>
          <w:color w:val="FF0000"/>
          <w:sz w:val="44"/>
          <w:szCs w:val="44"/>
        </w:rPr>
      </w:pPr>
      <w:r w:rsidRPr="00E3233E">
        <w:rPr>
          <w:color w:val="FF0000"/>
          <w:sz w:val="36"/>
          <w:szCs w:val="36"/>
        </w:rPr>
        <w:lastRenderedPageBreak/>
        <w:t>Recommendations for Improving Apple's Financial Management</w:t>
      </w:r>
    </w:p>
    <w:p w14:paraId="7272F6D5" w14:textId="77777777" w:rsidR="009E2FCC" w:rsidRDefault="009E2FCC" w:rsidP="00AB7AA7">
      <w:pPr>
        <w:spacing w:line="360" w:lineRule="auto"/>
        <w:rPr>
          <w:rFonts w:ascii="Arial" w:hAnsi="Arial" w:cs="Arial"/>
          <w:sz w:val="22"/>
          <w:szCs w:val="22"/>
        </w:rPr>
      </w:pPr>
    </w:p>
    <w:p w14:paraId="11C7F884" w14:textId="701A4254" w:rsidR="009E2FCC" w:rsidRPr="00B04A6F" w:rsidRDefault="009E2FCC" w:rsidP="00AB7AA7">
      <w:pPr>
        <w:pStyle w:val="ListParagraph"/>
        <w:numPr>
          <w:ilvl w:val="0"/>
          <w:numId w:val="3"/>
        </w:numPr>
        <w:spacing w:line="360" w:lineRule="auto"/>
        <w:rPr>
          <w:rFonts w:ascii="Arial" w:hAnsi="Arial" w:cs="Arial"/>
          <w:sz w:val="22"/>
          <w:szCs w:val="22"/>
        </w:rPr>
      </w:pPr>
      <w:r w:rsidRPr="00B04A6F">
        <w:rPr>
          <w:rFonts w:ascii="Arial" w:hAnsi="Arial" w:cs="Arial"/>
          <w:sz w:val="22"/>
          <w:szCs w:val="22"/>
        </w:rPr>
        <w:t xml:space="preserve">Keep a balanced capital structure. </w:t>
      </w:r>
      <w:r w:rsidRPr="00B04A6F">
        <w:rPr>
          <w:rFonts w:ascii="Arial" w:hAnsi="Arial" w:cs="Arial"/>
          <w:sz w:val="22"/>
          <w:szCs w:val="22"/>
        </w:rPr>
        <w:t>Even though</w:t>
      </w:r>
      <w:r w:rsidRPr="00B04A6F">
        <w:rPr>
          <w:rFonts w:ascii="Arial" w:hAnsi="Arial" w:cs="Arial"/>
          <w:sz w:val="22"/>
          <w:szCs w:val="22"/>
        </w:rPr>
        <w:t xml:space="preserve"> the debt-to-equity ratio is currently sufficient, Apple should keep track of the capital structure and ensure that a right mix of debt and equity is maintained. As a result, it will ensure the opportunity to receive interest and derivatives, tax protection of interest, as well as financial strength.</w:t>
      </w:r>
    </w:p>
    <w:p w14:paraId="309B3DCD" w14:textId="5D2AAD7A" w:rsidR="00FE1DFC" w:rsidRPr="00B04A6F" w:rsidRDefault="00AF6B7D" w:rsidP="00AB7AA7">
      <w:pPr>
        <w:pStyle w:val="ListParagraph"/>
        <w:numPr>
          <w:ilvl w:val="0"/>
          <w:numId w:val="3"/>
        </w:numPr>
        <w:spacing w:line="360" w:lineRule="auto"/>
        <w:rPr>
          <w:rFonts w:ascii="Arial" w:hAnsi="Arial" w:cs="Arial"/>
          <w:sz w:val="22"/>
          <w:szCs w:val="22"/>
        </w:rPr>
      </w:pPr>
      <w:r w:rsidRPr="00B04A6F">
        <w:rPr>
          <w:rFonts w:ascii="Arial" w:hAnsi="Arial" w:cs="Arial"/>
          <w:sz w:val="22"/>
          <w:szCs w:val="22"/>
        </w:rPr>
        <w:t>Optimize working capital management – Apple has a high current ratio, which allows for low liquidity risk, but the company needs to review the existing strategies to avoid excessive current assets, which are an inadequate exercise and bring about lower asset utilization rates and higher opportunity costs. The firm should optimize inventory, accounts receivable, and accounts payable management to enhance overall efficiency and profitability.</w:t>
      </w:r>
    </w:p>
    <w:p w14:paraId="39F6B77B" w14:textId="4A03D8B1" w:rsidR="00AF6B7D" w:rsidRPr="00B04A6F" w:rsidRDefault="00274F75" w:rsidP="00AB7AA7">
      <w:pPr>
        <w:pStyle w:val="ListParagraph"/>
        <w:numPr>
          <w:ilvl w:val="0"/>
          <w:numId w:val="3"/>
        </w:numPr>
        <w:spacing w:line="360" w:lineRule="auto"/>
        <w:rPr>
          <w:rFonts w:ascii="Arial" w:hAnsi="Arial" w:cs="Arial"/>
          <w:sz w:val="22"/>
          <w:szCs w:val="22"/>
        </w:rPr>
      </w:pPr>
      <w:r w:rsidRPr="00B04A6F">
        <w:rPr>
          <w:rFonts w:ascii="Arial" w:hAnsi="Arial" w:cs="Arial"/>
          <w:sz w:val="22"/>
          <w:szCs w:val="22"/>
        </w:rPr>
        <w:t>Invest in R&amp;D: Although Apple’s current high asset turnover ratio suggests high efficiency in asset utilization, the company must ensure it does not underinvest in other vital areas like R&amp;D to stay competitive in the tech industry that has high velocity change. Continued investment in research and innovation to create new products would continue to give Apple a competitive advantage and maintain its market leader spot.</w:t>
      </w:r>
    </w:p>
    <w:p w14:paraId="07CAE861" w14:textId="0AB45D75" w:rsidR="00BA4D9D" w:rsidRPr="00B04A6F" w:rsidRDefault="00E557C4" w:rsidP="00AB7AA7">
      <w:pPr>
        <w:pStyle w:val="ListParagraph"/>
        <w:numPr>
          <w:ilvl w:val="0"/>
          <w:numId w:val="3"/>
        </w:numPr>
        <w:spacing w:line="360" w:lineRule="auto"/>
        <w:rPr>
          <w:rFonts w:ascii="Arial" w:hAnsi="Arial" w:cs="Arial"/>
          <w:sz w:val="22"/>
          <w:szCs w:val="22"/>
        </w:rPr>
      </w:pPr>
      <w:r w:rsidRPr="00B04A6F">
        <w:rPr>
          <w:rFonts w:ascii="Arial" w:hAnsi="Arial" w:cs="Arial"/>
          <w:sz w:val="22"/>
          <w:szCs w:val="22"/>
        </w:rPr>
        <w:t xml:space="preserve">Improve revenue, streams diversification; despite the profitability and brand power that have significantly contributed to the success of Apple, the company should explore new opportunities to diversify its revenue streams beyond hardware sales. It can diversify its sources of revenue expanding its high-margin services business such as App Store, Apple Music, and Apple TV+. Diversifying sources of revenue will help the company to reduce dependency on market volatility and </w:t>
      </w:r>
      <w:r w:rsidRPr="00B04A6F">
        <w:rPr>
          <w:rFonts w:ascii="Arial" w:hAnsi="Arial" w:cs="Arial"/>
          <w:sz w:val="22"/>
          <w:szCs w:val="22"/>
        </w:rPr>
        <w:t>re-establish</w:t>
      </w:r>
      <w:r w:rsidRPr="00B04A6F">
        <w:rPr>
          <w:rFonts w:ascii="Arial" w:hAnsi="Arial" w:cs="Arial"/>
          <w:sz w:val="22"/>
          <w:szCs w:val="22"/>
        </w:rPr>
        <w:t xml:space="preserve"> a balanced and more sustainable financial performance.</w:t>
      </w:r>
    </w:p>
    <w:p w14:paraId="3433572C" w14:textId="6582A151" w:rsidR="00E557C4" w:rsidRPr="00B04A6F" w:rsidRDefault="00B04A6F" w:rsidP="00AB7AA7">
      <w:pPr>
        <w:pStyle w:val="ListParagraph"/>
        <w:numPr>
          <w:ilvl w:val="0"/>
          <w:numId w:val="3"/>
        </w:numPr>
        <w:spacing w:line="360" w:lineRule="auto"/>
        <w:rPr>
          <w:rFonts w:ascii="Arial" w:hAnsi="Arial" w:cs="Arial"/>
          <w:sz w:val="22"/>
          <w:szCs w:val="22"/>
        </w:rPr>
      </w:pPr>
      <w:r w:rsidRPr="00B04A6F">
        <w:rPr>
          <w:rFonts w:ascii="Arial" w:hAnsi="Arial" w:cs="Arial"/>
          <w:sz w:val="22"/>
          <w:szCs w:val="22"/>
        </w:rPr>
        <w:t>Improve cost control and operational efficiency. Even Apple’s outstanding net profit margin implies that the company maintains strong cost discipline, it should make every effort to improve its operational operations and cost base. For instance, Apple might need to simplify some of its suppliers’ processes, utilize lean manufacturing, and use recent technology development to increase efficiency. Apple should place as much emphasis on controlling costs as it does on its P/E ratio as it helps Apple maintain its profit margin as competition in the industry becomes stronger.</w:t>
      </w:r>
    </w:p>
    <w:p w14:paraId="03956378" w14:textId="77777777" w:rsidR="00381FD9" w:rsidRDefault="00381FD9" w:rsidP="00AB7AA7">
      <w:pPr>
        <w:spacing w:line="360" w:lineRule="auto"/>
        <w:rPr>
          <w:rFonts w:ascii="Arial" w:hAnsi="Arial" w:cs="Arial"/>
          <w:sz w:val="22"/>
          <w:szCs w:val="22"/>
        </w:rPr>
      </w:pPr>
    </w:p>
    <w:p w14:paraId="1102FE21" w14:textId="77777777" w:rsidR="00CB448D" w:rsidRPr="00CB448D" w:rsidRDefault="00CB448D" w:rsidP="00AB7AA7">
      <w:pPr>
        <w:spacing w:line="360" w:lineRule="auto"/>
        <w:rPr>
          <w:rFonts w:ascii="Arial" w:hAnsi="Arial" w:cs="Arial"/>
          <w:sz w:val="22"/>
          <w:szCs w:val="22"/>
        </w:rPr>
      </w:pPr>
      <w:r w:rsidRPr="00CB448D">
        <w:rPr>
          <w:rFonts w:ascii="Arial" w:hAnsi="Arial" w:cs="Arial"/>
          <w:sz w:val="22"/>
          <w:szCs w:val="22"/>
        </w:rPr>
        <w:lastRenderedPageBreak/>
        <w:t>For Apple, I would recommend a more generic and broader financial management plan in addition to the specific suggestions mentioned above. Overall, the company may review its broader framework and develop a more comprehensive approach to provide high-quality financial information to investors and support it with advanced data analytics.</w:t>
      </w:r>
    </w:p>
    <w:p w14:paraId="430965A0" w14:textId="2FD1C92B" w:rsidR="005E7BAD" w:rsidRDefault="009D62AC" w:rsidP="00AB7AA7">
      <w:pPr>
        <w:spacing w:line="360" w:lineRule="auto"/>
        <w:rPr>
          <w:rFonts w:ascii="Arial" w:hAnsi="Arial" w:cs="Arial"/>
          <w:sz w:val="22"/>
          <w:szCs w:val="22"/>
        </w:rPr>
      </w:pPr>
      <w:r w:rsidRPr="009D62AC">
        <w:rPr>
          <w:rFonts w:ascii="Arial" w:hAnsi="Arial" w:cs="Arial"/>
          <w:sz w:val="22"/>
          <w:szCs w:val="22"/>
        </w:rPr>
        <w:t>To further take a comprehensive approach to this, Apple should set clear financial targets and key performance indicators for itself. This may include the target liquidity ratios, an acceptable level of the debt-to-equity ratio, and specific profitability goals. By setting these KPIs and checking them on an ongoing basis, Apple will ensure that its financial management decisions are in line with its long run strategy and the shareholders’ welfare.</w:t>
      </w:r>
    </w:p>
    <w:p w14:paraId="62D8D9C2" w14:textId="60C44DBC" w:rsidR="009D62AC" w:rsidRDefault="005B1F7B" w:rsidP="00AB7AA7">
      <w:pPr>
        <w:spacing w:line="360" w:lineRule="auto"/>
        <w:rPr>
          <w:rFonts w:ascii="Arial" w:hAnsi="Arial" w:cs="Arial"/>
          <w:sz w:val="22"/>
          <w:szCs w:val="22"/>
        </w:rPr>
      </w:pPr>
      <w:r w:rsidRPr="005B1F7B">
        <w:rPr>
          <w:rFonts w:ascii="Arial" w:hAnsi="Arial" w:cs="Arial"/>
          <w:sz w:val="22"/>
          <w:szCs w:val="22"/>
        </w:rPr>
        <w:t xml:space="preserve">Additionally, Apple should further strengthen its financial risk management. This may involve establishing more robust hedging mechanisms to shield against currency exchange risks, interest rate shifts, and changes in the costs of </w:t>
      </w:r>
      <w:r w:rsidRPr="005B1F7B">
        <w:rPr>
          <w:rFonts w:ascii="Arial" w:hAnsi="Arial" w:cs="Arial"/>
          <w:sz w:val="22"/>
          <w:szCs w:val="22"/>
        </w:rPr>
        <w:t>commodities.</w:t>
      </w:r>
      <w:r w:rsidRPr="005B1F7B">
        <w:rPr>
          <w:rFonts w:ascii="Arial" w:hAnsi="Arial" w:cs="Arial"/>
          <w:sz w:val="22"/>
          <w:szCs w:val="22"/>
        </w:rPr>
        <w:t xml:space="preserve"> Addressing such financial risks in advance may help this company safeguard its profitability and cash flow when dealing with macroeconomic factors.</w:t>
      </w:r>
    </w:p>
    <w:p w14:paraId="2F57A39F" w14:textId="77777777" w:rsidR="005B1F7B" w:rsidRDefault="005B1F7B" w:rsidP="00AB7AA7">
      <w:pPr>
        <w:spacing w:line="360" w:lineRule="auto"/>
        <w:rPr>
          <w:rFonts w:ascii="Arial" w:hAnsi="Arial" w:cs="Arial"/>
          <w:sz w:val="22"/>
          <w:szCs w:val="22"/>
        </w:rPr>
      </w:pPr>
    </w:p>
    <w:p w14:paraId="692DB016" w14:textId="77777777" w:rsidR="00297511" w:rsidRDefault="00297511" w:rsidP="00AB7AA7">
      <w:pPr>
        <w:spacing w:line="360" w:lineRule="auto"/>
        <w:rPr>
          <w:rFonts w:ascii="Arial" w:hAnsi="Arial" w:cs="Arial"/>
          <w:sz w:val="22"/>
          <w:szCs w:val="22"/>
        </w:rPr>
      </w:pPr>
    </w:p>
    <w:p w14:paraId="7745C7CE" w14:textId="77777777" w:rsidR="00297511" w:rsidRPr="00DB0804" w:rsidRDefault="00297511" w:rsidP="00AB7AA7">
      <w:pPr>
        <w:spacing w:line="360" w:lineRule="auto"/>
        <w:rPr>
          <w:rFonts w:ascii="Arial" w:hAnsi="Arial" w:cs="Arial"/>
          <w:color w:val="FF0000"/>
          <w:sz w:val="36"/>
          <w:szCs w:val="36"/>
        </w:rPr>
      </w:pPr>
    </w:p>
    <w:p w14:paraId="1CFDF3B7" w14:textId="5F60F2CD" w:rsidR="00297511" w:rsidRPr="00B54CB0" w:rsidRDefault="00DB0804" w:rsidP="00AB7AA7">
      <w:pPr>
        <w:spacing w:line="360" w:lineRule="auto"/>
        <w:jc w:val="center"/>
        <w:rPr>
          <w:rFonts w:ascii="Arial" w:hAnsi="Arial" w:cs="Arial"/>
          <w:color w:val="FF0000"/>
          <w:sz w:val="36"/>
          <w:szCs w:val="36"/>
        </w:rPr>
      </w:pPr>
      <w:r w:rsidRPr="00DB0804">
        <w:rPr>
          <w:rFonts w:ascii="Arial" w:hAnsi="Arial" w:cs="Arial"/>
          <w:color w:val="FF0000"/>
          <w:sz w:val="36"/>
          <w:szCs w:val="36"/>
        </w:rPr>
        <w:t>Calculation</w:t>
      </w:r>
      <w:r>
        <w:rPr>
          <w:rFonts w:ascii="Arial" w:hAnsi="Arial" w:cs="Arial"/>
          <w:color w:val="FF0000"/>
          <w:sz w:val="36"/>
          <w:szCs w:val="36"/>
        </w:rPr>
        <w:t xml:space="preserve"> – Part C</w:t>
      </w:r>
    </w:p>
    <w:p w14:paraId="7F9D1B04" w14:textId="77777777" w:rsidR="0014205C" w:rsidRPr="004C4AB3" w:rsidRDefault="0014205C" w:rsidP="00AB7AA7">
      <w:pPr>
        <w:spacing w:line="360" w:lineRule="auto"/>
        <w:jc w:val="center"/>
        <w:rPr>
          <w:rFonts w:ascii="Arial" w:eastAsia="Times New Roman" w:hAnsi="Arial" w:cs="Arial"/>
          <w:color w:val="FF0000"/>
          <w:sz w:val="28"/>
          <w:szCs w:val="28"/>
          <w:lang w:eastAsia="en-GB"/>
        </w:rPr>
      </w:pPr>
      <w:r w:rsidRPr="004C4AB3">
        <w:rPr>
          <w:rFonts w:ascii="Arial" w:eastAsia="Times New Roman" w:hAnsi="Arial" w:cs="Arial"/>
          <w:color w:val="FF0000"/>
          <w:sz w:val="28"/>
          <w:szCs w:val="28"/>
          <w:lang w:eastAsia="en-GB"/>
        </w:rPr>
        <w:t>Calculation of PBP, ARR, and NPV of the Projects</w:t>
      </w:r>
    </w:p>
    <w:p w14:paraId="37BF5B57" w14:textId="77777777" w:rsidR="002513DE" w:rsidRDefault="002513DE" w:rsidP="00AB7AA7">
      <w:pPr>
        <w:spacing w:line="360" w:lineRule="auto"/>
        <w:rPr>
          <w:rFonts w:ascii="Arial" w:eastAsia="Times New Roman" w:hAnsi="Arial" w:cs="Arial"/>
          <w:sz w:val="22"/>
          <w:szCs w:val="22"/>
          <w:lang w:eastAsia="en-GB"/>
        </w:rPr>
      </w:pPr>
    </w:p>
    <w:p w14:paraId="49225A92" w14:textId="30F4BB3A" w:rsidR="0014205C" w:rsidRPr="0014205C" w:rsidRDefault="0014205C" w:rsidP="00AB7AA7">
      <w:pPr>
        <w:spacing w:line="360" w:lineRule="auto"/>
        <w:rPr>
          <w:rFonts w:ascii="Arial" w:eastAsia="Times New Roman" w:hAnsi="Arial" w:cs="Arial"/>
          <w:sz w:val="22"/>
          <w:szCs w:val="22"/>
          <w:lang w:eastAsia="en-GB"/>
        </w:rPr>
      </w:pPr>
      <w:r w:rsidRPr="0014205C">
        <w:rPr>
          <w:rFonts w:ascii="Arial" w:eastAsia="Times New Roman" w:hAnsi="Arial" w:cs="Arial"/>
          <w:sz w:val="22"/>
          <w:szCs w:val="22"/>
          <w:lang w:eastAsia="en-GB"/>
        </w:rPr>
        <w:t>a. Project A</w:t>
      </w:r>
    </w:p>
    <w:p w14:paraId="45F95F17" w14:textId="04F6AAEE" w:rsidR="0014205C" w:rsidRPr="0014205C" w:rsidRDefault="0014205C" w:rsidP="00AB7AA7">
      <w:pPr>
        <w:spacing w:line="360" w:lineRule="auto"/>
        <w:rPr>
          <w:rFonts w:ascii="Arial" w:eastAsia="Times New Roman" w:hAnsi="Arial" w:cs="Arial"/>
          <w:sz w:val="22"/>
          <w:szCs w:val="22"/>
          <w:lang w:eastAsia="en-GB"/>
        </w:rPr>
      </w:pPr>
      <w:r w:rsidRPr="0014205C">
        <w:rPr>
          <w:rFonts w:ascii="Arial" w:eastAsia="Times New Roman" w:hAnsi="Arial" w:cs="Arial"/>
          <w:sz w:val="22"/>
          <w:szCs w:val="22"/>
          <w:lang w:eastAsia="en-GB"/>
        </w:rPr>
        <w:t>PBP: initial investment - £5,000m; cumulative cash flows -</w:t>
      </w:r>
    </w:p>
    <w:p w14:paraId="0B8CEB9C" w14:textId="710E20B3" w:rsidR="00EB7A12" w:rsidRDefault="008C66AA" w:rsidP="00AB7AA7">
      <w:p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t xml:space="preserve">Year 1 </w:t>
      </w:r>
      <w:r w:rsidR="0014205C" w:rsidRPr="0014205C">
        <w:rPr>
          <w:rFonts w:ascii="Arial" w:eastAsia="Times New Roman" w:hAnsi="Arial" w:cs="Arial"/>
          <w:sz w:val="22"/>
          <w:szCs w:val="22"/>
          <w:lang w:eastAsia="en-GB"/>
        </w:rPr>
        <w:t>£2,</w:t>
      </w:r>
      <w:r w:rsidR="00EB7A12" w:rsidRPr="0014205C">
        <w:rPr>
          <w:rFonts w:ascii="Arial" w:eastAsia="Times New Roman" w:hAnsi="Arial" w:cs="Arial"/>
          <w:sz w:val="22"/>
          <w:szCs w:val="22"/>
          <w:lang w:eastAsia="en-GB"/>
        </w:rPr>
        <w:t>500m.</w:t>
      </w:r>
      <w:r w:rsidR="0014205C" w:rsidRPr="0014205C">
        <w:rPr>
          <w:rFonts w:ascii="Arial" w:eastAsia="Times New Roman" w:hAnsi="Arial" w:cs="Arial"/>
          <w:sz w:val="22"/>
          <w:szCs w:val="22"/>
          <w:lang w:eastAsia="en-GB"/>
        </w:rPr>
        <w:t xml:space="preserve"> </w:t>
      </w:r>
    </w:p>
    <w:p w14:paraId="42306F3D" w14:textId="73A4DAFF" w:rsidR="00EB7A12" w:rsidRDefault="00EB7A12" w:rsidP="00AB7AA7">
      <w:p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t xml:space="preserve">Year 2 </w:t>
      </w:r>
      <w:r w:rsidR="0014205C" w:rsidRPr="0014205C">
        <w:rPr>
          <w:rFonts w:ascii="Arial" w:eastAsia="Times New Roman" w:hAnsi="Arial" w:cs="Arial"/>
          <w:sz w:val="22"/>
          <w:szCs w:val="22"/>
          <w:lang w:eastAsia="en-GB"/>
        </w:rPr>
        <w:t>£4,500m; (£2,500m + £2,000m</w:t>
      </w:r>
      <w:r w:rsidRPr="0014205C">
        <w:rPr>
          <w:rFonts w:ascii="Arial" w:eastAsia="Times New Roman" w:hAnsi="Arial" w:cs="Arial"/>
          <w:sz w:val="22"/>
          <w:szCs w:val="22"/>
          <w:lang w:eastAsia="en-GB"/>
        </w:rPr>
        <w:t>).</w:t>
      </w:r>
      <w:r w:rsidR="0014205C" w:rsidRPr="0014205C">
        <w:rPr>
          <w:rFonts w:ascii="Arial" w:eastAsia="Times New Roman" w:hAnsi="Arial" w:cs="Arial"/>
          <w:sz w:val="22"/>
          <w:szCs w:val="22"/>
          <w:lang w:eastAsia="en-GB"/>
        </w:rPr>
        <w:t xml:space="preserve"> </w:t>
      </w:r>
    </w:p>
    <w:p w14:paraId="0AC1DD36" w14:textId="781CBB71" w:rsidR="0014205C" w:rsidRPr="0014205C" w:rsidRDefault="00EB7A12" w:rsidP="00AB7AA7">
      <w:p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t xml:space="preserve">Year 3 </w:t>
      </w:r>
      <w:r w:rsidR="0014205C" w:rsidRPr="0014205C">
        <w:rPr>
          <w:rFonts w:ascii="Arial" w:eastAsia="Times New Roman" w:hAnsi="Arial" w:cs="Arial"/>
          <w:sz w:val="22"/>
          <w:szCs w:val="22"/>
          <w:lang w:eastAsia="en-GB"/>
        </w:rPr>
        <w:t>£5,500m; (£4,500m + £1,000m).</w:t>
      </w:r>
    </w:p>
    <w:p w14:paraId="4A500AA7" w14:textId="39E0C22A" w:rsidR="0014205C" w:rsidRPr="0014205C" w:rsidRDefault="0014205C" w:rsidP="00AB7AA7">
      <w:pPr>
        <w:spacing w:line="360" w:lineRule="auto"/>
        <w:rPr>
          <w:rFonts w:ascii="Arial" w:eastAsia="Times New Roman" w:hAnsi="Arial" w:cs="Arial"/>
          <w:sz w:val="22"/>
          <w:szCs w:val="22"/>
          <w:lang w:eastAsia="en-GB"/>
        </w:rPr>
      </w:pPr>
      <w:r w:rsidRPr="0014205C">
        <w:rPr>
          <w:rFonts w:ascii="Arial" w:eastAsia="Times New Roman" w:hAnsi="Arial" w:cs="Arial"/>
          <w:sz w:val="22"/>
          <w:szCs w:val="22"/>
          <w:lang w:eastAsia="en-GB"/>
        </w:rPr>
        <w:t xml:space="preserve">The PBP is between 2 and 3 years, while the precise indicator can be found by </w:t>
      </w:r>
      <w:r w:rsidRPr="0014205C">
        <w:rPr>
          <w:rFonts w:ascii="Arial" w:eastAsia="Times New Roman" w:hAnsi="Arial" w:cs="Arial"/>
          <w:sz w:val="22"/>
          <w:szCs w:val="22"/>
          <w:lang w:eastAsia="en-GB"/>
        </w:rPr>
        <w:t>interpolation.</w:t>
      </w:r>
    </w:p>
    <w:p w14:paraId="7BB57EAF" w14:textId="56160453" w:rsidR="0014205C" w:rsidRPr="0014205C" w:rsidRDefault="0014205C" w:rsidP="00AB7AA7">
      <w:pPr>
        <w:spacing w:line="360" w:lineRule="auto"/>
        <w:rPr>
          <w:rFonts w:ascii="Arial" w:eastAsia="Times New Roman" w:hAnsi="Arial" w:cs="Arial"/>
          <w:sz w:val="22"/>
          <w:szCs w:val="22"/>
          <w:lang w:eastAsia="en-GB"/>
        </w:rPr>
      </w:pPr>
      <w:r w:rsidRPr="0014205C">
        <w:rPr>
          <w:rFonts w:ascii="Arial" w:eastAsia="Times New Roman" w:hAnsi="Arial" w:cs="Arial"/>
          <w:sz w:val="22"/>
          <w:szCs w:val="22"/>
          <w:lang w:eastAsia="en-GB"/>
        </w:rPr>
        <w:t>PBP = 2 + (£5,000m - £4,500m) / £1,000m = 2.5 years</w:t>
      </w:r>
    </w:p>
    <w:p w14:paraId="7CC9ED7E" w14:textId="2D2838FF" w:rsidR="0014205C" w:rsidRPr="0014205C" w:rsidRDefault="0014205C" w:rsidP="00AB7AA7">
      <w:pPr>
        <w:spacing w:line="360" w:lineRule="auto"/>
        <w:rPr>
          <w:rFonts w:ascii="Arial" w:eastAsia="Times New Roman" w:hAnsi="Arial" w:cs="Arial"/>
          <w:sz w:val="22"/>
          <w:szCs w:val="22"/>
          <w:lang w:eastAsia="en-GB"/>
        </w:rPr>
      </w:pPr>
      <w:r w:rsidRPr="0014205C">
        <w:rPr>
          <w:rFonts w:ascii="Arial" w:eastAsia="Times New Roman" w:hAnsi="Arial" w:cs="Arial"/>
          <w:sz w:val="22"/>
          <w:szCs w:val="22"/>
          <w:lang w:eastAsia="en-GB"/>
        </w:rPr>
        <w:lastRenderedPageBreak/>
        <w:t xml:space="preserve">ARR: average annual profit - (£2,500m; </w:t>
      </w:r>
      <w:r w:rsidR="00807E79">
        <w:rPr>
          <w:rFonts w:ascii="Arial" w:eastAsia="Times New Roman" w:hAnsi="Arial" w:cs="Arial"/>
          <w:sz w:val="22"/>
          <w:szCs w:val="22"/>
          <w:lang w:eastAsia="en-GB"/>
        </w:rPr>
        <w:t xml:space="preserve">+ </w:t>
      </w:r>
      <w:r w:rsidRPr="0014205C">
        <w:rPr>
          <w:rFonts w:ascii="Arial" w:eastAsia="Times New Roman" w:hAnsi="Arial" w:cs="Arial"/>
          <w:sz w:val="22"/>
          <w:szCs w:val="22"/>
          <w:lang w:eastAsia="en-GB"/>
        </w:rPr>
        <w:t xml:space="preserve">£2,000m; </w:t>
      </w:r>
      <w:r w:rsidR="00807E79">
        <w:rPr>
          <w:rFonts w:ascii="Arial" w:eastAsia="Times New Roman" w:hAnsi="Arial" w:cs="Arial"/>
          <w:sz w:val="22"/>
          <w:szCs w:val="22"/>
          <w:lang w:eastAsia="en-GB"/>
        </w:rPr>
        <w:t>+</w:t>
      </w:r>
      <w:r w:rsidRPr="0014205C">
        <w:rPr>
          <w:rFonts w:ascii="Arial" w:eastAsia="Times New Roman" w:hAnsi="Arial" w:cs="Arial"/>
          <w:sz w:val="22"/>
          <w:szCs w:val="22"/>
          <w:lang w:eastAsia="en-GB"/>
        </w:rPr>
        <w:t>£1,000m - £442m) / 4 = £1,264.5m; average investment - (£5,000m) / 2 = £2,500m.</w:t>
      </w:r>
    </w:p>
    <w:p w14:paraId="69A8E698" w14:textId="7DF80D80" w:rsidR="0014205C" w:rsidRPr="0014205C" w:rsidRDefault="0014205C" w:rsidP="00AB7AA7">
      <w:pPr>
        <w:spacing w:line="360" w:lineRule="auto"/>
        <w:rPr>
          <w:rFonts w:ascii="Arial" w:eastAsia="Times New Roman" w:hAnsi="Arial" w:cs="Arial"/>
          <w:sz w:val="22"/>
          <w:szCs w:val="22"/>
          <w:lang w:eastAsia="en-GB"/>
        </w:rPr>
      </w:pPr>
      <w:r w:rsidRPr="0014205C">
        <w:rPr>
          <w:rFonts w:ascii="Arial" w:eastAsia="Times New Roman" w:hAnsi="Arial" w:cs="Arial"/>
          <w:sz w:val="22"/>
          <w:szCs w:val="22"/>
          <w:lang w:eastAsia="en-GB"/>
        </w:rPr>
        <w:t>ARR = £1,264.5m / £2,500m = 50.58%</w:t>
      </w:r>
    </w:p>
    <w:p w14:paraId="0FA33DBF" w14:textId="77777777" w:rsidR="0014205C" w:rsidRPr="0014205C" w:rsidRDefault="0014205C" w:rsidP="00AB7AA7">
      <w:pPr>
        <w:spacing w:line="360" w:lineRule="auto"/>
        <w:rPr>
          <w:rFonts w:ascii="Arial" w:eastAsia="Times New Roman" w:hAnsi="Arial" w:cs="Arial"/>
          <w:sz w:val="22"/>
          <w:szCs w:val="22"/>
          <w:lang w:eastAsia="en-GB"/>
        </w:rPr>
      </w:pPr>
      <w:r w:rsidRPr="0014205C">
        <w:rPr>
          <w:rFonts w:ascii="Arial" w:eastAsia="Times New Roman" w:hAnsi="Arial" w:cs="Arial"/>
          <w:sz w:val="22"/>
          <w:szCs w:val="22"/>
          <w:lang w:eastAsia="en-GB"/>
        </w:rPr>
        <w:t>NPV: discount rate - 0.75% per annum</w:t>
      </w:r>
    </w:p>
    <w:p w14:paraId="04848AC7" w14:textId="7757BCB3" w:rsidR="0014205C" w:rsidRPr="0014205C" w:rsidRDefault="0014205C" w:rsidP="00AB7AA7">
      <w:pPr>
        <w:spacing w:line="360" w:lineRule="auto"/>
        <w:rPr>
          <w:rFonts w:ascii="Arial" w:eastAsia="Times New Roman" w:hAnsi="Arial" w:cs="Arial"/>
          <w:sz w:val="22"/>
          <w:szCs w:val="22"/>
          <w:lang w:eastAsia="en-GB"/>
        </w:rPr>
      </w:pPr>
      <w:r w:rsidRPr="0014205C">
        <w:rPr>
          <w:rFonts w:ascii="Arial" w:eastAsia="Times New Roman" w:hAnsi="Arial" w:cs="Arial"/>
          <w:sz w:val="22"/>
          <w:szCs w:val="22"/>
          <w:lang w:eastAsia="en-GB"/>
        </w:rPr>
        <w:t>NPV = £5,000m + £2,487.56m + £1,973.78m + £976.52m + (-£430.10m) = £7.76m</w:t>
      </w:r>
    </w:p>
    <w:p w14:paraId="6BCCA538" w14:textId="77777777" w:rsidR="0014205C" w:rsidRPr="0014205C" w:rsidRDefault="0014205C" w:rsidP="00AB7AA7">
      <w:pPr>
        <w:spacing w:line="360" w:lineRule="auto"/>
        <w:rPr>
          <w:rFonts w:ascii="Arial" w:eastAsia="Times New Roman" w:hAnsi="Arial" w:cs="Arial"/>
          <w:sz w:val="22"/>
          <w:szCs w:val="22"/>
          <w:lang w:eastAsia="en-GB"/>
        </w:rPr>
      </w:pPr>
      <w:r w:rsidRPr="0014205C">
        <w:rPr>
          <w:rFonts w:ascii="Arial" w:eastAsia="Times New Roman" w:hAnsi="Arial" w:cs="Arial"/>
          <w:sz w:val="22"/>
          <w:szCs w:val="22"/>
          <w:lang w:eastAsia="en-GB"/>
        </w:rPr>
        <w:t>b. Project B</w:t>
      </w:r>
    </w:p>
    <w:p w14:paraId="24EB46A3" w14:textId="66819B5A" w:rsidR="0014205C" w:rsidRPr="0014205C" w:rsidRDefault="0014205C" w:rsidP="00AB7AA7">
      <w:pPr>
        <w:spacing w:line="360" w:lineRule="auto"/>
        <w:rPr>
          <w:rFonts w:ascii="Arial" w:eastAsia="Times New Roman" w:hAnsi="Arial" w:cs="Arial"/>
          <w:sz w:val="22"/>
          <w:szCs w:val="22"/>
          <w:lang w:eastAsia="en-GB"/>
        </w:rPr>
      </w:pPr>
      <w:r w:rsidRPr="0014205C">
        <w:rPr>
          <w:rFonts w:ascii="Arial" w:eastAsia="Times New Roman" w:hAnsi="Arial" w:cs="Arial"/>
          <w:sz w:val="22"/>
          <w:szCs w:val="22"/>
          <w:lang w:eastAsia="en-GB"/>
        </w:rPr>
        <w:t xml:space="preserve">PBP: initial </w:t>
      </w:r>
      <w:r w:rsidR="00511F40" w:rsidRPr="0014205C">
        <w:rPr>
          <w:rFonts w:ascii="Arial" w:eastAsia="Times New Roman" w:hAnsi="Arial" w:cs="Arial"/>
          <w:sz w:val="22"/>
          <w:szCs w:val="22"/>
          <w:lang w:eastAsia="en-GB"/>
        </w:rPr>
        <w:t>investment £</w:t>
      </w:r>
      <w:r w:rsidRPr="0014205C">
        <w:rPr>
          <w:rFonts w:ascii="Arial" w:eastAsia="Times New Roman" w:hAnsi="Arial" w:cs="Arial"/>
          <w:sz w:val="22"/>
          <w:szCs w:val="22"/>
          <w:lang w:eastAsia="en-GB"/>
        </w:rPr>
        <w:t>1,000m; cumulative cash flows -</w:t>
      </w:r>
    </w:p>
    <w:p w14:paraId="7717771E" w14:textId="77777777" w:rsidR="00BD0723" w:rsidRDefault="00047076" w:rsidP="00AB7AA7">
      <w:p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t xml:space="preserve">Year 1 </w:t>
      </w:r>
      <w:r w:rsidR="0014205C" w:rsidRPr="0014205C">
        <w:rPr>
          <w:rFonts w:ascii="Arial" w:eastAsia="Times New Roman" w:hAnsi="Arial" w:cs="Arial"/>
          <w:sz w:val="22"/>
          <w:szCs w:val="22"/>
          <w:lang w:eastAsia="en-GB"/>
        </w:rPr>
        <w:t>£1,500m; ¬</w:t>
      </w:r>
    </w:p>
    <w:p w14:paraId="3B009EBC" w14:textId="01B729B5" w:rsidR="00511F40" w:rsidRDefault="00BD0723" w:rsidP="00AB7AA7">
      <w:p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t xml:space="preserve">Year 2 </w:t>
      </w:r>
      <w:r w:rsidR="0014205C" w:rsidRPr="0014205C">
        <w:rPr>
          <w:rFonts w:ascii="Arial" w:eastAsia="Times New Roman" w:hAnsi="Arial" w:cs="Arial"/>
          <w:sz w:val="22"/>
          <w:szCs w:val="22"/>
          <w:lang w:eastAsia="en-GB"/>
        </w:rPr>
        <w:t>£2,500m; (£1,500m + £1,000m</w:t>
      </w:r>
      <w:r w:rsidR="00E122D3" w:rsidRPr="0014205C">
        <w:rPr>
          <w:rFonts w:ascii="Arial" w:eastAsia="Times New Roman" w:hAnsi="Arial" w:cs="Arial"/>
          <w:sz w:val="22"/>
          <w:szCs w:val="22"/>
          <w:lang w:eastAsia="en-GB"/>
        </w:rPr>
        <w:t>).</w:t>
      </w:r>
      <w:r w:rsidR="0014205C" w:rsidRPr="0014205C">
        <w:rPr>
          <w:rFonts w:ascii="Arial" w:eastAsia="Times New Roman" w:hAnsi="Arial" w:cs="Arial"/>
          <w:sz w:val="22"/>
          <w:szCs w:val="22"/>
          <w:lang w:eastAsia="en-GB"/>
        </w:rPr>
        <w:t xml:space="preserve"> </w:t>
      </w:r>
    </w:p>
    <w:p w14:paraId="7101A744" w14:textId="06D8F92A" w:rsidR="0014205C" w:rsidRPr="0014205C" w:rsidRDefault="00511F40" w:rsidP="00AB7AA7">
      <w:p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t xml:space="preserve">Year 3 </w:t>
      </w:r>
      <w:r w:rsidR="0014205C" w:rsidRPr="0014205C">
        <w:rPr>
          <w:rFonts w:ascii="Arial" w:eastAsia="Times New Roman" w:hAnsi="Arial" w:cs="Arial"/>
          <w:sz w:val="22"/>
          <w:szCs w:val="22"/>
          <w:lang w:eastAsia="en-GB"/>
        </w:rPr>
        <w:t>£3,500m; (£2,500m + £1,000m).</w:t>
      </w:r>
    </w:p>
    <w:p w14:paraId="677AC38D" w14:textId="77777777" w:rsidR="0014205C" w:rsidRPr="0014205C" w:rsidRDefault="0014205C" w:rsidP="00AB7AA7">
      <w:pPr>
        <w:spacing w:line="360" w:lineRule="auto"/>
        <w:rPr>
          <w:rFonts w:ascii="Arial" w:eastAsia="Times New Roman" w:hAnsi="Arial" w:cs="Arial"/>
          <w:sz w:val="22"/>
          <w:szCs w:val="22"/>
          <w:lang w:eastAsia="en-GB"/>
        </w:rPr>
      </w:pPr>
      <w:r w:rsidRPr="0014205C">
        <w:rPr>
          <w:rFonts w:ascii="Arial" w:eastAsia="Times New Roman" w:hAnsi="Arial" w:cs="Arial"/>
          <w:sz w:val="22"/>
          <w:szCs w:val="22"/>
          <w:lang w:eastAsia="en-GB"/>
        </w:rPr>
        <w:t>The PBP is 1 year.</w:t>
      </w:r>
    </w:p>
    <w:p w14:paraId="6BACEEFB" w14:textId="18F531C4" w:rsidR="0014205C" w:rsidRPr="0014205C" w:rsidRDefault="0014205C" w:rsidP="00AB7AA7">
      <w:pPr>
        <w:spacing w:line="360" w:lineRule="auto"/>
        <w:rPr>
          <w:rFonts w:ascii="Arial" w:eastAsia="Times New Roman" w:hAnsi="Arial" w:cs="Arial"/>
          <w:sz w:val="22"/>
          <w:szCs w:val="22"/>
          <w:lang w:eastAsia="en-GB"/>
        </w:rPr>
      </w:pPr>
      <w:r w:rsidRPr="0014205C">
        <w:rPr>
          <w:rFonts w:ascii="Arial" w:eastAsia="Times New Roman" w:hAnsi="Arial" w:cs="Arial"/>
          <w:sz w:val="22"/>
          <w:szCs w:val="22"/>
          <w:lang w:eastAsia="en-GB"/>
        </w:rPr>
        <w:t>ARR: average annual profit - (£1,500m</w:t>
      </w:r>
      <w:r w:rsidR="00391537">
        <w:rPr>
          <w:rFonts w:ascii="Arial" w:eastAsia="Times New Roman" w:hAnsi="Arial" w:cs="Arial"/>
          <w:sz w:val="22"/>
          <w:szCs w:val="22"/>
          <w:lang w:eastAsia="en-GB"/>
        </w:rPr>
        <w:t xml:space="preserve"> + </w:t>
      </w:r>
      <w:r w:rsidRPr="0014205C">
        <w:rPr>
          <w:rFonts w:ascii="Arial" w:eastAsia="Times New Roman" w:hAnsi="Arial" w:cs="Arial"/>
          <w:sz w:val="22"/>
          <w:szCs w:val="22"/>
          <w:lang w:eastAsia="en-GB"/>
        </w:rPr>
        <w:t>£1,000m</w:t>
      </w:r>
      <w:r w:rsidR="00391537">
        <w:rPr>
          <w:rFonts w:ascii="Arial" w:eastAsia="Times New Roman" w:hAnsi="Arial" w:cs="Arial"/>
          <w:sz w:val="22"/>
          <w:szCs w:val="22"/>
          <w:lang w:eastAsia="en-GB"/>
        </w:rPr>
        <w:t xml:space="preserve"> + </w:t>
      </w:r>
      <w:r w:rsidRPr="0014205C">
        <w:rPr>
          <w:rFonts w:ascii="Arial" w:eastAsia="Times New Roman" w:hAnsi="Arial" w:cs="Arial"/>
          <w:sz w:val="22"/>
          <w:szCs w:val="22"/>
          <w:lang w:eastAsia="en-GB"/>
        </w:rPr>
        <w:t>£1,000m - £470m) / 4 = £757.5m; average investment - (£1,000m) / 2 = £500m.</w:t>
      </w:r>
    </w:p>
    <w:p w14:paraId="64590F90" w14:textId="6597FEB3" w:rsidR="0014205C" w:rsidRPr="0014205C" w:rsidRDefault="0014205C" w:rsidP="00AB7AA7">
      <w:pPr>
        <w:spacing w:line="360" w:lineRule="auto"/>
        <w:rPr>
          <w:rFonts w:ascii="Arial" w:eastAsia="Times New Roman" w:hAnsi="Arial" w:cs="Arial"/>
          <w:sz w:val="22"/>
          <w:szCs w:val="22"/>
          <w:lang w:eastAsia="en-GB"/>
        </w:rPr>
      </w:pPr>
      <w:r w:rsidRPr="0014205C">
        <w:rPr>
          <w:rFonts w:ascii="Arial" w:eastAsia="Times New Roman" w:hAnsi="Arial" w:cs="Arial"/>
          <w:sz w:val="22"/>
          <w:szCs w:val="22"/>
          <w:lang w:eastAsia="en-GB"/>
        </w:rPr>
        <w:t>ARR = £757.5m / £500m = 151.5%</w:t>
      </w:r>
    </w:p>
    <w:p w14:paraId="47B6F53B" w14:textId="77777777" w:rsidR="0014205C" w:rsidRPr="0014205C" w:rsidRDefault="0014205C" w:rsidP="00AB7AA7">
      <w:pPr>
        <w:spacing w:line="360" w:lineRule="auto"/>
        <w:rPr>
          <w:rFonts w:ascii="Arial" w:eastAsia="Times New Roman" w:hAnsi="Arial" w:cs="Arial"/>
          <w:sz w:val="22"/>
          <w:szCs w:val="22"/>
          <w:lang w:eastAsia="en-GB"/>
        </w:rPr>
      </w:pPr>
      <w:r w:rsidRPr="0014205C">
        <w:rPr>
          <w:rFonts w:ascii="Arial" w:eastAsia="Times New Roman" w:hAnsi="Arial" w:cs="Arial"/>
          <w:sz w:val="22"/>
          <w:szCs w:val="22"/>
          <w:lang w:eastAsia="en-GB"/>
        </w:rPr>
        <w:t>NPV: discount rate - 0.75% per annum</w:t>
      </w:r>
    </w:p>
    <w:p w14:paraId="50EAC42E" w14:textId="2C08388D" w:rsidR="0014205C" w:rsidRPr="0014205C" w:rsidRDefault="0014205C" w:rsidP="00AB7AA7">
      <w:pPr>
        <w:spacing w:line="360" w:lineRule="auto"/>
        <w:rPr>
          <w:rFonts w:ascii="Arial" w:eastAsia="Times New Roman" w:hAnsi="Arial" w:cs="Arial"/>
          <w:sz w:val="22"/>
          <w:szCs w:val="22"/>
          <w:lang w:eastAsia="en-GB"/>
        </w:rPr>
      </w:pPr>
      <w:r w:rsidRPr="0014205C">
        <w:rPr>
          <w:rFonts w:ascii="Arial" w:eastAsia="Times New Roman" w:hAnsi="Arial" w:cs="Arial"/>
          <w:sz w:val="22"/>
          <w:szCs w:val="22"/>
          <w:lang w:eastAsia="en-GB"/>
        </w:rPr>
        <w:t>NPV = £1,000m + £1,491.13m + £983.77m + £976.52m + (-457.81m) = £1,993.61m</w:t>
      </w:r>
    </w:p>
    <w:p w14:paraId="5974FA31" w14:textId="77777777" w:rsidR="0014205C" w:rsidRPr="0014205C" w:rsidRDefault="0014205C" w:rsidP="00AB7AA7">
      <w:pPr>
        <w:spacing w:line="360" w:lineRule="auto"/>
        <w:rPr>
          <w:rFonts w:ascii="Arial" w:eastAsia="Times New Roman" w:hAnsi="Arial" w:cs="Arial"/>
          <w:sz w:val="22"/>
          <w:szCs w:val="22"/>
          <w:lang w:eastAsia="en-GB"/>
        </w:rPr>
      </w:pPr>
    </w:p>
    <w:p w14:paraId="6D9D9CAC" w14:textId="52905EE8" w:rsidR="00236886" w:rsidRDefault="0014205C" w:rsidP="00AB7AA7">
      <w:pPr>
        <w:spacing w:line="360" w:lineRule="auto"/>
        <w:jc w:val="center"/>
        <w:rPr>
          <w:rFonts w:ascii="Arial" w:eastAsia="Times New Roman" w:hAnsi="Arial" w:cs="Arial"/>
          <w:color w:val="FF0000"/>
          <w:sz w:val="28"/>
          <w:szCs w:val="28"/>
          <w:lang w:eastAsia="en-GB"/>
        </w:rPr>
      </w:pPr>
      <w:r w:rsidRPr="00236886">
        <w:rPr>
          <w:rFonts w:ascii="Arial" w:eastAsia="Times New Roman" w:hAnsi="Arial" w:cs="Arial"/>
          <w:color w:val="FF0000"/>
          <w:sz w:val="28"/>
          <w:szCs w:val="28"/>
          <w:lang w:eastAsia="en-GB"/>
        </w:rPr>
        <w:t>Evaluation and Recommendation:</w:t>
      </w:r>
    </w:p>
    <w:p w14:paraId="45F45BAC" w14:textId="77777777" w:rsidR="003619FF" w:rsidRPr="00236886" w:rsidRDefault="003619FF" w:rsidP="00AB7AA7">
      <w:pPr>
        <w:spacing w:line="360" w:lineRule="auto"/>
        <w:jc w:val="center"/>
        <w:rPr>
          <w:rFonts w:ascii="Arial" w:eastAsia="Times New Roman" w:hAnsi="Arial" w:cs="Arial"/>
          <w:color w:val="FF0000"/>
          <w:sz w:val="28"/>
          <w:szCs w:val="28"/>
          <w:lang w:eastAsia="en-GB"/>
        </w:rPr>
      </w:pPr>
    </w:p>
    <w:p w14:paraId="18F26A20" w14:textId="77777777" w:rsidR="00D03F40" w:rsidRDefault="0014205C" w:rsidP="00AB7AA7">
      <w:pPr>
        <w:spacing w:line="360" w:lineRule="auto"/>
        <w:rPr>
          <w:rFonts w:ascii="Arial" w:eastAsia="Times New Roman" w:hAnsi="Arial" w:cs="Arial"/>
          <w:sz w:val="22"/>
          <w:szCs w:val="22"/>
          <w:lang w:eastAsia="en-GB"/>
        </w:rPr>
      </w:pPr>
      <w:r w:rsidRPr="0014205C">
        <w:rPr>
          <w:rFonts w:ascii="Arial" w:eastAsia="Times New Roman" w:hAnsi="Arial" w:cs="Arial"/>
          <w:sz w:val="22"/>
          <w:szCs w:val="22"/>
          <w:lang w:eastAsia="en-GB"/>
        </w:rPr>
        <w:t xml:space="preserve">Project A's payback period is 2.5 years, while Project B's is 1 year, making Project B the faster investment recovery alternative. However, the accounting rate of return in Project B at 151.5% is significantly higher than in Project A at 50.58%, which is less profitable in accounting terms. Concerning NPV, it is apparent that Project B at ¬£1,993.61m outperforms Project A at ¬£7.76m; as a result, this shows that Project B is a more economically feasible alternative. They are, as already stated, both a positive NPV meaning that they will result in returns that are greater than the cost of capital. However, Project B's NPV is vastly higher, making it the better alternative. Given the outcomes of the three </w:t>
      </w:r>
      <w:r w:rsidRPr="0014205C">
        <w:rPr>
          <w:rFonts w:ascii="Arial" w:eastAsia="Times New Roman" w:hAnsi="Arial" w:cs="Arial"/>
          <w:sz w:val="22"/>
          <w:szCs w:val="22"/>
          <w:lang w:eastAsia="en-GB"/>
        </w:rPr>
        <w:lastRenderedPageBreak/>
        <w:t xml:space="preserve">investment appraisal strategies, I will recommend that the business adopt Project B. Project B is a better option due to its shorter payback period, higher accounting rate of return, and substantially more economic value. </w:t>
      </w:r>
    </w:p>
    <w:p w14:paraId="2CF43E98" w14:textId="77777777" w:rsidR="00D03F40" w:rsidRDefault="00D03F40" w:rsidP="00AB7AA7">
      <w:pPr>
        <w:spacing w:line="360" w:lineRule="auto"/>
        <w:rPr>
          <w:rFonts w:ascii="Arial" w:eastAsia="Times New Roman" w:hAnsi="Arial" w:cs="Arial"/>
          <w:sz w:val="22"/>
          <w:szCs w:val="22"/>
          <w:lang w:eastAsia="en-GB"/>
        </w:rPr>
      </w:pPr>
    </w:p>
    <w:p w14:paraId="1EA830B0" w14:textId="31577746" w:rsidR="00D03F40" w:rsidRDefault="0014205C" w:rsidP="00AB7AA7">
      <w:pPr>
        <w:spacing w:line="360" w:lineRule="auto"/>
        <w:jc w:val="center"/>
        <w:rPr>
          <w:rFonts w:ascii="Arial" w:eastAsia="Times New Roman" w:hAnsi="Arial" w:cs="Arial"/>
          <w:color w:val="FF0000"/>
          <w:sz w:val="32"/>
          <w:szCs w:val="32"/>
          <w:lang w:eastAsia="en-GB"/>
        </w:rPr>
      </w:pPr>
      <w:r w:rsidRPr="00D03F40">
        <w:rPr>
          <w:rFonts w:ascii="Arial" w:eastAsia="Times New Roman" w:hAnsi="Arial" w:cs="Arial"/>
          <w:color w:val="FF0000"/>
          <w:sz w:val="32"/>
          <w:szCs w:val="32"/>
          <w:lang w:eastAsia="en-GB"/>
        </w:rPr>
        <w:t>NPVs Recalculation with 10% Increased Initial Investments and 10% Decrease in Cash Flows</w:t>
      </w:r>
    </w:p>
    <w:p w14:paraId="2B856444" w14:textId="77777777" w:rsidR="004C1B15" w:rsidRPr="00D03F40" w:rsidRDefault="004C1B15" w:rsidP="00AB7AA7">
      <w:pPr>
        <w:spacing w:line="360" w:lineRule="auto"/>
        <w:jc w:val="center"/>
        <w:rPr>
          <w:rFonts w:ascii="Arial" w:eastAsia="Times New Roman" w:hAnsi="Arial" w:cs="Arial"/>
          <w:color w:val="FF0000"/>
          <w:sz w:val="32"/>
          <w:szCs w:val="32"/>
          <w:lang w:eastAsia="en-GB"/>
        </w:rPr>
      </w:pPr>
    </w:p>
    <w:p w14:paraId="1BCBE2E0" w14:textId="77777777" w:rsidR="004C1B15" w:rsidRDefault="0014205C" w:rsidP="00AB7AA7">
      <w:pPr>
        <w:spacing w:line="360" w:lineRule="auto"/>
        <w:rPr>
          <w:rFonts w:ascii="Arial" w:eastAsia="Times New Roman" w:hAnsi="Arial" w:cs="Arial"/>
          <w:sz w:val="22"/>
          <w:szCs w:val="22"/>
          <w:lang w:eastAsia="en-GB"/>
        </w:rPr>
      </w:pPr>
      <w:r w:rsidRPr="0014205C">
        <w:rPr>
          <w:rFonts w:ascii="Arial" w:eastAsia="Times New Roman" w:hAnsi="Arial" w:cs="Arial"/>
          <w:sz w:val="22"/>
          <w:szCs w:val="22"/>
          <w:lang w:eastAsia="en-GB"/>
        </w:rPr>
        <w:t xml:space="preserve"> Assuming all initial investments for each project are increased by 10% and all cash flows are decreased by 10%, here are the new project details: </w:t>
      </w:r>
    </w:p>
    <w:p w14:paraId="4739E222" w14:textId="77777777" w:rsidR="004C1B15" w:rsidRDefault="0014205C" w:rsidP="00AB7AA7">
      <w:pPr>
        <w:spacing w:line="360" w:lineRule="auto"/>
        <w:rPr>
          <w:rFonts w:ascii="Arial" w:eastAsia="Times New Roman" w:hAnsi="Arial" w:cs="Arial"/>
          <w:sz w:val="22"/>
          <w:szCs w:val="22"/>
          <w:lang w:eastAsia="en-GB"/>
        </w:rPr>
      </w:pPr>
      <w:r w:rsidRPr="0014205C">
        <w:rPr>
          <w:rFonts w:ascii="Arial" w:eastAsia="Times New Roman" w:hAnsi="Arial" w:cs="Arial"/>
          <w:sz w:val="22"/>
          <w:szCs w:val="22"/>
          <w:lang w:eastAsia="en-GB"/>
        </w:rPr>
        <w:t xml:space="preserve">Project A: </w:t>
      </w:r>
    </w:p>
    <w:p w14:paraId="633E6989" w14:textId="77777777" w:rsidR="004C1B15" w:rsidRDefault="0014205C" w:rsidP="00AB7AA7">
      <w:pPr>
        <w:spacing w:line="360" w:lineRule="auto"/>
        <w:rPr>
          <w:rFonts w:ascii="Arial" w:eastAsia="Times New Roman" w:hAnsi="Arial" w:cs="Arial"/>
          <w:sz w:val="22"/>
          <w:szCs w:val="22"/>
          <w:lang w:eastAsia="en-GB"/>
        </w:rPr>
      </w:pPr>
      <w:r w:rsidRPr="0014205C">
        <w:rPr>
          <w:rFonts w:ascii="Arial" w:eastAsia="Times New Roman" w:hAnsi="Arial" w:cs="Arial"/>
          <w:sz w:val="22"/>
          <w:szCs w:val="22"/>
          <w:lang w:eastAsia="en-GB"/>
        </w:rPr>
        <w:t xml:space="preserve">Initial Investment: £5,500m </w:t>
      </w:r>
    </w:p>
    <w:p w14:paraId="45B36C5B" w14:textId="77777777" w:rsidR="004C1B15" w:rsidRDefault="0014205C" w:rsidP="00AB7AA7">
      <w:pPr>
        <w:spacing w:line="360" w:lineRule="auto"/>
        <w:rPr>
          <w:rFonts w:ascii="Arial" w:eastAsia="Times New Roman" w:hAnsi="Arial" w:cs="Arial"/>
          <w:sz w:val="22"/>
          <w:szCs w:val="22"/>
          <w:lang w:eastAsia="en-GB"/>
        </w:rPr>
      </w:pPr>
      <w:r w:rsidRPr="0014205C">
        <w:rPr>
          <w:rFonts w:ascii="Arial" w:eastAsia="Times New Roman" w:hAnsi="Arial" w:cs="Arial"/>
          <w:sz w:val="22"/>
          <w:szCs w:val="22"/>
          <w:lang w:eastAsia="en-GB"/>
        </w:rPr>
        <w:t xml:space="preserve">Year 1: £2,250m </w:t>
      </w:r>
    </w:p>
    <w:p w14:paraId="52D02A65" w14:textId="77777777" w:rsidR="004C1B15" w:rsidRDefault="0014205C" w:rsidP="00AB7AA7">
      <w:pPr>
        <w:spacing w:line="360" w:lineRule="auto"/>
        <w:rPr>
          <w:rFonts w:ascii="Arial" w:eastAsia="Times New Roman" w:hAnsi="Arial" w:cs="Arial"/>
          <w:sz w:val="22"/>
          <w:szCs w:val="22"/>
          <w:lang w:eastAsia="en-GB"/>
        </w:rPr>
      </w:pPr>
      <w:r w:rsidRPr="0014205C">
        <w:rPr>
          <w:rFonts w:ascii="Arial" w:eastAsia="Times New Roman" w:hAnsi="Arial" w:cs="Arial"/>
          <w:sz w:val="22"/>
          <w:szCs w:val="22"/>
          <w:lang w:eastAsia="en-GB"/>
        </w:rPr>
        <w:t xml:space="preserve">Year 2: £1,800m </w:t>
      </w:r>
    </w:p>
    <w:p w14:paraId="1D41E74B" w14:textId="77777777" w:rsidR="004C1B15" w:rsidRDefault="0014205C" w:rsidP="00AB7AA7">
      <w:pPr>
        <w:spacing w:line="360" w:lineRule="auto"/>
        <w:rPr>
          <w:rFonts w:ascii="Arial" w:eastAsia="Times New Roman" w:hAnsi="Arial" w:cs="Arial"/>
          <w:sz w:val="22"/>
          <w:szCs w:val="22"/>
          <w:lang w:eastAsia="en-GB"/>
        </w:rPr>
      </w:pPr>
      <w:r w:rsidRPr="0014205C">
        <w:rPr>
          <w:rFonts w:ascii="Arial" w:eastAsia="Times New Roman" w:hAnsi="Arial" w:cs="Arial"/>
          <w:sz w:val="22"/>
          <w:szCs w:val="22"/>
          <w:lang w:eastAsia="en-GB"/>
        </w:rPr>
        <w:t xml:space="preserve">Year 3: £900m </w:t>
      </w:r>
    </w:p>
    <w:p w14:paraId="01F5BFF8" w14:textId="6AE6462D" w:rsidR="00661AF5" w:rsidRDefault="0014205C" w:rsidP="00AB7AA7">
      <w:pPr>
        <w:spacing w:line="360" w:lineRule="auto"/>
        <w:rPr>
          <w:rFonts w:ascii="Arial" w:eastAsia="Times New Roman" w:hAnsi="Arial" w:cs="Arial"/>
          <w:sz w:val="22"/>
          <w:szCs w:val="22"/>
          <w:lang w:eastAsia="en-GB"/>
        </w:rPr>
      </w:pPr>
      <w:r w:rsidRPr="0014205C">
        <w:rPr>
          <w:rFonts w:ascii="Arial" w:eastAsia="Times New Roman" w:hAnsi="Arial" w:cs="Arial"/>
          <w:sz w:val="22"/>
          <w:szCs w:val="22"/>
          <w:lang w:eastAsia="en-GB"/>
        </w:rPr>
        <w:t xml:space="preserve">Year 4: </w:t>
      </w:r>
      <w:r w:rsidR="003C195B">
        <w:rPr>
          <w:rFonts w:ascii="Arial" w:eastAsia="Times New Roman" w:hAnsi="Arial" w:cs="Arial"/>
          <w:sz w:val="22"/>
          <w:szCs w:val="22"/>
          <w:lang w:eastAsia="en-GB"/>
        </w:rPr>
        <w:t>-</w:t>
      </w:r>
      <w:r w:rsidRPr="0014205C">
        <w:rPr>
          <w:rFonts w:ascii="Arial" w:eastAsia="Times New Roman" w:hAnsi="Arial" w:cs="Arial"/>
          <w:sz w:val="22"/>
          <w:szCs w:val="22"/>
          <w:lang w:eastAsia="en-GB"/>
        </w:rPr>
        <w:t xml:space="preserve">£398.8m </w:t>
      </w:r>
    </w:p>
    <w:p w14:paraId="5B0CBDD5" w14:textId="1F1F140D" w:rsidR="00661AF5" w:rsidRDefault="0014205C" w:rsidP="00AB7AA7">
      <w:pPr>
        <w:spacing w:line="360" w:lineRule="auto"/>
        <w:rPr>
          <w:rFonts w:ascii="Arial" w:eastAsia="Times New Roman" w:hAnsi="Arial" w:cs="Arial"/>
          <w:sz w:val="22"/>
          <w:szCs w:val="22"/>
          <w:lang w:eastAsia="en-GB"/>
        </w:rPr>
      </w:pPr>
      <w:r w:rsidRPr="0014205C">
        <w:rPr>
          <w:rFonts w:ascii="Arial" w:eastAsia="Times New Roman" w:hAnsi="Arial" w:cs="Arial"/>
          <w:sz w:val="22"/>
          <w:szCs w:val="22"/>
          <w:lang w:eastAsia="en-GB"/>
        </w:rPr>
        <w:t xml:space="preserve">Project B: </w:t>
      </w:r>
    </w:p>
    <w:p w14:paraId="5661E03C" w14:textId="77777777" w:rsidR="004F6ED3" w:rsidRDefault="004F6ED3" w:rsidP="00AB7AA7">
      <w:pPr>
        <w:spacing w:line="360" w:lineRule="auto"/>
        <w:rPr>
          <w:rFonts w:ascii="Arial" w:eastAsia="Times New Roman" w:hAnsi="Arial" w:cs="Arial"/>
          <w:sz w:val="22"/>
          <w:szCs w:val="22"/>
          <w:lang w:eastAsia="en-GB"/>
        </w:rPr>
      </w:pPr>
      <w:r w:rsidRPr="0014205C">
        <w:rPr>
          <w:rFonts w:ascii="Arial" w:eastAsia="Times New Roman" w:hAnsi="Arial" w:cs="Arial"/>
          <w:sz w:val="22"/>
          <w:szCs w:val="22"/>
          <w:lang w:eastAsia="en-GB"/>
        </w:rPr>
        <w:t>initial</w:t>
      </w:r>
      <w:r w:rsidR="0014205C" w:rsidRPr="0014205C">
        <w:rPr>
          <w:rFonts w:ascii="Arial" w:eastAsia="Times New Roman" w:hAnsi="Arial" w:cs="Arial"/>
          <w:sz w:val="22"/>
          <w:szCs w:val="22"/>
          <w:lang w:eastAsia="en-GB"/>
        </w:rPr>
        <w:t xml:space="preserve"> Investment: £1,100m </w:t>
      </w:r>
    </w:p>
    <w:p w14:paraId="650443AC" w14:textId="77777777" w:rsidR="004F6ED3" w:rsidRDefault="0014205C" w:rsidP="00AB7AA7">
      <w:pPr>
        <w:spacing w:line="360" w:lineRule="auto"/>
        <w:rPr>
          <w:rFonts w:ascii="Arial" w:eastAsia="Times New Roman" w:hAnsi="Arial" w:cs="Arial"/>
          <w:sz w:val="22"/>
          <w:szCs w:val="22"/>
          <w:lang w:eastAsia="en-GB"/>
        </w:rPr>
      </w:pPr>
      <w:r w:rsidRPr="0014205C">
        <w:rPr>
          <w:rFonts w:ascii="Arial" w:eastAsia="Times New Roman" w:hAnsi="Arial" w:cs="Arial"/>
          <w:sz w:val="22"/>
          <w:szCs w:val="22"/>
          <w:lang w:eastAsia="en-GB"/>
        </w:rPr>
        <w:t xml:space="preserve">Year </w:t>
      </w:r>
      <w:r w:rsidR="004F6ED3">
        <w:rPr>
          <w:rFonts w:ascii="Arial" w:eastAsia="Times New Roman" w:hAnsi="Arial" w:cs="Arial"/>
          <w:sz w:val="22"/>
          <w:szCs w:val="22"/>
          <w:lang w:eastAsia="en-GB"/>
        </w:rPr>
        <w:t>1</w:t>
      </w:r>
      <w:r w:rsidRPr="0014205C">
        <w:rPr>
          <w:rFonts w:ascii="Arial" w:eastAsia="Times New Roman" w:hAnsi="Arial" w:cs="Arial"/>
          <w:sz w:val="22"/>
          <w:szCs w:val="22"/>
          <w:lang w:eastAsia="en-GB"/>
        </w:rPr>
        <w:t xml:space="preserve">: £ 1,350m </w:t>
      </w:r>
    </w:p>
    <w:p w14:paraId="38F89326" w14:textId="77777777" w:rsidR="004F6ED3" w:rsidRDefault="0014205C" w:rsidP="00AB7AA7">
      <w:pPr>
        <w:spacing w:line="360" w:lineRule="auto"/>
        <w:rPr>
          <w:rFonts w:ascii="Arial" w:eastAsia="Times New Roman" w:hAnsi="Arial" w:cs="Arial"/>
          <w:sz w:val="22"/>
          <w:szCs w:val="22"/>
          <w:lang w:eastAsia="en-GB"/>
        </w:rPr>
      </w:pPr>
      <w:r w:rsidRPr="0014205C">
        <w:rPr>
          <w:rFonts w:ascii="Arial" w:eastAsia="Times New Roman" w:hAnsi="Arial" w:cs="Arial"/>
          <w:sz w:val="22"/>
          <w:szCs w:val="22"/>
          <w:lang w:eastAsia="en-GB"/>
        </w:rPr>
        <w:t xml:space="preserve">Year 2: £900m </w:t>
      </w:r>
    </w:p>
    <w:p w14:paraId="3468E748" w14:textId="77777777" w:rsidR="004F6ED3" w:rsidRDefault="0014205C" w:rsidP="00AB7AA7">
      <w:pPr>
        <w:spacing w:line="360" w:lineRule="auto"/>
        <w:rPr>
          <w:rFonts w:ascii="Arial" w:eastAsia="Times New Roman" w:hAnsi="Arial" w:cs="Arial"/>
          <w:sz w:val="22"/>
          <w:szCs w:val="22"/>
          <w:lang w:eastAsia="en-GB"/>
        </w:rPr>
      </w:pPr>
      <w:r w:rsidRPr="0014205C">
        <w:rPr>
          <w:rFonts w:ascii="Arial" w:eastAsia="Times New Roman" w:hAnsi="Arial" w:cs="Arial"/>
          <w:sz w:val="22"/>
          <w:szCs w:val="22"/>
          <w:lang w:eastAsia="en-GB"/>
        </w:rPr>
        <w:t xml:space="preserve">Year 3: £900m </w:t>
      </w:r>
    </w:p>
    <w:p w14:paraId="48769C29" w14:textId="77777777" w:rsidR="00866DE0" w:rsidRDefault="0014205C" w:rsidP="00AB7AA7">
      <w:pPr>
        <w:spacing w:line="360" w:lineRule="auto"/>
        <w:rPr>
          <w:rFonts w:ascii="Arial" w:eastAsia="Times New Roman" w:hAnsi="Arial" w:cs="Arial"/>
          <w:sz w:val="22"/>
          <w:szCs w:val="22"/>
          <w:lang w:eastAsia="en-GB"/>
        </w:rPr>
      </w:pPr>
      <w:r w:rsidRPr="0014205C">
        <w:rPr>
          <w:rFonts w:ascii="Arial" w:eastAsia="Times New Roman" w:hAnsi="Arial" w:cs="Arial"/>
          <w:sz w:val="22"/>
          <w:szCs w:val="22"/>
          <w:lang w:eastAsia="en-GB"/>
        </w:rPr>
        <w:t xml:space="preserve">Year 4: -¬£423 </w:t>
      </w:r>
    </w:p>
    <w:p w14:paraId="1C29CA51" w14:textId="77777777" w:rsidR="00866DE0" w:rsidRDefault="0014205C" w:rsidP="00AB7AA7">
      <w:pPr>
        <w:spacing w:line="360" w:lineRule="auto"/>
        <w:rPr>
          <w:rFonts w:ascii="Arial" w:eastAsia="Times New Roman" w:hAnsi="Arial" w:cs="Arial"/>
          <w:sz w:val="22"/>
          <w:szCs w:val="22"/>
          <w:lang w:eastAsia="en-GB"/>
        </w:rPr>
      </w:pPr>
      <w:r w:rsidRPr="0014205C">
        <w:rPr>
          <w:rFonts w:ascii="Arial" w:eastAsia="Times New Roman" w:hAnsi="Arial" w:cs="Arial"/>
          <w:sz w:val="22"/>
          <w:szCs w:val="22"/>
          <w:lang w:eastAsia="en-GB"/>
        </w:rPr>
        <w:t xml:space="preserve">NPV recalculation </w:t>
      </w:r>
    </w:p>
    <w:p w14:paraId="47A68992" w14:textId="77777777" w:rsidR="0049561A" w:rsidRDefault="0014205C" w:rsidP="00AB7AA7">
      <w:pPr>
        <w:spacing w:line="360" w:lineRule="auto"/>
        <w:rPr>
          <w:rFonts w:ascii="Arial" w:eastAsia="Times New Roman" w:hAnsi="Arial" w:cs="Arial"/>
          <w:sz w:val="22"/>
          <w:szCs w:val="22"/>
          <w:lang w:eastAsia="en-GB"/>
        </w:rPr>
      </w:pPr>
      <w:r w:rsidRPr="0014205C">
        <w:rPr>
          <w:rFonts w:ascii="Arial" w:eastAsia="Times New Roman" w:hAnsi="Arial" w:cs="Arial"/>
          <w:sz w:val="22"/>
          <w:szCs w:val="22"/>
          <w:lang w:eastAsia="en-GB"/>
        </w:rPr>
        <w:t xml:space="preserve">Project A: -£5,500 + £2,233.83 + £1773.58 + £880.11 + (-£388.41) = -£1,001.89 </w:t>
      </w:r>
    </w:p>
    <w:p w14:paraId="77AF0FB3" w14:textId="78D5C005" w:rsidR="0014205C" w:rsidRPr="0014205C" w:rsidRDefault="0014205C" w:rsidP="00AB7AA7">
      <w:pPr>
        <w:spacing w:line="360" w:lineRule="auto"/>
        <w:rPr>
          <w:rFonts w:ascii="Arial" w:eastAsia="Times New Roman" w:hAnsi="Arial" w:cs="Arial"/>
          <w:sz w:val="22"/>
          <w:szCs w:val="22"/>
          <w:lang w:eastAsia="en-GB"/>
        </w:rPr>
      </w:pPr>
      <w:r w:rsidRPr="0014205C">
        <w:rPr>
          <w:rFonts w:ascii="Arial" w:eastAsia="Times New Roman" w:hAnsi="Arial" w:cs="Arial"/>
          <w:sz w:val="22"/>
          <w:szCs w:val="22"/>
          <w:lang w:eastAsia="en-GB"/>
        </w:rPr>
        <w:t>Project B: -£1,100 + ¬£1,341.02 + ¬£885.4 + ¬£880.11 + (-¬£412.7) = £1,593.83</w:t>
      </w:r>
    </w:p>
    <w:p w14:paraId="11FA476F" w14:textId="7D94C48A" w:rsidR="0014205C" w:rsidRPr="0014205C" w:rsidRDefault="0014205C" w:rsidP="00AB7AA7">
      <w:pPr>
        <w:spacing w:line="360" w:lineRule="auto"/>
        <w:rPr>
          <w:rFonts w:ascii="Arial" w:eastAsia="Times New Roman" w:hAnsi="Arial" w:cs="Arial"/>
          <w:sz w:val="22"/>
          <w:szCs w:val="22"/>
          <w:lang w:eastAsia="en-GB"/>
        </w:rPr>
      </w:pPr>
      <w:r w:rsidRPr="0014205C">
        <w:rPr>
          <w:rFonts w:ascii="Arial" w:eastAsia="Times New Roman" w:hAnsi="Arial" w:cs="Arial"/>
          <w:sz w:val="22"/>
          <w:szCs w:val="22"/>
          <w:lang w:eastAsia="en-GB"/>
        </w:rPr>
        <w:lastRenderedPageBreak/>
        <w:t xml:space="preserve">The differences </w:t>
      </w:r>
      <w:r w:rsidR="00AF3C6C" w:rsidRPr="0014205C">
        <w:rPr>
          <w:rFonts w:ascii="Arial" w:eastAsia="Times New Roman" w:hAnsi="Arial" w:cs="Arial"/>
          <w:sz w:val="22"/>
          <w:szCs w:val="22"/>
          <w:lang w:eastAsia="en-GB"/>
        </w:rPr>
        <w:t>because of</w:t>
      </w:r>
      <w:r w:rsidRPr="0014205C">
        <w:rPr>
          <w:rFonts w:ascii="Arial" w:eastAsia="Times New Roman" w:hAnsi="Arial" w:cs="Arial"/>
          <w:sz w:val="22"/>
          <w:szCs w:val="22"/>
          <w:lang w:eastAsia="en-GB"/>
        </w:rPr>
        <w:t xml:space="preserve"> a 10% increase in initial investment and a 10% reduction in cash flows have significantly impaired the NPV of both investment projects. For this reason, NPV in Project A stands at -32.38 which means that the project is no longer a viable economic investment option. As for NPV P in Project B, it continues to be positive; however, it is lower than initially anticipated. If the NPV P was 66.7 initially, the altered investment and cash flow have enticed NP to drop to 54.67. I would still recommend the company pursue projects B based on my NPV postulations. With the alteration in assumptions making Project B a less attractive proposition, it is still a case that depends on the opportunity generating positive economic value if pursued. Moreover, it should be noted that the changes in investment proposals and cash flow could have a profound impact on the ability of the project to remain a viable investment option. Therefore, the company must carry out a detailed sensitivity analysis to ascertain the viability of the project under incremental cash flow and possible investment changes.</w:t>
      </w:r>
    </w:p>
    <w:p w14:paraId="63C58255" w14:textId="49F3678F" w:rsidR="0085744C" w:rsidRPr="0085744C" w:rsidRDefault="0085744C" w:rsidP="00AB7AA7">
      <w:pPr>
        <w:spacing w:line="360" w:lineRule="auto"/>
        <w:rPr>
          <w:rFonts w:ascii="Arial" w:hAnsi="Arial" w:cs="Arial"/>
          <w:color w:val="000000" w:themeColor="text1"/>
          <w:sz w:val="22"/>
          <w:szCs w:val="22"/>
        </w:rPr>
      </w:pPr>
    </w:p>
    <w:p w14:paraId="17C38A77" w14:textId="15F415DE" w:rsidR="0085744C" w:rsidRPr="0085744C" w:rsidRDefault="00CE19DD" w:rsidP="00AB7AA7">
      <w:pPr>
        <w:spacing w:line="360" w:lineRule="auto"/>
        <w:jc w:val="center"/>
        <w:rPr>
          <w:rFonts w:ascii="Arial" w:hAnsi="Arial" w:cs="Arial"/>
          <w:color w:val="FF0000"/>
          <w:sz w:val="36"/>
          <w:szCs w:val="36"/>
        </w:rPr>
      </w:pPr>
      <w:r w:rsidRPr="00CE19DD">
        <w:rPr>
          <w:color w:val="FF0000"/>
          <w:sz w:val="28"/>
          <w:szCs w:val="28"/>
        </w:rPr>
        <w:t>Advantages and Shortcomings of the PBP, ARR, and NPV</w:t>
      </w:r>
    </w:p>
    <w:p w14:paraId="278BAFE8" w14:textId="77777777" w:rsidR="0085744C" w:rsidRPr="0073079E" w:rsidRDefault="0085744C" w:rsidP="00AB7AA7">
      <w:pPr>
        <w:spacing w:line="360" w:lineRule="auto"/>
        <w:rPr>
          <w:rFonts w:ascii="Arial" w:hAnsi="Arial" w:cs="Arial"/>
          <w:sz w:val="22"/>
          <w:szCs w:val="22"/>
        </w:rPr>
      </w:pPr>
    </w:p>
    <w:p w14:paraId="7B3B12E3" w14:textId="25FE2FF3" w:rsidR="00742C84" w:rsidRDefault="00742C84" w:rsidP="00AB7AA7">
      <w:pPr>
        <w:spacing w:line="360" w:lineRule="auto"/>
        <w:rPr>
          <w:rFonts w:ascii="Arial" w:hAnsi="Arial" w:cs="Arial"/>
          <w:sz w:val="22"/>
          <w:szCs w:val="22"/>
        </w:rPr>
      </w:pPr>
      <w:r w:rsidRPr="00742C84">
        <w:rPr>
          <w:rFonts w:ascii="Arial" w:hAnsi="Arial" w:cs="Arial"/>
          <w:sz w:val="22"/>
          <w:szCs w:val="22"/>
        </w:rPr>
        <w:t xml:space="preserve">Various techniques help financial managers evaluate capital projects: the Payback </w:t>
      </w:r>
      <w:r w:rsidRPr="00742C84">
        <w:rPr>
          <w:rFonts w:ascii="Arial" w:hAnsi="Arial" w:cs="Arial"/>
          <w:sz w:val="22"/>
          <w:szCs w:val="22"/>
        </w:rPr>
        <w:t>Period,</w:t>
      </w:r>
      <w:r w:rsidRPr="00742C84">
        <w:rPr>
          <w:rFonts w:ascii="Arial" w:hAnsi="Arial" w:cs="Arial"/>
          <w:sz w:val="22"/>
          <w:szCs w:val="22"/>
        </w:rPr>
        <w:t xml:space="preserve"> the Accounting Rate of </w:t>
      </w:r>
      <w:r w:rsidRPr="00742C84">
        <w:rPr>
          <w:rFonts w:ascii="Arial" w:hAnsi="Arial" w:cs="Arial"/>
          <w:sz w:val="22"/>
          <w:szCs w:val="22"/>
        </w:rPr>
        <w:t>Return,</w:t>
      </w:r>
      <w:r w:rsidRPr="00742C84">
        <w:rPr>
          <w:rFonts w:ascii="Arial" w:hAnsi="Arial" w:cs="Arial"/>
          <w:sz w:val="22"/>
          <w:szCs w:val="22"/>
        </w:rPr>
        <w:t xml:space="preserve"> and the Net Present </w:t>
      </w:r>
      <w:r w:rsidRPr="00742C84">
        <w:rPr>
          <w:rFonts w:ascii="Arial" w:hAnsi="Arial" w:cs="Arial"/>
          <w:sz w:val="22"/>
          <w:szCs w:val="22"/>
        </w:rPr>
        <w:t>Value.</w:t>
      </w:r>
      <w:r w:rsidRPr="00742C84">
        <w:rPr>
          <w:rFonts w:ascii="Arial" w:hAnsi="Arial" w:cs="Arial"/>
          <w:sz w:val="22"/>
          <w:szCs w:val="22"/>
        </w:rPr>
        <w:t xml:space="preserve"> They all have their advantages and shortcomings that should be taken into consideration when making investment </w:t>
      </w:r>
      <w:r w:rsidRPr="00742C84">
        <w:rPr>
          <w:rFonts w:ascii="Arial" w:hAnsi="Arial" w:cs="Arial"/>
          <w:sz w:val="22"/>
          <w:szCs w:val="22"/>
        </w:rPr>
        <w:t xml:space="preserve">decisions: </w:t>
      </w:r>
    </w:p>
    <w:p w14:paraId="653B1A1A" w14:textId="77777777" w:rsidR="00742C84" w:rsidRDefault="00742C84" w:rsidP="00AB7AA7">
      <w:pPr>
        <w:spacing w:line="360" w:lineRule="auto"/>
        <w:rPr>
          <w:rFonts w:ascii="Arial" w:hAnsi="Arial" w:cs="Arial"/>
          <w:sz w:val="22"/>
          <w:szCs w:val="22"/>
        </w:rPr>
      </w:pPr>
      <w:r w:rsidRPr="00742C84">
        <w:rPr>
          <w:rFonts w:ascii="Arial" w:hAnsi="Arial" w:cs="Arial"/>
          <w:sz w:val="22"/>
          <w:szCs w:val="22"/>
        </w:rPr>
        <w:t>Payback</w:t>
      </w:r>
      <w:r w:rsidRPr="00742C84">
        <w:rPr>
          <w:rFonts w:ascii="Arial" w:hAnsi="Arial" w:cs="Arial"/>
          <w:sz w:val="22"/>
          <w:szCs w:val="22"/>
        </w:rPr>
        <w:t xml:space="preserve"> Period</w:t>
      </w:r>
      <w:r>
        <w:rPr>
          <w:rFonts w:ascii="Arial" w:hAnsi="Arial" w:cs="Arial"/>
          <w:sz w:val="22"/>
          <w:szCs w:val="22"/>
        </w:rPr>
        <w:t>:</w:t>
      </w:r>
    </w:p>
    <w:p w14:paraId="78AA511F" w14:textId="77777777" w:rsidR="0062521E" w:rsidRDefault="00742C84" w:rsidP="00AB7AA7">
      <w:pPr>
        <w:spacing w:line="360" w:lineRule="auto"/>
        <w:rPr>
          <w:rFonts w:ascii="Arial" w:hAnsi="Arial" w:cs="Arial"/>
          <w:sz w:val="22"/>
          <w:szCs w:val="22"/>
        </w:rPr>
      </w:pPr>
      <w:r w:rsidRPr="00742C84">
        <w:rPr>
          <w:rFonts w:ascii="Arial" w:hAnsi="Arial" w:cs="Arial"/>
          <w:sz w:val="22"/>
          <w:szCs w:val="22"/>
        </w:rPr>
        <w:t xml:space="preserve">Advantage: this method is the easiest to understand and apply since the risks of a project may be accessed based on how quickly it is possible to cover the initial investment. </w:t>
      </w:r>
      <w:r w:rsidR="00105392" w:rsidRPr="00105392">
        <w:rPr>
          <w:rFonts w:ascii="Arial" w:hAnsi="Arial" w:cs="Arial"/>
          <w:sz w:val="22"/>
          <w:szCs w:val="22"/>
        </w:rPr>
        <w:t>(Brealey et al., 2020)</w:t>
      </w:r>
      <w:r w:rsidR="00105392">
        <w:rPr>
          <w:rFonts w:ascii="Arial" w:hAnsi="Arial" w:cs="Arial"/>
          <w:sz w:val="22"/>
          <w:szCs w:val="22"/>
        </w:rPr>
        <w:t xml:space="preserve"> </w:t>
      </w:r>
      <w:r w:rsidRPr="00742C84">
        <w:rPr>
          <w:rFonts w:ascii="Arial" w:hAnsi="Arial" w:cs="Arial"/>
          <w:sz w:val="22"/>
          <w:szCs w:val="22"/>
        </w:rPr>
        <w:t xml:space="preserve">state that the payback period method “measures how long it takes to repay the initial dollars invested”. Moreover, the payback period method can be especially valuable in projects where there is much uncertainty in whether the project will succeed and short-term investment </w:t>
      </w:r>
      <w:r w:rsidRPr="00742C84">
        <w:rPr>
          <w:rFonts w:ascii="Arial" w:hAnsi="Arial" w:cs="Arial"/>
          <w:sz w:val="22"/>
          <w:szCs w:val="22"/>
        </w:rPr>
        <w:t xml:space="preserve">horizons. </w:t>
      </w:r>
    </w:p>
    <w:p w14:paraId="4F7646E2" w14:textId="5452699B" w:rsidR="00105392" w:rsidRDefault="00742C84" w:rsidP="00AB7AA7">
      <w:pPr>
        <w:spacing w:line="360" w:lineRule="auto"/>
        <w:rPr>
          <w:rFonts w:ascii="Arial" w:hAnsi="Arial" w:cs="Arial"/>
          <w:sz w:val="22"/>
          <w:szCs w:val="22"/>
        </w:rPr>
      </w:pPr>
      <w:r w:rsidRPr="00742C84">
        <w:rPr>
          <w:rFonts w:ascii="Arial" w:hAnsi="Arial" w:cs="Arial"/>
          <w:sz w:val="22"/>
          <w:szCs w:val="22"/>
        </w:rPr>
        <w:t>Shortcoming</w:t>
      </w:r>
      <w:r w:rsidRPr="00742C84">
        <w:rPr>
          <w:rFonts w:ascii="Arial" w:hAnsi="Arial" w:cs="Arial"/>
          <w:sz w:val="22"/>
          <w:szCs w:val="22"/>
        </w:rPr>
        <w:t xml:space="preserve">: PBP overlooks the money’s time value and cash flows after the </w:t>
      </w:r>
      <w:r w:rsidR="00105392" w:rsidRPr="00742C84">
        <w:rPr>
          <w:rFonts w:ascii="Arial" w:hAnsi="Arial" w:cs="Arial"/>
          <w:sz w:val="22"/>
          <w:szCs w:val="22"/>
        </w:rPr>
        <w:t>payback.</w:t>
      </w:r>
      <w:r w:rsidRPr="00742C84">
        <w:rPr>
          <w:rFonts w:ascii="Arial" w:hAnsi="Arial" w:cs="Arial"/>
          <w:sz w:val="22"/>
          <w:szCs w:val="22"/>
        </w:rPr>
        <w:t xml:space="preserve"> Consequently, financial managers may accept projects with the increasing potential profitability for projects with low potential profitability in the long term. Also, by applying PBP, financial managers will not obtain additional information on the projects’ expected profitability.</w:t>
      </w:r>
    </w:p>
    <w:p w14:paraId="2A330931" w14:textId="5D0D6F0B" w:rsidR="0062521E" w:rsidRPr="0062521E" w:rsidRDefault="0062521E" w:rsidP="00AB7AA7">
      <w:pPr>
        <w:spacing w:line="360" w:lineRule="auto"/>
        <w:rPr>
          <w:rFonts w:ascii="Arial" w:hAnsi="Arial" w:cs="Arial"/>
          <w:sz w:val="22"/>
          <w:szCs w:val="22"/>
        </w:rPr>
      </w:pPr>
      <w:r w:rsidRPr="0062521E">
        <w:rPr>
          <w:rFonts w:ascii="Arial" w:hAnsi="Arial" w:cs="Arial"/>
          <w:sz w:val="22"/>
          <w:szCs w:val="22"/>
        </w:rPr>
        <w:lastRenderedPageBreak/>
        <w:t>Accounting Rate of Return:</w:t>
      </w:r>
      <w:r w:rsidR="006856FC">
        <w:rPr>
          <w:rFonts w:ascii="Arial" w:hAnsi="Arial" w:cs="Arial"/>
          <w:sz w:val="22"/>
          <w:szCs w:val="22"/>
        </w:rPr>
        <w:t xml:space="preserve"> ARR</w:t>
      </w:r>
    </w:p>
    <w:p w14:paraId="4DF250CB" w14:textId="58B83BB1" w:rsidR="0062521E" w:rsidRDefault="0062521E" w:rsidP="00AB7AA7">
      <w:pPr>
        <w:spacing w:line="360" w:lineRule="auto"/>
        <w:rPr>
          <w:rFonts w:ascii="Arial" w:hAnsi="Arial" w:cs="Arial"/>
          <w:sz w:val="22"/>
          <w:szCs w:val="22"/>
        </w:rPr>
      </w:pPr>
      <w:r w:rsidRPr="0062521E">
        <w:rPr>
          <w:rFonts w:ascii="Arial" w:hAnsi="Arial" w:cs="Arial"/>
          <w:sz w:val="22"/>
          <w:szCs w:val="22"/>
        </w:rPr>
        <w:t xml:space="preserve">Advantages: ARR is based on the readily available and rather convenient accounting data to comprehend. As such, it is relatively easily interpreted. Moreover, this method can be employed to measure the profitability of various projects and support/contribute to the company’s ability to select an appropriate project from the financial perspective </w:t>
      </w:r>
      <w:r>
        <w:rPr>
          <w:rFonts w:ascii="Arial" w:hAnsi="Arial" w:cs="Arial"/>
          <w:sz w:val="22"/>
          <w:szCs w:val="22"/>
        </w:rPr>
        <w:t>(</w:t>
      </w:r>
      <w:r w:rsidRPr="0062521E">
        <w:rPr>
          <w:rFonts w:ascii="Arial" w:hAnsi="Arial" w:cs="Arial"/>
          <w:sz w:val="22"/>
          <w:szCs w:val="22"/>
        </w:rPr>
        <w:t xml:space="preserve">Hillier et al., 2016) </w:t>
      </w:r>
    </w:p>
    <w:p w14:paraId="5D1A3AFA" w14:textId="22D822B5" w:rsidR="00105392" w:rsidRDefault="0062521E" w:rsidP="00AB7AA7">
      <w:pPr>
        <w:spacing w:line="360" w:lineRule="auto"/>
        <w:rPr>
          <w:rFonts w:ascii="Arial" w:hAnsi="Arial" w:cs="Arial"/>
          <w:sz w:val="22"/>
          <w:szCs w:val="22"/>
        </w:rPr>
      </w:pPr>
      <w:r w:rsidRPr="0062521E">
        <w:rPr>
          <w:rFonts w:ascii="Arial" w:hAnsi="Arial" w:cs="Arial"/>
          <w:sz w:val="22"/>
          <w:szCs w:val="22"/>
        </w:rPr>
        <w:t xml:space="preserve">Shortcomings: It does not </w:t>
      </w:r>
      <w:r w:rsidRPr="0062521E">
        <w:rPr>
          <w:rFonts w:ascii="Arial" w:hAnsi="Arial" w:cs="Arial"/>
          <w:sz w:val="22"/>
          <w:szCs w:val="22"/>
        </w:rPr>
        <w:t>consider</w:t>
      </w:r>
      <w:r w:rsidRPr="0062521E">
        <w:rPr>
          <w:rFonts w:ascii="Arial" w:hAnsi="Arial" w:cs="Arial"/>
          <w:sz w:val="22"/>
          <w:szCs w:val="22"/>
        </w:rPr>
        <w:t xml:space="preserve"> the profitability of money, and it is linked to </w:t>
      </w:r>
      <w:r w:rsidRPr="0062521E">
        <w:rPr>
          <w:rFonts w:ascii="Arial" w:hAnsi="Arial" w:cs="Arial"/>
          <w:sz w:val="22"/>
          <w:szCs w:val="22"/>
        </w:rPr>
        <w:t>arbitrariness</w:t>
      </w:r>
      <w:r w:rsidRPr="0062521E">
        <w:rPr>
          <w:rFonts w:ascii="Arial" w:hAnsi="Arial" w:cs="Arial"/>
          <w:sz w:val="22"/>
          <w:szCs w:val="22"/>
        </w:rPr>
        <w:t>, as it would be directly impacted by the depreciation and other factors that can be inscribed in negotiables and as such, can be manipulated to present variances. Additionally, it only considers profits and disregards the viability of overall economic trends.</w:t>
      </w:r>
    </w:p>
    <w:p w14:paraId="1189F4C5" w14:textId="77777777" w:rsidR="006856FC" w:rsidRDefault="006856FC" w:rsidP="00AB7AA7">
      <w:pPr>
        <w:spacing w:line="360" w:lineRule="auto"/>
        <w:rPr>
          <w:rFonts w:ascii="Arial" w:hAnsi="Arial" w:cs="Arial"/>
          <w:sz w:val="22"/>
          <w:szCs w:val="22"/>
        </w:rPr>
      </w:pPr>
    </w:p>
    <w:p w14:paraId="076FB946" w14:textId="0A1314F6" w:rsidR="006856FC" w:rsidRPr="006856FC" w:rsidRDefault="006856FC" w:rsidP="00AB7AA7">
      <w:pPr>
        <w:spacing w:line="360" w:lineRule="auto"/>
        <w:rPr>
          <w:rFonts w:ascii="Arial" w:hAnsi="Arial" w:cs="Arial"/>
          <w:sz w:val="22"/>
          <w:szCs w:val="22"/>
        </w:rPr>
      </w:pPr>
      <w:r w:rsidRPr="006856FC">
        <w:rPr>
          <w:rFonts w:ascii="Arial" w:hAnsi="Arial" w:cs="Arial"/>
          <w:sz w:val="22"/>
          <w:szCs w:val="22"/>
        </w:rPr>
        <w:t xml:space="preserve">Net Present </w:t>
      </w:r>
      <w:r w:rsidRPr="006856FC">
        <w:rPr>
          <w:rFonts w:ascii="Arial" w:hAnsi="Arial" w:cs="Arial"/>
          <w:sz w:val="22"/>
          <w:szCs w:val="22"/>
        </w:rPr>
        <w:t>Value:</w:t>
      </w:r>
      <w:r>
        <w:rPr>
          <w:rFonts w:ascii="Arial" w:hAnsi="Arial" w:cs="Arial"/>
          <w:sz w:val="22"/>
          <w:szCs w:val="22"/>
        </w:rPr>
        <w:t xml:space="preserve"> NVP</w:t>
      </w:r>
    </w:p>
    <w:p w14:paraId="43A344C0" w14:textId="77BC239C" w:rsidR="006856FC" w:rsidRDefault="006856FC" w:rsidP="00AB7AA7">
      <w:pPr>
        <w:spacing w:line="360" w:lineRule="auto"/>
        <w:rPr>
          <w:rFonts w:ascii="Arial" w:hAnsi="Arial" w:cs="Arial"/>
          <w:sz w:val="22"/>
          <w:szCs w:val="22"/>
        </w:rPr>
      </w:pPr>
      <w:r w:rsidRPr="006856FC">
        <w:rPr>
          <w:rFonts w:ascii="Arial" w:hAnsi="Arial" w:cs="Arial"/>
          <w:sz w:val="22"/>
          <w:szCs w:val="22"/>
        </w:rPr>
        <w:t>Advantage:</w:t>
      </w:r>
      <w:r w:rsidRPr="006856FC">
        <w:rPr>
          <w:rFonts w:ascii="Arial" w:hAnsi="Arial" w:cs="Arial"/>
          <w:sz w:val="22"/>
          <w:szCs w:val="22"/>
        </w:rPr>
        <w:t xml:space="preserve"> It should be noted that NPV is “is usually considered, quite properly, to be the theoretically correct method of investment appraisal” since it considers the time value of money and provides a direct measure of a project’s value with respect to its impact on the economic situation of the </w:t>
      </w:r>
      <w:r w:rsidRPr="006856FC">
        <w:rPr>
          <w:rFonts w:ascii="Arial" w:hAnsi="Arial" w:cs="Arial"/>
          <w:sz w:val="22"/>
          <w:szCs w:val="22"/>
        </w:rPr>
        <w:t>firm</w:t>
      </w:r>
      <w:r w:rsidR="00236F3E">
        <w:rPr>
          <w:rFonts w:ascii="Arial" w:hAnsi="Arial" w:cs="Arial"/>
          <w:sz w:val="22"/>
          <w:szCs w:val="22"/>
        </w:rPr>
        <w:t xml:space="preserve"> </w:t>
      </w:r>
      <w:r w:rsidR="00236F3E" w:rsidRPr="00236F3E">
        <w:rPr>
          <w:rFonts w:ascii="Arial" w:hAnsi="Arial" w:cs="Arial"/>
          <w:sz w:val="22"/>
          <w:szCs w:val="22"/>
        </w:rPr>
        <w:t>Brigham &amp; Ehrhardt, 2013</w:t>
      </w:r>
      <w:r w:rsidR="00236F3E" w:rsidRPr="00236F3E">
        <w:rPr>
          <w:rFonts w:ascii="Arial" w:hAnsi="Arial" w:cs="Arial"/>
          <w:sz w:val="22"/>
          <w:szCs w:val="22"/>
        </w:rPr>
        <w:t>).</w:t>
      </w:r>
      <w:r w:rsidRPr="006856FC">
        <w:rPr>
          <w:rFonts w:ascii="Arial" w:hAnsi="Arial" w:cs="Arial"/>
          <w:sz w:val="22"/>
          <w:szCs w:val="22"/>
        </w:rPr>
        <w:t xml:space="preserve"> Thus, it is recommended to accept a project with a positive NPV since it provides a return higher than opportunity </w:t>
      </w:r>
      <w:r w:rsidRPr="006856FC">
        <w:rPr>
          <w:rFonts w:ascii="Arial" w:hAnsi="Arial" w:cs="Arial"/>
          <w:sz w:val="22"/>
          <w:szCs w:val="22"/>
        </w:rPr>
        <w:t>cost.</w:t>
      </w:r>
      <w:r w:rsidRPr="006856FC">
        <w:rPr>
          <w:rFonts w:ascii="Arial" w:hAnsi="Arial" w:cs="Arial"/>
          <w:sz w:val="22"/>
          <w:szCs w:val="22"/>
        </w:rPr>
        <w:t xml:space="preserve"> </w:t>
      </w:r>
    </w:p>
    <w:p w14:paraId="2A7078B0" w14:textId="2BDCACFA" w:rsidR="00654367" w:rsidRDefault="006856FC" w:rsidP="00AB7AA7">
      <w:pPr>
        <w:spacing w:line="360" w:lineRule="auto"/>
        <w:rPr>
          <w:rFonts w:ascii="Arial" w:hAnsi="Arial" w:cs="Arial"/>
          <w:sz w:val="22"/>
          <w:szCs w:val="22"/>
        </w:rPr>
      </w:pPr>
      <w:r w:rsidRPr="006856FC">
        <w:rPr>
          <w:rFonts w:ascii="Arial" w:hAnsi="Arial" w:cs="Arial"/>
          <w:sz w:val="22"/>
          <w:szCs w:val="22"/>
        </w:rPr>
        <w:t xml:space="preserve">Shortcoming: NPV may require more effort in its application since it requires an analysis of future cash flows and estimation of a proper discount rate to </w:t>
      </w:r>
      <w:r w:rsidRPr="006856FC">
        <w:rPr>
          <w:rFonts w:ascii="Arial" w:hAnsi="Arial" w:cs="Arial"/>
          <w:sz w:val="22"/>
          <w:szCs w:val="22"/>
        </w:rPr>
        <w:t>use.</w:t>
      </w:r>
    </w:p>
    <w:p w14:paraId="7D45ACE2" w14:textId="32C312D2" w:rsidR="0062521E" w:rsidRDefault="00691792" w:rsidP="00AB7AA7">
      <w:pPr>
        <w:spacing w:line="360" w:lineRule="auto"/>
        <w:rPr>
          <w:rFonts w:ascii="Arial" w:hAnsi="Arial" w:cs="Arial"/>
          <w:sz w:val="22"/>
          <w:szCs w:val="22"/>
        </w:rPr>
      </w:pPr>
      <w:r w:rsidRPr="00691792">
        <w:rPr>
          <w:rFonts w:ascii="Arial" w:hAnsi="Arial" w:cs="Arial"/>
          <w:sz w:val="22"/>
          <w:szCs w:val="22"/>
        </w:rPr>
        <w:t>To sum up, although the PBP and ARR approaches can impress with additional, easy-to-calculate factors, the NPV method remains the most resilient and extensive in capital projects analysis. Its high reliability stems from the consideration of the money inflow over time and the easy comparison option between capital projects. While other methods represent more of a “what is there now” approach and projects’ short-term outcomes, the NPV one provides a clear understanding of the long-term financial benefits of a project for the company.</w:t>
      </w:r>
    </w:p>
    <w:p w14:paraId="1EDC45A1" w14:textId="77777777" w:rsidR="00FC6312" w:rsidRDefault="00FC6312" w:rsidP="00AB7AA7">
      <w:pPr>
        <w:spacing w:line="360" w:lineRule="auto"/>
        <w:rPr>
          <w:rFonts w:ascii="Arial" w:hAnsi="Arial" w:cs="Arial"/>
          <w:sz w:val="22"/>
          <w:szCs w:val="22"/>
        </w:rPr>
      </w:pPr>
    </w:p>
    <w:p w14:paraId="47795EDB" w14:textId="77777777" w:rsidR="00FC6312" w:rsidRDefault="00FC6312" w:rsidP="00AB7AA7">
      <w:pPr>
        <w:spacing w:line="360" w:lineRule="auto"/>
        <w:rPr>
          <w:rFonts w:ascii="Arial" w:hAnsi="Arial" w:cs="Arial"/>
          <w:sz w:val="22"/>
          <w:szCs w:val="22"/>
        </w:rPr>
      </w:pPr>
    </w:p>
    <w:p w14:paraId="1ABDBF23" w14:textId="77777777" w:rsidR="00FC6312" w:rsidRDefault="00FC6312" w:rsidP="00AB7AA7">
      <w:pPr>
        <w:spacing w:line="360" w:lineRule="auto"/>
        <w:rPr>
          <w:rFonts w:ascii="Arial" w:hAnsi="Arial" w:cs="Arial"/>
          <w:sz w:val="22"/>
          <w:szCs w:val="22"/>
        </w:rPr>
      </w:pPr>
    </w:p>
    <w:p w14:paraId="32FE4DE5" w14:textId="77777777" w:rsidR="00FC6312" w:rsidRDefault="00FC6312" w:rsidP="00AB7AA7">
      <w:pPr>
        <w:spacing w:line="360" w:lineRule="auto"/>
        <w:rPr>
          <w:rFonts w:ascii="Arial" w:hAnsi="Arial" w:cs="Arial"/>
          <w:sz w:val="22"/>
          <w:szCs w:val="22"/>
        </w:rPr>
      </w:pPr>
    </w:p>
    <w:p w14:paraId="32C64A3E" w14:textId="5EEBD276" w:rsidR="00FC6312" w:rsidRPr="005A365D" w:rsidRDefault="00FC6312" w:rsidP="00AB7AA7">
      <w:pPr>
        <w:spacing w:line="360" w:lineRule="auto"/>
        <w:jc w:val="center"/>
        <w:rPr>
          <w:rFonts w:ascii="Arial" w:hAnsi="Arial" w:cs="Arial"/>
          <w:color w:val="FF0000"/>
          <w:sz w:val="32"/>
          <w:szCs w:val="32"/>
        </w:rPr>
      </w:pPr>
      <w:r w:rsidRPr="005A365D">
        <w:rPr>
          <w:rFonts w:ascii="Arial" w:hAnsi="Arial" w:cs="Arial"/>
          <w:color w:val="FF0000"/>
          <w:sz w:val="32"/>
          <w:szCs w:val="32"/>
        </w:rPr>
        <w:lastRenderedPageBreak/>
        <w:t xml:space="preserve">Non-financial Factors to </w:t>
      </w:r>
      <w:r w:rsidR="005A365D" w:rsidRPr="005A365D">
        <w:rPr>
          <w:rFonts w:ascii="Arial" w:hAnsi="Arial" w:cs="Arial"/>
          <w:color w:val="FF0000"/>
          <w:sz w:val="32"/>
          <w:szCs w:val="32"/>
        </w:rPr>
        <w:t>Consider</w:t>
      </w:r>
    </w:p>
    <w:p w14:paraId="0F47A51C" w14:textId="10E89C8A" w:rsidR="000217F0" w:rsidRDefault="000217F0" w:rsidP="00AB7AA7">
      <w:pPr>
        <w:spacing w:line="360" w:lineRule="auto"/>
        <w:rPr>
          <w:rFonts w:ascii="Arial" w:hAnsi="Arial" w:cs="Arial"/>
          <w:sz w:val="22"/>
          <w:szCs w:val="22"/>
        </w:rPr>
      </w:pPr>
    </w:p>
    <w:p w14:paraId="673BD480" w14:textId="4E5F0F22" w:rsidR="00AB7AA7" w:rsidRPr="00AB7AA7" w:rsidRDefault="00AB7AA7" w:rsidP="00AB7AA7">
      <w:pPr>
        <w:spacing w:line="360" w:lineRule="auto"/>
        <w:rPr>
          <w:rFonts w:ascii="Arial" w:hAnsi="Arial" w:cs="Arial"/>
          <w:sz w:val="22"/>
          <w:szCs w:val="22"/>
        </w:rPr>
      </w:pPr>
      <w:r w:rsidRPr="00AB7AA7">
        <w:rPr>
          <w:rFonts w:ascii="Arial" w:hAnsi="Arial" w:cs="Arial"/>
          <w:sz w:val="22"/>
          <w:szCs w:val="22"/>
        </w:rPr>
        <w:t xml:space="preserve">Given its status as a technology giant with a history of launching revolutionary products, providing stellar customer experience, and possessing a strong brand, Apple should </w:t>
      </w:r>
      <w:r w:rsidRPr="00AB7AA7">
        <w:rPr>
          <w:rFonts w:ascii="Arial" w:hAnsi="Arial" w:cs="Arial"/>
          <w:sz w:val="22"/>
          <w:szCs w:val="22"/>
        </w:rPr>
        <w:t>consider</w:t>
      </w:r>
      <w:r w:rsidRPr="00AB7AA7">
        <w:rPr>
          <w:rFonts w:ascii="Arial" w:hAnsi="Arial" w:cs="Arial"/>
          <w:sz w:val="22"/>
          <w:szCs w:val="22"/>
        </w:rPr>
        <w:t xml:space="preserve"> numerous non-financial elements while evaluating probable capital projects. Such factors go beyond direct financial implications and are vital for maintaining the long-term sustainability and compatibility of its investments with the strategic focus.</w:t>
      </w:r>
    </w:p>
    <w:p w14:paraId="4795C72F" w14:textId="5D52D8E6" w:rsidR="00343FD0" w:rsidRDefault="00EC116F" w:rsidP="00AB7AA7">
      <w:pPr>
        <w:spacing w:line="360" w:lineRule="auto"/>
        <w:rPr>
          <w:rFonts w:ascii="Arial" w:hAnsi="Arial" w:cs="Arial"/>
          <w:sz w:val="22"/>
          <w:szCs w:val="22"/>
        </w:rPr>
      </w:pPr>
      <w:r w:rsidRPr="00EC116F">
        <w:rPr>
          <w:rFonts w:ascii="Arial" w:hAnsi="Arial" w:cs="Arial"/>
          <w:sz w:val="22"/>
          <w:szCs w:val="22"/>
        </w:rPr>
        <w:t xml:space="preserve">Finally, the critical non-financial factor is the project’s effect on the brand and reputation. The Apple brand is the company’s most </w:t>
      </w:r>
      <w:r w:rsidR="005B0A19" w:rsidRPr="00EC116F">
        <w:rPr>
          <w:rFonts w:ascii="Arial" w:hAnsi="Arial" w:cs="Arial"/>
          <w:sz w:val="22"/>
          <w:szCs w:val="22"/>
        </w:rPr>
        <w:t>asset</w:t>
      </w:r>
      <w:r w:rsidRPr="00EC116F">
        <w:rPr>
          <w:rFonts w:ascii="Arial" w:hAnsi="Arial" w:cs="Arial"/>
          <w:sz w:val="22"/>
          <w:szCs w:val="22"/>
        </w:rPr>
        <w:t>,</w:t>
      </w:r>
      <w:r w:rsidRPr="00EC116F">
        <w:rPr>
          <w:rFonts w:ascii="Arial" w:hAnsi="Arial" w:cs="Arial"/>
          <w:sz w:val="22"/>
          <w:szCs w:val="22"/>
        </w:rPr>
        <w:t xml:space="preserve"> and any investment decision should be assessed in view of whether it is going to add to the brand reputation or reinforce the image of excellence, innovation, and quality. Given that Apple’s products are positioned at a premium and quality, and the customer base has high demands, any projects that strengthen the brand’s association with cutting-edge technology, sleek design, and excellent customer experience would be assessed as </w:t>
      </w:r>
      <w:r w:rsidR="005B0A19" w:rsidRPr="00EC116F">
        <w:rPr>
          <w:rFonts w:ascii="Arial" w:hAnsi="Arial" w:cs="Arial"/>
          <w:sz w:val="22"/>
          <w:szCs w:val="22"/>
        </w:rPr>
        <w:t>favourable</w:t>
      </w:r>
      <w:r w:rsidRPr="00EC116F">
        <w:rPr>
          <w:rFonts w:ascii="Arial" w:hAnsi="Arial" w:cs="Arial"/>
          <w:sz w:val="22"/>
          <w:szCs w:val="22"/>
        </w:rPr>
        <w:t xml:space="preserve">. </w:t>
      </w:r>
    </w:p>
    <w:p w14:paraId="691F1182" w14:textId="77777777" w:rsidR="00F9391B" w:rsidRDefault="005B0A19" w:rsidP="00AB7AA7">
      <w:pPr>
        <w:spacing w:line="360" w:lineRule="auto"/>
        <w:rPr>
          <w:rFonts w:ascii="Arial" w:hAnsi="Arial" w:cs="Arial"/>
          <w:sz w:val="22"/>
          <w:szCs w:val="22"/>
        </w:rPr>
      </w:pPr>
      <w:r w:rsidRPr="005B0A19">
        <w:rPr>
          <w:rFonts w:ascii="Arial" w:hAnsi="Arial" w:cs="Arial"/>
          <w:sz w:val="22"/>
          <w:szCs w:val="22"/>
        </w:rPr>
        <w:t>Lastly, the brand is intimately associated with the customer experience. In a business that has made a reputation and trend of offering smooth and exquisite customer service, any capital project must be within the customer experience with the company. This ranges from assessing the implication of a capital project on product usability, the commodity’s posterior support and the general interactions with Apple’s suite of devices and services by the customer. Apple should remain obsessively anxious about the customer experience. Through such adherence to what the consumer demands, the business can continually grow the customers’ loyalty and business cycles and promote its status as the leading technological band.</w:t>
      </w:r>
    </w:p>
    <w:p w14:paraId="6BB0C896" w14:textId="415E64EE" w:rsidR="00F9391B" w:rsidRDefault="00B375D5" w:rsidP="00AB7AA7">
      <w:pPr>
        <w:spacing w:line="360" w:lineRule="auto"/>
        <w:rPr>
          <w:rFonts w:ascii="Arial" w:hAnsi="Arial" w:cs="Arial"/>
          <w:sz w:val="22"/>
          <w:szCs w:val="22"/>
        </w:rPr>
      </w:pPr>
      <w:r w:rsidRPr="00B375D5">
        <w:rPr>
          <w:rFonts w:ascii="Arial" w:hAnsi="Arial" w:cs="Arial"/>
          <w:sz w:val="22"/>
          <w:szCs w:val="22"/>
        </w:rPr>
        <w:t xml:space="preserve">Lastly, environmental sustainability is a non-financial factor that has gained increasing importance for Apple in recent years. Due to both the global increase in climate change concerns and the increasing resource depletion, Apple must evaluate whether a capital project contributes to its mission to decrease its ecological footprint. This assessment may consist of production facilities’ energy consumption levels, shifts to more sustainable materials, and the initiation of waste management and recycling programs. By exemplifying its commitment to environmental sustainability, Apple may improve its brand reputation, appeal to environmentally conscious clientele, and make the world a more suitable place. </w:t>
      </w:r>
    </w:p>
    <w:p w14:paraId="0A9AC6FF" w14:textId="6F0FE582" w:rsidR="00343FD0" w:rsidRDefault="00343FD0" w:rsidP="00AB7AA7">
      <w:pPr>
        <w:spacing w:line="360" w:lineRule="auto"/>
        <w:rPr>
          <w:rFonts w:ascii="Arial" w:hAnsi="Arial" w:cs="Arial"/>
          <w:sz w:val="22"/>
          <w:szCs w:val="22"/>
        </w:rPr>
      </w:pPr>
      <w:r>
        <w:rPr>
          <w:rFonts w:ascii="Arial" w:hAnsi="Arial" w:cs="Arial"/>
          <w:sz w:val="22"/>
          <w:szCs w:val="22"/>
        </w:rPr>
        <w:br w:type="page"/>
      </w:r>
    </w:p>
    <w:p w14:paraId="70D89FD7" w14:textId="78AF0A8E" w:rsidR="004C2C1C" w:rsidRDefault="00654367" w:rsidP="00AB7AA7">
      <w:pPr>
        <w:spacing w:line="360" w:lineRule="auto"/>
        <w:jc w:val="center"/>
        <w:rPr>
          <w:rFonts w:ascii="Arial" w:hAnsi="Arial" w:cs="Arial"/>
          <w:b/>
          <w:bCs/>
          <w:sz w:val="36"/>
          <w:szCs w:val="36"/>
        </w:rPr>
      </w:pPr>
      <w:r w:rsidRPr="00654367">
        <w:rPr>
          <w:rFonts w:ascii="Arial" w:hAnsi="Arial" w:cs="Arial"/>
          <w:b/>
          <w:bCs/>
          <w:sz w:val="36"/>
          <w:szCs w:val="36"/>
        </w:rPr>
        <w:lastRenderedPageBreak/>
        <w:t xml:space="preserve">References </w:t>
      </w:r>
    </w:p>
    <w:p w14:paraId="39F682CD" w14:textId="77777777" w:rsidR="00654367" w:rsidRDefault="00654367" w:rsidP="00AB7AA7">
      <w:pPr>
        <w:spacing w:line="360" w:lineRule="auto"/>
        <w:rPr>
          <w:rFonts w:ascii="Arial" w:hAnsi="Arial" w:cs="Arial"/>
          <w:b/>
          <w:bCs/>
          <w:sz w:val="36"/>
          <w:szCs w:val="36"/>
        </w:rPr>
      </w:pPr>
    </w:p>
    <w:p w14:paraId="108A874F" w14:textId="7D204D21" w:rsidR="00654367" w:rsidRDefault="00654367" w:rsidP="00AB7AA7">
      <w:pPr>
        <w:spacing w:line="360" w:lineRule="auto"/>
        <w:rPr>
          <w:rFonts w:ascii="Arial" w:hAnsi="Arial" w:cs="Arial"/>
          <w:sz w:val="22"/>
          <w:szCs w:val="22"/>
        </w:rPr>
      </w:pPr>
      <w:r w:rsidRPr="00654367">
        <w:rPr>
          <w:rFonts w:ascii="Arial" w:hAnsi="Arial" w:cs="Arial"/>
          <w:sz w:val="22"/>
          <w:szCs w:val="22"/>
        </w:rPr>
        <w:t xml:space="preserve">Apple Inc. (2022). </w:t>
      </w:r>
      <w:r w:rsidRPr="00654367">
        <w:rPr>
          <w:rFonts w:ascii="Arial" w:hAnsi="Arial" w:cs="Arial"/>
          <w:i/>
          <w:iCs/>
          <w:sz w:val="22"/>
          <w:szCs w:val="22"/>
        </w:rPr>
        <w:t>Apple Reports Fourth Quarter Results.</w:t>
      </w:r>
      <w:r w:rsidRPr="00654367">
        <w:rPr>
          <w:rFonts w:ascii="Arial" w:hAnsi="Arial" w:cs="Arial"/>
          <w:sz w:val="22"/>
          <w:szCs w:val="22"/>
        </w:rPr>
        <w:t xml:space="preserve"> [online] Apple Newsroom. Available at: </w:t>
      </w:r>
      <w:hyperlink r:id="rId10" w:history="1">
        <w:r w:rsidRPr="000A4790">
          <w:rPr>
            <w:rStyle w:val="Hyperlink"/>
            <w:rFonts w:ascii="Arial" w:hAnsi="Arial" w:cs="Arial"/>
            <w:sz w:val="22"/>
            <w:szCs w:val="22"/>
          </w:rPr>
          <w:t>https://www.apple.com/newsroom/2022/10/apple-reports-fourth-quarter-results/</w:t>
        </w:r>
      </w:hyperlink>
      <w:r w:rsidRPr="00654367">
        <w:rPr>
          <w:rFonts w:ascii="Arial" w:hAnsi="Arial" w:cs="Arial"/>
          <w:sz w:val="22"/>
          <w:szCs w:val="22"/>
        </w:rPr>
        <w:t>.</w:t>
      </w:r>
    </w:p>
    <w:p w14:paraId="79DCDF7E" w14:textId="2084481B" w:rsidR="00654367" w:rsidRDefault="00654367" w:rsidP="00AB7AA7">
      <w:pPr>
        <w:spacing w:line="360" w:lineRule="auto"/>
        <w:rPr>
          <w:rFonts w:ascii="Arial" w:hAnsi="Arial" w:cs="Arial"/>
          <w:sz w:val="22"/>
          <w:szCs w:val="22"/>
        </w:rPr>
      </w:pPr>
      <w:r w:rsidRPr="00654367">
        <w:rPr>
          <w:rFonts w:ascii="Arial" w:hAnsi="Arial" w:cs="Arial"/>
          <w:sz w:val="22"/>
          <w:szCs w:val="22"/>
        </w:rPr>
        <w:t xml:space="preserve">Apple (2022). </w:t>
      </w:r>
      <w:r w:rsidRPr="00654367">
        <w:rPr>
          <w:rFonts w:ascii="Arial" w:hAnsi="Arial" w:cs="Arial"/>
          <w:i/>
          <w:iCs/>
          <w:sz w:val="22"/>
          <w:szCs w:val="22"/>
        </w:rPr>
        <w:t>Apple Reports First Quarter Results</w:t>
      </w:r>
      <w:r w:rsidRPr="00654367">
        <w:rPr>
          <w:rFonts w:ascii="Arial" w:hAnsi="Arial" w:cs="Arial"/>
          <w:sz w:val="22"/>
          <w:szCs w:val="22"/>
        </w:rPr>
        <w:t xml:space="preserve">. [online] Apple Newsroom. Available at: </w:t>
      </w:r>
      <w:hyperlink r:id="rId11" w:history="1">
        <w:r w:rsidRPr="000A4790">
          <w:rPr>
            <w:rStyle w:val="Hyperlink"/>
            <w:rFonts w:ascii="Arial" w:hAnsi="Arial" w:cs="Arial"/>
            <w:sz w:val="22"/>
            <w:szCs w:val="22"/>
          </w:rPr>
          <w:t>https://www.apple.com/newsroom/2022/01/apple-reports-first-quarter-results/</w:t>
        </w:r>
      </w:hyperlink>
      <w:r w:rsidRPr="00654367">
        <w:rPr>
          <w:rFonts w:ascii="Arial" w:hAnsi="Arial" w:cs="Arial"/>
          <w:sz w:val="22"/>
          <w:szCs w:val="22"/>
        </w:rPr>
        <w:t>.</w:t>
      </w:r>
    </w:p>
    <w:p w14:paraId="02E3A279" w14:textId="1B671B50" w:rsidR="00654367" w:rsidRDefault="00A52F56" w:rsidP="00AB7AA7">
      <w:pPr>
        <w:spacing w:line="360" w:lineRule="auto"/>
        <w:rPr>
          <w:rFonts w:ascii="Arial" w:hAnsi="Arial" w:cs="Arial"/>
          <w:sz w:val="22"/>
          <w:szCs w:val="22"/>
        </w:rPr>
      </w:pPr>
      <w:r w:rsidRPr="00A52F56">
        <w:rPr>
          <w:rFonts w:ascii="Arial" w:hAnsi="Arial" w:cs="Arial"/>
          <w:sz w:val="22"/>
          <w:szCs w:val="22"/>
        </w:rPr>
        <w:t xml:space="preserve">The New York </w:t>
      </w:r>
      <w:r>
        <w:rPr>
          <w:rFonts w:ascii="Arial" w:hAnsi="Arial" w:cs="Arial"/>
          <w:sz w:val="22"/>
          <w:szCs w:val="22"/>
        </w:rPr>
        <w:t xml:space="preserve">Times (2019) </w:t>
      </w:r>
      <w:r w:rsidRPr="00A52F56">
        <w:rPr>
          <w:rFonts w:ascii="Arial" w:hAnsi="Arial" w:cs="Arial"/>
          <w:i/>
          <w:iCs/>
          <w:sz w:val="22"/>
          <w:szCs w:val="22"/>
        </w:rPr>
        <w:t xml:space="preserve">Apple Unveils Video Service </w:t>
      </w:r>
      <w:r w:rsidRPr="00A52F56">
        <w:rPr>
          <w:rFonts w:ascii="Arial" w:hAnsi="Arial" w:cs="Arial"/>
          <w:i/>
          <w:iCs/>
          <w:sz w:val="22"/>
          <w:szCs w:val="22"/>
        </w:rPr>
        <w:t>with</w:t>
      </w:r>
      <w:r w:rsidRPr="00A52F56">
        <w:rPr>
          <w:rFonts w:ascii="Arial" w:hAnsi="Arial" w:cs="Arial"/>
          <w:i/>
          <w:iCs/>
          <w:sz w:val="22"/>
          <w:szCs w:val="22"/>
        </w:rPr>
        <w:t xml:space="preserve"> Celebrity Parade</w:t>
      </w:r>
      <w:r w:rsidRPr="00A52F56">
        <w:rPr>
          <w:rFonts w:ascii="Arial" w:hAnsi="Arial" w:cs="Arial"/>
          <w:sz w:val="22"/>
          <w:szCs w:val="22"/>
        </w:rPr>
        <w:t xml:space="preserve"> [online]</w:t>
      </w:r>
      <w:r>
        <w:rPr>
          <w:rFonts w:ascii="Arial" w:hAnsi="Arial" w:cs="Arial"/>
          <w:sz w:val="22"/>
          <w:szCs w:val="22"/>
        </w:rPr>
        <w:t xml:space="preserve"> </w:t>
      </w:r>
      <w:r w:rsidRPr="00A52F56">
        <w:rPr>
          <w:rFonts w:ascii="Arial" w:hAnsi="Arial" w:cs="Arial"/>
          <w:sz w:val="22"/>
          <w:szCs w:val="22"/>
        </w:rPr>
        <w:t xml:space="preserve">Available at: </w:t>
      </w:r>
      <w:hyperlink r:id="rId12" w:history="1">
        <w:r w:rsidRPr="000A4790">
          <w:rPr>
            <w:rStyle w:val="Hyperlink"/>
            <w:rFonts w:ascii="Arial" w:hAnsi="Arial" w:cs="Arial"/>
            <w:sz w:val="22"/>
            <w:szCs w:val="22"/>
          </w:rPr>
          <w:t>https://www.nytimes.com/2019/03/25/technology/apple-news-streaming-service.html</w:t>
        </w:r>
      </w:hyperlink>
      <w:r w:rsidRPr="00A52F56">
        <w:rPr>
          <w:rFonts w:ascii="Arial" w:hAnsi="Arial" w:cs="Arial"/>
          <w:sz w:val="22"/>
          <w:szCs w:val="22"/>
        </w:rPr>
        <w:t>.</w:t>
      </w:r>
    </w:p>
    <w:p w14:paraId="47F2F953" w14:textId="32E0F3BD" w:rsidR="00A52F56" w:rsidRDefault="00A52F56" w:rsidP="00AB7AA7">
      <w:pPr>
        <w:spacing w:line="360" w:lineRule="auto"/>
        <w:rPr>
          <w:rFonts w:ascii="Arial" w:hAnsi="Arial" w:cs="Arial"/>
          <w:sz w:val="22"/>
          <w:szCs w:val="22"/>
        </w:rPr>
      </w:pPr>
      <w:r w:rsidRPr="00A52F56">
        <w:rPr>
          <w:rFonts w:ascii="Arial" w:hAnsi="Arial" w:cs="Arial"/>
          <w:sz w:val="22"/>
          <w:szCs w:val="22"/>
        </w:rPr>
        <w:t>The Verge</w:t>
      </w:r>
      <w:r w:rsidRPr="00A52F56">
        <w:rPr>
          <w:rFonts w:ascii="Arial" w:hAnsi="Arial" w:cs="Arial"/>
          <w:sz w:val="22"/>
          <w:szCs w:val="22"/>
        </w:rPr>
        <w:t xml:space="preserve"> </w:t>
      </w:r>
      <w:r w:rsidRPr="00A52F56">
        <w:rPr>
          <w:rFonts w:ascii="Arial" w:hAnsi="Arial" w:cs="Arial"/>
          <w:sz w:val="22"/>
          <w:szCs w:val="22"/>
        </w:rPr>
        <w:t>(2019). </w:t>
      </w:r>
      <w:r w:rsidRPr="00A52F56">
        <w:rPr>
          <w:rFonts w:ascii="Arial" w:hAnsi="Arial" w:cs="Arial"/>
          <w:i/>
          <w:iCs/>
          <w:sz w:val="22"/>
          <w:szCs w:val="22"/>
        </w:rPr>
        <w:t>Spotify files antitrust complaint over ‘Apple tax’</w:t>
      </w:r>
      <w:r w:rsidRPr="00A52F56">
        <w:rPr>
          <w:rFonts w:ascii="Arial" w:hAnsi="Arial" w:cs="Arial"/>
          <w:sz w:val="22"/>
          <w:szCs w:val="22"/>
        </w:rPr>
        <w:t xml:space="preserve">. [online]. Available at: </w:t>
      </w:r>
      <w:hyperlink r:id="rId13" w:history="1">
        <w:r w:rsidRPr="000A4790">
          <w:rPr>
            <w:rStyle w:val="Hyperlink"/>
            <w:rFonts w:ascii="Arial" w:hAnsi="Arial" w:cs="Arial"/>
            <w:sz w:val="22"/>
            <w:szCs w:val="22"/>
          </w:rPr>
          <w:t>https://www.theverge.com/2019/3/13/18263453/apple-antitrust-complaint-europe-spotify-app-store-fees</w:t>
        </w:r>
      </w:hyperlink>
    </w:p>
    <w:p w14:paraId="3E5DCEAD" w14:textId="1A26E61E" w:rsidR="00A52F56" w:rsidRDefault="00A12696" w:rsidP="00AB7AA7">
      <w:pPr>
        <w:spacing w:line="360" w:lineRule="auto"/>
        <w:rPr>
          <w:rFonts w:ascii="Arial" w:hAnsi="Arial" w:cs="Arial"/>
          <w:sz w:val="22"/>
          <w:szCs w:val="22"/>
        </w:rPr>
      </w:pPr>
      <w:r w:rsidRPr="00A12696">
        <w:rPr>
          <w:rFonts w:ascii="Arial" w:hAnsi="Arial" w:cs="Arial"/>
          <w:sz w:val="22"/>
          <w:szCs w:val="22"/>
        </w:rPr>
        <w:t>Warren, T. (2020). </w:t>
      </w:r>
      <w:r w:rsidRPr="00A12696">
        <w:rPr>
          <w:rFonts w:ascii="Arial" w:hAnsi="Arial" w:cs="Arial"/>
          <w:i/>
          <w:iCs/>
          <w:sz w:val="22"/>
          <w:szCs w:val="22"/>
        </w:rPr>
        <w:t>Apple is switching Macs to its own processors starting later this year</w:t>
      </w:r>
      <w:r w:rsidRPr="00A12696">
        <w:rPr>
          <w:rFonts w:ascii="Arial" w:hAnsi="Arial" w:cs="Arial"/>
          <w:sz w:val="22"/>
          <w:szCs w:val="22"/>
        </w:rPr>
        <w:t xml:space="preserve">. [online] The Verge. </w:t>
      </w:r>
      <w:hyperlink r:id="rId14" w:history="1">
        <w:r w:rsidRPr="000A4790">
          <w:rPr>
            <w:rStyle w:val="Hyperlink"/>
            <w:rFonts w:ascii="Arial" w:hAnsi="Arial" w:cs="Arial"/>
            <w:sz w:val="22"/>
            <w:szCs w:val="22"/>
          </w:rPr>
          <w:t>https://www.theverge.com/2020/6/22/21295475/apple-mac-processors-arm-silicon-chips-wwdc-2020</w:t>
        </w:r>
      </w:hyperlink>
      <w:r w:rsidRPr="00A12696">
        <w:rPr>
          <w:rFonts w:ascii="Arial" w:hAnsi="Arial" w:cs="Arial"/>
          <w:sz w:val="22"/>
          <w:szCs w:val="22"/>
        </w:rPr>
        <w:t>.</w:t>
      </w:r>
    </w:p>
    <w:p w14:paraId="4EA8CE7E" w14:textId="18707BAA" w:rsidR="00A12696" w:rsidRDefault="00A12696" w:rsidP="00AB7AA7">
      <w:pPr>
        <w:spacing w:line="360" w:lineRule="auto"/>
        <w:rPr>
          <w:rFonts w:ascii="Arial" w:hAnsi="Arial" w:cs="Arial"/>
          <w:sz w:val="22"/>
          <w:szCs w:val="22"/>
        </w:rPr>
      </w:pPr>
      <w:r w:rsidRPr="00A12696">
        <w:rPr>
          <w:rFonts w:ascii="Arial" w:hAnsi="Arial" w:cs="Arial"/>
          <w:sz w:val="22"/>
          <w:szCs w:val="22"/>
        </w:rPr>
        <w:t>Apple (2022</w:t>
      </w:r>
      <w:r>
        <w:rPr>
          <w:rFonts w:ascii="Arial" w:hAnsi="Arial" w:cs="Arial"/>
          <w:sz w:val="22"/>
          <w:szCs w:val="22"/>
        </w:rPr>
        <w:t>b</w:t>
      </w:r>
      <w:r w:rsidRPr="00A12696">
        <w:rPr>
          <w:rFonts w:ascii="Arial" w:hAnsi="Arial" w:cs="Arial"/>
          <w:sz w:val="22"/>
          <w:szCs w:val="22"/>
        </w:rPr>
        <w:t>). </w:t>
      </w:r>
      <w:r w:rsidRPr="00A12696">
        <w:rPr>
          <w:rFonts w:ascii="Arial" w:hAnsi="Arial" w:cs="Arial"/>
          <w:i/>
          <w:iCs/>
          <w:sz w:val="22"/>
          <w:szCs w:val="22"/>
        </w:rPr>
        <w:t>Apple Reports First Quarter Results.</w:t>
      </w:r>
      <w:r w:rsidRPr="00A12696">
        <w:rPr>
          <w:rFonts w:ascii="Arial" w:hAnsi="Arial" w:cs="Arial"/>
          <w:sz w:val="22"/>
          <w:szCs w:val="22"/>
        </w:rPr>
        <w:t xml:space="preserve"> [online] Apple Newsroom. Available at: </w:t>
      </w:r>
      <w:hyperlink r:id="rId15" w:history="1">
        <w:r w:rsidRPr="000A4790">
          <w:rPr>
            <w:rStyle w:val="Hyperlink"/>
            <w:rFonts w:ascii="Arial" w:hAnsi="Arial" w:cs="Arial"/>
            <w:sz w:val="22"/>
            <w:szCs w:val="22"/>
          </w:rPr>
          <w:t>https://www.apple.com/newsroom/2022/01/apple-reports-first-quarter-results/</w:t>
        </w:r>
      </w:hyperlink>
      <w:r w:rsidRPr="00A12696">
        <w:rPr>
          <w:rFonts w:ascii="Arial" w:hAnsi="Arial" w:cs="Arial"/>
          <w:sz w:val="22"/>
          <w:szCs w:val="22"/>
        </w:rPr>
        <w:t>.</w:t>
      </w:r>
    </w:p>
    <w:p w14:paraId="4DC89C87" w14:textId="12F03FE0" w:rsidR="00A12696" w:rsidRDefault="00A12696" w:rsidP="00AB7AA7">
      <w:pPr>
        <w:spacing w:line="360" w:lineRule="auto"/>
        <w:rPr>
          <w:rFonts w:ascii="Arial" w:hAnsi="Arial" w:cs="Arial"/>
          <w:sz w:val="22"/>
          <w:szCs w:val="22"/>
        </w:rPr>
      </w:pPr>
      <w:r>
        <w:rPr>
          <w:rFonts w:ascii="Arial" w:hAnsi="Arial" w:cs="Arial"/>
          <w:sz w:val="22"/>
          <w:szCs w:val="22"/>
        </w:rPr>
        <w:t xml:space="preserve">The New York Times (2022) </w:t>
      </w:r>
      <w:r w:rsidRPr="00A005CE">
        <w:rPr>
          <w:rFonts w:ascii="Arial" w:hAnsi="Arial" w:cs="Arial"/>
          <w:i/>
          <w:iCs/>
          <w:sz w:val="22"/>
          <w:szCs w:val="22"/>
        </w:rPr>
        <w:t xml:space="preserve">Apple and Epic Trial Opens </w:t>
      </w:r>
      <w:r w:rsidRPr="00A005CE">
        <w:rPr>
          <w:rFonts w:ascii="Arial" w:hAnsi="Arial" w:cs="Arial"/>
          <w:i/>
          <w:iCs/>
          <w:sz w:val="22"/>
          <w:szCs w:val="22"/>
        </w:rPr>
        <w:t>with</w:t>
      </w:r>
      <w:r w:rsidRPr="00A005CE">
        <w:rPr>
          <w:rFonts w:ascii="Arial" w:hAnsi="Arial" w:cs="Arial"/>
          <w:i/>
          <w:iCs/>
          <w:sz w:val="22"/>
          <w:szCs w:val="22"/>
        </w:rPr>
        <w:t xml:space="preserve"> a Tour of the Fortnite ‘Metaverse’</w:t>
      </w:r>
      <w:r w:rsidRPr="00A12696">
        <w:rPr>
          <w:rFonts w:ascii="Arial" w:hAnsi="Arial" w:cs="Arial"/>
          <w:sz w:val="22"/>
          <w:szCs w:val="22"/>
        </w:rPr>
        <w:t xml:space="preserve">. </w:t>
      </w:r>
      <w:hyperlink r:id="rId16" w:history="1">
        <w:r w:rsidRPr="000A4790">
          <w:rPr>
            <w:rStyle w:val="Hyperlink"/>
            <w:rFonts w:ascii="Arial" w:hAnsi="Arial" w:cs="Arial"/>
            <w:sz w:val="22"/>
            <w:szCs w:val="22"/>
          </w:rPr>
          <w:t>https://www.nytimes.com/2021/05/03/business/apple-epic-fortnite-trial.html</w:t>
        </w:r>
      </w:hyperlink>
    </w:p>
    <w:p w14:paraId="3FEBC15D" w14:textId="77777777" w:rsidR="00A005CE" w:rsidRPr="00A005CE" w:rsidRDefault="00A005CE" w:rsidP="00AB7AA7">
      <w:pPr>
        <w:spacing w:line="360" w:lineRule="auto"/>
        <w:rPr>
          <w:rFonts w:ascii="Arial" w:hAnsi="Arial" w:cs="Arial"/>
          <w:sz w:val="22"/>
          <w:szCs w:val="22"/>
        </w:rPr>
      </w:pPr>
      <w:r w:rsidRPr="00A005CE">
        <w:rPr>
          <w:rFonts w:ascii="Arial" w:hAnsi="Arial" w:cs="Arial"/>
          <w:sz w:val="22"/>
          <w:szCs w:val="22"/>
        </w:rPr>
        <w:t xml:space="preserve">Brealey, R. A., Myers, S. C., &amp; Allen, F. (2020). </w:t>
      </w:r>
      <w:r w:rsidRPr="00A005CE">
        <w:rPr>
          <w:rFonts w:ascii="Arial" w:hAnsi="Arial" w:cs="Arial"/>
          <w:i/>
          <w:iCs/>
          <w:sz w:val="22"/>
          <w:szCs w:val="22"/>
        </w:rPr>
        <w:t xml:space="preserve">Principles of Corporate Finance </w:t>
      </w:r>
      <w:r w:rsidRPr="00A005CE">
        <w:rPr>
          <w:rFonts w:ascii="Arial" w:hAnsi="Arial" w:cs="Arial"/>
          <w:sz w:val="22"/>
          <w:szCs w:val="22"/>
        </w:rPr>
        <w:t>(13th ed.). McGraw-Hill Education.</w:t>
      </w:r>
    </w:p>
    <w:p w14:paraId="28B80C09" w14:textId="77777777" w:rsidR="00A005CE" w:rsidRPr="00A005CE" w:rsidRDefault="00A005CE" w:rsidP="00AB7AA7">
      <w:pPr>
        <w:spacing w:line="360" w:lineRule="auto"/>
        <w:rPr>
          <w:rFonts w:ascii="Arial" w:hAnsi="Arial" w:cs="Arial"/>
          <w:sz w:val="22"/>
          <w:szCs w:val="22"/>
        </w:rPr>
      </w:pPr>
      <w:r w:rsidRPr="00A005CE">
        <w:rPr>
          <w:rFonts w:ascii="Arial" w:hAnsi="Arial" w:cs="Arial"/>
          <w:sz w:val="22"/>
          <w:szCs w:val="22"/>
        </w:rPr>
        <w:t xml:space="preserve">Brigham, E. F., &amp; Houston, J. F. (2019). </w:t>
      </w:r>
      <w:r w:rsidRPr="00A005CE">
        <w:rPr>
          <w:rFonts w:ascii="Arial" w:hAnsi="Arial" w:cs="Arial"/>
          <w:i/>
          <w:iCs/>
          <w:sz w:val="22"/>
          <w:szCs w:val="22"/>
        </w:rPr>
        <w:t>Fundamentals of Financial Management</w:t>
      </w:r>
      <w:r w:rsidRPr="00A005CE">
        <w:rPr>
          <w:rFonts w:ascii="Arial" w:hAnsi="Arial" w:cs="Arial"/>
          <w:sz w:val="22"/>
          <w:szCs w:val="22"/>
        </w:rPr>
        <w:t xml:space="preserve"> (15th ed.). Cengage Learning.</w:t>
      </w:r>
    </w:p>
    <w:p w14:paraId="532F9022" w14:textId="77777777" w:rsidR="00A005CE" w:rsidRPr="00A005CE" w:rsidRDefault="00A005CE" w:rsidP="00AB7AA7">
      <w:pPr>
        <w:spacing w:line="360" w:lineRule="auto"/>
        <w:rPr>
          <w:rFonts w:ascii="Arial" w:hAnsi="Arial" w:cs="Arial"/>
          <w:sz w:val="22"/>
          <w:szCs w:val="22"/>
        </w:rPr>
      </w:pPr>
      <w:r w:rsidRPr="00A005CE">
        <w:rPr>
          <w:rFonts w:ascii="Arial" w:hAnsi="Arial" w:cs="Arial"/>
          <w:sz w:val="22"/>
          <w:szCs w:val="22"/>
        </w:rPr>
        <w:t xml:space="preserve">Damodaran, A. (2012). </w:t>
      </w:r>
      <w:r w:rsidRPr="00A005CE">
        <w:rPr>
          <w:rFonts w:ascii="Arial" w:hAnsi="Arial" w:cs="Arial"/>
          <w:i/>
          <w:iCs/>
          <w:sz w:val="22"/>
          <w:szCs w:val="22"/>
        </w:rPr>
        <w:t xml:space="preserve">Investment Valuation: Tools and Techniques for Determining the Value of Any Asset </w:t>
      </w:r>
      <w:r w:rsidRPr="00A005CE">
        <w:rPr>
          <w:rFonts w:ascii="Arial" w:hAnsi="Arial" w:cs="Arial"/>
          <w:sz w:val="22"/>
          <w:szCs w:val="22"/>
        </w:rPr>
        <w:t>(3rd ed.). Wiley.</w:t>
      </w:r>
    </w:p>
    <w:p w14:paraId="62B9584B" w14:textId="77777777" w:rsidR="00A005CE" w:rsidRPr="00A005CE" w:rsidRDefault="00A005CE" w:rsidP="00AB7AA7">
      <w:pPr>
        <w:spacing w:line="360" w:lineRule="auto"/>
        <w:rPr>
          <w:rFonts w:ascii="Arial" w:hAnsi="Arial" w:cs="Arial"/>
          <w:sz w:val="22"/>
          <w:szCs w:val="22"/>
        </w:rPr>
      </w:pPr>
    </w:p>
    <w:p w14:paraId="7B7D1D51" w14:textId="77777777" w:rsidR="00A005CE" w:rsidRPr="00A005CE" w:rsidRDefault="00A005CE" w:rsidP="00AB7AA7">
      <w:pPr>
        <w:spacing w:line="360" w:lineRule="auto"/>
        <w:rPr>
          <w:rFonts w:ascii="Arial" w:hAnsi="Arial" w:cs="Arial"/>
          <w:sz w:val="22"/>
          <w:szCs w:val="22"/>
        </w:rPr>
      </w:pPr>
      <w:r w:rsidRPr="00A005CE">
        <w:rPr>
          <w:rFonts w:ascii="Arial" w:hAnsi="Arial" w:cs="Arial"/>
          <w:sz w:val="22"/>
          <w:szCs w:val="22"/>
        </w:rPr>
        <w:lastRenderedPageBreak/>
        <w:t xml:space="preserve">Gartner. (2022). </w:t>
      </w:r>
      <w:r w:rsidRPr="00A005CE">
        <w:rPr>
          <w:rFonts w:ascii="Arial" w:hAnsi="Arial" w:cs="Arial"/>
          <w:i/>
          <w:iCs/>
          <w:sz w:val="22"/>
          <w:szCs w:val="22"/>
        </w:rPr>
        <w:t>Gartner Says Worldwide Smartphone Sales to Decline 5.7% in 2022</w:t>
      </w:r>
      <w:r w:rsidRPr="00A005CE">
        <w:rPr>
          <w:rFonts w:ascii="Arial" w:hAnsi="Arial" w:cs="Arial"/>
          <w:sz w:val="22"/>
          <w:szCs w:val="22"/>
        </w:rPr>
        <w:t>. https://www.gartner.com/en/newsroom/press-releases/2022-08-22-gartner-says-worldwide-smartphone-sales-to-decline-5-point-7-percent-in-2022</w:t>
      </w:r>
    </w:p>
    <w:p w14:paraId="26D53A60" w14:textId="77777777" w:rsidR="00A005CE" w:rsidRPr="00A005CE" w:rsidRDefault="00A005CE" w:rsidP="00AB7AA7">
      <w:pPr>
        <w:spacing w:line="360" w:lineRule="auto"/>
        <w:rPr>
          <w:rFonts w:ascii="Arial" w:hAnsi="Arial" w:cs="Arial"/>
          <w:sz w:val="22"/>
          <w:szCs w:val="22"/>
        </w:rPr>
      </w:pPr>
      <w:proofErr w:type="spellStart"/>
      <w:r w:rsidRPr="00A005CE">
        <w:rPr>
          <w:rFonts w:ascii="Arial" w:hAnsi="Arial" w:cs="Arial"/>
          <w:sz w:val="22"/>
          <w:szCs w:val="22"/>
        </w:rPr>
        <w:t>Gitman</w:t>
      </w:r>
      <w:proofErr w:type="spellEnd"/>
      <w:r w:rsidRPr="00A005CE">
        <w:rPr>
          <w:rFonts w:ascii="Arial" w:hAnsi="Arial" w:cs="Arial"/>
          <w:sz w:val="22"/>
          <w:szCs w:val="22"/>
        </w:rPr>
        <w:t xml:space="preserve">, L. J., &amp; </w:t>
      </w:r>
      <w:proofErr w:type="spellStart"/>
      <w:r w:rsidRPr="00A005CE">
        <w:rPr>
          <w:rFonts w:ascii="Arial" w:hAnsi="Arial" w:cs="Arial"/>
          <w:sz w:val="22"/>
          <w:szCs w:val="22"/>
        </w:rPr>
        <w:t>Zutter</w:t>
      </w:r>
      <w:proofErr w:type="spellEnd"/>
      <w:r w:rsidRPr="00A005CE">
        <w:rPr>
          <w:rFonts w:ascii="Arial" w:hAnsi="Arial" w:cs="Arial"/>
          <w:sz w:val="22"/>
          <w:szCs w:val="22"/>
        </w:rPr>
        <w:t xml:space="preserve">, C. J. (2015). </w:t>
      </w:r>
      <w:r w:rsidRPr="00A005CE">
        <w:rPr>
          <w:rFonts w:ascii="Arial" w:hAnsi="Arial" w:cs="Arial"/>
          <w:i/>
          <w:iCs/>
          <w:sz w:val="22"/>
          <w:szCs w:val="22"/>
        </w:rPr>
        <w:t>Principles of Managerial Finance</w:t>
      </w:r>
      <w:r w:rsidRPr="00A005CE">
        <w:rPr>
          <w:rFonts w:ascii="Arial" w:hAnsi="Arial" w:cs="Arial"/>
          <w:sz w:val="22"/>
          <w:szCs w:val="22"/>
        </w:rPr>
        <w:t xml:space="preserve"> (14th ed.). Pearson.</w:t>
      </w:r>
    </w:p>
    <w:p w14:paraId="14D33DFB" w14:textId="237FEC89" w:rsidR="00A005CE" w:rsidRDefault="00A005CE" w:rsidP="00AB7AA7">
      <w:pPr>
        <w:spacing w:line="360" w:lineRule="auto"/>
        <w:rPr>
          <w:rFonts w:ascii="Arial" w:hAnsi="Arial" w:cs="Arial"/>
          <w:sz w:val="22"/>
          <w:szCs w:val="22"/>
        </w:rPr>
      </w:pPr>
      <w:r w:rsidRPr="00A005CE">
        <w:rPr>
          <w:rFonts w:ascii="Arial" w:hAnsi="Arial" w:cs="Arial"/>
          <w:sz w:val="22"/>
          <w:szCs w:val="22"/>
        </w:rPr>
        <w:t xml:space="preserve">Investopedia. (2022). </w:t>
      </w:r>
      <w:r w:rsidRPr="00A005CE">
        <w:rPr>
          <w:rFonts w:ascii="Arial" w:hAnsi="Arial" w:cs="Arial"/>
          <w:i/>
          <w:iCs/>
          <w:sz w:val="22"/>
          <w:szCs w:val="22"/>
        </w:rPr>
        <w:t>Asset Turnover Ratio.</w:t>
      </w:r>
      <w:r w:rsidRPr="00A005CE">
        <w:rPr>
          <w:rFonts w:ascii="Arial" w:hAnsi="Arial" w:cs="Arial"/>
          <w:sz w:val="22"/>
          <w:szCs w:val="22"/>
        </w:rPr>
        <w:t xml:space="preserve"> </w:t>
      </w:r>
      <w:hyperlink r:id="rId17" w:history="1">
        <w:r w:rsidRPr="00A005CE">
          <w:rPr>
            <w:rStyle w:val="Hyperlink"/>
            <w:rFonts w:ascii="Arial" w:hAnsi="Arial" w:cs="Arial"/>
            <w:sz w:val="22"/>
            <w:szCs w:val="22"/>
          </w:rPr>
          <w:t>https://www.investopedia.com/terms/a/assetturnover.asp</w:t>
        </w:r>
      </w:hyperlink>
    </w:p>
    <w:p w14:paraId="0F1FFEBF" w14:textId="4009BF30" w:rsidR="00A005CE" w:rsidRDefault="00A005CE" w:rsidP="00AB7AA7">
      <w:pPr>
        <w:spacing w:line="360" w:lineRule="auto"/>
        <w:rPr>
          <w:rFonts w:ascii="Arial" w:hAnsi="Arial" w:cs="Arial"/>
          <w:sz w:val="22"/>
          <w:szCs w:val="22"/>
        </w:rPr>
      </w:pPr>
      <w:r w:rsidRPr="00A005CE">
        <w:rPr>
          <w:rFonts w:ascii="Arial" w:hAnsi="Arial" w:cs="Arial"/>
          <w:sz w:val="22"/>
          <w:szCs w:val="22"/>
        </w:rPr>
        <w:t xml:space="preserve">Kenton, W. (2022). </w:t>
      </w:r>
      <w:r w:rsidRPr="00A005CE">
        <w:rPr>
          <w:rFonts w:ascii="Arial" w:hAnsi="Arial" w:cs="Arial"/>
          <w:i/>
          <w:iCs/>
          <w:sz w:val="22"/>
          <w:szCs w:val="22"/>
        </w:rPr>
        <w:t>Net Profit Margin</w:t>
      </w:r>
      <w:r w:rsidRPr="00A005CE">
        <w:rPr>
          <w:rFonts w:ascii="Arial" w:hAnsi="Arial" w:cs="Arial"/>
          <w:sz w:val="22"/>
          <w:szCs w:val="22"/>
        </w:rPr>
        <w:t xml:space="preserve">. Investopedia. </w:t>
      </w:r>
      <w:hyperlink r:id="rId18" w:history="1">
        <w:r w:rsidRPr="00A005CE">
          <w:rPr>
            <w:rStyle w:val="Hyperlink"/>
            <w:rFonts w:ascii="Arial" w:hAnsi="Arial" w:cs="Arial"/>
            <w:sz w:val="22"/>
            <w:szCs w:val="22"/>
          </w:rPr>
          <w:t>https://www.investopedia.com/terms/n/net_margin.asp</w:t>
        </w:r>
      </w:hyperlink>
    </w:p>
    <w:p w14:paraId="1A045EDA" w14:textId="7747C829" w:rsidR="00A005CE" w:rsidRDefault="00A005CE" w:rsidP="00AB7AA7">
      <w:pPr>
        <w:spacing w:line="360" w:lineRule="auto"/>
        <w:rPr>
          <w:rFonts w:ascii="Arial" w:hAnsi="Arial" w:cs="Arial"/>
          <w:sz w:val="22"/>
          <w:szCs w:val="22"/>
        </w:rPr>
      </w:pPr>
      <w:r w:rsidRPr="00A005CE">
        <w:rPr>
          <w:rFonts w:ascii="Arial" w:hAnsi="Arial" w:cs="Arial"/>
          <w:sz w:val="22"/>
          <w:szCs w:val="22"/>
        </w:rPr>
        <w:t xml:space="preserve">McKinsey &amp; Company. (2022). </w:t>
      </w:r>
      <w:r w:rsidRPr="00A005CE">
        <w:rPr>
          <w:rFonts w:ascii="Arial" w:hAnsi="Arial" w:cs="Arial"/>
          <w:i/>
          <w:iCs/>
          <w:sz w:val="22"/>
          <w:szCs w:val="22"/>
        </w:rPr>
        <w:t>Technology Hardware &amp; Equipment Industry Insights.</w:t>
      </w:r>
      <w:r w:rsidRPr="00A005CE">
        <w:rPr>
          <w:rFonts w:ascii="Arial" w:hAnsi="Arial" w:cs="Arial"/>
          <w:sz w:val="22"/>
          <w:szCs w:val="22"/>
        </w:rPr>
        <w:t xml:space="preserve"> </w:t>
      </w:r>
      <w:hyperlink r:id="rId19" w:history="1">
        <w:r w:rsidRPr="00A005CE">
          <w:rPr>
            <w:rStyle w:val="Hyperlink"/>
            <w:rFonts w:ascii="Arial" w:hAnsi="Arial" w:cs="Arial"/>
            <w:sz w:val="22"/>
            <w:szCs w:val="22"/>
          </w:rPr>
          <w:t>https://www.mckinsey.com/industries/technology-media-and-telecommunications/our-insights/technology-hardware-and-equipment-industry-insights</w:t>
        </w:r>
      </w:hyperlink>
    </w:p>
    <w:p w14:paraId="7F6C6C06" w14:textId="77777777" w:rsidR="00A005CE" w:rsidRPr="00A005CE" w:rsidRDefault="00A005CE" w:rsidP="00AB7AA7">
      <w:pPr>
        <w:spacing w:line="360" w:lineRule="auto"/>
        <w:rPr>
          <w:rFonts w:ascii="Arial" w:hAnsi="Arial" w:cs="Arial"/>
          <w:sz w:val="22"/>
          <w:szCs w:val="22"/>
        </w:rPr>
      </w:pPr>
      <w:r w:rsidRPr="00A005CE">
        <w:rPr>
          <w:rFonts w:ascii="Arial" w:hAnsi="Arial" w:cs="Arial"/>
          <w:sz w:val="22"/>
          <w:szCs w:val="22"/>
        </w:rPr>
        <w:t>Palepu, K. G., &amp; Healy, P. M. (2013). B</w:t>
      </w:r>
      <w:r w:rsidRPr="00A005CE">
        <w:rPr>
          <w:rFonts w:ascii="Arial" w:hAnsi="Arial" w:cs="Arial"/>
          <w:i/>
          <w:iCs/>
          <w:sz w:val="22"/>
          <w:szCs w:val="22"/>
        </w:rPr>
        <w:t xml:space="preserve">usiness Analysis and Valuation: Using Financial Statements </w:t>
      </w:r>
      <w:r w:rsidRPr="00A005CE">
        <w:rPr>
          <w:rFonts w:ascii="Arial" w:hAnsi="Arial" w:cs="Arial"/>
          <w:sz w:val="22"/>
          <w:szCs w:val="22"/>
        </w:rPr>
        <w:t>(5th ed</w:t>
      </w:r>
    </w:p>
    <w:p w14:paraId="1B2C1183" w14:textId="12EE4FB5" w:rsidR="00A005CE" w:rsidRDefault="00A005CE" w:rsidP="00AB7AA7">
      <w:pPr>
        <w:spacing w:line="360" w:lineRule="auto"/>
        <w:rPr>
          <w:rFonts w:ascii="Arial" w:hAnsi="Arial" w:cs="Arial"/>
          <w:sz w:val="22"/>
          <w:szCs w:val="22"/>
        </w:rPr>
      </w:pPr>
      <w:r w:rsidRPr="00A005CE">
        <w:rPr>
          <w:rFonts w:ascii="Arial" w:hAnsi="Arial" w:cs="Arial"/>
          <w:sz w:val="22"/>
          <w:szCs w:val="22"/>
        </w:rPr>
        <w:t xml:space="preserve">Samsung Electronics. (2022). </w:t>
      </w:r>
      <w:r w:rsidRPr="00A005CE">
        <w:rPr>
          <w:rFonts w:ascii="Arial" w:hAnsi="Arial" w:cs="Arial"/>
          <w:i/>
          <w:iCs/>
          <w:sz w:val="22"/>
          <w:szCs w:val="22"/>
        </w:rPr>
        <w:t>Samsung Electronics Investor Relations</w:t>
      </w:r>
      <w:r w:rsidRPr="00A005CE">
        <w:rPr>
          <w:rFonts w:ascii="Arial" w:hAnsi="Arial" w:cs="Arial"/>
          <w:sz w:val="22"/>
          <w:szCs w:val="22"/>
        </w:rPr>
        <w:t xml:space="preserve">. </w:t>
      </w:r>
      <w:hyperlink r:id="rId20" w:history="1">
        <w:r w:rsidRPr="00A005CE">
          <w:rPr>
            <w:rStyle w:val="Hyperlink"/>
            <w:rFonts w:ascii="Arial" w:hAnsi="Arial" w:cs="Arial"/>
            <w:sz w:val="22"/>
            <w:szCs w:val="22"/>
          </w:rPr>
          <w:t>https://www.samsung.com/global/ir/</w:t>
        </w:r>
      </w:hyperlink>
    </w:p>
    <w:p w14:paraId="5BFB3F73" w14:textId="77777777" w:rsidR="00954602" w:rsidRPr="00954602" w:rsidRDefault="00954602" w:rsidP="00AB7AA7">
      <w:pPr>
        <w:spacing w:line="360" w:lineRule="auto"/>
        <w:rPr>
          <w:rFonts w:ascii="Arial" w:hAnsi="Arial" w:cs="Arial"/>
          <w:sz w:val="22"/>
          <w:szCs w:val="22"/>
        </w:rPr>
      </w:pPr>
      <w:r w:rsidRPr="00954602">
        <w:rPr>
          <w:rFonts w:ascii="Arial" w:hAnsi="Arial" w:cs="Arial"/>
          <w:sz w:val="22"/>
          <w:szCs w:val="22"/>
        </w:rPr>
        <w:t xml:space="preserve">Brealey, R. A., Myers, S. C., &amp; Allen, F. (2020). </w:t>
      </w:r>
      <w:r w:rsidRPr="00954602">
        <w:rPr>
          <w:rFonts w:ascii="Arial" w:hAnsi="Arial" w:cs="Arial"/>
          <w:i/>
          <w:iCs/>
          <w:sz w:val="22"/>
          <w:szCs w:val="22"/>
        </w:rPr>
        <w:t>Principles of Corporate Finance</w:t>
      </w:r>
      <w:r w:rsidRPr="00954602">
        <w:rPr>
          <w:rFonts w:ascii="Arial" w:hAnsi="Arial" w:cs="Arial"/>
          <w:sz w:val="22"/>
          <w:szCs w:val="22"/>
        </w:rPr>
        <w:t xml:space="preserve"> (13th ed.). McGraw-Hill Education.</w:t>
      </w:r>
    </w:p>
    <w:p w14:paraId="26AC2C65" w14:textId="77777777" w:rsidR="00954602" w:rsidRPr="00954602" w:rsidRDefault="00954602" w:rsidP="00AB7AA7">
      <w:pPr>
        <w:spacing w:line="360" w:lineRule="auto"/>
        <w:rPr>
          <w:rFonts w:ascii="Arial" w:hAnsi="Arial" w:cs="Arial"/>
          <w:sz w:val="22"/>
          <w:szCs w:val="22"/>
        </w:rPr>
      </w:pPr>
      <w:r w:rsidRPr="00954602">
        <w:rPr>
          <w:rFonts w:ascii="Arial" w:hAnsi="Arial" w:cs="Arial"/>
          <w:sz w:val="22"/>
          <w:szCs w:val="22"/>
        </w:rPr>
        <w:t xml:space="preserve">Brigham, E. F., &amp; Ehrhardt, M. C. (2013). </w:t>
      </w:r>
      <w:r w:rsidRPr="00954602">
        <w:rPr>
          <w:rFonts w:ascii="Arial" w:hAnsi="Arial" w:cs="Arial"/>
          <w:i/>
          <w:iCs/>
          <w:sz w:val="22"/>
          <w:szCs w:val="22"/>
        </w:rPr>
        <w:t>Financial Management: Theory and Practice</w:t>
      </w:r>
      <w:r w:rsidRPr="00954602">
        <w:rPr>
          <w:rFonts w:ascii="Arial" w:hAnsi="Arial" w:cs="Arial"/>
          <w:sz w:val="22"/>
          <w:szCs w:val="22"/>
        </w:rPr>
        <w:t xml:space="preserve"> (14th ed.). Cengage Learning.</w:t>
      </w:r>
    </w:p>
    <w:p w14:paraId="57B0EC70" w14:textId="66B7E999" w:rsidR="00A005CE" w:rsidRPr="00A005CE" w:rsidRDefault="00954602" w:rsidP="00AB7AA7">
      <w:pPr>
        <w:spacing w:line="360" w:lineRule="auto"/>
        <w:rPr>
          <w:rFonts w:ascii="Arial" w:hAnsi="Arial" w:cs="Arial"/>
          <w:sz w:val="22"/>
          <w:szCs w:val="22"/>
        </w:rPr>
      </w:pPr>
      <w:r w:rsidRPr="00954602">
        <w:rPr>
          <w:rFonts w:ascii="Arial" w:hAnsi="Arial" w:cs="Arial"/>
          <w:sz w:val="22"/>
          <w:szCs w:val="22"/>
        </w:rPr>
        <w:t xml:space="preserve">Hillier, D., </w:t>
      </w:r>
      <w:proofErr w:type="spellStart"/>
      <w:r w:rsidRPr="00954602">
        <w:rPr>
          <w:rFonts w:ascii="Arial" w:hAnsi="Arial" w:cs="Arial"/>
          <w:sz w:val="22"/>
          <w:szCs w:val="22"/>
        </w:rPr>
        <w:t>Clacher</w:t>
      </w:r>
      <w:proofErr w:type="spellEnd"/>
      <w:r w:rsidRPr="00954602">
        <w:rPr>
          <w:rFonts w:ascii="Arial" w:hAnsi="Arial" w:cs="Arial"/>
          <w:sz w:val="22"/>
          <w:szCs w:val="22"/>
        </w:rPr>
        <w:t xml:space="preserve">, I., Ross, S., Westerfield, R., &amp; Jordan, B. (2016). </w:t>
      </w:r>
      <w:r w:rsidRPr="00343FD0">
        <w:rPr>
          <w:rFonts w:ascii="Arial" w:hAnsi="Arial" w:cs="Arial"/>
          <w:i/>
          <w:iCs/>
          <w:sz w:val="22"/>
          <w:szCs w:val="22"/>
        </w:rPr>
        <w:t xml:space="preserve">Fundamentals of Corporate Finance </w:t>
      </w:r>
      <w:r w:rsidRPr="00954602">
        <w:rPr>
          <w:rFonts w:ascii="Arial" w:hAnsi="Arial" w:cs="Arial"/>
          <w:sz w:val="22"/>
          <w:szCs w:val="22"/>
        </w:rPr>
        <w:t>(2nd European ed.). McGraw-Hill Education.</w:t>
      </w:r>
    </w:p>
    <w:p w14:paraId="42CF234D" w14:textId="77777777" w:rsidR="00A12696" w:rsidRPr="00654367" w:rsidRDefault="00A12696" w:rsidP="00AB7AA7">
      <w:pPr>
        <w:spacing w:line="360" w:lineRule="auto"/>
        <w:rPr>
          <w:rFonts w:ascii="Arial" w:hAnsi="Arial" w:cs="Arial"/>
          <w:sz w:val="22"/>
          <w:szCs w:val="22"/>
        </w:rPr>
      </w:pPr>
    </w:p>
    <w:sectPr w:rsidR="00A12696" w:rsidRPr="006543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8A85B1" w14:textId="77777777" w:rsidR="007C5707" w:rsidRDefault="007C5707" w:rsidP="004C2C1C">
      <w:pPr>
        <w:spacing w:before="0" w:after="0" w:line="240" w:lineRule="auto"/>
      </w:pPr>
      <w:r>
        <w:separator/>
      </w:r>
    </w:p>
  </w:endnote>
  <w:endnote w:type="continuationSeparator" w:id="0">
    <w:p w14:paraId="0CAC5D88" w14:textId="77777777" w:rsidR="007C5707" w:rsidRDefault="007C5707" w:rsidP="004C2C1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merican Typewriter">
    <w:panose1 w:val="02090604020004020304"/>
    <w:charset w:val="4D"/>
    <w:family w:val="roman"/>
    <w:pitch w:val="variable"/>
    <w:sig w:usb0="A000006F" w:usb1="00000019" w:usb2="00000000" w:usb3="00000000" w:csb0="00000111"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7AB20" w14:textId="77777777" w:rsidR="007C5707" w:rsidRDefault="007C5707" w:rsidP="004C2C1C">
      <w:pPr>
        <w:spacing w:before="0" w:after="0" w:line="240" w:lineRule="auto"/>
      </w:pPr>
      <w:r>
        <w:separator/>
      </w:r>
    </w:p>
  </w:footnote>
  <w:footnote w:type="continuationSeparator" w:id="0">
    <w:p w14:paraId="570CFB29" w14:textId="77777777" w:rsidR="007C5707" w:rsidRDefault="007C5707" w:rsidP="004C2C1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37819"/>
    <w:multiLevelType w:val="multilevel"/>
    <w:tmpl w:val="3B6056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A84F81"/>
    <w:multiLevelType w:val="hybridMultilevel"/>
    <w:tmpl w:val="9AFE9C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E937FF"/>
    <w:multiLevelType w:val="multilevel"/>
    <w:tmpl w:val="DDC2E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9B5F35"/>
    <w:multiLevelType w:val="multilevel"/>
    <w:tmpl w:val="84F4E9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306584"/>
    <w:multiLevelType w:val="multilevel"/>
    <w:tmpl w:val="68DC43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9492BFB"/>
    <w:multiLevelType w:val="multilevel"/>
    <w:tmpl w:val="F4FA9B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DF36ECE"/>
    <w:multiLevelType w:val="multilevel"/>
    <w:tmpl w:val="2C840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9A2B2C"/>
    <w:multiLevelType w:val="multilevel"/>
    <w:tmpl w:val="E07EBC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48845718">
    <w:abstractNumId w:val="7"/>
  </w:num>
  <w:num w:numId="2" w16cid:durableId="595401221">
    <w:abstractNumId w:val="0"/>
  </w:num>
  <w:num w:numId="3" w16cid:durableId="1866556299">
    <w:abstractNumId w:val="1"/>
  </w:num>
  <w:num w:numId="4" w16cid:durableId="1149251323">
    <w:abstractNumId w:val="6"/>
  </w:num>
  <w:num w:numId="5" w16cid:durableId="392315044">
    <w:abstractNumId w:val="3"/>
  </w:num>
  <w:num w:numId="6" w16cid:durableId="1268536257">
    <w:abstractNumId w:val="2"/>
  </w:num>
  <w:num w:numId="7" w16cid:durableId="917710630">
    <w:abstractNumId w:val="5"/>
  </w:num>
  <w:num w:numId="8" w16cid:durableId="13716098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C1C"/>
    <w:rsid w:val="0000232E"/>
    <w:rsid w:val="000217F0"/>
    <w:rsid w:val="00047076"/>
    <w:rsid w:val="00057C49"/>
    <w:rsid w:val="0009010B"/>
    <w:rsid w:val="00092192"/>
    <w:rsid w:val="000923A7"/>
    <w:rsid w:val="000C57CA"/>
    <w:rsid w:val="00105392"/>
    <w:rsid w:val="0014205C"/>
    <w:rsid w:val="0018733A"/>
    <w:rsid w:val="001E6EE6"/>
    <w:rsid w:val="001F19D1"/>
    <w:rsid w:val="001F1E9D"/>
    <w:rsid w:val="0020583C"/>
    <w:rsid w:val="00205F0A"/>
    <w:rsid w:val="00236886"/>
    <w:rsid w:val="00236F3E"/>
    <w:rsid w:val="00245196"/>
    <w:rsid w:val="002513DE"/>
    <w:rsid w:val="00274F75"/>
    <w:rsid w:val="00286A32"/>
    <w:rsid w:val="00297511"/>
    <w:rsid w:val="002A5953"/>
    <w:rsid w:val="002B49A6"/>
    <w:rsid w:val="00307B2E"/>
    <w:rsid w:val="00316934"/>
    <w:rsid w:val="00343FD0"/>
    <w:rsid w:val="003619FF"/>
    <w:rsid w:val="00381FD9"/>
    <w:rsid w:val="00391537"/>
    <w:rsid w:val="003B49D0"/>
    <w:rsid w:val="003C195B"/>
    <w:rsid w:val="003C7E68"/>
    <w:rsid w:val="003F0FE2"/>
    <w:rsid w:val="0040252D"/>
    <w:rsid w:val="004415BF"/>
    <w:rsid w:val="004744BE"/>
    <w:rsid w:val="0049561A"/>
    <w:rsid w:val="004C1B15"/>
    <w:rsid w:val="004C2C1C"/>
    <w:rsid w:val="004C4AB3"/>
    <w:rsid w:val="004D5FD9"/>
    <w:rsid w:val="004F6ED3"/>
    <w:rsid w:val="00511F40"/>
    <w:rsid w:val="00556455"/>
    <w:rsid w:val="005A365D"/>
    <w:rsid w:val="005B0A19"/>
    <w:rsid w:val="005B1F7B"/>
    <w:rsid w:val="005B4952"/>
    <w:rsid w:val="005C4285"/>
    <w:rsid w:val="005D6B35"/>
    <w:rsid w:val="005E2B98"/>
    <w:rsid w:val="005E7BAD"/>
    <w:rsid w:val="00601C88"/>
    <w:rsid w:val="006046A9"/>
    <w:rsid w:val="0062521E"/>
    <w:rsid w:val="00654367"/>
    <w:rsid w:val="00661AF5"/>
    <w:rsid w:val="006856FC"/>
    <w:rsid w:val="00691792"/>
    <w:rsid w:val="006A63C8"/>
    <w:rsid w:val="006C3CC2"/>
    <w:rsid w:val="0073079E"/>
    <w:rsid w:val="00742C84"/>
    <w:rsid w:val="007C5707"/>
    <w:rsid w:val="00807E79"/>
    <w:rsid w:val="00826C2F"/>
    <w:rsid w:val="00836A8D"/>
    <w:rsid w:val="0085744C"/>
    <w:rsid w:val="00866DE0"/>
    <w:rsid w:val="008C66AA"/>
    <w:rsid w:val="00903E56"/>
    <w:rsid w:val="00927653"/>
    <w:rsid w:val="00930E01"/>
    <w:rsid w:val="00954602"/>
    <w:rsid w:val="009576AF"/>
    <w:rsid w:val="00971113"/>
    <w:rsid w:val="009B1004"/>
    <w:rsid w:val="009D62AC"/>
    <w:rsid w:val="009E2FCC"/>
    <w:rsid w:val="009E55BA"/>
    <w:rsid w:val="00A005CE"/>
    <w:rsid w:val="00A12696"/>
    <w:rsid w:val="00A307F4"/>
    <w:rsid w:val="00A52F56"/>
    <w:rsid w:val="00A94E6B"/>
    <w:rsid w:val="00AA3584"/>
    <w:rsid w:val="00AB11E6"/>
    <w:rsid w:val="00AB7AA7"/>
    <w:rsid w:val="00AC5477"/>
    <w:rsid w:val="00AD6003"/>
    <w:rsid w:val="00AE04D1"/>
    <w:rsid w:val="00AE75A7"/>
    <w:rsid w:val="00AF3C6C"/>
    <w:rsid w:val="00AF6B7D"/>
    <w:rsid w:val="00B04A6F"/>
    <w:rsid w:val="00B25CE0"/>
    <w:rsid w:val="00B375D5"/>
    <w:rsid w:val="00B54CB0"/>
    <w:rsid w:val="00B8496F"/>
    <w:rsid w:val="00BA4D9D"/>
    <w:rsid w:val="00BD0723"/>
    <w:rsid w:val="00C4273D"/>
    <w:rsid w:val="00C54F1F"/>
    <w:rsid w:val="00CA36BF"/>
    <w:rsid w:val="00CA66F4"/>
    <w:rsid w:val="00CB448D"/>
    <w:rsid w:val="00CE19DD"/>
    <w:rsid w:val="00D01FDD"/>
    <w:rsid w:val="00D03F40"/>
    <w:rsid w:val="00D32CAE"/>
    <w:rsid w:val="00D825FC"/>
    <w:rsid w:val="00DB0804"/>
    <w:rsid w:val="00E122D3"/>
    <w:rsid w:val="00E3233E"/>
    <w:rsid w:val="00E35626"/>
    <w:rsid w:val="00E557C4"/>
    <w:rsid w:val="00E60E73"/>
    <w:rsid w:val="00EB7A12"/>
    <w:rsid w:val="00EC116F"/>
    <w:rsid w:val="00F85D00"/>
    <w:rsid w:val="00F9391B"/>
    <w:rsid w:val="00FC5EEA"/>
    <w:rsid w:val="00FC6312"/>
    <w:rsid w:val="00FE1D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26EFE"/>
  <w15:chartTrackingRefBased/>
  <w15:docId w15:val="{9E2A4AC6-4548-004B-AE2E-051294175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C1C"/>
    <w:rPr>
      <w:sz w:val="20"/>
      <w:szCs w:val="20"/>
    </w:rPr>
  </w:style>
  <w:style w:type="paragraph" w:styleId="Heading1">
    <w:name w:val="heading 1"/>
    <w:basedOn w:val="Normal"/>
    <w:next w:val="Normal"/>
    <w:link w:val="Heading1Char"/>
    <w:uiPriority w:val="9"/>
    <w:qFormat/>
    <w:rsid w:val="004C2C1C"/>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4C2C1C"/>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4C2C1C"/>
    <w:pPr>
      <w:pBdr>
        <w:top w:val="single" w:sz="6" w:space="2" w:color="156082" w:themeColor="accent1"/>
        <w:left w:val="single" w:sz="6" w:space="2" w:color="156082" w:themeColor="accent1"/>
      </w:pBdr>
      <w:spacing w:before="300" w:after="0"/>
      <w:outlineLvl w:val="2"/>
    </w:pPr>
    <w:rPr>
      <w:caps/>
      <w:color w:val="0A2F40" w:themeColor="accent1" w:themeShade="7F"/>
      <w:spacing w:val="15"/>
      <w:sz w:val="22"/>
      <w:szCs w:val="22"/>
    </w:rPr>
  </w:style>
  <w:style w:type="paragraph" w:styleId="Heading4">
    <w:name w:val="heading 4"/>
    <w:basedOn w:val="Normal"/>
    <w:next w:val="Normal"/>
    <w:link w:val="Heading4Char"/>
    <w:uiPriority w:val="9"/>
    <w:semiHidden/>
    <w:unhideWhenUsed/>
    <w:qFormat/>
    <w:rsid w:val="004C2C1C"/>
    <w:pPr>
      <w:pBdr>
        <w:top w:val="dotted" w:sz="6" w:space="2" w:color="156082" w:themeColor="accent1"/>
        <w:left w:val="dotted" w:sz="6" w:space="2" w:color="156082" w:themeColor="accent1"/>
      </w:pBdr>
      <w:spacing w:before="300" w:after="0"/>
      <w:outlineLvl w:val="3"/>
    </w:pPr>
    <w:rPr>
      <w:caps/>
      <w:color w:val="0F4761" w:themeColor="accent1" w:themeShade="BF"/>
      <w:spacing w:val="10"/>
      <w:sz w:val="22"/>
      <w:szCs w:val="22"/>
    </w:rPr>
  </w:style>
  <w:style w:type="paragraph" w:styleId="Heading5">
    <w:name w:val="heading 5"/>
    <w:basedOn w:val="Normal"/>
    <w:next w:val="Normal"/>
    <w:link w:val="Heading5Char"/>
    <w:uiPriority w:val="9"/>
    <w:semiHidden/>
    <w:unhideWhenUsed/>
    <w:qFormat/>
    <w:rsid w:val="004C2C1C"/>
    <w:pPr>
      <w:pBdr>
        <w:bottom w:val="single" w:sz="6" w:space="1" w:color="156082" w:themeColor="accent1"/>
      </w:pBdr>
      <w:spacing w:before="300" w:after="0"/>
      <w:outlineLvl w:val="4"/>
    </w:pPr>
    <w:rPr>
      <w:caps/>
      <w:color w:val="0F4761" w:themeColor="accent1" w:themeShade="BF"/>
      <w:spacing w:val="10"/>
      <w:sz w:val="22"/>
      <w:szCs w:val="22"/>
    </w:rPr>
  </w:style>
  <w:style w:type="paragraph" w:styleId="Heading6">
    <w:name w:val="heading 6"/>
    <w:basedOn w:val="Normal"/>
    <w:next w:val="Normal"/>
    <w:link w:val="Heading6Char"/>
    <w:uiPriority w:val="9"/>
    <w:semiHidden/>
    <w:unhideWhenUsed/>
    <w:qFormat/>
    <w:rsid w:val="004C2C1C"/>
    <w:pPr>
      <w:pBdr>
        <w:bottom w:val="dotted" w:sz="6" w:space="1" w:color="156082" w:themeColor="accent1"/>
      </w:pBdr>
      <w:spacing w:before="300" w:after="0"/>
      <w:outlineLvl w:val="5"/>
    </w:pPr>
    <w:rPr>
      <w:caps/>
      <w:color w:val="0F4761" w:themeColor="accent1" w:themeShade="BF"/>
      <w:spacing w:val="10"/>
      <w:sz w:val="22"/>
      <w:szCs w:val="22"/>
    </w:rPr>
  </w:style>
  <w:style w:type="paragraph" w:styleId="Heading7">
    <w:name w:val="heading 7"/>
    <w:basedOn w:val="Normal"/>
    <w:next w:val="Normal"/>
    <w:link w:val="Heading7Char"/>
    <w:uiPriority w:val="9"/>
    <w:semiHidden/>
    <w:unhideWhenUsed/>
    <w:qFormat/>
    <w:rsid w:val="004C2C1C"/>
    <w:pPr>
      <w:spacing w:before="300" w:after="0"/>
      <w:outlineLvl w:val="6"/>
    </w:pPr>
    <w:rPr>
      <w:caps/>
      <w:color w:val="0F4761" w:themeColor="accent1" w:themeShade="BF"/>
      <w:spacing w:val="10"/>
      <w:sz w:val="22"/>
      <w:szCs w:val="22"/>
    </w:rPr>
  </w:style>
  <w:style w:type="paragraph" w:styleId="Heading8">
    <w:name w:val="heading 8"/>
    <w:basedOn w:val="Normal"/>
    <w:next w:val="Normal"/>
    <w:link w:val="Heading8Char"/>
    <w:uiPriority w:val="9"/>
    <w:semiHidden/>
    <w:unhideWhenUsed/>
    <w:qFormat/>
    <w:rsid w:val="004C2C1C"/>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C2C1C"/>
    <w:pPr>
      <w:spacing w:before="300" w:after="0"/>
      <w:outlineLvl w:val="8"/>
    </w:pPr>
    <w:rPr>
      <w:i/>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2C1C"/>
    <w:rPr>
      <w:b/>
      <w:bCs/>
      <w:caps/>
      <w:color w:val="FFFFFF" w:themeColor="background1"/>
      <w:spacing w:val="15"/>
      <w:shd w:val="clear" w:color="auto" w:fill="156082" w:themeFill="accent1"/>
    </w:rPr>
  </w:style>
  <w:style w:type="character" w:customStyle="1" w:styleId="Heading2Char">
    <w:name w:val="Heading 2 Char"/>
    <w:basedOn w:val="DefaultParagraphFont"/>
    <w:link w:val="Heading2"/>
    <w:uiPriority w:val="9"/>
    <w:semiHidden/>
    <w:rsid w:val="004C2C1C"/>
    <w:rPr>
      <w:caps/>
      <w:spacing w:val="15"/>
      <w:shd w:val="clear" w:color="auto" w:fill="C1E4F5" w:themeFill="accent1" w:themeFillTint="33"/>
    </w:rPr>
  </w:style>
  <w:style w:type="character" w:customStyle="1" w:styleId="Heading3Char">
    <w:name w:val="Heading 3 Char"/>
    <w:basedOn w:val="DefaultParagraphFont"/>
    <w:link w:val="Heading3"/>
    <w:uiPriority w:val="9"/>
    <w:semiHidden/>
    <w:rsid w:val="004C2C1C"/>
    <w:rPr>
      <w:caps/>
      <w:color w:val="0A2F40" w:themeColor="accent1" w:themeShade="7F"/>
      <w:spacing w:val="15"/>
    </w:rPr>
  </w:style>
  <w:style w:type="character" w:customStyle="1" w:styleId="Heading4Char">
    <w:name w:val="Heading 4 Char"/>
    <w:basedOn w:val="DefaultParagraphFont"/>
    <w:link w:val="Heading4"/>
    <w:uiPriority w:val="9"/>
    <w:semiHidden/>
    <w:rsid w:val="004C2C1C"/>
    <w:rPr>
      <w:caps/>
      <w:color w:val="0F4761" w:themeColor="accent1" w:themeShade="BF"/>
      <w:spacing w:val="10"/>
    </w:rPr>
  </w:style>
  <w:style w:type="character" w:customStyle="1" w:styleId="Heading5Char">
    <w:name w:val="Heading 5 Char"/>
    <w:basedOn w:val="DefaultParagraphFont"/>
    <w:link w:val="Heading5"/>
    <w:uiPriority w:val="9"/>
    <w:semiHidden/>
    <w:rsid w:val="004C2C1C"/>
    <w:rPr>
      <w:caps/>
      <w:color w:val="0F4761" w:themeColor="accent1" w:themeShade="BF"/>
      <w:spacing w:val="10"/>
    </w:rPr>
  </w:style>
  <w:style w:type="character" w:customStyle="1" w:styleId="Heading6Char">
    <w:name w:val="Heading 6 Char"/>
    <w:basedOn w:val="DefaultParagraphFont"/>
    <w:link w:val="Heading6"/>
    <w:uiPriority w:val="9"/>
    <w:semiHidden/>
    <w:rsid w:val="004C2C1C"/>
    <w:rPr>
      <w:caps/>
      <w:color w:val="0F4761" w:themeColor="accent1" w:themeShade="BF"/>
      <w:spacing w:val="10"/>
    </w:rPr>
  </w:style>
  <w:style w:type="character" w:customStyle="1" w:styleId="Heading7Char">
    <w:name w:val="Heading 7 Char"/>
    <w:basedOn w:val="DefaultParagraphFont"/>
    <w:link w:val="Heading7"/>
    <w:uiPriority w:val="9"/>
    <w:semiHidden/>
    <w:rsid w:val="004C2C1C"/>
    <w:rPr>
      <w:caps/>
      <w:color w:val="0F4761" w:themeColor="accent1" w:themeShade="BF"/>
      <w:spacing w:val="10"/>
    </w:rPr>
  </w:style>
  <w:style w:type="character" w:customStyle="1" w:styleId="Heading8Char">
    <w:name w:val="Heading 8 Char"/>
    <w:basedOn w:val="DefaultParagraphFont"/>
    <w:link w:val="Heading8"/>
    <w:uiPriority w:val="9"/>
    <w:semiHidden/>
    <w:rsid w:val="004C2C1C"/>
    <w:rPr>
      <w:caps/>
      <w:spacing w:val="10"/>
      <w:sz w:val="18"/>
      <w:szCs w:val="18"/>
    </w:rPr>
  </w:style>
  <w:style w:type="character" w:customStyle="1" w:styleId="Heading9Char">
    <w:name w:val="Heading 9 Char"/>
    <w:basedOn w:val="DefaultParagraphFont"/>
    <w:link w:val="Heading9"/>
    <w:uiPriority w:val="9"/>
    <w:semiHidden/>
    <w:rsid w:val="004C2C1C"/>
    <w:rPr>
      <w:i/>
      <w:caps/>
      <w:spacing w:val="10"/>
      <w:sz w:val="18"/>
      <w:szCs w:val="18"/>
    </w:rPr>
  </w:style>
  <w:style w:type="paragraph" w:styleId="Title">
    <w:name w:val="Title"/>
    <w:basedOn w:val="Normal"/>
    <w:next w:val="Normal"/>
    <w:link w:val="TitleChar"/>
    <w:uiPriority w:val="10"/>
    <w:qFormat/>
    <w:rsid w:val="004C2C1C"/>
    <w:pPr>
      <w:spacing w:before="720"/>
    </w:pPr>
    <w:rPr>
      <w:caps/>
      <w:color w:val="156082" w:themeColor="accent1"/>
      <w:spacing w:val="10"/>
      <w:kern w:val="28"/>
      <w:sz w:val="52"/>
      <w:szCs w:val="52"/>
    </w:rPr>
  </w:style>
  <w:style w:type="character" w:customStyle="1" w:styleId="TitleChar">
    <w:name w:val="Title Char"/>
    <w:basedOn w:val="DefaultParagraphFont"/>
    <w:link w:val="Title"/>
    <w:uiPriority w:val="10"/>
    <w:rsid w:val="004C2C1C"/>
    <w:rPr>
      <w:caps/>
      <w:color w:val="156082" w:themeColor="accent1"/>
      <w:spacing w:val="10"/>
      <w:kern w:val="28"/>
      <w:sz w:val="52"/>
      <w:szCs w:val="52"/>
    </w:rPr>
  </w:style>
  <w:style w:type="paragraph" w:styleId="Subtitle">
    <w:name w:val="Subtitle"/>
    <w:basedOn w:val="Normal"/>
    <w:next w:val="Normal"/>
    <w:link w:val="SubtitleChar"/>
    <w:uiPriority w:val="11"/>
    <w:qFormat/>
    <w:rsid w:val="004C2C1C"/>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4C2C1C"/>
    <w:rPr>
      <w:caps/>
      <w:color w:val="595959" w:themeColor="text1" w:themeTint="A6"/>
      <w:spacing w:val="10"/>
      <w:sz w:val="24"/>
      <w:szCs w:val="24"/>
    </w:rPr>
  </w:style>
  <w:style w:type="paragraph" w:styleId="Quote">
    <w:name w:val="Quote"/>
    <w:basedOn w:val="Normal"/>
    <w:next w:val="Normal"/>
    <w:link w:val="QuoteChar"/>
    <w:uiPriority w:val="29"/>
    <w:qFormat/>
    <w:rsid w:val="004C2C1C"/>
    <w:rPr>
      <w:i/>
      <w:iCs/>
    </w:rPr>
  </w:style>
  <w:style w:type="character" w:customStyle="1" w:styleId="QuoteChar">
    <w:name w:val="Quote Char"/>
    <w:basedOn w:val="DefaultParagraphFont"/>
    <w:link w:val="Quote"/>
    <w:uiPriority w:val="29"/>
    <w:rsid w:val="004C2C1C"/>
    <w:rPr>
      <w:i/>
      <w:iCs/>
      <w:sz w:val="20"/>
      <w:szCs w:val="20"/>
    </w:rPr>
  </w:style>
  <w:style w:type="paragraph" w:styleId="ListParagraph">
    <w:name w:val="List Paragraph"/>
    <w:basedOn w:val="Normal"/>
    <w:uiPriority w:val="34"/>
    <w:qFormat/>
    <w:rsid w:val="004C2C1C"/>
    <w:pPr>
      <w:ind w:left="720"/>
      <w:contextualSpacing/>
    </w:pPr>
  </w:style>
  <w:style w:type="character" w:styleId="IntenseEmphasis">
    <w:name w:val="Intense Emphasis"/>
    <w:uiPriority w:val="21"/>
    <w:qFormat/>
    <w:rsid w:val="004C2C1C"/>
    <w:rPr>
      <w:b/>
      <w:bCs/>
      <w:caps/>
      <w:color w:val="0A2F40" w:themeColor="accent1" w:themeShade="7F"/>
      <w:spacing w:val="10"/>
    </w:rPr>
  </w:style>
  <w:style w:type="paragraph" w:styleId="IntenseQuote">
    <w:name w:val="Intense Quote"/>
    <w:basedOn w:val="Normal"/>
    <w:next w:val="Normal"/>
    <w:link w:val="IntenseQuoteChar"/>
    <w:uiPriority w:val="30"/>
    <w:qFormat/>
    <w:rsid w:val="004C2C1C"/>
    <w:pPr>
      <w:pBdr>
        <w:top w:val="single" w:sz="4" w:space="10" w:color="156082" w:themeColor="accent1"/>
        <w:left w:val="single" w:sz="4" w:space="10" w:color="156082" w:themeColor="accent1"/>
      </w:pBdr>
      <w:spacing w:after="0"/>
      <w:ind w:left="1296" w:right="1152"/>
      <w:jc w:val="both"/>
    </w:pPr>
    <w:rPr>
      <w:i/>
      <w:iCs/>
      <w:color w:val="156082" w:themeColor="accent1"/>
    </w:rPr>
  </w:style>
  <w:style w:type="character" w:customStyle="1" w:styleId="IntenseQuoteChar">
    <w:name w:val="Intense Quote Char"/>
    <w:basedOn w:val="DefaultParagraphFont"/>
    <w:link w:val="IntenseQuote"/>
    <w:uiPriority w:val="30"/>
    <w:rsid w:val="004C2C1C"/>
    <w:rPr>
      <w:i/>
      <w:iCs/>
      <w:color w:val="156082" w:themeColor="accent1"/>
      <w:sz w:val="20"/>
      <w:szCs w:val="20"/>
    </w:rPr>
  </w:style>
  <w:style w:type="character" w:styleId="IntenseReference">
    <w:name w:val="Intense Reference"/>
    <w:uiPriority w:val="32"/>
    <w:qFormat/>
    <w:rsid w:val="004C2C1C"/>
    <w:rPr>
      <w:b/>
      <w:bCs/>
      <w:i/>
      <w:iCs/>
      <w:caps/>
      <w:color w:val="156082" w:themeColor="accent1"/>
    </w:rPr>
  </w:style>
  <w:style w:type="paragraph" w:styleId="Header">
    <w:name w:val="header"/>
    <w:basedOn w:val="Normal"/>
    <w:link w:val="HeaderChar"/>
    <w:uiPriority w:val="99"/>
    <w:unhideWhenUsed/>
    <w:rsid w:val="004C2C1C"/>
    <w:pPr>
      <w:tabs>
        <w:tab w:val="center" w:pos="4513"/>
        <w:tab w:val="right" w:pos="9026"/>
      </w:tabs>
    </w:pPr>
  </w:style>
  <w:style w:type="character" w:customStyle="1" w:styleId="HeaderChar">
    <w:name w:val="Header Char"/>
    <w:basedOn w:val="DefaultParagraphFont"/>
    <w:link w:val="Header"/>
    <w:uiPriority w:val="99"/>
    <w:rsid w:val="004C2C1C"/>
  </w:style>
  <w:style w:type="paragraph" w:styleId="Footer">
    <w:name w:val="footer"/>
    <w:basedOn w:val="Normal"/>
    <w:link w:val="FooterChar"/>
    <w:uiPriority w:val="99"/>
    <w:unhideWhenUsed/>
    <w:rsid w:val="004C2C1C"/>
    <w:pPr>
      <w:tabs>
        <w:tab w:val="center" w:pos="4513"/>
        <w:tab w:val="right" w:pos="9026"/>
      </w:tabs>
    </w:pPr>
  </w:style>
  <w:style w:type="character" w:customStyle="1" w:styleId="FooterChar">
    <w:name w:val="Footer Char"/>
    <w:basedOn w:val="DefaultParagraphFont"/>
    <w:link w:val="Footer"/>
    <w:uiPriority w:val="99"/>
    <w:rsid w:val="004C2C1C"/>
  </w:style>
  <w:style w:type="paragraph" w:styleId="Caption">
    <w:name w:val="caption"/>
    <w:basedOn w:val="Normal"/>
    <w:next w:val="Normal"/>
    <w:uiPriority w:val="35"/>
    <w:semiHidden/>
    <w:unhideWhenUsed/>
    <w:qFormat/>
    <w:rsid w:val="004C2C1C"/>
    <w:rPr>
      <w:b/>
      <w:bCs/>
      <w:color w:val="0F4761" w:themeColor="accent1" w:themeShade="BF"/>
      <w:sz w:val="16"/>
      <w:szCs w:val="16"/>
    </w:rPr>
  </w:style>
  <w:style w:type="character" w:styleId="Strong">
    <w:name w:val="Strong"/>
    <w:uiPriority w:val="22"/>
    <w:qFormat/>
    <w:rsid w:val="004C2C1C"/>
    <w:rPr>
      <w:b/>
      <w:bCs/>
    </w:rPr>
  </w:style>
  <w:style w:type="character" w:styleId="Emphasis">
    <w:name w:val="Emphasis"/>
    <w:uiPriority w:val="20"/>
    <w:qFormat/>
    <w:rsid w:val="004C2C1C"/>
    <w:rPr>
      <w:caps/>
      <w:color w:val="0A2F40" w:themeColor="accent1" w:themeShade="7F"/>
      <w:spacing w:val="5"/>
    </w:rPr>
  </w:style>
  <w:style w:type="paragraph" w:styleId="NoSpacing">
    <w:name w:val="No Spacing"/>
    <w:basedOn w:val="Normal"/>
    <w:link w:val="NoSpacingChar"/>
    <w:uiPriority w:val="1"/>
    <w:qFormat/>
    <w:rsid w:val="004C2C1C"/>
    <w:pPr>
      <w:spacing w:before="0" w:after="0" w:line="240" w:lineRule="auto"/>
    </w:pPr>
  </w:style>
  <w:style w:type="character" w:customStyle="1" w:styleId="NoSpacingChar">
    <w:name w:val="No Spacing Char"/>
    <w:basedOn w:val="DefaultParagraphFont"/>
    <w:link w:val="NoSpacing"/>
    <w:uiPriority w:val="1"/>
    <w:rsid w:val="004C2C1C"/>
    <w:rPr>
      <w:sz w:val="20"/>
      <w:szCs w:val="20"/>
    </w:rPr>
  </w:style>
  <w:style w:type="character" w:styleId="SubtleEmphasis">
    <w:name w:val="Subtle Emphasis"/>
    <w:uiPriority w:val="19"/>
    <w:qFormat/>
    <w:rsid w:val="004C2C1C"/>
    <w:rPr>
      <w:i/>
      <w:iCs/>
      <w:color w:val="0A2F40" w:themeColor="accent1" w:themeShade="7F"/>
    </w:rPr>
  </w:style>
  <w:style w:type="character" w:styleId="SubtleReference">
    <w:name w:val="Subtle Reference"/>
    <w:uiPriority w:val="31"/>
    <w:qFormat/>
    <w:rsid w:val="004C2C1C"/>
    <w:rPr>
      <w:b/>
      <w:bCs/>
      <w:color w:val="156082" w:themeColor="accent1"/>
    </w:rPr>
  </w:style>
  <w:style w:type="character" w:styleId="BookTitle">
    <w:name w:val="Book Title"/>
    <w:uiPriority w:val="33"/>
    <w:qFormat/>
    <w:rsid w:val="004C2C1C"/>
    <w:rPr>
      <w:b/>
      <w:bCs/>
      <w:i/>
      <w:iCs/>
      <w:spacing w:val="9"/>
    </w:rPr>
  </w:style>
  <w:style w:type="paragraph" w:styleId="TOCHeading">
    <w:name w:val="TOC Heading"/>
    <w:basedOn w:val="Heading1"/>
    <w:next w:val="Normal"/>
    <w:uiPriority w:val="39"/>
    <w:semiHidden/>
    <w:unhideWhenUsed/>
    <w:qFormat/>
    <w:rsid w:val="004C2C1C"/>
    <w:pPr>
      <w:outlineLvl w:val="9"/>
    </w:pPr>
  </w:style>
  <w:style w:type="paragraph" w:customStyle="1" w:styleId="PersonalName">
    <w:name w:val="Personal Name"/>
    <w:basedOn w:val="Title"/>
    <w:rsid w:val="004C2C1C"/>
    <w:rPr>
      <w:b/>
      <w:caps w:val="0"/>
      <w:color w:val="000000"/>
      <w:sz w:val="28"/>
      <w:szCs w:val="28"/>
    </w:rPr>
  </w:style>
  <w:style w:type="character" w:styleId="Hyperlink">
    <w:name w:val="Hyperlink"/>
    <w:basedOn w:val="DefaultParagraphFont"/>
    <w:uiPriority w:val="99"/>
    <w:unhideWhenUsed/>
    <w:rsid w:val="00654367"/>
    <w:rPr>
      <w:color w:val="467886" w:themeColor="hyperlink"/>
      <w:u w:val="single"/>
    </w:rPr>
  </w:style>
  <w:style w:type="character" w:styleId="UnresolvedMention">
    <w:name w:val="Unresolved Mention"/>
    <w:basedOn w:val="DefaultParagraphFont"/>
    <w:uiPriority w:val="99"/>
    <w:semiHidden/>
    <w:unhideWhenUsed/>
    <w:rsid w:val="00654367"/>
    <w:rPr>
      <w:color w:val="605E5C"/>
      <w:shd w:val="clear" w:color="auto" w:fill="E1DFDD"/>
    </w:rPr>
  </w:style>
  <w:style w:type="paragraph" w:styleId="NormalWeb">
    <w:name w:val="Normal (Web)"/>
    <w:basedOn w:val="Normal"/>
    <w:uiPriority w:val="99"/>
    <w:semiHidden/>
    <w:unhideWhenUsed/>
    <w:rsid w:val="0085744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7364">
      <w:bodyDiv w:val="1"/>
      <w:marLeft w:val="0"/>
      <w:marRight w:val="0"/>
      <w:marTop w:val="0"/>
      <w:marBottom w:val="0"/>
      <w:divBdr>
        <w:top w:val="none" w:sz="0" w:space="0" w:color="auto"/>
        <w:left w:val="none" w:sz="0" w:space="0" w:color="auto"/>
        <w:bottom w:val="none" w:sz="0" w:space="0" w:color="auto"/>
        <w:right w:val="none" w:sz="0" w:space="0" w:color="auto"/>
      </w:divBdr>
    </w:div>
    <w:div w:id="19094214">
      <w:bodyDiv w:val="1"/>
      <w:marLeft w:val="0"/>
      <w:marRight w:val="0"/>
      <w:marTop w:val="0"/>
      <w:marBottom w:val="0"/>
      <w:divBdr>
        <w:top w:val="none" w:sz="0" w:space="0" w:color="auto"/>
        <w:left w:val="none" w:sz="0" w:space="0" w:color="auto"/>
        <w:bottom w:val="none" w:sz="0" w:space="0" w:color="auto"/>
        <w:right w:val="none" w:sz="0" w:space="0" w:color="auto"/>
      </w:divBdr>
    </w:div>
    <w:div w:id="42170227">
      <w:bodyDiv w:val="1"/>
      <w:marLeft w:val="0"/>
      <w:marRight w:val="0"/>
      <w:marTop w:val="0"/>
      <w:marBottom w:val="0"/>
      <w:divBdr>
        <w:top w:val="none" w:sz="0" w:space="0" w:color="auto"/>
        <w:left w:val="none" w:sz="0" w:space="0" w:color="auto"/>
        <w:bottom w:val="none" w:sz="0" w:space="0" w:color="auto"/>
        <w:right w:val="none" w:sz="0" w:space="0" w:color="auto"/>
      </w:divBdr>
    </w:div>
    <w:div w:id="43793738">
      <w:bodyDiv w:val="1"/>
      <w:marLeft w:val="0"/>
      <w:marRight w:val="0"/>
      <w:marTop w:val="0"/>
      <w:marBottom w:val="0"/>
      <w:divBdr>
        <w:top w:val="none" w:sz="0" w:space="0" w:color="auto"/>
        <w:left w:val="none" w:sz="0" w:space="0" w:color="auto"/>
        <w:bottom w:val="none" w:sz="0" w:space="0" w:color="auto"/>
        <w:right w:val="none" w:sz="0" w:space="0" w:color="auto"/>
      </w:divBdr>
    </w:div>
    <w:div w:id="52778435">
      <w:bodyDiv w:val="1"/>
      <w:marLeft w:val="0"/>
      <w:marRight w:val="0"/>
      <w:marTop w:val="0"/>
      <w:marBottom w:val="0"/>
      <w:divBdr>
        <w:top w:val="none" w:sz="0" w:space="0" w:color="auto"/>
        <w:left w:val="none" w:sz="0" w:space="0" w:color="auto"/>
        <w:bottom w:val="none" w:sz="0" w:space="0" w:color="auto"/>
        <w:right w:val="none" w:sz="0" w:space="0" w:color="auto"/>
      </w:divBdr>
    </w:div>
    <w:div w:id="89785329">
      <w:bodyDiv w:val="1"/>
      <w:marLeft w:val="0"/>
      <w:marRight w:val="0"/>
      <w:marTop w:val="0"/>
      <w:marBottom w:val="0"/>
      <w:divBdr>
        <w:top w:val="none" w:sz="0" w:space="0" w:color="auto"/>
        <w:left w:val="none" w:sz="0" w:space="0" w:color="auto"/>
        <w:bottom w:val="none" w:sz="0" w:space="0" w:color="auto"/>
        <w:right w:val="none" w:sz="0" w:space="0" w:color="auto"/>
      </w:divBdr>
    </w:div>
    <w:div w:id="92018264">
      <w:bodyDiv w:val="1"/>
      <w:marLeft w:val="0"/>
      <w:marRight w:val="0"/>
      <w:marTop w:val="0"/>
      <w:marBottom w:val="0"/>
      <w:divBdr>
        <w:top w:val="none" w:sz="0" w:space="0" w:color="auto"/>
        <w:left w:val="none" w:sz="0" w:space="0" w:color="auto"/>
        <w:bottom w:val="none" w:sz="0" w:space="0" w:color="auto"/>
        <w:right w:val="none" w:sz="0" w:space="0" w:color="auto"/>
      </w:divBdr>
    </w:div>
    <w:div w:id="100075981">
      <w:bodyDiv w:val="1"/>
      <w:marLeft w:val="0"/>
      <w:marRight w:val="0"/>
      <w:marTop w:val="0"/>
      <w:marBottom w:val="0"/>
      <w:divBdr>
        <w:top w:val="none" w:sz="0" w:space="0" w:color="auto"/>
        <w:left w:val="none" w:sz="0" w:space="0" w:color="auto"/>
        <w:bottom w:val="none" w:sz="0" w:space="0" w:color="auto"/>
        <w:right w:val="none" w:sz="0" w:space="0" w:color="auto"/>
      </w:divBdr>
    </w:div>
    <w:div w:id="102503171">
      <w:bodyDiv w:val="1"/>
      <w:marLeft w:val="0"/>
      <w:marRight w:val="0"/>
      <w:marTop w:val="0"/>
      <w:marBottom w:val="0"/>
      <w:divBdr>
        <w:top w:val="none" w:sz="0" w:space="0" w:color="auto"/>
        <w:left w:val="none" w:sz="0" w:space="0" w:color="auto"/>
        <w:bottom w:val="none" w:sz="0" w:space="0" w:color="auto"/>
        <w:right w:val="none" w:sz="0" w:space="0" w:color="auto"/>
      </w:divBdr>
    </w:div>
    <w:div w:id="209345009">
      <w:bodyDiv w:val="1"/>
      <w:marLeft w:val="0"/>
      <w:marRight w:val="0"/>
      <w:marTop w:val="0"/>
      <w:marBottom w:val="0"/>
      <w:divBdr>
        <w:top w:val="none" w:sz="0" w:space="0" w:color="auto"/>
        <w:left w:val="none" w:sz="0" w:space="0" w:color="auto"/>
        <w:bottom w:val="none" w:sz="0" w:space="0" w:color="auto"/>
        <w:right w:val="none" w:sz="0" w:space="0" w:color="auto"/>
      </w:divBdr>
    </w:div>
    <w:div w:id="235673255">
      <w:bodyDiv w:val="1"/>
      <w:marLeft w:val="0"/>
      <w:marRight w:val="0"/>
      <w:marTop w:val="0"/>
      <w:marBottom w:val="0"/>
      <w:divBdr>
        <w:top w:val="none" w:sz="0" w:space="0" w:color="auto"/>
        <w:left w:val="none" w:sz="0" w:space="0" w:color="auto"/>
        <w:bottom w:val="none" w:sz="0" w:space="0" w:color="auto"/>
        <w:right w:val="none" w:sz="0" w:space="0" w:color="auto"/>
      </w:divBdr>
    </w:div>
    <w:div w:id="279797195">
      <w:bodyDiv w:val="1"/>
      <w:marLeft w:val="0"/>
      <w:marRight w:val="0"/>
      <w:marTop w:val="0"/>
      <w:marBottom w:val="0"/>
      <w:divBdr>
        <w:top w:val="none" w:sz="0" w:space="0" w:color="auto"/>
        <w:left w:val="none" w:sz="0" w:space="0" w:color="auto"/>
        <w:bottom w:val="none" w:sz="0" w:space="0" w:color="auto"/>
        <w:right w:val="none" w:sz="0" w:space="0" w:color="auto"/>
      </w:divBdr>
    </w:div>
    <w:div w:id="280385510">
      <w:bodyDiv w:val="1"/>
      <w:marLeft w:val="0"/>
      <w:marRight w:val="0"/>
      <w:marTop w:val="0"/>
      <w:marBottom w:val="0"/>
      <w:divBdr>
        <w:top w:val="none" w:sz="0" w:space="0" w:color="auto"/>
        <w:left w:val="none" w:sz="0" w:space="0" w:color="auto"/>
        <w:bottom w:val="none" w:sz="0" w:space="0" w:color="auto"/>
        <w:right w:val="none" w:sz="0" w:space="0" w:color="auto"/>
      </w:divBdr>
    </w:div>
    <w:div w:id="367801588">
      <w:bodyDiv w:val="1"/>
      <w:marLeft w:val="0"/>
      <w:marRight w:val="0"/>
      <w:marTop w:val="0"/>
      <w:marBottom w:val="0"/>
      <w:divBdr>
        <w:top w:val="none" w:sz="0" w:space="0" w:color="auto"/>
        <w:left w:val="none" w:sz="0" w:space="0" w:color="auto"/>
        <w:bottom w:val="none" w:sz="0" w:space="0" w:color="auto"/>
        <w:right w:val="none" w:sz="0" w:space="0" w:color="auto"/>
      </w:divBdr>
    </w:div>
    <w:div w:id="394091519">
      <w:bodyDiv w:val="1"/>
      <w:marLeft w:val="0"/>
      <w:marRight w:val="0"/>
      <w:marTop w:val="0"/>
      <w:marBottom w:val="0"/>
      <w:divBdr>
        <w:top w:val="none" w:sz="0" w:space="0" w:color="auto"/>
        <w:left w:val="none" w:sz="0" w:space="0" w:color="auto"/>
        <w:bottom w:val="none" w:sz="0" w:space="0" w:color="auto"/>
        <w:right w:val="none" w:sz="0" w:space="0" w:color="auto"/>
      </w:divBdr>
    </w:div>
    <w:div w:id="409427735">
      <w:bodyDiv w:val="1"/>
      <w:marLeft w:val="0"/>
      <w:marRight w:val="0"/>
      <w:marTop w:val="0"/>
      <w:marBottom w:val="0"/>
      <w:divBdr>
        <w:top w:val="none" w:sz="0" w:space="0" w:color="auto"/>
        <w:left w:val="none" w:sz="0" w:space="0" w:color="auto"/>
        <w:bottom w:val="none" w:sz="0" w:space="0" w:color="auto"/>
        <w:right w:val="none" w:sz="0" w:space="0" w:color="auto"/>
      </w:divBdr>
    </w:div>
    <w:div w:id="431970453">
      <w:bodyDiv w:val="1"/>
      <w:marLeft w:val="0"/>
      <w:marRight w:val="0"/>
      <w:marTop w:val="0"/>
      <w:marBottom w:val="0"/>
      <w:divBdr>
        <w:top w:val="none" w:sz="0" w:space="0" w:color="auto"/>
        <w:left w:val="none" w:sz="0" w:space="0" w:color="auto"/>
        <w:bottom w:val="none" w:sz="0" w:space="0" w:color="auto"/>
        <w:right w:val="none" w:sz="0" w:space="0" w:color="auto"/>
      </w:divBdr>
    </w:div>
    <w:div w:id="439954991">
      <w:bodyDiv w:val="1"/>
      <w:marLeft w:val="0"/>
      <w:marRight w:val="0"/>
      <w:marTop w:val="0"/>
      <w:marBottom w:val="0"/>
      <w:divBdr>
        <w:top w:val="none" w:sz="0" w:space="0" w:color="auto"/>
        <w:left w:val="none" w:sz="0" w:space="0" w:color="auto"/>
        <w:bottom w:val="none" w:sz="0" w:space="0" w:color="auto"/>
        <w:right w:val="none" w:sz="0" w:space="0" w:color="auto"/>
      </w:divBdr>
    </w:div>
    <w:div w:id="454298834">
      <w:bodyDiv w:val="1"/>
      <w:marLeft w:val="0"/>
      <w:marRight w:val="0"/>
      <w:marTop w:val="0"/>
      <w:marBottom w:val="0"/>
      <w:divBdr>
        <w:top w:val="none" w:sz="0" w:space="0" w:color="auto"/>
        <w:left w:val="none" w:sz="0" w:space="0" w:color="auto"/>
        <w:bottom w:val="none" w:sz="0" w:space="0" w:color="auto"/>
        <w:right w:val="none" w:sz="0" w:space="0" w:color="auto"/>
      </w:divBdr>
    </w:div>
    <w:div w:id="535386455">
      <w:bodyDiv w:val="1"/>
      <w:marLeft w:val="0"/>
      <w:marRight w:val="0"/>
      <w:marTop w:val="0"/>
      <w:marBottom w:val="0"/>
      <w:divBdr>
        <w:top w:val="none" w:sz="0" w:space="0" w:color="auto"/>
        <w:left w:val="none" w:sz="0" w:space="0" w:color="auto"/>
        <w:bottom w:val="none" w:sz="0" w:space="0" w:color="auto"/>
        <w:right w:val="none" w:sz="0" w:space="0" w:color="auto"/>
      </w:divBdr>
    </w:div>
    <w:div w:id="612441152">
      <w:bodyDiv w:val="1"/>
      <w:marLeft w:val="0"/>
      <w:marRight w:val="0"/>
      <w:marTop w:val="0"/>
      <w:marBottom w:val="0"/>
      <w:divBdr>
        <w:top w:val="none" w:sz="0" w:space="0" w:color="auto"/>
        <w:left w:val="none" w:sz="0" w:space="0" w:color="auto"/>
        <w:bottom w:val="none" w:sz="0" w:space="0" w:color="auto"/>
        <w:right w:val="none" w:sz="0" w:space="0" w:color="auto"/>
      </w:divBdr>
    </w:div>
    <w:div w:id="614754348">
      <w:bodyDiv w:val="1"/>
      <w:marLeft w:val="0"/>
      <w:marRight w:val="0"/>
      <w:marTop w:val="0"/>
      <w:marBottom w:val="0"/>
      <w:divBdr>
        <w:top w:val="none" w:sz="0" w:space="0" w:color="auto"/>
        <w:left w:val="none" w:sz="0" w:space="0" w:color="auto"/>
        <w:bottom w:val="none" w:sz="0" w:space="0" w:color="auto"/>
        <w:right w:val="none" w:sz="0" w:space="0" w:color="auto"/>
      </w:divBdr>
    </w:div>
    <w:div w:id="625889380">
      <w:bodyDiv w:val="1"/>
      <w:marLeft w:val="0"/>
      <w:marRight w:val="0"/>
      <w:marTop w:val="0"/>
      <w:marBottom w:val="0"/>
      <w:divBdr>
        <w:top w:val="none" w:sz="0" w:space="0" w:color="auto"/>
        <w:left w:val="none" w:sz="0" w:space="0" w:color="auto"/>
        <w:bottom w:val="none" w:sz="0" w:space="0" w:color="auto"/>
        <w:right w:val="none" w:sz="0" w:space="0" w:color="auto"/>
      </w:divBdr>
    </w:div>
    <w:div w:id="647174067">
      <w:bodyDiv w:val="1"/>
      <w:marLeft w:val="0"/>
      <w:marRight w:val="0"/>
      <w:marTop w:val="0"/>
      <w:marBottom w:val="0"/>
      <w:divBdr>
        <w:top w:val="none" w:sz="0" w:space="0" w:color="auto"/>
        <w:left w:val="none" w:sz="0" w:space="0" w:color="auto"/>
        <w:bottom w:val="none" w:sz="0" w:space="0" w:color="auto"/>
        <w:right w:val="none" w:sz="0" w:space="0" w:color="auto"/>
      </w:divBdr>
    </w:div>
    <w:div w:id="665287672">
      <w:bodyDiv w:val="1"/>
      <w:marLeft w:val="0"/>
      <w:marRight w:val="0"/>
      <w:marTop w:val="0"/>
      <w:marBottom w:val="0"/>
      <w:divBdr>
        <w:top w:val="none" w:sz="0" w:space="0" w:color="auto"/>
        <w:left w:val="none" w:sz="0" w:space="0" w:color="auto"/>
        <w:bottom w:val="none" w:sz="0" w:space="0" w:color="auto"/>
        <w:right w:val="none" w:sz="0" w:space="0" w:color="auto"/>
      </w:divBdr>
    </w:div>
    <w:div w:id="713427011">
      <w:bodyDiv w:val="1"/>
      <w:marLeft w:val="0"/>
      <w:marRight w:val="0"/>
      <w:marTop w:val="0"/>
      <w:marBottom w:val="0"/>
      <w:divBdr>
        <w:top w:val="none" w:sz="0" w:space="0" w:color="auto"/>
        <w:left w:val="none" w:sz="0" w:space="0" w:color="auto"/>
        <w:bottom w:val="none" w:sz="0" w:space="0" w:color="auto"/>
        <w:right w:val="none" w:sz="0" w:space="0" w:color="auto"/>
      </w:divBdr>
    </w:div>
    <w:div w:id="717172335">
      <w:bodyDiv w:val="1"/>
      <w:marLeft w:val="0"/>
      <w:marRight w:val="0"/>
      <w:marTop w:val="0"/>
      <w:marBottom w:val="0"/>
      <w:divBdr>
        <w:top w:val="none" w:sz="0" w:space="0" w:color="auto"/>
        <w:left w:val="none" w:sz="0" w:space="0" w:color="auto"/>
        <w:bottom w:val="none" w:sz="0" w:space="0" w:color="auto"/>
        <w:right w:val="none" w:sz="0" w:space="0" w:color="auto"/>
      </w:divBdr>
    </w:div>
    <w:div w:id="732512377">
      <w:bodyDiv w:val="1"/>
      <w:marLeft w:val="0"/>
      <w:marRight w:val="0"/>
      <w:marTop w:val="0"/>
      <w:marBottom w:val="0"/>
      <w:divBdr>
        <w:top w:val="none" w:sz="0" w:space="0" w:color="auto"/>
        <w:left w:val="none" w:sz="0" w:space="0" w:color="auto"/>
        <w:bottom w:val="none" w:sz="0" w:space="0" w:color="auto"/>
        <w:right w:val="none" w:sz="0" w:space="0" w:color="auto"/>
      </w:divBdr>
    </w:div>
    <w:div w:id="740906852">
      <w:bodyDiv w:val="1"/>
      <w:marLeft w:val="0"/>
      <w:marRight w:val="0"/>
      <w:marTop w:val="0"/>
      <w:marBottom w:val="0"/>
      <w:divBdr>
        <w:top w:val="none" w:sz="0" w:space="0" w:color="auto"/>
        <w:left w:val="none" w:sz="0" w:space="0" w:color="auto"/>
        <w:bottom w:val="none" w:sz="0" w:space="0" w:color="auto"/>
        <w:right w:val="none" w:sz="0" w:space="0" w:color="auto"/>
      </w:divBdr>
    </w:div>
    <w:div w:id="742408677">
      <w:bodyDiv w:val="1"/>
      <w:marLeft w:val="0"/>
      <w:marRight w:val="0"/>
      <w:marTop w:val="0"/>
      <w:marBottom w:val="0"/>
      <w:divBdr>
        <w:top w:val="none" w:sz="0" w:space="0" w:color="auto"/>
        <w:left w:val="none" w:sz="0" w:space="0" w:color="auto"/>
        <w:bottom w:val="none" w:sz="0" w:space="0" w:color="auto"/>
        <w:right w:val="none" w:sz="0" w:space="0" w:color="auto"/>
      </w:divBdr>
    </w:div>
    <w:div w:id="771626721">
      <w:bodyDiv w:val="1"/>
      <w:marLeft w:val="0"/>
      <w:marRight w:val="0"/>
      <w:marTop w:val="0"/>
      <w:marBottom w:val="0"/>
      <w:divBdr>
        <w:top w:val="none" w:sz="0" w:space="0" w:color="auto"/>
        <w:left w:val="none" w:sz="0" w:space="0" w:color="auto"/>
        <w:bottom w:val="none" w:sz="0" w:space="0" w:color="auto"/>
        <w:right w:val="none" w:sz="0" w:space="0" w:color="auto"/>
      </w:divBdr>
    </w:div>
    <w:div w:id="790049053">
      <w:bodyDiv w:val="1"/>
      <w:marLeft w:val="0"/>
      <w:marRight w:val="0"/>
      <w:marTop w:val="0"/>
      <w:marBottom w:val="0"/>
      <w:divBdr>
        <w:top w:val="none" w:sz="0" w:space="0" w:color="auto"/>
        <w:left w:val="none" w:sz="0" w:space="0" w:color="auto"/>
        <w:bottom w:val="none" w:sz="0" w:space="0" w:color="auto"/>
        <w:right w:val="none" w:sz="0" w:space="0" w:color="auto"/>
      </w:divBdr>
    </w:div>
    <w:div w:id="813913202">
      <w:bodyDiv w:val="1"/>
      <w:marLeft w:val="0"/>
      <w:marRight w:val="0"/>
      <w:marTop w:val="0"/>
      <w:marBottom w:val="0"/>
      <w:divBdr>
        <w:top w:val="none" w:sz="0" w:space="0" w:color="auto"/>
        <w:left w:val="none" w:sz="0" w:space="0" w:color="auto"/>
        <w:bottom w:val="none" w:sz="0" w:space="0" w:color="auto"/>
        <w:right w:val="none" w:sz="0" w:space="0" w:color="auto"/>
      </w:divBdr>
    </w:div>
    <w:div w:id="824780949">
      <w:bodyDiv w:val="1"/>
      <w:marLeft w:val="0"/>
      <w:marRight w:val="0"/>
      <w:marTop w:val="0"/>
      <w:marBottom w:val="0"/>
      <w:divBdr>
        <w:top w:val="none" w:sz="0" w:space="0" w:color="auto"/>
        <w:left w:val="none" w:sz="0" w:space="0" w:color="auto"/>
        <w:bottom w:val="none" w:sz="0" w:space="0" w:color="auto"/>
        <w:right w:val="none" w:sz="0" w:space="0" w:color="auto"/>
      </w:divBdr>
    </w:div>
    <w:div w:id="868373788">
      <w:bodyDiv w:val="1"/>
      <w:marLeft w:val="0"/>
      <w:marRight w:val="0"/>
      <w:marTop w:val="0"/>
      <w:marBottom w:val="0"/>
      <w:divBdr>
        <w:top w:val="none" w:sz="0" w:space="0" w:color="auto"/>
        <w:left w:val="none" w:sz="0" w:space="0" w:color="auto"/>
        <w:bottom w:val="none" w:sz="0" w:space="0" w:color="auto"/>
        <w:right w:val="none" w:sz="0" w:space="0" w:color="auto"/>
      </w:divBdr>
    </w:div>
    <w:div w:id="894050900">
      <w:bodyDiv w:val="1"/>
      <w:marLeft w:val="0"/>
      <w:marRight w:val="0"/>
      <w:marTop w:val="0"/>
      <w:marBottom w:val="0"/>
      <w:divBdr>
        <w:top w:val="none" w:sz="0" w:space="0" w:color="auto"/>
        <w:left w:val="none" w:sz="0" w:space="0" w:color="auto"/>
        <w:bottom w:val="none" w:sz="0" w:space="0" w:color="auto"/>
        <w:right w:val="none" w:sz="0" w:space="0" w:color="auto"/>
      </w:divBdr>
    </w:div>
    <w:div w:id="894195320">
      <w:bodyDiv w:val="1"/>
      <w:marLeft w:val="0"/>
      <w:marRight w:val="0"/>
      <w:marTop w:val="0"/>
      <w:marBottom w:val="0"/>
      <w:divBdr>
        <w:top w:val="none" w:sz="0" w:space="0" w:color="auto"/>
        <w:left w:val="none" w:sz="0" w:space="0" w:color="auto"/>
        <w:bottom w:val="none" w:sz="0" w:space="0" w:color="auto"/>
        <w:right w:val="none" w:sz="0" w:space="0" w:color="auto"/>
      </w:divBdr>
    </w:div>
    <w:div w:id="949817115">
      <w:bodyDiv w:val="1"/>
      <w:marLeft w:val="0"/>
      <w:marRight w:val="0"/>
      <w:marTop w:val="0"/>
      <w:marBottom w:val="0"/>
      <w:divBdr>
        <w:top w:val="none" w:sz="0" w:space="0" w:color="auto"/>
        <w:left w:val="none" w:sz="0" w:space="0" w:color="auto"/>
        <w:bottom w:val="none" w:sz="0" w:space="0" w:color="auto"/>
        <w:right w:val="none" w:sz="0" w:space="0" w:color="auto"/>
      </w:divBdr>
    </w:div>
    <w:div w:id="953096680">
      <w:bodyDiv w:val="1"/>
      <w:marLeft w:val="0"/>
      <w:marRight w:val="0"/>
      <w:marTop w:val="0"/>
      <w:marBottom w:val="0"/>
      <w:divBdr>
        <w:top w:val="none" w:sz="0" w:space="0" w:color="auto"/>
        <w:left w:val="none" w:sz="0" w:space="0" w:color="auto"/>
        <w:bottom w:val="none" w:sz="0" w:space="0" w:color="auto"/>
        <w:right w:val="none" w:sz="0" w:space="0" w:color="auto"/>
      </w:divBdr>
    </w:div>
    <w:div w:id="962662028">
      <w:bodyDiv w:val="1"/>
      <w:marLeft w:val="0"/>
      <w:marRight w:val="0"/>
      <w:marTop w:val="0"/>
      <w:marBottom w:val="0"/>
      <w:divBdr>
        <w:top w:val="none" w:sz="0" w:space="0" w:color="auto"/>
        <w:left w:val="none" w:sz="0" w:space="0" w:color="auto"/>
        <w:bottom w:val="none" w:sz="0" w:space="0" w:color="auto"/>
        <w:right w:val="none" w:sz="0" w:space="0" w:color="auto"/>
      </w:divBdr>
    </w:div>
    <w:div w:id="1028799466">
      <w:bodyDiv w:val="1"/>
      <w:marLeft w:val="0"/>
      <w:marRight w:val="0"/>
      <w:marTop w:val="0"/>
      <w:marBottom w:val="0"/>
      <w:divBdr>
        <w:top w:val="none" w:sz="0" w:space="0" w:color="auto"/>
        <w:left w:val="none" w:sz="0" w:space="0" w:color="auto"/>
        <w:bottom w:val="none" w:sz="0" w:space="0" w:color="auto"/>
        <w:right w:val="none" w:sz="0" w:space="0" w:color="auto"/>
      </w:divBdr>
    </w:div>
    <w:div w:id="1043292406">
      <w:bodyDiv w:val="1"/>
      <w:marLeft w:val="0"/>
      <w:marRight w:val="0"/>
      <w:marTop w:val="0"/>
      <w:marBottom w:val="0"/>
      <w:divBdr>
        <w:top w:val="none" w:sz="0" w:space="0" w:color="auto"/>
        <w:left w:val="none" w:sz="0" w:space="0" w:color="auto"/>
        <w:bottom w:val="none" w:sz="0" w:space="0" w:color="auto"/>
        <w:right w:val="none" w:sz="0" w:space="0" w:color="auto"/>
      </w:divBdr>
    </w:div>
    <w:div w:id="1058044284">
      <w:bodyDiv w:val="1"/>
      <w:marLeft w:val="0"/>
      <w:marRight w:val="0"/>
      <w:marTop w:val="0"/>
      <w:marBottom w:val="0"/>
      <w:divBdr>
        <w:top w:val="none" w:sz="0" w:space="0" w:color="auto"/>
        <w:left w:val="none" w:sz="0" w:space="0" w:color="auto"/>
        <w:bottom w:val="none" w:sz="0" w:space="0" w:color="auto"/>
        <w:right w:val="none" w:sz="0" w:space="0" w:color="auto"/>
      </w:divBdr>
    </w:div>
    <w:div w:id="1084570163">
      <w:bodyDiv w:val="1"/>
      <w:marLeft w:val="0"/>
      <w:marRight w:val="0"/>
      <w:marTop w:val="0"/>
      <w:marBottom w:val="0"/>
      <w:divBdr>
        <w:top w:val="none" w:sz="0" w:space="0" w:color="auto"/>
        <w:left w:val="none" w:sz="0" w:space="0" w:color="auto"/>
        <w:bottom w:val="none" w:sz="0" w:space="0" w:color="auto"/>
        <w:right w:val="none" w:sz="0" w:space="0" w:color="auto"/>
      </w:divBdr>
    </w:div>
    <w:div w:id="1112164033">
      <w:bodyDiv w:val="1"/>
      <w:marLeft w:val="0"/>
      <w:marRight w:val="0"/>
      <w:marTop w:val="0"/>
      <w:marBottom w:val="0"/>
      <w:divBdr>
        <w:top w:val="none" w:sz="0" w:space="0" w:color="auto"/>
        <w:left w:val="none" w:sz="0" w:space="0" w:color="auto"/>
        <w:bottom w:val="none" w:sz="0" w:space="0" w:color="auto"/>
        <w:right w:val="none" w:sz="0" w:space="0" w:color="auto"/>
      </w:divBdr>
    </w:div>
    <w:div w:id="1129474753">
      <w:bodyDiv w:val="1"/>
      <w:marLeft w:val="0"/>
      <w:marRight w:val="0"/>
      <w:marTop w:val="0"/>
      <w:marBottom w:val="0"/>
      <w:divBdr>
        <w:top w:val="none" w:sz="0" w:space="0" w:color="auto"/>
        <w:left w:val="none" w:sz="0" w:space="0" w:color="auto"/>
        <w:bottom w:val="none" w:sz="0" w:space="0" w:color="auto"/>
        <w:right w:val="none" w:sz="0" w:space="0" w:color="auto"/>
      </w:divBdr>
    </w:div>
    <w:div w:id="1149440809">
      <w:bodyDiv w:val="1"/>
      <w:marLeft w:val="0"/>
      <w:marRight w:val="0"/>
      <w:marTop w:val="0"/>
      <w:marBottom w:val="0"/>
      <w:divBdr>
        <w:top w:val="none" w:sz="0" w:space="0" w:color="auto"/>
        <w:left w:val="none" w:sz="0" w:space="0" w:color="auto"/>
        <w:bottom w:val="none" w:sz="0" w:space="0" w:color="auto"/>
        <w:right w:val="none" w:sz="0" w:space="0" w:color="auto"/>
      </w:divBdr>
    </w:div>
    <w:div w:id="1154178271">
      <w:bodyDiv w:val="1"/>
      <w:marLeft w:val="0"/>
      <w:marRight w:val="0"/>
      <w:marTop w:val="0"/>
      <w:marBottom w:val="0"/>
      <w:divBdr>
        <w:top w:val="none" w:sz="0" w:space="0" w:color="auto"/>
        <w:left w:val="none" w:sz="0" w:space="0" w:color="auto"/>
        <w:bottom w:val="none" w:sz="0" w:space="0" w:color="auto"/>
        <w:right w:val="none" w:sz="0" w:space="0" w:color="auto"/>
      </w:divBdr>
    </w:div>
    <w:div w:id="1158350708">
      <w:bodyDiv w:val="1"/>
      <w:marLeft w:val="0"/>
      <w:marRight w:val="0"/>
      <w:marTop w:val="0"/>
      <w:marBottom w:val="0"/>
      <w:divBdr>
        <w:top w:val="none" w:sz="0" w:space="0" w:color="auto"/>
        <w:left w:val="none" w:sz="0" w:space="0" w:color="auto"/>
        <w:bottom w:val="none" w:sz="0" w:space="0" w:color="auto"/>
        <w:right w:val="none" w:sz="0" w:space="0" w:color="auto"/>
      </w:divBdr>
    </w:div>
    <w:div w:id="1187216315">
      <w:bodyDiv w:val="1"/>
      <w:marLeft w:val="0"/>
      <w:marRight w:val="0"/>
      <w:marTop w:val="0"/>
      <w:marBottom w:val="0"/>
      <w:divBdr>
        <w:top w:val="none" w:sz="0" w:space="0" w:color="auto"/>
        <w:left w:val="none" w:sz="0" w:space="0" w:color="auto"/>
        <w:bottom w:val="none" w:sz="0" w:space="0" w:color="auto"/>
        <w:right w:val="none" w:sz="0" w:space="0" w:color="auto"/>
      </w:divBdr>
    </w:div>
    <w:div w:id="1287859514">
      <w:bodyDiv w:val="1"/>
      <w:marLeft w:val="0"/>
      <w:marRight w:val="0"/>
      <w:marTop w:val="0"/>
      <w:marBottom w:val="0"/>
      <w:divBdr>
        <w:top w:val="none" w:sz="0" w:space="0" w:color="auto"/>
        <w:left w:val="none" w:sz="0" w:space="0" w:color="auto"/>
        <w:bottom w:val="none" w:sz="0" w:space="0" w:color="auto"/>
        <w:right w:val="none" w:sz="0" w:space="0" w:color="auto"/>
      </w:divBdr>
    </w:div>
    <w:div w:id="1304458032">
      <w:bodyDiv w:val="1"/>
      <w:marLeft w:val="0"/>
      <w:marRight w:val="0"/>
      <w:marTop w:val="0"/>
      <w:marBottom w:val="0"/>
      <w:divBdr>
        <w:top w:val="none" w:sz="0" w:space="0" w:color="auto"/>
        <w:left w:val="none" w:sz="0" w:space="0" w:color="auto"/>
        <w:bottom w:val="none" w:sz="0" w:space="0" w:color="auto"/>
        <w:right w:val="none" w:sz="0" w:space="0" w:color="auto"/>
      </w:divBdr>
      <w:divsChild>
        <w:div w:id="590090833">
          <w:marLeft w:val="0"/>
          <w:marRight w:val="0"/>
          <w:marTop w:val="0"/>
          <w:marBottom w:val="0"/>
          <w:divBdr>
            <w:top w:val="single" w:sz="2" w:space="0" w:color="auto"/>
            <w:left w:val="single" w:sz="2" w:space="0" w:color="auto"/>
            <w:bottom w:val="single" w:sz="2" w:space="0" w:color="auto"/>
            <w:right w:val="single" w:sz="2" w:space="0" w:color="auto"/>
          </w:divBdr>
          <w:divsChild>
            <w:div w:id="1688605068">
              <w:marLeft w:val="0"/>
              <w:marRight w:val="0"/>
              <w:marTop w:val="0"/>
              <w:marBottom w:val="0"/>
              <w:divBdr>
                <w:top w:val="single" w:sz="2" w:space="0" w:color="auto"/>
                <w:left w:val="single" w:sz="2" w:space="0" w:color="auto"/>
                <w:bottom w:val="single" w:sz="2" w:space="0" w:color="auto"/>
                <w:right w:val="single" w:sz="2" w:space="0" w:color="auto"/>
              </w:divBdr>
              <w:divsChild>
                <w:div w:id="389233807">
                  <w:marLeft w:val="0"/>
                  <w:marRight w:val="0"/>
                  <w:marTop w:val="0"/>
                  <w:marBottom w:val="0"/>
                  <w:divBdr>
                    <w:top w:val="single" w:sz="2" w:space="0" w:color="auto"/>
                    <w:left w:val="single" w:sz="2" w:space="0" w:color="auto"/>
                    <w:bottom w:val="single" w:sz="2" w:space="0" w:color="auto"/>
                    <w:right w:val="single" w:sz="2" w:space="0" w:color="auto"/>
                  </w:divBdr>
                  <w:divsChild>
                    <w:div w:id="1327856791">
                      <w:marLeft w:val="0"/>
                      <w:marRight w:val="0"/>
                      <w:marTop w:val="0"/>
                      <w:marBottom w:val="0"/>
                      <w:divBdr>
                        <w:top w:val="single" w:sz="6" w:space="0" w:color="auto"/>
                        <w:left w:val="single" w:sz="6" w:space="0" w:color="auto"/>
                        <w:bottom w:val="single" w:sz="6" w:space="0" w:color="auto"/>
                        <w:right w:val="single" w:sz="6" w:space="0" w:color="auto"/>
                      </w:divBdr>
                      <w:divsChild>
                        <w:div w:id="824396584">
                          <w:marLeft w:val="0"/>
                          <w:marRight w:val="0"/>
                          <w:marTop w:val="0"/>
                          <w:marBottom w:val="0"/>
                          <w:divBdr>
                            <w:top w:val="single" w:sz="2" w:space="0" w:color="auto"/>
                            <w:left w:val="single" w:sz="2" w:space="0" w:color="auto"/>
                            <w:bottom w:val="single" w:sz="2" w:space="0" w:color="auto"/>
                            <w:right w:val="single" w:sz="2" w:space="0" w:color="auto"/>
                          </w:divBdr>
                          <w:divsChild>
                            <w:div w:id="809447148">
                              <w:marLeft w:val="0"/>
                              <w:marRight w:val="0"/>
                              <w:marTop w:val="0"/>
                              <w:marBottom w:val="0"/>
                              <w:divBdr>
                                <w:top w:val="single" w:sz="2" w:space="0" w:color="auto"/>
                                <w:left w:val="single" w:sz="2" w:space="0" w:color="auto"/>
                                <w:bottom w:val="single" w:sz="2" w:space="0" w:color="auto"/>
                                <w:right w:val="single" w:sz="2" w:space="0" w:color="auto"/>
                              </w:divBdr>
                              <w:divsChild>
                                <w:div w:id="1127696353">
                                  <w:marLeft w:val="0"/>
                                  <w:marRight w:val="0"/>
                                  <w:marTop w:val="0"/>
                                  <w:marBottom w:val="0"/>
                                  <w:divBdr>
                                    <w:top w:val="single" w:sz="2" w:space="0" w:color="auto"/>
                                    <w:left w:val="single" w:sz="2" w:space="0" w:color="auto"/>
                                    <w:bottom w:val="single" w:sz="2" w:space="0" w:color="auto"/>
                                    <w:right w:val="single" w:sz="2" w:space="0" w:color="auto"/>
                                  </w:divBdr>
                                  <w:divsChild>
                                    <w:div w:id="1940136127">
                                      <w:marLeft w:val="0"/>
                                      <w:marRight w:val="0"/>
                                      <w:marTop w:val="0"/>
                                      <w:marBottom w:val="0"/>
                                      <w:divBdr>
                                        <w:top w:val="single" w:sz="2" w:space="0" w:color="auto"/>
                                        <w:left w:val="single" w:sz="2" w:space="0" w:color="auto"/>
                                        <w:bottom w:val="single" w:sz="2" w:space="0" w:color="auto"/>
                                        <w:right w:val="single" w:sz="2" w:space="0" w:color="auto"/>
                                      </w:divBdr>
                                      <w:divsChild>
                                        <w:div w:id="299386237">
                                          <w:marLeft w:val="0"/>
                                          <w:marRight w:val="0"/>
                                          <w:marTop w:val="0"/>
                                          <w:marBottom w:val="0"/>
                                          <w:divBdr>
                                            <w:top w:val="single" w:sz="2" w:space="0" w:color="auto"/>
                                            <w:left w:val="single" w:sz="2" w:space="0" w:color="auto"/>
                                            <w:bottom w:val="single" w:sz="2" w:space="0" w:color="auto"/>
                                            <w:right w:val="single" w:sz="2" w:space="0" w:color="auto"/>
                                          </w:divBdr>
                                          <w:divsChild>
                                            <w:div w:id="1099833263">
                                              <w:marLeft w:val="0"/>
                                              <w:marRight w:val="0"/>
                                              <w:marTop w:val="0"/>
                                              <w:marBottom w:val="0"/>
                                              <w:divBdr>
                                                <w:top w:val="single" w:sz="2" w:space="0" w:color="auto"/>
                                                <w:left w:val="single" w:sz="2" w:space="0" w:color="auto"/>
                                                <w:bottom w:val="single" w:sz="2" w:space="0" w:color="auto"/>
                                                <w:right w:val="single" w:sz="2" w:space="0" w:color="auto"/>
                                              </w:divBdr>
                                              <w:divsChild>
                                                <w:div w:id="682126829">
                                                  <w:marLeft w:val="0"/>
                                                  <w:marRight w:val="0"/>
                                                  <w:marTop w:val="0"/>
                                                  <w:marBottom w:val="0"/>
                                                  <w:divBdr>
                                                    <w:top w:val="single" w:sz="2" w:space="0" w:color="auto"/>
                                                    <w:left w:val="single" w:sz="2" w:space="0" w:color="auto"/>
                                                    <w:bottom w:val="single" w:sz="2" w:space="0" w:color="auto"/>
                                                    <w:right w:val="single" w:sz="2" w:space="0" w:color="auto"/>
                                                  </w:divBdr>
                                                  <w:divsChild>
                                                    <w:div w:id="1374959644">
                                                      <w:marLeft w:val="0"/>
                                                      <w:marRight w:val="0"/>
                                                      <w:marTop w:val="0"/>
                                                      <w:marBottom w:val="0"/>
                                                      <w:divBdr>
                                                        <w:top w:val="none" w:sz="0" w:space="0" w:color="auto"/>
                                                        <w:left w:val="none" w:sz="0" w:space="0" w:color="auto"/>
                                                        <w:bottom w:val="none" w:sz="0" w:space="0" w:color="auto"/>
                                                        <w:right w:val="none" w:sz="0" w:space="0" w:color="auto"/>
                                                      </w:divBdr>
                                                      <w:divsChild>
                                                        <w:div w:id="233971753">
                                                          <w:marLeft w:val="0"/>
                                                          <w:marRight w:val="0"/>
                                                          <w:marTop w:val="0"/>
                                                          <w:marBottom w:val="0"/>
                                                          <w:divBdr>
                                                            <w:top w:val="single" w:sz="2" w:space="0" w:color="auto"/>
                                                            <w:left w:val="single" w:sz="2" w:space="0" w:color="auto"/>
                                                            <w:bottom w:val="single" w:sz="2" w:space="0" w:color="auto"/>
                                                            <w:right w:val="single" w:sz="2" w:space="0" w:color="auto"/>
                                                          </w:divBdr>
                                                          <w:divsChild>
                                                            <w:div w:id="104858134">
                                                              <w:marLeft w:val="0"/>
                                                              <w:marRight w:val="0"/>
                                                              <w:marTop w:val="0"/>
                                                              <w:marBottom w:val="0"/>
                                                              <w:divBdr>
                                                                <w:top w:val="single" w:sz="2" w:space="0" w:color="auto"/>
                                                                <w:left w:val="single" w:sz="2" w:space="0" w:color="auto"/>
                                                                <w:bottom w:val="single" w:sz="2" w:space="0" w:color="auto"/>
                                                                <w:right w:val="single" w:sz="2" w:space="0" w:color="auto"/>
                                                              </w:divBdr>
                                                              <w:divsChild>
                                                                <w:div w:id="181844990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893195640">
                                  <w:marLeft w:val="0"/>
                                  <w:marRight w:val="0"/>
                                  <w:marTop w:val="0"/>
                                  <w:marBottom w:val="0"/>
                                  <w:divBdr>
                                    <w:top w:val="single" w:sz="2" w:space="0" w:color="auto"/>
                                    <w:left w:val="single" w:sz="2" w:space="0" w:color="auto"/>
                                    <w:bottom w:val="single" w:sz="2" w:space="0" w:color="auto"/>
                                    <w:right w:val="single" w:sz="2" w:space="0" w:color="auto"/>
                                  </w:divBdr>
                                  <w:divsChild>
                                    <w:div w:id="1065763552">
                                      <w:marLeft w:val="0"/>
                                      <w:marRight w:val="0"/>
                                      <w:marTop w:val="0"/>
                                      <w:marBottom w:val="0"/>
                                      <w:divBdr>
                                        <w:top w:val="single" w:sz="2" w:space="0" w:color="auto"/>
                                        <w:left w:val="single" w:sz="2" w:space="0" w:color="auto"/>
                                        <w:bottom w:val="single" w:sz="2" w:space="0" w:color="auto"/>
                                        <w:right w:val="single" w:sz="2" w:space="0" w:color="auto"/>
                                      </w:divBdr>
                                      <w:divsChild>
                                        <w:div w:id="845361324">
                                          <w:marLeft w:val="0"/>
                                          <w:marRight w:val="0"/>
                                          <w:marTop w:val="0"/>
                                          <w:marBottom w:val="0"/>
                                          <w:divBdr>
                                            <w:top w:val="single" w:sz="2" w:space="0" w:color="auto"/>
                                            <w:left w:val="single" w:sz="2" w:space="0" w:color="auto"/>
                                            <w:bottom w:val="single" w:sz="2" w:space="0" w:color="auto"/>
                                            <w:right w:val="single" w:sz="2" w:space="0" w:color="auto"/>
                                          </w:divBdr>
                                          <w:divsChild>
                                            <w:div w:id="1738437318">
                                              <w:marLeft w:val="0"/>
                                              <w:marRight w:val="0"/>
                                              <w:marTop w:val="0"/>
                                              <w:marBottom w:val="0"/>
                                              <w:divBdr>
                                                <w:top w:val="single" w:sz="2" w:space="0" w:color="auto"/>
                                                <w:left w:val="single" w:sz="2" w:space="0" w:color="auto"/>
                                                <w:bottom w:val="single" w:sz="2" w:space="0" w:color="auto"/>
                                                <w:right w:val="single" w:sz="2" w:space="0" w:color="auto"/>
                                              </w:divBdr>
                                              <w:divsChild>
                                                <w:div w:id="23081871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423301062">
                              <w:marLeft w:val="0"/>
                              <w:marRight w:val="0"/>
                              <w:marTop w:val="0"/>
                              <w:marBottom w:val="0"/>
                              <w:divBdr>
                                <w:top w:val="single" w:sz="6" w:space="0" w:color="auto"/>
                                <w:left w:val="single" w:sz="2" w:space="0" w:color="auto"/>
                                <w:bottom w:val="single" w:sz="2" w:space="0" w:color="auto"/>
                                <w:right w:val="single" w:sz="2" w:space="0" w:color="auto"/>
                              </w:divBdr>
                              <w:divsChild>
                                <w:div w:id="1097335832">
                                  <w:marLeft w:val="0"/>
                                  <w:marRight w:val="0"/>
                                  <w:marTop w:val="0"/>
                                  <w:marBottom w:val="0"/>
                                  <w:divBdr>
                                    <w:top w:val="single" w:sz="2" w:space="0" w:color="auto"/>
                                    <w:left w:val="single" w:sz="2" w:space="0" w:color="auto"/>
                                    <w:bottom w:val="single" w:sz="2" w:space="0" w:color="auto"/>
                                    <w:right w:val="single" w:sz="2" w:space="0" w:color="auto"/>
                                  </w:divBdr>
                                  <w:divsChild>
                                    <w:div w:id="932393383">
                                      <w:marLeft w:val="0"/>
                                      <w:marRight w:val="0"/>
                                      <w:marTop w:val="0"/>
                                      <w:marBottom w:val="0"/>
                                      <w:divBdr>
                                        <w:top w:val="single" w:sz="2" w:space="0" w:color="auto"/>
                                        <w:left w:val="single" w:sz="2" w:space="0" w:color="auto"/>
                                        <w:bottom w:val="single" w:sz="2" w:space="0" w:color="auto"/>
                                        <w:right w:val="single" w:sz="2" w:space="0" w:color="auto"/>
                                      </w:divBdr>
                                    </w:div>
                                    <w:div w:id="220796674">
                                      <w:marLeft w:val="0"/>
                                      <w:marRight w:val="0"/>
                                      <w:marTop w:val="0"/>
                                      <w:marBottom w:val="0"/>
                                      <w:divBdr>
                                        <w:top w:val="single" w:sz="2" w:space="0" w:color="auto"/>
                                        <w:left w:val="single" w:sz="2" w:space="0" w:color="auto"/>
                                        <w:bottom w:val="single" w:sz="2" w:space="0" w:color="auto"/>
                                        <w:right w:val="single" w:sz="2" w:space="0" w:color="auto"/>
                                      </w:divBdr>
                                      <w:divsChild>
                                        <w:div w:id="494878561">
                                          <w:marLeft w:val="0"/>
                                          <w:marRight w:val="0"/>
                                          <w:marTop w:val="0"/>
                                          <w:marBottom w:val="0"/>
                                          <w:divBdr>
                                            <w:top w:val="single" w:sz="2" w:space="0" w:color="auto"/>
                                            <w:left w:val="single" w:sz="2" w:space="0" w:color="auto"/>
                                            <w:bottom w:val="single" w:sz="2" w:space="0" w:color="auto"/>
                                            <w:right w:val="single" w:sz="2" w:space="0" w:color="auto"/>
                                          </w:divBdr>
                                          <w:divsChild>
                                            <w:div w:id="175428034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794203586">
                      <w:marLeft w:val="0"/>
                      <w:marRight w:val="0"/>
                      <w:marTop w:val="0"/>
                      <w:marBottom w:val="0"/>
                      <w:divBdr>
                        <w:top w:val="single" w:sz="2" w:space="0" w:color="auto"/>
                        <w:left w:val="single" w:sz="2" w:space="0" w:color="auto"/>
                        <w:bottom w:val="single" w:sz="2" w:space="0" w:color="auto"/>
                        <w:right w:val="single" w:sz="2" w:space="0" w:color="auto"/>
                      </w:divBdr>
                    </w:div>
                    <w:div w:id="42027464">
                      <w:marLeft w:val="0"/>
                      <w:marRight w:val="0"/>
                      <w:marTop w:val="0"/>
                      <w:marBottom w:val="0"/>
                      <w:divBdr>
                        <w:top w:val="single" w:sz="2" w:space="0" w:color="auto"/>
                        <w:left w:val="single" w:sz="2" w:space="0" w:color="auto"/>
                        <w:bottom w:val="single" w:sz="2" w:space="0" w:color="auto"/>
                        <w:right w:val="single" w:sz="2" w:space="0" w:color="auto"/>
                      </w:divBdr>
                      <w:divsChild>
                        <w:div w:id="1311398481">
                          <w:marLeft w:val="0"/>
                          <w:marRight w:val="0"/>
                          <w:marTop w:val="0"/>
                          <w:marBottom w:val="0"/>
                          <w:divBdr>
                            <w:top w:val="single" w:sz="2" w:space="0" w:color="auto"/>
                            <w:left w:val="single" w:sz="2" w:space="0" w:color="auto"/>
                            <w:bottom w:val="single" w:sz="2" w:space="0" w:color="auto"/>
                            <w:right w:val="single" w:sz="2" w:space="0" w:color="auto"/>
                          </w:divBdr>
                          <w:divsChild>
                            <w:div w:id="1640457685">
                              <w:marLeft w:val="0"/>
                              <w:marRight w:val="0"/>
                              <w:marTop w:val="0"/>
                              <w:marBottom w:val="0"/>
                              <w:divBdr>
                                <w:top w:val="single" w:sz="6" w:space="0" w:color="auto"/>
                                <w:left w:val="single" w:sz="6" w:space="0" w:color="auto"/>
                                <w:bottom w:val="single" w:sz="6" w:space="0" w:color="auto"/>
                                <w:right w:val="single" w:sz="6" w:space="0" w:color="auto"/>
                              </w:divBdr>
                              <w:divsChild>
                                <w:div w:id="236718586">
                                  <w:marLeft w:val="0"/>
                                  <w:marRight w:val="0"/>
                                  <w:marTop w:val="0"/>
                                  <w:marBottom w:val="0"/>
                                  <w:divBdr>
                                    <w:top w:val="single" w:sz="2" w:space="0" w:color="auto"/>
                                    <w:left w:val="single" w:sz="2" w:space="0" w:color="auto"/>
                                    <w:bottom w:val="single" w:sz="6" w:space="0" w:color="auto"/>
                                    <w:right w:val="single" w:sz="2" w:space="0" w:color="auto"/>
                                  </w:divBdr>
                                  <w:divsChild>
                                    <w:div w:id="887641718">
                                      <w:marLeft w:val="0"/>
                                      <w:marRight w:val="0"/>
                                      <w:marTop w:val="0"/>
                                      <w:marBottom w:val="0"/>
                                      <w:divBdr>
                                        <w:top w:val="single" w:sz="2" w:space="0" w:color="auto"/>
                                        <w:left w:val="single" w:sz="2" w:space="0" w:color="auto"/>
                                        <w:bottom w:val="single" w:sz="2" w:space="0" w:color="auto"/>
                                        <w:right w:val="single" w:sz="2" w:space="0" w:color="auto"/>
                                      </w:divBdr>
                                    </w:div>
                                  </w:divsChild>
                                </w:div>
                                <w:div w:id="923420676">
                                  <w:marLeft w:val="0"/>
                                  <w:marRight w:val="0"/>
                                  <w:marTop w:val="0"/>
                                  <w:marBottom w:val="0"/>
                                  <w:divBdr>
                                    <w:top w:val="single" w:sz="2" w:space="0" w:color="auto"/>
                                    <w:left w:val="single" w:sz="2" w:space="0" w:color="auto"/>
                                    <w:bottom w:val="single" w:sz="2" w:space="0" w:color="auto"/>
                                    <w:right w:val="single" w:sz="2" w:space="0" w:color="auto"/>
                                  </w:divBdr>
                                  <w:divsChild>
                                    <w:div w:id="1660570667">
                                      <w:marLeft w:val="0"/>
                                      <w:marRight w:val="0"/>
                                      <w:marTop w:val="0"/>
                                      <w:marBottom w:val="0"/>
                                      <w:divBdr>
                                        <w:top w:val="single" w:sz="2" w:space="0" w:color="auto"/>
                                        <w:left w:val="single" w:sz="2" w:space="0" w:color="auto"/>
                                        <w:bottom w:val="single" w:sz="2" w:space="0" w:color="auto"/>
                                        <w:right w:val="single" w:sz="2" w:space="0" w:color="auto"/>
                                      </w:divBdr>
                                      <w:divsChild>
                                        <w:div w:id="1064064852">
                                          <w:marLeft w:val="0"/>
                                          <w:marRight w:val="0"/>
                                          <w:marTop w:val="0"/>
                                          <w:marBottom w:val="0"/>
                                          <w:divBdr>
                                            <w:top w:val="single" w:sz="2" w:space="0" w:color="auto"/>
                                            <w:left w:val="single" w:sz="2" w:space="0" w:color="auto"/>
                                            <w:bottom w:val="single" w:sz="2" w:space="0" w:color="auto"/>
                                            <w:right w:val="single" w:sz="2" w:space="0" w:color="auto"/>
                                          </w:divBdr>
                                          <w:divsChild>
                                            <w:div w:id="2017999701">
                                              <w:marLeft w:val="0"/>
                                              <w:marRight w:val="0"/>
                                              <w:marTop w:val="0"/>
                                              <w:marBottom w:val="0"/>
                                              <w:divBdr>
                                                <w:top w:val="single" w:sz="2" w:space="0" w:color="auto"/>
                                                <w:left w:val="single" w:sz="2" w:space="0" w:color="auto"/>
                                                <w:bottom w:val="single" w:sz="2" w:space="0" w:color="auto"/>
                                                <w:right w:val="single" w:sz="2" w:space="0" w:color="auto"/>
                                              </w:divBdr>
                                              <w:divsChild>
                                                <w:div w:id="763569368">
                                                  <w:marLeft w:val="0"/>
                                                  <w:marRight w:val="0"/>
                                                  <w:marTop w:val="0"/>
                                                  <w:marBottom w:val="0"/>
                                                  <w:divBdr>
                                                    <w:top w:val="single" w:sz="2" w:space="0" w:color="auto"/>
                                                    <w:left w:val="single" w:sz="2" w:space="0" w:color="auto"/>
                                                    <w:bottom w:val="single" w:sz="2" w:space="0" w:color="auto"/>
                                                    <w:right w:val="single" w:sz="2" w:space="0" w:color="auto"/>
                                                  </w:divBdr>
                                                  <w:divsChild>
                                                    <w:div w:id="2080521121">
                                                      <w:marLeft w:val="0"/>
                                                      <w:marRight w:val="0"/>
                                                      <w:marTop w:val="0"/>
                                                      <w:marBottom w:val="0"/>
                                                      <w:divBdr>
                                                        <w:top w:val="single" w:sz="2" w:space="0" w:color="auto"/>
                                                        <w:left w:val="single" w:sz="2" w:space="0" w:color="auto"/>
                                                        <w:bottom w:val="single" w:sz="2" w:space="0" w:color="auto"/>
                                                        <w:right w:val="single" w:sz="2" w:space="0" w:color="auto"/>
                                                      </w:divBdr>
                                                      <w:divsChild>
                                                        <w:div w:id="144250765">
                                                          <w:marLeft w:val="0"/>
                                                          <w:marRight w:val="0"/>
                                                          <w:marTop w:val="0"/>
                                                          <w:marBottom w:val="0"/>
                                                          <w:divBdr>
                                                            <w:top w:val="single" w:sz="2" w:space="0" w:color="auto"/>
                                                            <w:left w:val="single" w:sz="2" w:space="0" w:color="auto"/>
                                                            <w:bottom w:val="single" w:sz="2" w:space="0" w:color="auto"/>
                                                            <w:right w:val="single" w:sz="2" w:space="0" w:color="auto"/>
                                                          </w:divBdr>
                                                          <w:divsChild>
                                                            <w:div w:id="329717562">
                                                              <w:marLeft w:val="0"/>
                                                              <w:marRight w:val="0"/>
                                                              <w:marTop w:val="0"/>
                                                              <w:marBottom w:val="0"/>
                                                              <w:divBdr>
                                                                <w:top w:val="single" w:sz="2" w:space="0" w:color="auto"/>
                                                                <w:left w:val="single" w:sz="2" w:space="0" w:color="auto"/>
                                                                <w:bottom w:val="single" w:sz="2" w:space="0" w:color="auto"/>
                                                                <w:right w:val="single" w:sz="2" w:space="0" w:color="auto"/>
                                                              </w:divBdr>
                                                              <w:divsChild>
                                                                <w:div w:id="1338118906">
                                                                  <w:marLeft w:val="0"/>
                                                                  <w:marRight w:val="0"/>
                                                                  <w:marTop w:val="0"/>
                                                                  <w:marBottom w:val="0"/>
                                                                  <w:divBdr>
                                                                    <w:top w:val="single" w:sz="2" w:space="0" w:color="auto"/>
                                                                    <w:left w:val="single" w:sz="2" w:space="0" w:color="auto"/>
                                                                    <w:bottom w:val="single" w:sz="2" w:space="0" w:color="auto"/>
                                                                    <w:right w:val="single" w:sz="2" w:space="0" w:color="auto"/>
                                                                  </w:divBdr>
                                                                  <w:divsChild>
                                                                    <w:div w:id="1853763546">
                                                                      <w:marLeft w:val="0"/>
                                                                      <w:marRight w:val="0"/>
                                                                      <w:marTop w:val="0"/>
                                                                      <w:marBottom w:val="0"/>
                                                                      <w:divBdr>
                                                                        <w:top w:val="none" w:sz="0" w:space="0" w:color="auto"/>
                                                                        <w:left w:val="none" w:sz="0" w:space="0" w:color="auto"/>
                                                                        <w:bottom w:val="none" w:sz="0" w:space="0" w:color="auto"/>
                                                                        <w:right w:val="none" w:sz="0" w:space="0" w:color="auto"/>
                                                                      </w:divBdr>
                                                                      <w:divsChild>
                                                                        <w:div w:id="27223724">
                                                                          <w:marLeft w:val="0"/>
                                                                          <w:marRight w:val="0"/>
                                                                          <w:marTop w:val="0"/>
                                                                          <w:marBottom w:val="0"/>
                                                                          <w:divBdr>
                                                                            <w:top w:val="single" w:sz="2" w:space="0" w:color="auto"/>
                                                                            <w:left w:val="single" w:sz="2" w:space="0" w:color="auto"/>
                                                                            <w:bottom w:val="single" w:sz="2" w:space="0" w:color="auto"/>
                                                                            <w:right w:val="single" w:sz="2" w:space="0" w:color="auto"/>
                                                                          </w:divBdr>
                                                                          <w:divsChild>
                                                                            <w:div w:id="1229338284">
                                                                              <w:marLeft w:val="0"/>
                                                                              <w:marRight w:val="0"/>
                                                                              <w:marTop w:val="0"/>
                                                                              <w:marBottom w:val="0"/>
                                                                              <w:divBdr>
                                                                                <w:top w:val="single" w:sz="2" w:space="0" w:color="auto"/>
                                                                                <w:left w:val="single" w:sz="2" w:space="0" w:color="auto"/>
                                                                                <w:bottom w:val="single" w:sz="2" w:space="0" w:color="auto"/>
                                                                                <w:right w:val="single" w:sz="2" w:space="0" w:color="auto"/>
                                                                              </w:divBdr>
                                                                              <w:divsChild>
                                                                                <w:div w:id="92118390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4044051">
      <w:bodyDiv w:val="1"/>
      <w:marLeft w:val="0"/>
      <w:marRight w:val="0"/>
      <w:marTop w:val="0"/>
      <w:marBottom w:val="0"/>
      <w:divBdr>
        <w:top w:val="none" w:sz="0" w:space="0" w:color="auto"/>
        <w:left w:val="none" w:sz="0" w:space="0" w:color="auto"/>
        <w:bottom w:val="none" w:sz="0" w:space="0" w:color="auto"/>
        <w:right w:val="none" w:sz="0" w:space="0" w:color="auto"/>
      </w:divBdr>
    </w:div>
    <w:div w:id="1328634670">
      <w:bodyDiv w:val="1"/>
      <w:marLeft w:val="0"/>
      <w:marRight w:val="0"/>
      <w:marTop w:val="0"/>
      <w:marBottom w:val="0"/>
      <w:divBdr>
        <w:top w:val="none" w:sz="0" w:space="0" w:color="auto"/>
        <w:left w:val="none" w:sz="0" w:space="0" w:color="auto"/>
        <w:bottom w:val="none" w:sz="0" w:space="0" w:color="auto"/>
        <w:right w:val="none" w:sz="0" w:space="0" w:color="auto"/>
      </w:divBdr>
    </w:div>
    <w:div w:id="1394618293">
      <w:bodyDiv w:val="1"/>
      <w:marLeft w:val="0"/>
      <w:marRight w:val="0"/>
      <w:marTop w:val="0"/>
      <w:marBottom w:val="0"/>
      <w:divBdr>
        <w:top w:val="none" w:sz="0" w:space="0" w:color="auto"/>
        <w:left w:val="none" w:sz="0" w:space="0" w:color="auto"/>
        <w:bottom w:val="none" w:sz="0" w:space="0" w:color="auto"/>
        <w:right w:val="none" w:sz="0" w:space="0" w:color="auto"/>
      </w:divBdr>
    </w:div>
    <w:div w:id="1438720035">
      <w:bodyDiv w:val="1"/>
      <w:marLeft w:val="0"/>
      <w:marRight w:val="0"/>
      <w:marTop w:val="0"/>
      <w:marBottom w:val="0"/>
      <w:divBdr>
        <w:top w:val="none" w:sz="0" w:space="0" w:color="auto"/>
        <w:left w:val="none" w:sz="0" w:space="0" w:color="auto"/>
        <w:bottom w:val="none" w:sz="0" w:space="0" w:color="auto"/>
        <w:right w:val="none" w:sz="0" w:space="0" w:color="auto"/>
      </w:divBdr>
    </w:div>
    <w:div w:id="1473018324">
      <w:bodyDiv w:val="1"/>
      <w:marLeft w:val="0"/>
      <w:marRight w:val="0"/>
      <w:marTop w:val="0"/>
      <w:marBottom w:val="0"/>
      <w:divBdr>
        <w:top w:val="none" w:sz="0" w:space="0" w:color="auto"/>
        <w:left w:val="none" w:sz="0" w:space="0" w:color="auto"/>
        <w:bottom w:val="none" w:sz="0" w:space="0" w:color="auto"/>
        <w:right w:val="none" w:sz="0" w:space="0" w:color="auto"/>
      </w:divBdr>
    </w:div>
    <w:div w:id="1518542299">
      <w:bodyDiv w:val="1"/>
      <w:marLeft w:val="0"/>
      <w:marRight w:val="0"/>
      <w:marTop w:val="0"/>
      <w:marBottom w:val="0"/>
      <w:divBdr>
        <w:top w:val="none" w:sz="0" w:space="0" w:color="auto"/>
        <w:left w:val="none" w:sz="0" w:space="0" w:color="auto"/>
        <w:bottom w:val="none" w:sz="0" w:space="0" w:color="auto"/>
        <w:right w:val="none" w:sz="0" w:space="0" w:color="auto"/>
      </w:divBdr>
    </w:div>
    <w:div w:id="1537696501">
      <w:bodyDiv w:val="1"/>
      <w:marLeft w:val="0"/>
      <w:marRight w:val="0"/>
      <w:marTop w:val="0"/>
      <w:marBottom w:val="0"/>
      <w:divBdr>
        <w:top w:val="none" w:sz="0" w:space="0" w:color="auto"/>
        <w:left w:val="none" w:sz="0" w:space="0" w:color="auto"/>
        <w:bottom w:val="none" w:sz="0" w:space="0" w:color="auto"/>
        <w:right w:val="none" w:sz="0" w:space="0" w:color="auto"/>
      </w:divBdr>
    </w:div>
    <w:div w:id="1599559546">
      <w:bodyDiv w:val="1"/>
      <w:marLeft w:val="0"/>
      <w:marRight w:val="0"/>
      <w:marTop w:val="0"/>
      <w:marBottom w:val="0"/>
      <w:divBdr>
        <w:top w:val="none" w:sz="0" w:space="0" w:color="auto"/>
        <w:left w:val="none" w:sz="0" w:space="0" w:color="auto"/>
        <w:bottom w:val="none" w:sz="0" w:space="0" w:color="auto"/>
        <w:right w:val="none" w:sz="0" w:space="0" w:color="auto"/>
      </w:divBdr>
    </w:div>
    <w:div w:id="1629625937">
      <w:bodyDiv w:val="1"/>
      <w:marLeft w:val="0"/>
      <w:marRight w:val="0"/>
      <w:marTop w:val="0"/>
      <w:marBottom w:val="0"/>
      <w:divBdr>
        <w:top w:val="none" w:sz="0" w:space="0" w:color="auto"/>
        <w:left w:val="none" w:sz="0" w:space="0" w:color="auto"/>
        <w:bottom w:val="none" w:sz="0" w:space="0" w:color="auto"/>
        <w:right w:val="none" w:sz="0" w:space="0" w:color="auto"/>
      </w:divBdr>
    </w:div>
    <w:div w:id="1647398984">
      <w:bodyDiv w:val="1"/>
      <w:marLeft w:val="0"/>
      <w:marRight w:val="0"/>
      <w:marTop w:val="0"/>
      <w:marBottom w:val="0"/>
      <w:divBdr>
        <w:top w:val="none" w:sz="0" w:space="0" w:color="auto"/>
        <w:left w:val="none" w:sz="0" w:space="0" w:color="auto"/>
        <w:bottom w:val="none" w:sz="0" w:space="0" w:color="auto"/>
        <w:right w:val="none" w:sz="0" w:space="0" w:color="auto"/>
      </w:divBdr>
    </w:div>
    <w:div w:id="1666057824">
      <w:bodyDiv w:val="1"/>
      <w:marLeft w:val="0"/>
      <w:marRight w:val="0"/>
      <w:marTop w:val="0"/>
      <w:marBottom w:val="0"/>
      <w:divBdr>
        <w:top w:val="none" w:sz="0" w:space="0" w:color="auto"/>
        <w:left w:val="none" w:sz="0" w:space="0" w:color="auto"/>
        <w:bottom w:val="none" w:sz="0" w:space="0" w:color="auto"/>
        <w:right w:val="none" w:sz="0" w:space="0" w:color="auto"/>
      </w:divBdr>
    </w:div>
    <w:div w:id="1673609717">
      <w:bodyDiv w:val="1"/>
      <w:marLeft w:val="0"/>
      <w:marRight w:val="0"/>
      <w:marTop w:val="0"/>
      <w:marBottom w:val="0"/>
      <w:divBdr>
        <w:top w:val="none" w:sz="0" w:space="0" w:color="auto"/>
        <w:left w:val="none" w:sz="0" w:space="0" w:color="auto"/>
        <w:bottom w:val="none" w:sz="0" w:space="0" w:color="auto"/>
        <w:right w:val="none" w:sz="0" w:space="0" w:color="auto"/>
      </w:divBdr>
    </w:div>
    <w:div w:id="1675263759">
      <w:bodyDiv w:val="1"/>
      <w:marLeft w:val="0"/>
      <w:marRight w:val="0"/>
      <w:marTop w:val="0"/>
      <w:marBottom w:val="0"/>
      <w:divBdr>
        <w:top w:val="none" w:sz="0" w:space="0" w:color="auto"/>
        <w:left w:val="none" w:sz="0" w:space="0" w:color="auto"/>
        <w:bottom w:val="none" w:sz="0" w:space="0" w:color="auto"/>
        <w:right w:val="none" w:sz="0" w:space="0" w:color="auto"/>
      </w:divBdr>
    </w:div>
    <w:div w:id="1684477748">
      <w:bodyDiv w:val="1"/>
      <w:marLeft w:val="0"/>
      <w:marRight w:val="0"/>
      <w:marTop w:val="0"/>
      <w:marBottom w:val="0"/>
      <w:divBdr>
        <w:top w:val="none" w:sz="0" w:space="0" w:color="auto"/>
        <w:left w:val="none" w:sz="0" w:space="0" w:color="auto"/>
        <w:bottom w:val="none" w:sz="0" w:space="0" w:color="auto"/>
        <w:right w:val="none" w:sz="0" w:space="0" w:color="auto"/>
      </w:divBdr>
    </w:div>
    <w:div w:id="1690328491">
      <w:bodyDiv w:val="1"/>
      <w:marLeft w:val="0"/>
      <w:marRight w:val="0"/>
      <w:marTop w:val="0"/>
      <w:marBottom w:val="0"/>
      <w:divBdr>
        <w:top w:val="none" w:sz="0" w:space="0" w:color="auto"/>
        <w:left w:val="none" w:sz="0" w:space="0" w:color="auto"/>
        <w:bottom w:val="none" w:sz="0" w:space="0" w:color="auto"/>
        <w:right w:val="none" w:sz="0" w:space="0" w:color="auto"/>
      </w:divBdr>
    </w:div>
    <w:div w:id="1705251352">
      <w:bodyDiv w:val="1"/>
      <w:marLeft w:val="0"/>
      <w:marRight w:val="0"/>
      <w:marTop w:val="0"/>
      <w:marBottom w:val="0"/>
      <w:divBdr>
        <w:top w:val="none" w:sz="0" w:space="0" w:color="auto"/>
        <w:left w:val="none" w:sz="0" w:space="0" w:color="auto"/>
        <w:bottom w:val="none" w:sz="0" w:space="0" w:color="auto"/>
        <w:right w:val="none" w:sz="0" w:space="0" w:color="auto"/>
      </w:divBdr>
    </w:div>
    <w:div w:id="1714110484">
      <w:bodyDiv w:val="1"/>
      <w:marLeft w:val="0"/>
      <w:marRight w:val="0"/>
      <w:marTop w:val="0"/>
      <w:marBottom w:val="0"/>
      <w:divBdr>
        <w:top w:val="none" w:sz="0" w:space="0" w:color="auto"/>
        <w:left w:val="none" w:sz="0" w:space="0" w:color="auto"/>
        <w:bottom w:val="none" w:sz="0" w:space="0" w:color="auto"/>
        <w:right w:val="none" w:sz="0" w:space="0" w:color="auto"/>
      </w:divBdr>
    </w:div>
    <w:div w:id="1757553706">
      <w:bodyDiv w:val="1"/>
      <w:marLeft w:val="0"/>
      <w:marRight w:val="0"/>
      <w:marTop w:val="0"/>
      <w:marBottom w:val="0"/>
      <w:divBdr>
        <w:top w:val="none" w:sz="0" w:space="0" w:color="auto"/>
        <w:left w:val="none" w:sz="0" w:space="0" w:color="auto"/>
        <w:bottom w:val="none" w:sz="0" w:space="0" w:color="auto"/>
        <w:right w:val="none" w:sz="0" w:space="0" w:color="auto"/>
      </w:divBdr>
    </w:div>
    <w:div w:id="1762095459">
      <w:bodyDiv w:val="1"/>
      <w:marLeft w:val="0"/>
      <w:marRight w:val="0"/>
      <w:marTop w:val="0"/>
      <w:marBottom w:val="0"/>
      <w:divBdr>
        <w:top w:val="none" w:sz="0" w:space="0" w:color="auto"/>
        <w:left w:val="none" w:sz="0" w:space="0" w:color="auto"/>
        <w:bottom w:val="none" w:sz="0" w:space="0" w:color="auto"/>
        <w:right w:val="none" w:sz="0" w:space="0" w:color="auto"/>
      </w:divBdr>
    </w:div>
    <w:div w:id="1770464113">
      <w:bodyDiv w:val="1"/>
      <w:marLeft w:val="0"/>
      <w:marRight w:val="0"/>
      <w:marTop w:val="0"/>
      <w:marBottom w:val="0"/>
      <w:divBdr>
        <w:top w:val="none" w:sz="0" w:space="0" w:color="auto"/>
        <w:left w:val="none" w:sz="0" w:space="0" w:color="auto"/>
        <w:bottom w:val="none" w:sz="0" w:space="0" w:color="auto"/>
        <w:right w:val="none" w:sz="0" w:space="0" w:color="auto"/>
      </w:divBdr>
    </w:div>
    <w:div w:id="1792741098">
      <w:bodyDiv w:val="1"/>
      <w:marLeft w:val="0"/>
      <w:marRight w:val="0"/>
      <w:marTop w:val="0"/>
      <w:marBottom w:val="0"/>
      <w:divBdr>
        <w:top w:val="none" w:sz="0" w:space="0" w:color="auto"/>
        <w:left w:val="none" w:sz="0" w:space="0" w:color="auto"/>
        <w:bottom w:val="none" w:sz="0" w:space="0" w:color="auto"/>
        <w:right w:val="none" w:sz="0" w:space="0" w:color="auto"/>
      </w:divBdr>
    </w:div>
    <w:div w:id="1795708321">
      <w:bodyDiv w:val="1"/>
      <w:marLeft w:val="0"/>
      <w:marRight w:val="0"/>
      <w:marTop w:val="0"/>
      <w:marBottom w:val="0"/>
      <w:divBdr>
        <w:top w:val="none" w:sz="0" w:space="0" w:color="auto"/>
        <w:left w:val="none" w:sz="0" w:space="0" w:color="auto"/>
        <w:bottom w:val="none" w:sz="0" w:space="0" w:color="auto"/>
        <w:right w:val="none" w:sz="0" w:space="0" w:color="auto"/>
      </w:divBdr>
    </w:div>
    <w:div w:id="1844736852">
      <w:bodyDiv w:val="1"/>
      <w:marLeft w:val="0"/>
      <w:marRight w:val="0"/>
      <w:marTop w:val="0"/>
      <w:marBottom w:val="0"/>
      <w:divBdr>
        <w:top w:val="none" w:sz="0" w:space="0" w:color="auto"/>
        <w:left w:val="none" w:sz="0" w:space="0" w:color="auto"/>
        <w:bottom w:val="none" w:sz="0" w:space="0" w:color="auto"/>
        <w:right w:val="none" w:sz="0" w:space="0" w:color="auto"/>
      </w:divBdr>
    </w:div>
    <w:div w:id="1869950409">
      <w:bodyDiv w:val="1"/>
      <w:marLeft w:val="0"/>
      <w:marRight w:val="0"/>
      <w:marTop w:val="0"/>
      <w:marBottom w:val="0"/>
      <w:divBdr>
        <w:top w:val="none" w:sz="0" w:space="0" w:color="auto"/>
        <w:left w:val="none" w:sz="0" w:space="0" w:color="auto"/>
        <w:bottom w:val="none" w:sz="0" w:space="0" w:color="auto"/>
        <w:right w:val="none" w:sz="0" w:space="0" w:color="auto"/>
      </w:divBdr>
    </w:div>
    <w:div w:id="1899053834">
      <w:bodyDiv w:val="1"/>
      <w:marLeft w:val="0"/>
      <w:marRight w:val="0"/>
      <w:marTop w:val="0"/>
      <w:marBottom w:val="0"/>
      <w:divBdr>
        <w:top w:val="none" w:sz="0" w:space="0" w:color="auto"/>
        <w:left w:val="none" w:sz="0" w:space="0" w:color="auto"/>
        <w:bottom w:val="none" w:sz="0" w:space="0" w:color="auto"/>
        <w:right w:val="none" w:sz="0" w:space="0" w:color="auto"/>
      </w:divBdr>
    </w:div>
    <w:div w:id="1939944853">
      <w:bodyDiv w:val="1"/>
      <w:marLeft w:val="0"/>
      <w:marRight w:val="0"/>
      <w:marTop w:val="0"/>
      <w:marBottom w:val="0"/>
      <w:divBdr>
        <w:top w:val="none" w:sz="0" w:space="0" w:color="auto"/>
        <w:left w:val="none" w:sz="0" w:space="0" w:color="auto"/>
        <w:bottom w:val="none" w:sz="0" w:space="0" w:color="auto"/>
        <w:right w:val="none" w:sz="0" w:space="0" w:color="auto"/>
      </w:divBdr>
    </w:div>
    <w:div w:id="1997370001">
      <w:bodyDiv w:val="1"/>
      <w:marLeft w:val="0"/>
      <w:marRight w:val="0"/>
      <w:marTop w:val="0"/>
      <w:marBottom w:val="0"/>
      <w:divBdr>
        <w:top w:val="none" w:sz="0" w:space="0" w:color="auto"/>
        <w:left w:val="none" w:sz="0" w:space="0" w:color="auto"/>
        <w:bottom w:val="none" w:sz="0" w:space="0" w:color="auto"/>
        <w:right w:val="none" w:sz="0" w:space="0" w:color="auto"/>
      </w:divBdr>
    </w:div>
    <w:div w:id="2031301060">
      <w:bodyDiv w:val="1"/>
      <w:marLeft w:val="0"/>
      <w:marRight w:val="0"/>
      <w:marTop w:val="0"/>
      <w:marBottom w:val="0"/>
      <w:divBdr>
        <w:top w:val="none" w:sz="0" w:space="0" w:color="auto"/>
        <w:left w:val="none" w:sz="0" w:space="0" w:color="auto"/>
        <w:bottom w:val="none" w:sz="0" w:space="0" w:color="auto"/>
        <w:right w:val="none" w:sz="0" w:space="0" w:color="auto"/>
      </w:divBdr>
    </w:div>
    <w:div w:id="2077169797">
      <w:bodyDiv w:val="1"/>
      <w:marLeft w:val="0"/>
      <w:marRight w:val="0"/>
      <w:marTop w:val="0"/>
      <w:marBottom w:val="0"/>
      <w:divBdr>
        <w:top w:val="none" w:sz="0" w:space="0" w:color="auto"/>
        <w:left w:val="none" w:sz="0" w:space="0" w:color="auto"/>
        <w:bottom w:val="none" w:sz="0" w:space="0" w:color="auto"/>
        <w:right w:val="none" w:sz="0" w:space="0" w:color="auto"/>
      </w:divBdr>
    </w:div>
    <w:div w:id="2128621327">
      <w:bodyDiv w:val="1"/>
      <w:marLeft w:val="0"/>
      <w:marRight w:val="0"/>
      <w:marTop w:val="0"/>
      <w:marBottom w:val="0"/>
      <w:divBdr>
        <w:top w:val="none" w:sz="0" w:space="0" w:color="auto"/>
        <w:left w:val="none" w:sz="0" w:space="0" w:color="auto"/>
        <w:bottom w:val="none" w:sz="0" w:space="0" w:color="auto"/>
        <w:right w:val="none" w:sz="0" w:space="0" w:color="auto"/>
      </w:divBdr>
    </w:div>
    <w:div w:id="2146773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verge.com/2019/3/13/18263453/apple-antitrust-complaint-europe-spotify-app-store-fees" TargetMode="External"/><Relationship Id="rId18" Type="http://schemas.openxmlformats.org/officeDocument/2006/relationships/hyperlink" Target="https://www.investopedia.com/terms/n/net_margin.asp"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nytimes.com/2019/03/25/technology/apple-news-streaming-service.html" TargetMode="External"/><Relationship Id="rId17" Type="http://schemas.openxmlformats.org/officeDocument/2006/relationships/hyperlink" Target="https://www.investopedia.com/terms/a/assetturnover.asp" TargetMode="External"/><Relationship Id="rId2" Type="http://schemas.openxmlformats.org/officeDocument/2006/relationships/numbering" Target="numbering.xml"/><Relationship Id="rId16" Type="http://schemas.openxmlformats.org/officeDocument/2006/relationships/hyperlink" Target="https://www.nytimes.com/2021/05/03/business/apple-epic-fortnite-trial.html" TargetMode="External"/><Relationship Id="rId20" Type="http://schemas.openxmlformats.org/officeDocument/2006/relationships/hyperlink" Target="https://www.samsung.com/global/i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pple.com/newsroom/2022/01/apple-reports-first-quarter-results/" TargetMode="External"/><Relationship Id="rId5" Type="http://schemas.openxmlformats.org/officeDocument/2006/relationships/webSettings" Target="webSettings.xml"/><Relationship Id="rId15" Type="http://schemas.openxmlformats.org/officeDocument/2006/relationships/hyperlink" Target="https://www.apple.com/newsroom/2022/01/apple-reports-first-quarter-results/" TargetMode="External"/><Relationship Id="rId10" Type="http://schemas.openxmlformats.org/officeDocument/2006/relationships/hyperlink" Target="https://www.apple.com/newsroom/2022/10/apple-reports-fourth-quarter-results/" TargetMode="External"/><Relationship Id="rId19" Type="http://schemas.openxmlformats.org/officeDocument/2006/relationships/hyperlink" Target="https://www.mckinsey.com/industries/technology-media-and-telecommunications/our-insights/technology-hardware-and-equipment-industry-insight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heverge.com/2020/6/22/21295475/apple-mac-processors-arm-silicon-chips-wwdc-202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16ECA4-5C26-E441-88D5-924AC8086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19</Pages>
  <Words>4921</Words>
  <Characters>29385</Characters>
  <Application>Microsoft Office Word</Application>
  <DocSecurity>0</DocSecurity>
  <Lines>947</Lines>
  <Paragraphs>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Totev (2024467)</dc:creator>
  <cp:keywords/>
  <dc:description/>
  <cp:lastModifiedBy>Vladimir Totev (2024467)</cp:lastModifiedBy>
  <cp:revision>106</cp:revision>
  <dcterms:created xsi:type="dcterms:W3CDTF">2024-04-23T11:40:00Z</dcterms:created>
  <dcterms:modified xsi:type="dcterms:W3CDTF">2024-04-24T10:46:00Z</dcterms:modified>
</cp:coreProperties>
</file>