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3006"/>
      </w:tblGrid>
      <w:tr w:rsidR="00A5734F" w14:paraId="0F99B52D" w14:textId="77777777" w:rsidTr="00A5734F">
        <w:tc>
          <w:tcPr>
            <w:tcW w:w="3005" w:type="dxa"/>
          </w:tcPr>
          <w:p w14:paraId="3F4EFCD8" w14:textId="56125155" w:rsidR="00A5734F" w:rsidRDefault="00A5734F" w:rsidP="00ED57C2">
            <w:pPr>
              <w:jc w:val="center"/>
            </w:pPr>
          </w:p>
        </w:tc>
        <w:tc>
          <w:tcPr>
            <w:tcW w:w="3005" w:type="dxa"/>
          </w:tcPr>
          <w:p w14:paraId="5446AEE1" w14:textId="05E38BC0" w:rsidR="00A5734F" w:rsidRDefault="00A5734F" w:rsidP="00ED57C2">
            <w:pPr>
              <w:jc w:val="center"/>
            </w:pPr>
            <w:r>
              <w:t xml:space="preserve">Targets </w:t>
            </w:r>
          </w:p>
        </w:tc>
        <w:tc>
          <w:tcPr>
            <w:tcW w:w="3006" w:type="dxa"/>
          </w:tcPr>
          <w:p w14:paraId="36AFC15C" w14:textId="61535C8C" w:rsidR="00A5734F" w:rsidRDefault="00A5734F" w:rsidP="00ED57C2">
            <w:pPr>
              <w:jc w:val="center"/>
            </w:pPr>
            <w:r>
              <w:t xml:space="preserve">What I have done to improve this target </w:t>
            </w:r>
          </w:p>
        </w:tc>
      </w:tr>
      <w:tr w:rsidR="00A5734F" w14:paraId="5618B7C9" w14:textId="77777777" w:rsidTr="00A5734F">
        <w:tc>
          <w:tcPr>
            <w:tcW w:w="3005" w:type="dxa"/>
          </w:tcPr>
          <w:p w14:paraId="16C82F28" w14:textId="5BE517BC" w:rsidR="00A5734F" w:rsidRDefault="00A5734F" w:rsidP="00ED57C2">
            <w:pPr>
              <w:jc w:val="center"/>
            </w:pPr>
            <w:r>
              <w:t>Target 1</w:t>
            </w:r>
          </w:p>
        </w:tc>
        <w:tc>
          <w:tcPr>
            <w:tcW w:w="3005" w:type="dxa"/>
          </w:tcPr>
          <w:p w14:paraId="18C5C0AA" w14:textId="6E759F1C" w:rsidR="00A5734F" w:rsidRDefault="00A5734F" w:rsidP="00ED57C2">
            <w:pPr>
              <w:jc w:val="center"/>
            </w:pPr>
            <w:r>
              <w:rPr>
                <w:rFonts w:ascii="Roboto" w:hAnsi="Roboto"/>
                <w:color w:val="283041"/>
                <w:sz w:val="21"/>
                <w:szCs w:val="21"/>
              </w:rPr>
              <w:t>1. Engage with an even wider range of literature and double-check your referencing technique for accuracy. Please see the Harvard referencing handbook here: </w:t>
            </w:r>
            <w:hyperlink r:id="rId5" w:history="1">
              <w:r>
                <w:rPr>
                  <w:rStyle w:val="Hyperlink"/>
                  <w:rFonts w:ascii="Roboto" w:hAnsi="Roboto"/>
                  <w:color w:val="1E7BBB"/>
                  <w:sz w:val="21"/>
                  <w:szCs w:val="21"/>
                </w:rPr>
                <w:t>Referencing handbooks | UWTSD Intranet</w:t>
              </w:r>
            </w:hyperlink>
            <w:r>
              <w:rPr>
                <w:rFonts w:ascii="Roboto" w:hAnsi="Roboto"/>
                <w:color w:val="283041"/>
                <w:sz w:val="21"/>
                <w:szCs w:val="21"/>
              </w:rPr>
              <w:t xml:space="preserve"> along with information in the </w:t>
            </w:r>
            <w:proofErr w:type="spellStart"/>
            <w:r>
              <w:rPr>
                <w:rFonts w:ascii="Roboto" w:hAnsi="Roboto"/>
                <w:color w:val="283041"/>
                <w:sz w:val="21"/>
                <w:szCs w:val="21"/>
              </w:rPr>
              <w:t>InfoSkills</w:t>
            </w:r>
            <w:proofErr w:type="spellEnd"/>
            <w:r>
              <w:rPr>
                <w:rFonts w:ascii="Roboto" w:hAnsi="Roboto"/>
                <w:color w:val="283041"/>
                <w:sz w:val="21"/>
                <w:szCs w:val="21"/>
              </w:rPr>
              <w:t xml:space="preserve"> section of the Library's webpages to find out more about searching for relevant literature.</w:t>
            </w:r>
            <w:r>
              <w:rPr>
                <w:rStyle w:val="apple-converted-space"/>
                <w:rFonts w:ascii="Roboto" w:hAnsi="Roboto"/>
                <w:color w:val="283041"/>
                <w:sz w:val="21"/>
                <w:szCs w:val="21"/>
                <w:shd w:val="clear" w:color="auto" w:fill="FFFFFF"/>
              </w:rPr>
              <w:t> </w:t>
            </w:r>
          </w:p>
        </w:tc>
        <w:tc>
          <w:tcPr>
            <w:tcW w:w="3006" w:type="dxa"/>
          </w:tcPr>
          <w:p w14:paraId="757CF6E5" w14:textId="4BC388C3" w:rsidR="00A5734F" w:rsidRDefault="00A5734F" w:rsidP="00ED57C2">
            <w:pPr>
              <w:jc w:val="center"/>
            </w:pPr>
            <w:r>
              <w:t xml:space="preserve">In this assignment I ensured to use more reliable resources from the Welsh Government website. I also engaged with more books </w:t>
            </w:r>
            <w:r w:rsidR="002D3EE1">
              <w:t xml:space="preserve">including a range of books that were not on the reading list. I also used the Harvard referencing guide to support me throughout my essay. </w:t>
            </w:r>
          </w:p>
        </w:tc>
      </w:tr>
      <w:tr w:rsidR="00A5734F" w14:paraId="59D7ACAF" w14:textId="77777777" w:rsidTr="00A5734F">
        <w:tc>
          <w:tcPr>
            <w:tcW w:w="3005" w:type="dxa"/>
          </w:tcPr>
          <w:p w14:paraId="0D4F78F5" w14:textId="4A9654EB" w:rsidR="00A5734F" w:rsidRDefault="00A5734F" w:rsidP="00ED57C2">
            <w:pPr>
              <w:jc w:val="center"/>
            </w:pPr>
            <w:r>
              <w:t>Target 2</w:t>
            </w:r>
          </w:p>
        </w:tc>
        <w:tc>
          <w:tcPr>
            <w:tcW w:w="3005" w:type="dxa"/>
          </w:tcPr>
          <w:p w14:paraId="3CE007CD" w14:textId="5E69110B" w:rsidR="00A5734F" w:rsidRDefault="00A5734F" w:rsidP="00ED57C2">
            <w:pPr>
              <w:jc w:val="center"/>
            </w:pPr>
            <w:r>
              <w:rPr>
                <w:rFonts w:ascii="Roboto" w:hAnsi="Roboto"/>
                <w:color w:val="283041"/>
                <w:sz w:val="21"/>
                <w:szCs w:val="21"/>
                <w:shd w:val="clear" w:color="auto" w:fill="FFFFFF"/>
              </w:rPr>
              <w:t>2. Further strengthen your critical writing by making references to literature throughout your writing. This will help to avoid large chunks of descriptive writing and unsupported conclusions towards the end of your work.</w:t>
            </w:r>
          </w:p>
        </w:tc>
        <w:tc>
          <w:tcPr>
            <w:tcW w:w="3006" w:type="dxa"/>
          </w:tcPr>
          <w:p w14:paraId="7998112C" w14:textId="2910CA2D" w:rsidR="00A5734F" w:rsidRDefault="002D3EE1" w:rsidP="00ED57C2">
            <w:pPr>
              <w:jc w:val="center"/>
            </w:pPr>
            <w:r>
              <w:t xml:space="preserve">I ensured to link my writing back to literature more throughout my paragraphs. Including when I explained my lesson plan and resource </w:t>
            </w:r>
          </w:p>
        </w:tc>
      </w:tr>
      <w:tr w:rsidR="00A5734F" w14:paraId="105F813A" w14:textId="77777777" w:rsidTr="00A5734F">
        <w:tc>
          <w:tcPr>
            <w:tcW w:w="3005" w:type="dxa"/>
          </w:tcPr>
          <w:p w14:paraId="42089E66" w14:textId="5A68B5E6" w:rsidR="00A5734F" w:rsidRDefault="00A5734F" w:rsidP="00ED57C2">
            <w:pPr>
              <w:jc w:val="center"/>
            </w:pPr>
            <w:r>
              <w:t>Target 3</w:t>
            </w:r>
          </w:p>
        </w:tc>
        <w:tc>
          <w:tcPr>
            <w:tcW w:w="3005" w:type="dxa"/>
          </w:tcPr>
          <w:p w14:paraId="5FB18D50" w14:textId="5B15B9F2" w:rsidR="00A5734F" w:rsidRDefault="00A5734F" w:rsidP="00ED57C2">
            <w:pPr>
              <w:jc w:val="center"/>
            </w:pPr>
            <w:r>
              <w:rPr>
                <w:rFonts w:ascii="Roboto" w:hAnsi="Roboto"/>
                <w:color w:val="283041"/>
                <w:sz w:val="21"/>
                <w:szCs w:val="21"/>
              </w:rPr>
              <w:t>3. Make greater use of tentative language and maintain an academic tone throughout. Please see pages marked for accuracy and other comments for examples.</w:t>
            </w:r>
          </w:p>
        </w:tc>
        <w:tc>
          <w:tcPr>
            <w:tcW w:w="3006" w:type="dxa"/>
          </w:tcPr>
          <w:p w14:paraId="3987233C" w14:textId="3BECACA6" w:rsidR="00A5734F" w:rsidRDefault="002D3EE1" w:rsidP="00ED57C2">
            <w:pPr>
              <w:jc w:val="center"/>
            </w:pPr>
            <w:r>
              <w:t xml:space="preserve">In this assignment I ensured o maintain a more academic language throughout whilst using one tense throughout. </w:t>
            </w:r>
          </w:p>
        </w:tc>
      </w:tr>
    </w:tbl>
    <w:p w14:paraId="2771A976" w14:textId="77777777" w:rsidR="00A5734F" w:rsidRDefault="00A5734F" w:rsidP="00ED57C2">
      <w:pPr>
        <w:jc w:val="center"/>
      </w:pPr>
    </w:p>
    <w:p w14:paraId="3104FC92" w14:textId="34AE8D5B" w:rsidR="00ED57C2" w:rsidRDefault="00ED57C2" w:rsidP="00ED57C2">
      <w:pPr>
        <w:jc w:val="center"/>
      </w:pPr>
      <w:r>
        <w:t xml:space="preserve">4014 assignment - </w:t>
      </w:r>
      <w:r w:rsidRPr="00ED57C2">
        <w:t>Demonstrate how cross-curricular teaching and learning can influence in-depth skills and understanding. Underpin this with reference to relevant research, a detailed lesson plan and an enhanced provision material</w:t>
      </w:r>
    </w:p>
    <w:p w14:paraId="6B5278CE" w14:textId="55F16D85" w:rsidR="00862B52" w:rsidRDefault="00862B52" w:rsidP="00ED57C2">
      <w:pPr>
        <w:jc w:val="center"/>
      </w:pPr>
    </w:p>
    <w:p w14:paraId="2A037CBB" w14:textId="378E54B6" w:rsidR="00862B52" w:rsidRPr="00862B52" w:rsidRDefault="00862B52" w:rsidP="00ED57C2">
      <w:pPr>
        <w:jc w:val="center"/>
        <w:rPr>
          <w:u w:val="single"/>
        </w:rPr>
      </w:pPr>
      <w:r w:rsidRPr="00862B52">
        <w:rPr>
          <w:u w:val="single"/>
        </w:rPr>
        <w:t xml:space="preserve">Introduction </w:t>
      </w:r>
    </w:p>
    <w:p w14:paraId="0EC93E3D" w14:textId="596558EA" w:rsidR="00ED57C2" w:rsidRDefault="00ED57C2" w:rsidP="00ED57C2">
      <w:pPr>
        <w:jc w:val="center"/>
      </w:pPr>
    </w:p>
    <w:p w14:paraId="2010F009" w14:textId="3D141C8B" w:rsidR="00ED57C2" w:rsidRDefault="00ED57C2" w:rsidP="006409E2">
      <w:pPr>
        <w:jc w:val="both"/>
      </w:pPr>
      <w:r>
        <w:t>Throughout education in Wales teaching and learning was based on a one subject at a time, timetable. Creating an education system that diminished creative ideas and children’s holistic development</w:t>
      </w:r>
      <w:r w:rsidR="000F0B5B">
        <w:t>. This is reiterated by Plowden (1967, quoted in Kerry, 2015, p.3) as he states,</w:t>
      </w:r>
      <w:r w:rsidR="005A74C5">
        <w:t xml:space="preserve"> </w:t>
      </w:r>
      <w:r w:rsidR="000F0B5B">
        <w:t>“we stress that children’s learning does not fit into subject categories”.</w:t>
      </w:r>
      <w:r>
        <w:t xml:space="preserve"> </w:t>
      </w:r>
      <w:r w:rsidR="005A74C5">
        <w:t>D</w:t>
      </w:r>
      <w:r w:rsidR="009A1F5C">
        <w:t>uring 2014</w:t>
      </w:r>
      <w:r>
        <w:t xml:space="preserve"> the Welsh Government asked </w:t>
      </w:r>
      <w:r w:rsidR="009A1F5C">
        <w:t>Professor</w:t>
      </w:r>
      <w:r>
        <w:t xml:space="preserve"> </w:t>
      </w:r>
      <w:r w:rsidR="009A1F5C">
        <w:t>G</w:t>
      </w:r>
      <w:r>
        <w:t xml:space="preserve">raham Donaldson to review the curriculum to ensure each child benefited from </w:t>
      </w:r>
      <w:r w:rsidR="00463DA3">
        <w:t>an</w:t>
      </w:r>
      <w:r>
        <w:t xml:space="preserve"> inclusive and rewarding </w:t>
      </w:r>
      <w:r w:rsidR="00463DA3">
        <w:t xml:space="preserve">education system </w:t>
      </w:r>
      <w:r>
        <w:t>(Donaldson, 2015)</w:t>
      </w:r>
      <w:r w:rsidR="000F0B5B">
        <w:t>. Within the curriculum</w:t>
      </w:r>
      <w:r w:rsidR="00463DA3">
        <w:t>,</w:t>
      </w:r>
      <w:r w:rsidR="000F0B5B">
        <w:t xml:space="preserve"> Donaldson </w:t>
      </w:r>
      <w:r w:rsidR="00A05C00">
        <w:t>discussed many changes that We have now implemented into the Welsh curriculum</w:t>
      </w:r>
      <w:r w:rsidR="00BD59F1">
        <w:t>,</w:t>
      </w:r>
      <w:r w:rsidR="00A05C00">
        <w:t xml:space="preserve"> such as</w:t>
      </w:r>
      <w:r w:rsidR="005A74C5">
        <w:t xml:space="preserve"> </w:t>
      </w:r>
      <w:r w:rsidR="00A05C00">
        <w:t xml:space="preserve">the </w:t>
      </w:r>
      <w:r w:rsidR="004B67A4">
        <w:t xml:space="preserve">twelve </w:t>
      </w:r>
      <w:r w:rsidR="00A05C00">
        <w:t xml:space="preserve">pedagogical principles and the use of progression steps instead of </w:t>
      </w:r>
      <w:r w:rsidR="00A6544B">
        <w:t>assessing</w:t>
      </w:r>
      <w:r w:rsidR="00A05C00">
        <w:t xml:space="preserve"> children against their age (Donaldson, 2015). However, </w:t>
      </w:r>
      <w:r w:rsidR="00337930">
        <w:t>an</w:t>
      </w:r>
      <w:r w:rsidR="00A05C00">
        <w:t xml:space="preserve"> important change that was reviewed </w:t>
      </w:r>
      <w:r w:rsidR="00337930">
        <w:t xml:space="preserve">was the areas of learning as he advised </w:t>
      </w:r>
      <w:r w:rsidR="00A05C00">
        <w:t xml:space="preserve">there should </w:t>
      </w:r>
      <w:r w:rsidR="000F0B5B">
        <w:t>only</w:t>
      </w:r>
      <w:r w:rsidR="00A05C00">
        <w:t xml:space="preserve"> be</w:t>
      </w:r>
      <w:r w:rsidR="000F0B5B">
        <w:t xml:space="preserve"> </w:t>
      </w:r>
      <w:r w:rsidR="004B67A4">
        <w:t>six</w:t>
      </w:r>
      <w:r w:rsidR="000F0B5B">
        <w:t xml:space="preserve"> areas of learning </w:t>
      </w:r>
      <w:r w:rsidR="009A1F5C">
        <w:t>due to the importance of employing creative thinking skills</w:t>
      </w:r>
      <w:r w:rsidR="005A74C5">
        <w:t xml:space="preserve"> and</w:t>
      </w:r>
      <w:r w:rsidR="009A1F5C">
        <w:t xml:space="preserve"> </w:t>
      </w:r>
      <w:r w:rsidR="00463DA3">
        <w:t xml:space="preserve">to </w:t>
      </w:r>
      <w:r w:rsidR="009A1F5C">
        <w:t>promote progression</w:t>
      </w:r>
      <w:r w:rsidR="005A74C5">
        <w:t xml:space="preserve"> </w:t>
      </w:r>
      <w:r w:rsidR="00A05C00">
        <w:t>(Donaldson, 2015)</w:t>
      </w:r>
      <w:r w:rsidR="009A1F5C">
        <w:t xml:space="preserve">. </w:t>
      </w:r>
      <w:r w:rsidR="00337930">
        <w:t xml:space="preserve">Donaldson </w:t>
      </w:r>
      <w:r w:rsidR="009A1F5C">
        <w:t xml:space="preserve">also </w:t>
      </w:r>
      <w:r w:rsidR="002C70EF">
        <w:t>reviewed the</w:t>
      </w:r>
      <w:r w:rsidR="006409E2">
        <w:t xml:space="preserve"> </w:t>
      </w:r>
      <w:r w:rsidR="002C70EF">
        <w:t>cross</w:t>
      </w:r>
      <w:r w:rsidR="006409E2">
        <w:t>-c</w:t>
      </w:r>
      <w:r w:rsidR="002C70EF">
        <w:t xml:space="preserve">urricular responsibilities. </w:t>
      </w:r>
      <w:r w:rsidR="00ED276B">
        <w:t xml:space="preserve">In Donaldsons review he explained the importance of the numeracy and literacy framework in providing children </w:t>
      </w:r>
      <w:r w:rsidR="00C966E1">
        <w:t xml:space="preserve">essential skills in life. Additionally, to this he also introduced the digital </w:t>
      </w:r>
      <w:r w:rsidR="00C966E1">
        <w:lastRenderedPageBreak/>
        <w:t xml:space="preserve">competence </w:t>
      </w:r>
      <w:r w:rsidR="004675C2">
        <w:t xml:space="preserve">framework </w:t>
      </w:r>
      <w:r w:rsidR="00C966E1">
        <w:t>as the last cross</w:t>
      </w:r>
      <w:r w:rsidR="006409E2">
        <w:t>-</w:t>
      </w:r>
      <w:r w:rsidR="00C966E1">
        <w:t xml:space="preserve">curricular responsibility due to the developing modern world we live in (Donaldson, 2015). </w:t>
      </w:r>
    </w:p>
    <w:p w14:paraId="38F840EC" w14:textId="77777777" w:rsidR="00F154B1" w:rsidRDefault="00F154B1" w:rsidP="00ED57C2">
      <w:pPr>
        <w:jc w:val="both"/>
      </w:pPr>
    </w:p>
    <w:p w14:paraId="75062D30" w14:textId="44FD374A" w:rsidR="00C966E1" w:rsidRDefault="00F154B1" w:rsidP="00ED57C2">
      <w:pPr>
        <w:jc w:val="both"/>
      </w:pPr>
      <w:r>
        <w:t>F</w:t>
      </w:r>
      <w:r w:rsidR="00577B15">
        <w:t xml:space="preserve">oundation learning is implemented into schools to support children aged 3 to 7 within Wales. </w:t>
      </w:r>
      <w:r w:rsidR="00033C88">
        <w:t xml:space="preserve">Similarly, to </w:t>
      </w:r>
      <w:r w:rsidR="00577B15">
        <w:t>the Welsh curriculum</w:t>
      </w:r>
      <w:r w:rsidR="005A74C5">
        <w:t xml:space="preserve">, </w:t>
      </w:r>
      <w:r w:rsidR="00577B15">
        <w:t xml:space="preserve">foundation learning also promotes cross-curricular </w:t>
      </w:r>
      <w:r w:rsidR="00463DA3">
        <w:t xml:space="preserve">teaching and learning </w:t>
      </w:r>
      <w:r w:rsidR="00577B15">
        <w:t xml:space="preserve">by using the literacy, numeracy, and digital competence frameworks (Welsh </w:t>
      </w:r>
      <w:r w:rsidR="00672511">
        <w:t>G</w:t>
      </w:r>
      <w:r w:rsidR="00577B15">
        <w:t xml:space="preserve">overnment, 2015). </w:t>
      </w:r>
      <w:r w:rsidR="005A74C5">
        <w:t>U</w:t>
      </w:r>
      <w:r w:rsidR="00577B15">
        <w:t>nlike the Welsh curriculum</w:t>
      </w:r>
      <w:r w:rsidR="00F66F05">
        <w:t>,</w:t>
      </w:r>
      <w:r w:rsidR="00577B15">
        <w:t xml:space="preserve"> foundation learning emphasises the importance of cross-curricular </w:t>
      </w:r>
      <w:r w:rsidR="00033C88">
        <w:t xml:space="preserve">teaching and learning </w:t>
      </w:r>
      <w:r w:rsidR="00577B15">
        <w:t>through practical</w:t>
      </w:r>
      <w:r w:rsidR="00033C88">
        <w:t xml:space="preserve"> experiences</w:t>
      </w:r>
      <w:r w:rsidR="00577B15">
        <w:t xml:space="preserve">, </w:t>
      </w:r>
      <w:r w:rsidR="00033C88">
        <w:t xml:space="preserve">child centred activities and effective interactions (Kerry, 2015, p.58). </w:t>
      </w:r>
      <w:r w:rsidR="00F66F05">
        <w:t xml:space="preserve">This has been observed on placement when the children are taken to a local shop. As a result, this simple activity not only allows children to have a practical experience which promotes Frobel’s theory of supporting children to develop “their natural desire to explore, experiment and make connections” (Bradbury and </w:t>
      </w:r>
      <w:proofErr w:type="spellStart"/>
      <w:r w:rsidR="00F66F05">
        <w:t>Swailes</w:t>
      </w:r>
      <w:proofErr w:type="spellEnd"/>
      <w:r w:rsidR="00F66F05">
        <w:t xml:space="preserve">, 2022, p.44). </w:t>
      </w:r>
      <w:r w:rsidR="003F0DA6">
        <w:t>T</w:t>
      </w:r>
      <w:r w:rsidR="00F66F05">
        <w:t xml:space="preserve">he task also allowed children to explore their community which </w:t>
      </w:r>
      <w:r w:rsidR="00463DA3">
        <w:t>links to</w:t>
      </w:r>
      <w:r w:rsidR="00F66F05">
        <w:t xml:space="preserve"> humanities, the children</w:t>
      </w:r>
      <w:r w:rsidR="004675C2">
        <w:t xml:space="preserve"> </w:t>
      </w:r>
      <w:r w:rsidR="00F66F05">
        <w:t xml:space="preserve">bought food in the shop </w:t>
      </w:r>
      <w:r w:rsidR="003F0DA6">
        <w:t>relating to mathematics and numeracy. Additionally, the communication between the public and children is also developing their literacy, language, and communication</w:t>
      </w:r>
      <w:r w:rsidR="00463DA3">
        <w:t xml:space="preserve"> skills</w:t>
      </w:r>
      <w:r w:rsidR="003F0DA6">
        <w:t xml:space="preserve">. </w:t>
      </w:r>
      <w:r w:rsidR="004675C2">
        <w:t xml:space="preserve">Therefore, </w:t>
      </w:r>
      <w:r w:rsidR="005A74C5">
        <w:t xml:space="preserve">this </w:t>
      </w:r>
      <w:r w:rsidR="004675C2">
        <w:t xml:space="preserve">task had many benefits </w:t>
      </w:r>
      <w:r w:rsidR="005A74C5">
        <w:t>such as real-life concepts and ability to gain a greater understanding</w:t>
      </w:r>
      <w:r w:rsidR="00463DA3">
        <w:t>.</w:t>
      </w:r>
    </w:p>
    <w:p w14:paraId="67A5146E" w14:textId="430DA27E" w:rsidR="005F21AC" w:rsidRDefault="005F21AC" w:rsidP="00ED57C2">
      <w:pPr>
        <w:jc w:val="both"/>
      </w:pPr>
    </w:p>
    <w:p w14:paraId="02CCFDA9" w14:textId="383B7A36" w:rsidR="00ED57C2" w:rsidRDefault="00204845">
      <w:r>
        <w:t>C</w:t>
      </w:r>
      <w:r w:rsidR="005F21AC">
        <w:t>ross</w:t>
      </w:r>
      <w:r w:rsidR="006409E2">
        <w:t>-</w:t>
      </w:r>
      <w:r w:rsidR="005F21AC">
        <w:t xml:space="preserve">curricular </w:t>
      </w:r>
      <w:r w:rsidR="006409E2">
        <w:t>teaching and l</w:t>
      </w:r>
      <w:r w:rsidR="005F21AC">
        <w:t xml:space="preserve">earning is defined as “the skills, knowledge and attitudes of a number of different disciplines are applied to a single experience” (Barnes, 2015, p.11). </w:t>
      </w:r>
      <w:r w:rsidR="004675C2">
        <w:t>Li</w:t>
      </w:r>
      <w:r w:rsidR="004B67A4">
        <w:t>ke any new or developed way of teaching there are</w:t>
      </w:r>
      <w:r w:rsidR="00F154B1">
        <w:t xml:space="preserve"> advantages and negatives that must be taken into consideration such as cross</w:t>
      </w:r>
      <w:r w:rsidR="00463DA3">
        <w:t>-</w:t>
      </w:r>
      <w:r w:rsidR="00F154B1">
        <w:t xml:space="preserve">curricular learning can provide children with motivation, relevant learning, and better engagement (Kerry, 2015, p.59). </w:t>
      </w:r>
      <w:r w:rsidR="004675C2">
        <w:t>O</w:t>
      </w:r>
      <w:r w:rsidR="00F154B1">
        <w:t xml:space="preserve">n the other hand, there are disadvantages </w:t>
      </w:r>
      <w:r w:rsidR="004675C2">
        <w:t xml:space="preserve">that prevent teachers from imbedding this experience into schools. These include </w:t>
      </w:r>
      <w:r w:rsidR="00862B52">
        <w:t>deprivation</w:t>
      </w:r>
      <w:r w:rsidR="004675C2">
        <w:t>, resources, and lack of staff (</w:t>
      </w:r>
      <w:proofErr w:type="spellStart"/>
      <w:r w:rsidR="004675C2">
        <w:t>Nrich</w:t>
      </w:r>
      <w:proofErr w:type="spellEnd"/>
      <w:r w:rsidR="004675C2">
        <w:t xml:space="preserve">, unknown date). </w:t>
      </w:r>
      <w:r w:rsidR="005A74C5">
        <w:t>I</w:t>
      </w:r>
      <w:r w:rsidR="004675C2">
        <w:t xml:space="preserve">n this </w:t>
      </w:r>
      <w:r w:rsidR="00A6544B">
        <w:t>assignment</w:t>
      </w:r>
      <w:r w:rsidR="004675C2">
        <w:t xml:space="preserve"> I will be exploring how cross</w:t>
      </w:r>
      <w:r w:rsidR="00463DA3">
        <w:t>-c</w:t>
      </w:r>
      <w:r w:rsidR="004675C2">
        <w:t xml:space="preserve">urricular </w:t>
      </w:r>
      <w:r w:rsidR="00A6544B">
        <w:t xml:space="preserve">teaching and learning </w:t>
      </w:r>
      <w:r w:rsidR="004675C2">
        <w:t xml:space="preserve">can be used in schools and the negatives that are preventing </w:t>
      </w:r>
      <w:r w:rsidR="00A6544B">
        <w:t xml:space="preserve">teachers and schools from adapting to this </w:t>
      </w:r>
      <w:r w:rsidR="004675C2">
        <w:t>new way of teaching</w:t>
      </w:r>
      <w:r w:rsidR="00A6544B">
        <w:t xml:space="preserve">. </w:t>
      </w:r>
    </w:p>
    <w:p w14:paraId="2AAF4368" w14:textId="6A54A826" w:rsidR="00862B52" w:rsidRDefault="00862B52"/>
    <w:p w14:paraId="4CC3B86F" w14:textId="4466F59A" w:rsidR="00862B52" w:rsidRDefault="00862B52" w:rsidP="00862B52">
      <w:pPr>
        <w:jc w:val="center"/>
        <w:rPr>
          <w:u w:val="single"/>
        </w:rPr>
      </w:pPr>
      <w:r w:rsidRPr="00862B52">
        <w:rPr>
          <w:u w:val="single"/>
        </w:rPr>
        <w:t>Main body</w:t>
      </w:r>
    </w:p>
    <w:p w14:paraId="3CE8E0C6" w14:textId="77777777" w:rsidR="00862B52" w:rsidRPr="00862B52" w:rsidRDefault="00862B52" w:rsidP="00862B52">
      <w:pPr>
        <w:jc w:val="center"/>
        <w:rPr>
          <w:u w:val="single"/>
        </w:rPr>
      </w:pPr>
    </w:p>
    <w:p w14:paraId="2829601B" w14:textId="0E529923" w:rsidR="009302D2" w:rsidRDefault="00862B52">
      <w:r>
        <w:t>Since 2015 Wales has made detrimental improvements to the Welsh curriculum</w:t>
      </w:r>
      <w:r w:rsidR="001C0B1E">
        <w:t>,</w:t>
      </w:r>
      <w:r>
        <w:t xml:space="preserve"> changing the outcome for children in Wales. The Welsh curriculum is made up of different areas that schools and teachers must use as guidance ensuring children are receiving the best education possible. During the review in 2015 </w:t>
      </w:r>
      <w:r w:rsidR="001C0B1E">
        <w:t>three</w:t>
      </w:r>
      <w:r>
        <w:t xml:space="preserve"> cross</w:t>
      </w:r>
      <w:r w:rsidR="006409E2">
        <w:t>-</w:t>
      </w:r>
      <w:r>
        <w:t xml:space="preserve">curricular frameworks were developed and added to create an education </w:t>
      </w:r>
      <w:r w:rsidR="002B7C29">
        <w:t xml:space="preserve">system </w:t>
      </w:r>
      <w:r>
        <w:t>that</w:t>
      </w:r>
      <w:r w:rsidR="001C0B1E">
        <w:t xml:space="preserve"> supports children’s progression in different skills </w:t>
      </w:r>
      <w:r w:rsidR="003951A5">
        <w:t>(Welsh Government, 2022)</w:t>
      </w:r>
      <w:r>
        <w:t xml:space="preserve">. </w:t>
      </w:r>
      <w:r w:rsidR="005A74C5">
        <w:t>T</w:t>
      </w:r>
      <w:r w:rsidR="002B7C29">
        <w:t xml:space="preserve">o ensure these benefits are being met the schools </w:t>
      </w:r>
      <w:r w:rsidR="003951A5">
        <w:t>must follow the 3 frameworks that are provided. Similarly, to the six areas of learning the cross</w:t>
      </w:r>
      <w:r w:rsidR="00463DA3">
        <w:t>-</w:t>
      </w:r>
      <w:r w:rsidR="003951A5">
        <w:t xml:space="preserve">curricular frameworks are made up of </w:t>
      </w:r>
      <w:r w:rsidR="00C62D9D">
        <w:t xml:space="preserve">what matter statements, </w:t>
      </w:r>
      <w:r w:rsidR="003951A5">
        <w:t xml:space="preserve">descriptions of learning and then divided into progression steps (Welsh </w:t>
      </w:r>
      <w:r w:rsidR="00574E2D">
        <w:t>G</w:t>
      </w:r>
      <w:r w:rsidR="003951A5">
        <w:t xml:space="preserve">overnment, 2022). </w:t>
      </w:r>
      <w:r w:rsidR="00C62D9D">
        <w:t>Firstly,</w:t>
      </w:r>
      <w:r w:rsidR="003951A5">
        <w:t xml:space="preserve"> </w:t>
      </w:r>
      <w:r w:rsidR="00C62D9D">
        <w:t>what matter statements are individual depending on the cross</w:t>
      </w:r>
      <w:r w:rsidR="00463DA3">
        <w:t>-</w:t>
      </w:r>
      <w:r w:rsidR="00C62D9D">
        <w:t xml:space="preserve">curricular framework and provide the “big ideas” which are mandatory to learn (Welsh Government, 2020). Within each framework there are also descriptions of learning which provide guidance on skills that children will need to develop and learn through progression steps (Welsh Government, 2020). Unlike the old curriculum where children were </w:t>
      </w:r>
      <w:r w:rsidR="00B27FC1">
        <w:t xml:space="preserve">assessed and grouped by their age </w:t>
      </w:r>
      <w:r w:rsidR="009B525F">
        <w:t>t</w:t>
      </w:r>
      <w:r w:rsidR="00B27FC1">
        <w:t xml:space="preserve">he Welsh curriculum now divides the skills children must develop into progression steps (Welsh </w:t>
      </w:r>
      <w:r w:rsidR="006E48B0">
        <w:t>G</w:t>
      </w:r>
      <w:r w:rsidR="00B27FC1">
        <w:t xml:space="preserve">overnment, 2020). Therefore, children can now develop at a </w:t>
      </w:r>
      <w:r w:rsidR="00B27FC1">
        <w:lastRenderedPageBreak/>
        <w:t>suitable rate for themselves over a series of years providing a more child centred approach to learning (Welsh Government, 2020). Whist on placement, I have witnessed the different cross</w:t>
      </w:r>
      <w:r w:rsidR="00463DA3">
        <w:t>-</w:t>
      </w:r>
      <w:r w:rsidR="00B27FC1">
        <w:t xml:space="preserve">curricular frameworks being used especially when the children are tasked with an enhanced provision activity such as using the I pads to draw a </w:t>
      </w:r>
      <w:r w:rsidR="00A0489F">
        <w:t xml:space="preserve">dinosaur theme including labels. </w:t>
      </w:r>
    </w:p>
    <w:p w14:paraId="7FF45174" w14:textId="5AE5BCFC" w:rsidR="005A6D2B" w:rsidRDefault="005A6D2B"/>
    <w:p w14:paraId="0B1BD0F0" w14:textId="2ED7C35C" w:rsidR="006C3439" w:rsidRPr="004F79E5" w:rsidRDefault="005A6D2B">
      <w:pPr>
        <w:rPr>
          <w:color w:val="FF0000"/>
        </w:rPr>
      </w:pPr>
      <w:r>
        <w:t xml:space="preserve">Within any classroom there can be a range of </w:t>
      </w:r>
      <w:r w:rsidR="00BC7F05">
        <w:t>ten</w:t>
      </w:r>
      <w:r>
        <w:t xml:space="preserve"> to </w:t>
      </w:r>
      <w:r w:rsidR="00BC7F05">
        <w:t>thirty-five</w:t>
      </w:r>
      <w:r>
        <w:t xml:space="preserve"> children in </w:t>
      </w:r>
      <w:r w:rsidR="00463DA3">
        <w:t xml:space="preserve">a </w:t>
      </w:r>
      <w:r>
        <w:t xml:space="preserve">class that need to be able to leave at the end of each day understanding what they have learnt to develop that knowledge further. </w:t>
      </w:r>
      <w:r w:rsidR="00463DA3">
        <w:t xml:space="preserve">A key issue I have witnessed in placement is ensuring children are engaged in the learning. As a result, when children are engaged in the </w:t>
      </w:r>
      <w:r w:rsidR="006E48B0">
        <w:t>learning,</w:t>
      </w:r>
      <w:r w:rsidR="00463DA3">
        <w:t xml:space="preserve"> they </w:t>
      </w:r>
      <w:proofErr w:type="gramStart"/>
      <w:r w:rsidR="00463DA3">
        <w:t xml:space="preserve">are able </w:t>
      </w:r>
      <w:r w:rsidR="00BC7F05">
        <w:t>to</w:t>
      </w:r>
      <w:proofErr w:type="gramEnd"/>
      <w:r w:rsidR="00BC7F05">
        <w:t xml:space="preserve"> progress and show improved behaviour which can lead to more time spent o</w:t>
      </w:r>
      <w:r w:rsidR="00463DA3">
        <w:t>n</w:t>
      </w:r>
      <w:r w:rsidR="00BC7F05">
        <w:t xml:space="preserve"> learning (</w:t>
      </w:r>
      <w:proofErr w:type="spellStart"/>
      <w:r w:rsidR="00590C3E">
        <w:t>Atanasiu</w:t>
      </w:r>
      <w:proofErr w:type="spellEnd"/>
      <w:r w:rsidR="003B59C8">
        <w:t>, 2022, p. 5</w:t>
      </w:r>
      <w:r w:rsidR="003B59C8" w:rsidRPr="004F79E5">
        <w:rPr>
          <w:color w:val="000000" w:themeColor="text1"/>
        </w:rPr>
        <w:t>)</w:t>
      </w:r>
      <w:r w:rsidR="00BC7F05" w:rsidRPr="004F79E5">
        <w:rPr>
          <w:color w:val="000000" w:themeColor="text1"/>
        </w:rPr>
        <w:t>. Unlike the</w:t>
      </w:r>
      <w:r w:rsidR="004F79E5" w:rsidRPr="004F79E5">
        <w:rPr>
          <w:color w:val="000000" w:themeColor="text1"/>
        </w:rPr>
        <w:t xml:space="preserve"> curriculum now, the</w:t>
      </w:r>
      <w:r w:rsidR="00BC7F05" w:rsidRPr="004F79E5">
        <w:rPr>
          <w:color w:val="000000" w:themeColor="text1"/>
        </w:rPr>
        <w:t xml:space="preserve"> old curriculum </w:t>
      </w:r>
      <w:r w:rsidR="004F79E5" w:rsidRPr="004F79E5">
        <w:rPr>
          <w:color w:val="000000" w:themeColor="text1"/>
        </w:rPr>
        <w:t xml:space="preserve">divided learning into </w:t>
      </w:r>
      <w:r w:rsidR="003B59C8" w:rsidRPr="004F79E5">
        <w:rPr>
          <w:color w:val="000000" w:themeColor="text1"/>
        </w:rPr>
        <w:t>subject</w:t>
      </w:r>
      <w:r w:rsidR="004F79E5" w:rsidRPr="004F79E5">
        <w:rPr>
          <w:color w:val="000000" w:themeColor="text1"/>
        </w:rPr>
        <w:t xml:space="preserve"> </w:t>
      </w:r>
      <w:r w:rsidR="003B59C8" w:rsidRPr="004F79E5">
        <w:rPr>
          <w:color w:val="000000" w:themeColor="text1"/>
        </w:rPr>
        <w:t>areas causing an education system that does not allow children to widen their knowledge across subjects, providing children with a false sense of the real word and decreasing the levels of engagement (</w:t>
      </w:r>
      <w:proofErr w:type="spellStart"/>
      <w:r w:rsidR="004F79E5" w:rsidRPr="004F79E5">
        <w:rPr>
          <w:color w:val="000000" w:themeColor="text1"/>
        </w:rPr>
        <w:t>Schidies</w:t>
      </w:r>
      <w:proofErr w:type="spellEnd"/>
      <w:r w:rsidR="003B59C8" w:rsidRPr="004F79E5">
        <w:rPr>
          <w:color w:val="000000" w:themeColor="text1"/>
        </w:rPr>
        <w:t xml:space="preserve">, 2018). </w:t>
      </w:r>
      <w:r w:rsidR="003B59C8">
        <w:t>On the other hand</w:t>
      </w:r>
      <w:r w:rsidR="00D13800">
        <w:t xml:space="preserve">, </w:t>
      </w:r>
      <w:r w:rsidR="003B59C8">
        <w:t>cros</w:t>
      </w:r>
      <w:r w:rsidR="00D13800">
        <w:t>s</w:t>
      </w:r>
      <w:r w:rsidR="006409E2">
        <w:t>-</w:t>
      </w:r>
      <w:r w:rsidR="00D13800">
        <w:t xml:space="preserve">curricular learning can provide a more creative and inclusive way of teaching and learning leading to better </w:t>
      </w:r>
      <w:r w:rsidR="00BD59F1">
        <w:t>engagement</w:t>
      </w:r>
      <w:r w:rsidR="00D13800">
        <w:t>. This was reported in an Estyn report during 2018 when a school in Cardiff implemented a cross</w:t>
      </w:r>
      <w:r w:rsidR="006409E2">
        <w:t>-</w:t>
      </w:r>
      <w:r w:rsidR="00D13800">
        <w:t xml:space="preserve">curricular approach </w:t>
      </w:r>
      <w:r w:rsidR="00A65EAD">
        <w:t>to</w:t>
      </w:r>
      <w:r w:rsidR="00D13800">
        <w:t xml:space="preserve"> promote and support children to work towards the four purposes and allow the </w:t>
      </w:r>
      <w:r w:rsidR="00A65EAD">
        <w:t xml:space="preserve">activities and learning to </w:t>
      </w:r>
      <w:r w:rsidR="00D13800">
        <w:t xml:space="preserve">engage children (Estyn, 2018). </w:t>
      </w:r>
      <w:r w:rsidR="00A65EAD">
        <w:t xml:space="preserve">This was ensured by activities that promoted hands on experiences and different areas of learning such as the school were able to purchase a weather machine which allowed the children to collect live data everyday promoting mathematics, humanities, and the digital literacy competence framework. The school discovered that teaching </w:t>
      </w:r>
      <w:r w:rsidR="00A5734F">
        <w:t xml:space="preserve">cross-curricular </w:t>
      </w:r>
      <w:r w:rsidR="00A65EAD">
        <w:t>allowed children to engage in the activities but also made the learning purposeful (Estyn, 2018).</w:t>
      </w:r>
      <w:r w:rsidR="006C3439">
        <w:t xml:space="preserve"> When planning my enhanced provision, I ensured that my lesson was not only purposeful but also engaging to ensure that children were learning. As a result, I made sure to use cross</w:t>
      </w:r>
      <w:r w:rsidR="006409E2">
        <w:t>-</w:t>
      </w:r>
      <w:r w:rsidR="006C3439">
        <w:t xml:space="preserve">curricular teaching for children to get different experiences such as reading a book, then going outside to practice directions and positions then using the bee bots. </w:t>
      </w:r>
      <w:r w:rsidR="00B62F56">
        <w:t xml:space="preserve">On the other hand, </w:t>
      </w:r>
      <w:proofErr w:type="spellStart"/>
      <w:r w:rsidR="007258F5">
        <w:t>Dcox</w:t>
      </w:r>
      <w:proofErr w:type="spellEnd"/>
      <w:r w:rsidR="007258F5">
        <w:t xml:space="preserve"> (2016) states that cross curricular teaching “wastes teachers time”.</w:t>
      </w:r>
      <w:r w:rsidR="00204845">
        <w:t xml:space="preserve"> S</w:t>
      </w:r>
      <w:r w:rsidR="000D00D9">
        <w:t xml:space="preserve">he </w:t>
      </w:r>
      <w:r w:rsidR="00BD59F1">
        <w:t>believes</w:t>
      </w:r>
      <w:r w:rsidR="000D00D9">
        <w:t xml:space="preserve"> that focusing on one subject at a time can allow children to gain a greater understanding of the subject or topic in a simpler way</w:t>
      </w:r>
      <w:r w:rsidR="00204845">
        <w:t xml:space="preserve"> </w:t>
      </w:r>
      <w:r w:rsidR="000D00D9">
        <w:t>(</w:t>
      </w:r>
      <w:proofErr w:type="spellStart"/>
      <w:r w:rsidR="000D00D9">
        <w:t>Dcox</w:t>
      </w:r>
      <w:proofErr w:type="spellEnd"/>
      <w:r w:rsidR="000D00D9">
        <w:t xml:space="preserve">, 2016). </w:t>
      </w:r>
    </w:p>
    <w:p w14:paraId="639E9863" w14:textId="77777777" w:rsidR="008578BD" w:rsidRPr="008578BD" w:rsidRDefault="008578BD">
      <w:pPr>
        <w:rPr>
          <w:color w:val="000000" w:themeColor="text1"/>
        </w:rPr>
      </w:pPr>
    </w:p>
    <w:p w14:paraId="234D8963" w14:textId="30556BC3" w:rsidR="009302D2" w:rsidRDefault="00C13DE9">
      <w:r>
        <w:t>To ensure a school is safe</w:t>
      </w:r>
      <w:r w:rsidR="00204845">
        <w:t xml:space="preserve"> and</w:t>
      </w:r>
      <w:r>
        <w:t xml:space="preserve"> can provide children with the right to an education there are different staff members with individual roles to provide this support. Since 2023 the amount of support staff has made a</w:t>
      </w:r>
      <w:r w:rsidR="00204845">
        <w:t xml:space="preserve">n enormous </w:t>
      </w:r>
      <w:r>
        <w:t xml:space="preserve">increase allowing children to gain more support and </w:t>
      </w:r>
      <w:r w:rsidR="008578BD">
        <w:t>spend more time teaching cross</w:t>
      </w:r>
      <w:r w:rsidR="006409E2">
        <w:t>-</w:t>
      </w:r>
      <w:r w:rsidR="008578BD">
        <w:t>curricular</w:t>
      </w:r>
      <w:r>
        <w:t xml:space="preserve"> (Welsh </w:t>
      </w:r>
      <w:r w:rsidR="00B37EB2">
        <w:t>G</w:t>
      </w:r>
      <w:r>
        <w:t>overnment, 2023).  With any classroom task an extra pair of hands are useful especially when teaching cross</w:t>
      </w:r>
      <w:r w:rsidR="006409E2">
        <w:t>-</w:t>
      </w:r>
      <w:r>
        <w:t xml:space="preserve">curricular. However, an Ofsted report disagreed and raised their concerns stating that the teaching assistants were tasked with taking the lower ability or disruptive children out of the class (Kerry, 2015, p.143). As a result, vital learning time was being missed and </w:t>
      </w:r>
      <w:r w:rsidR="008578BD">
        <w:t>these children were not gaining the same cross</w:t>
      </w:r>
      <w:r w:rsidR="006409E2">
        <w:t>-</w:t>
      </w:r>
      <w:r w:rsidR="008578BD">
        <w:t xml:space="preserve">curricular experience from the qualified teacher </w:t>
      </w:r>
      <w:r>
        <w:t xml:space="preserve">which resulted in progress of pupils being affected </w:t>
      </w:r>
      <w:r w:rsidR="008578BD">
        <w:t>(</w:t>
      </w:r>
      <w:r>
        <w:t>Kerry, 2015, p.143). On the other hand, when teaching cross</w:t>
      </w:r>
      <w:r w:rsidR="00A5734F">
        <w:t>-</w:t>
      </w:r>
      <w:r>
        <w:t>curricular, teaching assistants are vitally important as they are “maximising learning time” and can “bring a wide range of personal skills” (Kerry, 2015, p.144). This has been observed on placement, when teaching assistants are cohesively working with the teacher to plan different provision areas and lesson plans.</w:t>
      </w:r>
      <w:r w:rsidR="00204845">
        <w:t xml:space="preserve"> Therefore</w:t>
      </w:r>
      <w:r>
        <w:t xml:space="preserve">, within my </w:t>
      </w:r>
      <w:r w:rsidR="00204845">
        <w:t>lesson</w:t>
      </w:r>
      <w:r>
        <w:t xml:space="preserve"> I have maximise</w:t>
      </w:r>
      <w:r w:rsidR="00204845">
        <w:t>d</w:t>
      </w:r>
      <w:r>
        <w:t xml:space="preserve"> </w:t>
      </w:r>
      <w:r>
        <w:lastRenderedPageBreak/>
        <w:t>this support ensuring the teaching assistants are continuously apart of the lesson supporting myself or a range of children in the class.</w:t>
      </w:r>
    </w:p>
    <w:p w14:paraId="21068D95" w14:textId="1372524A" w:rsidR="005A74C5" w:rsidRDefault="005A74C5" w:rsidP="006345DF">
      <w:pPr>
        <w:pStyle w:val="Heading3"/>
        <w:spacing w:before="0" w:beforeAutospacing="0" w:after="0" w:afterAutospacing="0"/>
        <w:textAlignment w:val="baseline"/>
        <w:rPr>
          <w:rFonts w:asciiTheme="minorHAnsi" w:hAnsiTheme="minorHAnsi" w:cstheme="minorHAnsi"/>
          <w:b w:val="0"/>
          <w:bCs w:val="0"/>
          <w:color w:val="1F1F1F"/>
          <w:spacing w:val="-5"/>
          <w:sz w:val="24"/>
          <w:szCs w:val="24"/>
          <w:bdr w:val="none" w:sz="0" w:space="0" w:color="auto" w:frame="1"/>
        </w:rPr>
      </w:pPr>
    </w:p>
    <w:p w14:paraId="57CA53C5" w14:textId="2FFB6F88" w:rsidR="005A74C5" w:rsidRPr="0097152F" w:rsidRDefault="005A74C5" w:rsidP="005A74C5">
      <w:pPr>
        <w:pStyle w:val="Heading3"/>
        <w:spacing w:before="0" w:beforeAutospacing="0" w:after="0" w:afterAutospacing="0"/>
        <w:textAlignment w:val="baseline"/>
        <w:rPr>
          <w:rFonts w:asciiTheme="minorHAnsi" w:hAnsiTheme="minorHAnsi" w:cstheme="minorHAnsi"/>
          <w:b w:val="0"/>
          <w:bCs w:val="0"/>
          <w:color w:val="1F1F1F"/>
          <w:spacing w:val="-5"/>
          <w:sz w:val="24"/>
          <w:szCs w:val="24"/>
          <w:bdr w:val="none" w:sz="0" w:space="0" w:color="auto" w:frame="1"/>
        </w:rPr>
      </w:pPr>
      <w:r w:rsidRPr="0097152F">
        <w:rPr>
          <w:rFonts w:asciiTheme="minorHAnsi" w:hAnsiTheme="minorHAnsi" w:cstheme="minorHAnsi"/>
          <w:b w:val="0"/>
          <w:bCs w:val="0"/>
          <w:sz w:val="24"/>
          <w:szCs w:val="24"/>
        </w:rPr>
        <w:t xml:space="preserve">To meet the aim of my assignment I was tasked to create a lesson </w:t>
      </w:r>
      <w:r w:rsidR="00204845">
        <w:rPr>
          <w:rFonts w:asciiTheme="minorHAnsi" w:hAnsiTheme="minorHAnsi" w:cstheme="minorHAnsi"/>
          <w:b w:val="0"/>
          <w:bCs w:val="0"/>
          <w:sz w:val="24"/>
          <w:szCs w:val="24"/>
        </w:rPr>
        <w:t>plan</w:t>
      </w:r>
      <w:r w:rsidRPr="0097152F">
        <w:rPr>
          <w:rFonts w:asciiTheme="minorHAnsi" w:hAnsiTheme="minorHAnsi" w:cstheme="minorHAnsi"/>
          <w:b w:val="0"/>
          <w:bCs w:val="0"/>
          <w:sz w:val="24"/>
          <w:szCs w:val="24"/>
        </w:rPr>
        <w:t xml:space="preserve"> and enhanced provision resource that promoted cross</w:t>
      </w:r>
      <w:r w:rsidR="00A5734F">
        <w:rPr>
          <w:rFonts w:asciiTheme="minorHAnsi" w:hAnsiTheme="minorHAnsi" w:cstheme="minorHAnsi"/>
          <w:b w:val="0"/>
          <w:bCs w:val="0"/>
          <w:sz w:val="24"/>
          <w:szCs w:val="24"/>
        </w:rPr>
        <w:t>-</w:t>
      </w:r>
      <w:r w:rsidRPr="0097152F">
        <w:rPr>
          <w:rFonts w:asciiTheme="minorHAnsi" w:hAnsiTheme="minorHAnsi" w:cstheme="minorHAnsi"/>
          <w:b w:val="0"/>
          <w:bCs w:val="0"/>
          <w:sz w:val="24"/>
          <w:szCs w:val="24"/>
        </w:rPr>
        <w:t xml:space="preserve">curricular teaching and learning. </w:t>
      </w:r>
      <w:r w:rsidR="00A5734F">
        <w:rPr>
          <w:rFonts w:asciiTheme="minorHAnsi" w:hAnsiTheme="minorHAnsi" w:cstheme="minorHAnsi"/>
          <w:b w:val="0"/>
          <w:bCs w:val="0"/>
          <w:sz w:val="24"/>
          <w:szCs w:val="24"/>
        </w:rPr>
        <w:t>O</w:t>
      </w:r>
      <w:r w:rsidRPr="0097152F">
        <w:rPr>
          <w:rFonts w:asciiTheme="minorHAnsi" w:hAnsiTheme="minorHAnsi" w:cstheme="minorHAnsi"/>
          <w:b w:val="0"/>
          <w:bCs w:val="0"/>
          <w:sz w:val="24"/>
          <w:szCs w:val="24"/>
        </w:rPr>
        <w:t xml:space="preserve">verall, my lesson is based on mathematics and numeracy as the children were developing their knowledge of compasses and positioning’s. </w:t>
      </w:r>
      <w:r w:rsidR="00204845">
        <w:rPr>
          <w:rFonts w:asciiTheme="minorHAnsi" w:hAnsiTheme="minorHAnsi" w:cstheme="minorHAnsi"/>
          <w:b w:val="0"/>
          <w:bCs w:val="0"/>
          <w:sz w:val="24"/>
          <w:szCs w:val="24"/>
        </w:rPr>
        <w:t>T</w:t>
      </w:r>
      <w:r w:rsidRPr="0097152F">
        <w:rPr>
          <w:rFonts w:asciiTheme="minorHAnsi" w:hAnsiTheme="minorHAnsi" w:cstheme="minorHAnsi"/>
          <w:b w:val="0"/>
          <w:bCs w:val="0"/>
          <w:sz w:val="24"/>
          <w:szCs w:val="24"/>
        </w:rPr>
        <w:t>he statement of what matters that supports this is “</w:t>
      </w:r>
      <w:r w:rsidRPr="0097152F">
        <w:rPr>
          <w:rFonts w:asciiTheme="minorHAnsi" w:hAnsiTheme="minorHAnsi" w:cstheme="minorHAnsi"/>
          <w:b w:val="0"/>
          <w:bCs w:val="0"/>
          <w:color w:val="1F1F1F"/>
          <w:spacing w:val="-5"/>
          <w:sz w:val="24"/>
          <w:szCs w:val="24"/>
          <w:bdr w:val="none" w:sz="0" w:space="0" w:color="auto" w:frame="1"/>
        </w:rPr>
        <w:t xml:space="preserve">Geometry focuses on relationships involving shape, space and position, and measurement focuses on quantifying phenomena in the physical world” (Welsh Government, 2022) as seen in appendix one. </w:t>
      </w:r>
      <w:r w:rsidR="00204845">
        <w:rPr>
          <w:rFonts w:asciiTheme="minorHAnsi" w:hAnsiTheme="minorHAnsi" w:cstheme="minorHAnsi"/>
          <w:b w:val="0"/>
          <w:bCs w:val="0"/>
          <w:color w:val="1F1F1F"/>
          <w:spacing w:val="-5"/>
          <w:sz w:val="24"/>
          <w:szCs w:val="24"/>
          <w:bdr w:val="none" w:sz="0" w:space="0" w:color="auto" w:frame="1"/>
        </w:rPr>
        <w:t>T</w:t>
      </w:r>
      <w:r w:rsidRPr="0097152F">
        <w:rPr>
          <w:rFonts w:asciiTheme="minorHAnsi" w:hAnsiTheme="minorHAnsi" w:cstheme="minorHAnsi"/>
          <w:b w:val="0"/>
          <w:bCs w:val="0"/>
          <w:color w:val="1F1F1F"/>
          <w:spacing w:val="-5"/>
          <w:sz w:val="24"/>
          <w:szCs w:val="24"/>
          <w:bdr w:val="none" w:sz="0" w:space="0" w:color="auto" w:frame="1"/>
        </w:rPr>
        <w:t xml:space="preserve">he class my lesson is aimed at is year two therefore when deciding on a progression step, I wanted them to work towards I had to ensure that it was suitable and allowed them to develop at their own pace and make meaningful progress (Welsh </w:t>
      </w:r>
      <w:r w:rsidR="006E48B0">
        <w:rPr>
          <w:rFonts w:asciiTheme="minorHAnsi" w:hAnsiTheme="minorHAnsi" w:cstheme="minorHAnsi"/>
          <w:b w:val="0"/>
          <w:bCs w:val="0"/>
          <w:color w:val="1F1F1F"/>
          <w:spacing w:val="-5"/>
          <w:sz w:val="24"/>
          <w:szCs w:val="24"/>
          <w:bdr w:val="none" w:sz="0" w:space="0" w:color="auto" w:frame="1"/>
        </w:rPr>
        <w:t>G</w:t>
      </w:r>
      <w:r w:rsidRPr="0097152F">
        <w:rPr>
          <w:rFonts w:asciiTheme="minorHAnsi" w:hAnsiTheme="minorHAnsi" w:cstheme="minorHAnsi"/>
          <w:b w:val="0"/>
          <w:bCs w:val="0"/>
          <w:color w:val="1F1F1F"/>
          <w:spacing w:val="-5"/>
          <w:sz w:val="24"/>
          <w:szCs w:val="24"/>
          <w:bdr w:val="none" w:sz="0" w:space="0" w:color="auto" w:frame="1"/>
        </w:rPr>
        <w:t>overnment, 202</w:t>
      </w:r>
      <w:r w:rsidR="00B37EB2">
        <w:rPr>
          <w:rFonts w:asciiTheme="minorHAnsi" w:hAnsiTheme="minorHAnsi" w:cstheme="minorHAnsi"/>
          <w:b w:val="0"/>
          <w:bCs w:val="0"/>
          <w:color w:val="1F1F1F"/>
          <w:spacing w:val="-5"/>
          <w:sz w:val="24"/>
          <w:szCs w:val="24"/>
          <w:bdr w:val="none" w:sz="0" w:space="0" w:color="auto" w:frame="1"/>
        </w:rPr>
        <w:t>1</w:t>
      </w:r>
      <w:r w:rsidRPr="0097152F">
        <w:rPr>
          <w:rFonts w:asciiTheme="minorHAnsi" w:hAnsiTheme="minorHAnsi" w:cstheme="minorHAnsi"/>
          <w:b w:val="0"/>
          <w:bCs w:val="0"/>
          <w:color w:val="1F1F1F"/>
          <w:spacing w:val="-5"/>
          <w:sz w:val="24"/>
          <w:szCs w:val="24"/>
          <w:bdr w:val="none" w:sz="0" w:space="0" w:color="auto" w:frame="1"/>
        </w:rPr>
        <w:t xml:space="preserve">). Therefore, the progression that best suits my lesson and resource is progression step </w:t>
      </w:r>
      <w:r w:rsidR="00A5734F" w:rsidRPr="0097152F">
        <w:rPr>
          <w:rFonts w:asciiTheme="minorHAnsi" w:hAnsiTheme="minorHAnsi" w:cstheme="minorHAnsi"/>
          <w:b w:val="0"/>
          <w:bCs w:val="0"/>
          <w:color w:val="1F1F1F"/>
          <w:spacing w:val="-5"/>
          <w:sz w:val="24"/>
          <w:szCs w:val="24"/>
          <w:bdr w:val="none" w:sz="0" w:space="0" w:color="auto" w:frame="1"/>
        </w:rPr>
        <w:t>two,</w:t>
      </w:r>
      <w:r w:rsidR="00A5734F">
        <w:rPr>
          <w:rFonts w:asciiTheme="minorHAnsi" w:hAnsiTheme="minorHAnsi" w:cstheme="minorHAnsi"/>
          <w:b w:val="0"/>
          <w:bCs w:val="0"/>
          <w:color w:val="1F1F1F"/>
          <w:spacing w:val="-5"/>
          <w:sz w:val="24"/>
          <w:szCs w:val="24"/>
          <w:bdr w:val="none" w:sz="0" w:space="0" w:color="auto" w:frame="1"/>
        </w:rPr>
        <w:t xml:space="preserve"> which is </w:t>
      </w:r>
      <w:r w:rsidR="00204845">
        <w:rPr>
          <w:rFonts w:asciiTheme="minorHAnsi" w:hAnsiTheme="minorHAnsi" w:cstheme="minorHAnsi"/>
          <w:b w:val="0"/>
          <w:bCs w:val="0"/>
          <w:color w:val="1F1F1F"/>
          <w:spacing w:val="-5"/>
          <w:sz w:val="24"/>
          <w:szCs w:val="24"/>
          <w:bdr w:val="none" w:sz="0" w:space="0" w:color="auto" w:frame="1"/>
        </w:rPr>
        <w:t>“</w:t>
      </w:r>
      <w:r w:rsidRPr="0097152F">
        <w:rPr>
          <w:rFonts w:asciiTheme="minorHAnsi" w:hAnsiTheme="minorHAnsi" w:cstheme="minorHAnsi"/>
          <w:b w:val="0"/>
          <w:bCs w:val="0"/>
          <w:color w:val="1F1F1F"/>
          <w:sz w:val="24"/>
          <w:szCs w:val="24"/>
          <w:shd w:val="clear" w:color="auto" w:fill="FFFFFF"/>
        </w:rPr>
        <w:t>I can describe and quantify the position of objects in relation to other objects” (Welsh Government, 2020). To ensure children were working towards this progression step and the</w:t>
      </w:r>
      <w:r w:rsidR="00204845">
        <w:rPr>
          <w:rFonts w:asciiTheme="minorHAnsi" w:hAnsiTheme="minorHAnsi" w:cstheme="minorHAnsi"/>
          <w:b w:val="0"/>
          <w:bCs w:val="0"/>
          <w:color w:val="1F1F1F"/>
          <w:sz w:val="24"/>
          <w:szCs w:val="24"/>
          <w:shd w:val="clear" w:color="auto" w:fill="FFFFFF"/>
        </w:rPr>
        <w:t xml:space="preserve"> </w:t>
      </w:r>
      <w:r w:rsidRPr="0097152F">
        <w:rPr>
          <w:rFonts w:asciiTheme="minorHAnsi" w:hAnsiTheme="minorHAnsi" w:cstheme="minorHAnsi"/>
          <w:b w:val="0"/>
          <w:bCs w:val="0"/>
          <w:color w:val="1F1F1F"/>
          <w:sz w:val="24"/>
          <w:szCs w:val="24"/>
          <w:shd w:val="clear" w:color="auto" w:fill="FFFFFF"/>
        </w:rPr>
        <w:t xml:space="preserve">target to understand a four compass scale I split my lesson into three parts. First, as a whole class I read the book sunk and created a discussion on maps and compasses ensuring to write their ideas down. </w:t>
      </w:r>
      <w:r w:rsidR="00204845">
        <w:rPr>
          <w:rFonts w:asciiTheme="minorHAnsi" w:hAnsiTheme="minorHAnsi" w:cstheme="minorHAnsi"/>
          <w:b w:val="0"/>
          <w:bCs w:val="0"/>
          <w:color w:val="1F1F1F"/>
          <w:spacing w:val="-5"/>
          <w:sz w:val="24"/>
          <w:szCs w:val="24"/>
          <w:bdr w:val="none" w:sz="0" w:space="0" w:color="auto" w:frame="1"/>
        </w:rPr>
        <w:t xml:space="preserve">Then, </w:t>
      </w:r>
      <w:r w:rsidRPr="0097152F">
        <w:rPr>
          <w:rFonts w:asciiTheme="minorHAnsi" w:hAnsiTheme="minorHAnsi" w:cstheme="minorHAnsi"/>
          <w:b w:val="0"/>
          <w:bCs w:val="0"/>
          <w:color w:val="1F1F1F"/>
          <w:spacing w:val="-5"/>
          <w:sz w:val="24"/>
          <w:szCs w:val="24"/>
          <w:bdr w:val="none" w:sz="0" w:space="0" w:color="auto" w:frame="1"/>
        </w:rPr>
        <w:t>the children were split into their ability groups and were able to practically use a compass outside alongside the teaching assistant. This was a good example of using health and wellbeing within my lesson for extra cross</w:t>
      </w:r>
      <w:r w:rsidR="00A5734F">
        <w:rPr>
          <w:rFonts w:asciiTheme="minorHAnsi" w:hAnsiTheme="minorHAnsi" w:cstheme="minorHAnsi"/>
          <w:b w:val="0"/>
          <w:bCs w:val="0"/>
          <w:color w:val="1F1F1F"/>
          <w:spacing w:val="-5"/>
          <w:sz w:val="24"/>
          <w:szCs w:val="24"/>
          <w:bdr w:val="none" w:sz="0" w:space="0" w:color="auto" w:frame="1"/>
        </w:rPr>
        <w:t>-c</w:t>
      </w:r>
      <w:r w:rsidRPr="0097152F">
        <w:rPr>
          <w:rFonts w:asciiTheme="minorHAnsi" w:hAnsiTheme="minorHAnsi" w:cstheme="minorHAnsi"/>
          <w:b w:val="0"/>
          <w:bCs w:val="0"/>
          <w:color w:val="1F1F1F"/>
          <w:spacing w:val="-5"/>
          <w:sz w:val="24"/>
          <w:szCs w:val="24"/>
          <w:bdr w:val="none" w:sz="0" w:space="0" w:color="auto" w:frame="1"/>
        </w:rPr>
        <w:t>urricular skills</w:t>
      </w:r>
      <w:r>
        <w:rPr>
          <w:rFonts w:asciiTheme="minorHAnsi" w:hAnsiTheme="minorHAnsi" w:cstheme="minorHAnsi"/>
          <w:b w:val="0"/>
          <w:bCs w:val="0"/>
          <w:color w:val="1F1F1F"/>
          <w:spacing w:val="-5"/>
          <w:sz w:val="24"/>
          <w:szCs w:val="24"/>
          <w:bdr w:val="none" w:sz="0" w:space="0" w:color="auto" w:frame="1"/>
        </w:rPr>
        <w:t>.</w:t>
      </w:r>
      <w:r w:rsidRPr="0097152F">
        <w:rPr>
          <w:rFonts w:asciiTheme="minorHAnsi" w:hAnsiTheme="minorHAnsi" w:cstheme="minorHAnsi"/>
          <w:b w:val="0"/>
          <w:bCs w:val="0"/>
          <w:color w:val="1F1F1F"/>
          <w:spacing w:val="-5"/>
          <w:sz w:val="24"/>
          <w:szCs w:val="24"/>
          <w:bdr w:val="none" w:sz="0" w:space="0" w:color="auto" w:frame="1"/>
        </w:rPr>
        <w:t xml:space="preserve"> Lastly, within mixed ability groups the children used the bee bots to help him explore the map and get to the five different locations including the boat and volcano as seen in appendix </w:t>
      </w:r>
      <w:r w:rsidR="006E48B0">
        <w:rPr>
          <w:rFonts w:asciiTheme="minorHAnsi" w:hAnsiTheme="minorHAnsi" w:cstheme="minorHAnsi"/>
          <w:b w:val="0"/>
          <w:bCs w:val="0"/>
          <w:color w:val="1F1F1F"/>
          <w:spacing w:val="-5"/>
          <w:sz w:val="24"/>
          <w:szCs w:val="24"/>
          <w:bdr w:val="none" w:sz="0" w:space="0" w:color="auto" w:frame="1"/>
        </w:rPr>
        <w:t>two</w:t>
      </w:r>
      <w:r w:rsidRPr="0097152F">
        <w:rPr>
          <w:rFonts w:asciiTheme="minorHAnsi" w:hAnsiTheme="minorHAnsi" w:cstheme="minorHAnsi"/>
          <w:b w:val="0"/>
          <w:bCs w:val="0"/>
          <w:color w:val="1F1F1F"/>
          <w:spacing w:val="-5"/>
          <w:sz w:val="24"/>
          <w:szCs w:val="24"/>
          <w:bdr w:val="none" w:sz="0" w:space="0" w:color="auto" w:frame="1"/>
        </w:rPr>
        <w:t xml:space="preserve">. Using their sheet in appendix </w:t>
      </w:r>
      <w:r w:rsidR="006E48B0">
        <w:rPr>
          <w:rFonts w:asciiTheme="minorHAnsi" w:hAnsiTheme="minorHAnsi" w:cstheme="minorHAnsi"/>
          <w:b w:val="0"/>
          <w:bCs w:val="0"/>
          <w:color w:val="1F1F1F"/>
          <w:spacing w:val="-5"/>
          <w:sz w:val="24"/>
          <w:szCs w:val="24"/>
          <w:bdr w:val="none" w:sz="0" w:space="0" w:color="auto" w:frame="1"/>
        </w:rPr>
        <w:t>two</w:t>
      </w:r>
      <w:r w:rsidRPr="0097152F">
        <w:rPr>
          <w:rFonts w:asciiTheme="minorHAnsi" w:hAnsiTheme="minorHAnsi" w:cstheme="minorHAnsi"/>
          <w:b w:val="0"/>
          <w:bCs w:val="0"/>
          <w:color w:val="1F1F1F"/>
          <w:spacing w:val="-5"/>
          <w:sz w:val="24"/>
          <w:szCs w:val="24"/>
          <w:bdr w:val="none" w:sz="0" w:space="0" w:color="auto" w:frame="1"/>
        </w:rPr>
        <w:t xml:space="preserve">, they recorded their answers. Overall, this one lesson allowed the children to develop skills across the different areas of learning but also developed their digital competence which is a main cross curricular skill. By using the bee bots, the children developed their producing skills by changing and controlling the bee bot with different instructions (Welsh Government, unknown date). </w:t>
      </w:r>
    </w:p>
    <w:p w14:paraId="47AEC057" w14:textId="77777777" w:rsidR="005319A0" w:rsidRDefault="005319A0" w:rsidP="006345DF">
      <w:pPr>
        <w:pStyle w:val="Heading3"/>
        <w:spacing w:before="0" w:beforeAutospacing="0" w:after="0" w:afterAutospacing="0"/>
        <w:textAlignment w:val="baseline"/>
        <w:rPr>
          <w:rFonts w:asciiTheme="minorHAnsi" w:hAnsiTheme="minorHAnsi" w:cstheme="minorHAnsi"/>
          <w:b w:val="0"/>
          <w:bCs w:val="0"/>
          <w:color w:val="1F1F1F"/>
          <w:spacing w:val="-5"/>
          <w:sz w:val="24"/>
          <w:szCs w:val="24"/>
          <w:bdr w:val="none" w:sz="0" w:space="0" w:color="auto" w:frame="1"/>
        </w:rPr>
      </w:pPr>
    </w:p>
    <w:p w14:paraId="5F8F5E90" w14:textId="5E671C1E" w:rsidR="00BD59F1" w:rsidRDefault="00F164AC" w:rsidP="00F164AC">
      <w:pPr>
        <w:textAlignment w:val="baseline"/>
        <w:rPr>
          <w:rFonts w:eastAsia="Times New Roman" w:cstheme="minorHAnsi"/>
          <w:color w:val="1F1F1F"/>
          <w:lang w:eastAsia="en-GB"/>
        </w:rPr>
      </w:pPr>
      <w:r w:rsidRPr="0024549E">
        <w:rPr>
          <w:rFonts w:cstheme="minorHAnsi"/>
          <w:color w:val="1F1F1F"/>
          <w:spacing w:val="-5"/>
          <w:bdr w:val="none" w:sz="0" w:space="0" w:color="auto" w:frame="1"/>
        </w:rPr>
        <w:t>Additionally, ensuring</w:t>
      </w:r>
      <w:r w:rsidR="00231A62" w:rsidRPr="0024549E">
        <w:rPr>
          <w:rFonts w:cstheme="minorHAnsi"/>
          <w:color w:val="1F1F1F"/>
          <w:spacing w:val="-5"/>
          <w:bdr w:val="none" w:sz="0" w:space="0" w:color="auto" w:frame="1"/>
        </w:rPr>
        <w:t xml:space="preserve"> my lesson and resource were both cross</w:t>
      </w:r>
      <w:r w:rsidR="006409E2">
        <w:rPr>
          <w:rFonts w:cstheme="minorHAnsi"/>
          <w:color w:val="1F1F1F"/>
          <w:spacing w:val="-5"/>
          <w:bdr w:val="none" w:sz="0" w:space="0" w:color="auto" w:frame="1"/>
        </w:rPr>
        <w:t>-</w:t>
      </w:r>
      <w:r w:rsidR="00231A62" w:rsidRPr="0024549E">
        <w:rPr>
          <w:rFonts w:cstheme="minorHAnsi"/>
          <w:color w:val="1F1F1F"/>
          <w:spacing w:val="-5"/>
          <w:bdr w:val="none" w:sz="0" w:space="0" w:color="auto" w:frame="1"/>
        </w:rPr>
        <w:t xml:space="preserve">curricular and allowed the children to meet their targets and progress </w:t>
      </w:r>
      <w:r w:rsidR="0024549E" w:rsidRPr="0024549E">
        <w:rPr>
          <w:rFonts w:cstheme="minorHAnsi"/>
          <w:color w:val="1F1F1F"/>
          <w:spacing w:val="-5"/>
          <w:bdr w:val="none" w:sz="0" w:space="0" w:color="auto" w:frame="1"/>
        </w:rPr>
        <w:t>I also ensured to refer to the twelve pedagogical principles to promot</w:t>
      </w:r>
      <w:r w:rsidR="00CA0340">
        <w:rPr>
          <w:rFonts w:cstheme="minorHAnsi"/>
          <w:color w:val="1F1F1F"/>
          <w:spacing w:val="-5"/>
          <w:bdr w:val="none" w:sz="0" w:space="0" w:color="auto" w:frame="1"/>
        </w:rPr>
        <w:t>e</w:t>
      </w:r>
      <w:r w:rsidR="0024549E" w:rsidRPr="0024549E">
        <w:rPr>
          <w:rFonts w:cstheme="minorHAnsi"/>
          <w:color w:val="1F1F1F"/>
          <w:spacing w:val="-5"/>
          <w:bdr w:val="none" w:sz="0" w:space="0" w:color="auto" w:frame="1"/>
        </w:rPr>
        <w:t xml:space="preserve"> better experiences in the classroom environment. For example, within my lesson the children will practically use a compass and gain a better understanding which is reiterated by the principle “</w:t>
      </w:r>
      <w:r w:rsidR="0024549E" w:rsidRPr="0024549E">
        <w:rPr>
          <w:rFonts w:eastAsia="Times New Roman" w:cstheme="minorHAnsi"/>
          <w:color w:val="1F1F1F"/>
          <w:lang w:eastAsia="en-GB"/>
        </w:rPr>
        <w:t>creates authentic contexts for learning</w:t>
      </w:r>
      <w:r w:rsidR="0024549E">
        <w:rPr>
          <w:rFonts w:eastAsia="Times New Roman" w:cstheme="minorHAnsi"/>
          <w:color w:val="1F1F1F"/>
          <w:lang w:eastAsia="en-GB"/>
        </w:rPr>
        <w:t xml:space="preserve">” (Welsh Government, 2023). </w:t>
      </w:r>
      <w:r>
        <w:rPr>
          <w:rFonts w:eastAsia="Times New Roman" w:cstheme="minorHAnsi"/>
          <w:color w:val="1F1F1F"/>
          <w:lang w:eastAsia="en-GB"/>
        </w:rPr>
        <w:t xml:space="preserve">Frobel’s theory also supports this principle as he believes children should have the opportunity to use “their natural desire to explore and experiment” (Bradbury and </w:t>
      </w:r>
      <w:proofErr w:type="spellStart"/>
      <w:r>
        <w:rPr>
          <w:rFonts w:eastAsia="Times New Roman" w:cstheme="minorHAnsi"/>
          <w:color w:val="1F1F1F"/>
          <w:lang w:eastAsia="en-GB"/>
        </w:rPr>
        <w:t>Swailes</w:t>
      </w:r>
      <w:proofErr w:type="spellEnd"/>
      <w:r>
        <w:rPr>
          <w:rFonts w:eastAsia="Times New Roman" w:cstheme="minorHAnsi"/>
          <w:color w:val="1F1F1F"/>
          <w:lang w:eastAsia="en-GB"/>
        </w:rPr>
        <w:t xml:space="preserve">, 2022, p.44). </w:t>
      </w:r>
      <w:r w:rsidR="00CA0340">
        <w:rPr>
          <w:rFonts w:eastAsia="Times New Roman" w:cstheme="minorHAnsi"/>
          <w:color w:val="1F1F1F"/>
          <w:lang w:eastAsia="en-GB"/>
        </w:rPr>
        <w:t>F</w:t>
      </w:r>
      <w:r w:rsidR="00690931">
        <w:rPr>
          <w:rFonts w:eastAsia="Times New Roman" w:cstheme="minorHAnsi"/>
          <w:color w:val="1F1F1F"/>
          <w:lang w:eastAsia="en-GB"/>
        </w:rPr>
        <w:t xml:space="preserve">or this </w:t>
      </w:r>
      <w:r w:rsidR="004108C6">
        <w:rPr>
          <w:rFonts w:eastAsia="Times New Roman" w:cstheme="minorHAnsi"/>
          <w:color w:val="1F1F1F"/>
          <w:lang w:eastAsia="en-GB"/>
        </w:rPr>
        <w:t>lesson</w:t>
      </w:r>
      <w:r w:rsidR="00690931">
        <w:rPr>
          <w:rFonts w:eastAsia="Times New Roman" w:cstheme="minorHAnsi"/>
          <w:color w:val="1F1F1F"/>
          <w:lang w:eastAsia="en-GB"/>
        </w:rPr>
        <w:t xml:space="preserve"> I continually used a range of </w:t>
      </w:r>
      <w:r w:rsidR="00CA0340">
        <w:rPr>
          <w:rFonts w:eastAsia="Times New Roman" w:cstheme="minorHAnsi"/>
          <w:color w:val="1F1F1F"/>
          <w:lang w:eastAsia="en-GB"/>
        </w:rPr>
        <w:t>teaching</w:t>
      </w:r>
      <w:r w:rsidR="00690931">
        <w:rPr>
          <w:rFonts w:eastAsia="Times New Roman" w:cstheme="minorHAnsi"/>
          <w:color w:val="1F1F1F"/>
          <w:lang w:eastAsia="en-GB"/>
        </w:rPr>
        <w:t xml:space="preserve"> approaches such as whole class, ability, and mixed ability groups</w:t>
      </w:r>
      <w:r w:rsidR="009014F2">
        <w:rPr>
          <w:rFonts w:eastAsia="Times New Roman" w:cstheme="minorHAnsi"/>
          <w:color w:val="1F1F1F"/>
          <w:lang w:eastAsia="en-GB"/>
        </w:rPr>
        <w:t xml:space="preserve"> which is reiterated by the </w:t>
      </w:r>
      <w:r w:rsidR="009014F2" w:rsidRPr="009014F2">
        <w:rPr>
          <w:rFonts w:eastAsia="Times New Roman" w:cstheme="minorHAnsi"/>
          <w:color w:val="1F1F1F"/>
          <w:lang w:eastAsia="en-GB"/>
        </w:rPr>
        <w:t>principle “</w:t>
      </w:r>
      <w:r w:rsidR="009014F2" w:rsidRPr="009014F2">
        <w:rPr>
          <w:rFonts w:cstheme="minorHAnsi"/>
          <w:color w:val="1F1F1F"/>
          <w:shd w:val="clear" w:color="auto" w:fill="FFFFFF"/>
        </w:rPr>
        <w:t>employing a blend of approaches including direct teaching” (Welsh Government, 2023)</w:t>
      </w:r>
      <w:r w:rsidR="00690931" w:rsidRPr="009014F2">
        <w:rPr>
          <w:rFonts w:eastAsia="Times New Roman" w:cstheme="minorHAnsi"/>
          <w:color w:val="1F1F1F"/>
          <w:lang w:eastAsia="en-GB"/>
        </w:rPr>
        <w:t>.</w:t>
      </w:r>
      <w:r w:rsidR="00690931">
        <w:rPr>
          <w:rFonts w:eastAsia="Times New Roman" w:cstheme="minorHAnsi"/>
          <w:color w:val="1F1F1F"/>
          <w:lang w:eastAsia="en-GB"/>
        </w:rPr>
        <w:t xml:space="preserve"> This is important because </w:t>
      </w:r>
      <w:r w:rsidR="005A5DF2">
        <w:rPr>
          <w:rFonts w:eastAsia="Times New Roman" w:cstheme="minorHAnsi"/>
          <w:color w:val="1F1F1F"/>
          <w:lang w:eastAsia="en-GB"/>
        </w:rPr>
        <w:t xml:space="preserve">in </w:t>
      </w:r>
      <w:r w:rsidR="00690931">
        <w:rPr>
          <w:rFonts w:eastAsia="Times New Roman" w:cstheme="minorHAnsi"/>
          <w:color w:val="1F1F1F"/>
          <w:lang w:eastAsia="en-GB"/>
        </w:rPr>
        <w:t xml:space="preserve">ability </w:t>
      </w:r>
      <w:r w:rsidR="005A5DF2">
        <w:rPr>
          <w:rFonts w:eastAsia="Times New Roman" w:cstheme="minorHAnsi"/>
          <w:color w:val="1F1F1F"/>
          <w:lang w:eastAsia="en-GB"/>
        </w:rPr>
        <w:t xml:space="preserve">groups the teaching assistant was able to individualise the amount of time spent </w:t>
      </w:r>
      <w:r w:rsidR="00CA0340">
        <w:rPr>
          <w:rFonts w:eastAsia="Times New Roman" w:cstheme="minorHAnsi"/>
          <w:color w:val="1F1F1F"/>
          <w:lang w:eastAsia="en-GB"/>
        </w:rPr>
        <w:t xml:space="preserve">and support </w:t>
      </w:r>
      <w:r w:rsidR="005A5DF2">
        <w:rPr>
          <w:rFonts w:eastAsia="Times New Roman" w:cstheme="minorHAnsi"/>
          <w:color w:val="1F1F1F"/>
          <w:lang w:eastAsia="en-GB"/>
        </w:rPr>
        <w:t>with the children</w:t>
      </w:r>
      <w:r w:rsidR="00A5734F">
        <w:rPr>
          <w:rFonts w:eastAsia="Times New Roman" w:cstheme="minorHAnsi"/>
          <w:color w:val="1F1F1F"/>
          <w:lang w:eastAsia="en-GB"/>
        </w:rPr>
        <w:t>.</w:t>
      </w:r>
      <w:r w:rsidR="005A5DF2">
        <w:rPr>
          <w:rFonts w:eastAsia="Times New Roman" w:cstheme="minorHAnsi"/>
          <w:color w:val="1F1F1F"/>
          <w:lang w:eastAsia="en-GB"/>
        </w:rPr>
        <w:t xml:space="preserve"> </w:t>
      </w:r>
      <w:r w:rsidR="00A5734F">
        <w:rPr>
          <w:rFonts w:eastAsia="Times New Roman" w:cstheme="minorHAnsi"/>
          <w:color w:val="1F1F1F"/>
          <w:lang w:eastAsia="en-GB"/>
        </w:rPr>
        <w:t>A</w:t>
      </w:r>
      <w:r w:rsidR="005A5DF2">
        <w:rPr>
          <w:rFonts w:eastAsia="Times New Roman" w:cstheme="minorHAnsi"/>
          <w:color w:val="1F1F1F"/>
          <w:lang w:eastAsia="en-GB"/>
        </w:rPr>
        <w:t xml:space="preserve">s a </w:t>
      </w:r>
      <w:r w:rsidR="00A5734F">
        <w:rPr>
          <w:rFonts w:eastAsia="Times New Roman" w:cstheme="minorHAnsi"/>
          <w:color w:val="1F1F1F"/>
          <w:lang w:eastAsia="en-GB"/>
        </w:rPr>
        <w:t>result,</w:t>
      </w:r>
      <w:r w:rsidR="005A5DF2">
        <w:rPr>
          <w:rFonts w:eastAsia="Times New Roman" w:cstheme="minorHAnsi"/>
          <w:color w:val="1F1F1F"/>
          <w:lang w:eastAsia="en-GB"/>
        </w:rPr>
        <w:t xml:space="preserve"> the children were able to have a more child centred approach to their lesson (Logsdon, 2022). </w:t>
      </w:r>
      <w:r w:rsidR="004108C6">
        <w:rPr>
          <w:rFonts w:eastAsia="Times New Roman" w:cstheme="minorHAnsi"/>
          <w:color w:val="1F1F1F"/>
          <w:lang w:eastAsia="en-GB"/>
        </w:rPr>
        <w:t>On the other hand, I also ensured that children had time to learn in mixed ability groups</w:t>
      </w:r>
      <w:r w:rsidR="00E679DF">
        <w:rPr>
          <w:rFonts w:eastAsia="Times New Roman" w:cstheme="minorHAnsi"/>
          <w:color w:val="1F1F1F"/>
          <w:lang w:eastAsia="en-GB"/>
        </w:rPr>
        <w:t xml:space="preserve"> as a result the children can support and learn from one another. This is reiterated by Vygotsky’s theory as he believed knowledge was developed “</w:t>
      </w:r>
      <w:r>
        <w:rPr>
          <w:rFonts w:eastAsia="Times New Roman" w:cstheme="minorHAnsi"/>
          <w:color w:val="1F1F1F"/>
          <w:lang w:eastAsia="en-GB"/>
        </w:rPr>
        <w:t xml:space="preserve">through interactions with more experienced others” (Arthur and </w:t>
      </w:r>
      <w:proofErr w:type="spellStart"/>
      <w:r>
        <w:rPr>
          <w:rFonts w:eastAsia="Times New Roman" w:cstheme="minorHAnsi"/>
          <w:color w:val="1F1F1F"/>
          <w:lang w:eastAsia="en-GB"/>
        </w:rPr>
        <w:t>Cremin</w:t>
      </w:r>
      <w:proofErr w:type="spellEnd"/>
      <w:r>
        <w:rPr>
          <w:rFonts w:eastAsia="Times New Roman" w:cstheme="minorHAnsi"/>
          <w:color w:val="1F1F1F"/>
          <w:lang w:eastAsia="en-GB"/>
        </w:rPr>
        <w:t xml:space="preserve">, 2010, p.32). </w:t>
      </w:r>
    </w:p>
    <w:p w14:paraId="04DDBB99" w14:textId="76C16846" w:rsidR="009014F2" w:rsidRPr="009014F2" w:rsidRDefault="009014F2" w:rsidP="002D3EE1">
      <w:pPr>
        <w:jc w:val="center"/>
        <w:textAlignment w:val="baseline"/>
        <w:rPr>
          <w:u w:val="single"/>
        </w:rPr>
      </w:pPr>
      <w:r w:rsidRPr="009014F2">
        <w:rPr>
          <w:rFonts w:eastAsia="Times New Roman" w:cstheme="minorHAnsi"/>
          <w:color w:val="1F1F1F"/>
          <w:u w:val="single"/>
          <w:lang w:eastAsia="en-GB"/>
        </w:rPr>
        <w:t>Conclusion</w:t>
      </w:r>
    </w:p>
    <w:p w14:paraId="5C35A71D" w14:textId="3AE5B9AE" w:rsidR="00A55C57" w:rsidRDefault="009014F2">
      <w:r>
        <w:lastRenderedPageBreak/>
        <w:t>To conclude</w:t>
      </w:r>
      <w:r w:rsidR="00A5734F">
        <w:t xml:space="preserve">, </w:t>
      </w:r>
      <w:r>
        <w:t>throughout this assignment and while at placement I have been able to see the advantages of using a cross</w:t>
      </w:r>
      <w:r w:rsidR="00A5734F">
        <w:t>-</w:t>
      </w:r>
      <w:r>
        <w:t>curricular teaching approach in schools such as the ability to</w:t>
      </w:r>
      <w:r w:rsidR="00A5734F">
        <w:rPr>
          <w:color w:val="000000" w:themeColor="text1"/>
        </w:rPr>
        <w:t xml:space="preserve"> </w:t>
      </w:r>
      <w:r w:rsidRPr="00175948">
        <w:rPr>
          <w:color w:val="000000" w:themeColor="text1"/>
        </w:rPr>
        <w:t>promote better engagement and support overall progression (Kerry, 2015, p.59</w:t>
      </w:r>
      <w:r w:rsidR="00175948" w:rsidRPr="00175948">
        <w:rPr>
          <w:color w:val="000000" w:themeColor="text1"/>
        </w:rPr>
        <w:t>)</w:t>
      </w:r>
      <w:r w:rsidRPr="00175948">
        <w:rPr>
          <w:color w:val="000000" w:themeColor="text1"/>
        </w:rPr>
        <w:t xml:space="preserve">. </w:t>
      </w:r>
      <w:r w:rsidR="009652D7">
        <w:rPr>
          <w:color w:val="000000" w:themeColor="text1"/>
        </w:rPr>
        <w:t>However, my main source of knowledge has come from creating an enhanced provision resource and lesson plan to work alongside it. This practical experience has allowed me to gain a greater understanding on how teaching cross</w:t>
      </w:r>
      <w:r w:rsidR="00A5734F">
        <w:rPr>
          <w:color w:val="000000" w:themeColor="text1"/>
        </w:rPr>
        <w:t>-</w:t>
      </w:r>
      <w:r w:rsidR="009652D7">
        <w:rPr>
          <w:color w:val="000000" w:themeColor="text1"/>
        </w:rPr>
        <w:t>curricular can provide children with a verity of experiences such as going outside to practically use the equipment</w:t>
      </w:r>
      <w:r w:rsidR="00A5734F">
        <w:rPr>
          <w:color w:val="000000" w:themeColor="text1"/>
        </w:rPr>
        <w:t xml:space="preserve"> and</w:t>
      </w:r>
      <w:r w:rsidR="009652D7">
        <w:rPr>
          <w:color w:val="000000" w:themeColor="text1"/>
        </w:rPr>
        <w:t xml:space="preserve"> to </w:t>
      </w:r>
      <w:r w:rsidR="00990D96">
        <w:rPr>
          <w:color w:val="000000" w:themeColor="text1"/>
        </w:rPr>
        <w:t>use</w:t>
      </w:r>
      <w:r w:rsidR="009652D7">
        <w:rPr>
          <w:color w:val="000000" w:themeColor="text1"/>
        </w:rPr>
        <w:t xml:space="preserve"> the bee bots. Overall, I believe my lesson and resource promoted cross</w:t>
      </w:r>
      <w:r w:rsidR="00A5734F">
        <w:rPr>
          <w:color w:val="000000" w:themeColor="text1"/>
        </w:rPr>
        <w:t>-</w:t>
      </w:r>
      <w:r w:rsidR="009652D7">
        <w:rPr>
          <w:color w:val="000000" w:themeColor="text1"/>
        </w:rPr>
        <w:t xml:space="preserve">curricular learning whilst also allowing myself to develop QTS standards. </w:t>
      </w:r>
      <w:r w:rsidR="00990D96">
        <w:rPr>
          <w:color w:val="000000" w:themeColor="text1"/>
        </w:rPr>
        <w:t xml:space="preserve">Such as I was able to provide differentiation in my lesson when the children went outside with the teaching assistant, she individualised the support for them depending on their groups. Additionally, on the work sheet the children completed there was a shoot star task that was used to challenge children if needed (Welsh Government, 2019). As I have previously said I also used “blended learning experiences” and “real life, authentic contexts” which are part of the pedagogy practice that need to be promoted as part of the QTS standards (Welsh </w:t>
      </w:r>
      <w:r w:rsidR="006E48B0">
        <w:rPr>
          <w:color w:val="000000" w:themeColor="text1"/>
        </w:rPr>
        <w:t>G</w:t>
      </w:r>
      <w:r w:rsidR="00990D96">
        <w:rPr>
          <w:color w:val="000000" w:themeColor="text1"/>
        </w:rPr>
        <w:t xml:space="preserve">overnment, 2019). However, if I were to plan this lesson </w:t>
      </w:r>
      <w:r w:rsidR="00175948">
        <w:rPr>
          <w:color w:val="000000" w:themeColor="text1"/>
        </w:rPr>
        <w:t>again,</w:t>
      </w:r>
      <w:r w:rsidR="00990D96">
        <w:rPr>
          <w:color w:val="000000" w:themeColor="text1"/>
        </w:rPr>
        <w:t xml:space="preserve"> I would </w:t>
      </w:r>
      <w:r w:rsidR="006E48B0">
        <w:rPr>
          <w:color w:val="000000" w:themeColor="text1"/>
        </w:rPr>
        <w:t xml:space="preserve">provide more differentiation by supplying different maps. As a result, the children would have more of a targeted lesson for their ability. </w:t>
      </w:r>
    </w:p>
    <w:p w14:paraId="43441789" w14:textId="77777777" w:rsidR="002D3EE1" w:rsidRDefault="002D3EE1"/>
    <w:p w14:paraId="0E19678A" w14:textId="72731045" w:rsidR="002D3EE1" w:rsidRPr="002D3EE1" w:rsidRDefault="009A1F5C">
      <w:pPr>
        <w:rPr>
          <w:u w:val="single"/>
        </w:rPr>
      </w:pPr>
      <w:r w:rsidRPr="002D3EE1">
        <w:rPr>
          <w:u w:val="single"/>
        </w:rPr>
        <w:t>References</w:t>
      </w:r>
      <w:r w:rsidR="000F0B5B" w:rsidRPr="002D3EE1">
        <w:rPr>
          <w:u w:val="single"/>
        </w:rPr>
        <w:t>:</w:t>
      </w:r>
    </w:p>
    <w:p w14:paraId="7FA5C38A" w14:textId="41390E60" w:rsidR="002D3EE1" w:rsidRPr="002D3EE1" w:rsidRDefault="002D3EE1">
      <w:r w:rsidRPr="002D3EE1">
        <w:t xml:space="preserve">Arthur, J and </w:t>
      </w:r>
      <w:proofErr w:type="spellStart"/>
      <w:r w:rsidRPr="002D3EE1">
        <w:t>Cremin</w:t>
      </w:r>
      <w:proofErr w:type="spellEnd"/>
      <w:r w:rsidRPr="002D3EE1">
        <w:t xml:space="preserve">, T. (2010) </w:t>
      </w:r>
      <w:r w:rsidRPr="002D3EE1">
        <w:rPr>
          <w:i/>
          <w:iCs/>
        </w:rPr>
        <w:t xml:space="preserve">learning to teach in the primary school. </w:t>
      </w:r>
      <w:r w:rsidRPr="002D3EE1">
        <w:t>2</w:t>
      </w:r>
      <w:r w:rsidRPr="002D3EE1">
        <w:rPr>
          <w:vertAlign w:val="superscript"/>
        </w:rPr>
        <w:t>nd</w:t>
      </w:r>
      <w:r w:rsidRPr="002D3EE1">
        <w:t xml:space="preserve"> </w:t>
      </w:r>
      <w:proofErr w:type="spellStart"/>
      <w:r w:rsidRPr="002D3EE1">
        <w:t>edn</w:t>
      </w:r>
      <w:proofErr w:type="spellEnd"/>
      <w:r w:rsidRPr="002D3EE1">
        <w:t>. Oxon: Routledge</w:t>
      </w:r>
    </w:p>
    <w:p w14:paraId="44E9551D" w14:textId="77777777" w:rsidR="002D3EE1" w:rsidRPr="002D3EE1" w:rsidRDefault="002D3EE1"/>
    <w:p w14:paraId="6CD00E73" w14:textId="77777777" w:rsidR="002D3EE1" w:rsidRPr="002D3EE1" w:rsidRDefault="002D3EE1" w:rsidP="002D3EE1">
      <w:proofErr w:type="spellStart"/>
      <w:r w:rsidRPr="002D3EE1">
        <w:t>Atanasiu</w:t>
      </w:r>
      <w:proofErr w:type="spellEnd"/>
      <w:r w:rsidRPr="002D3EE1">
        <w:t xml:space="preserve">, A. (2022) ‘Low student engagement level in struggling learners and ways to address it’, </w:t>
      </w:r>
      <w:r w:rsidRPr="002D3EE1">
        <w:rPr>
          <w:i/>
          <w:iCs/>
        </w:rPr>
        <w:t xml:space="preserve">Sunderland reflective action in education, </w:t>
      </w:r>
      <w:r w:rsidRPr="002D3EE1">
        <w:t xml:space="preserve">1(3), pp. 5-17. Available at: </w:t>
      </w:r>
      <w:hyperlink r:id="rId6" w:history="1">
        <w:r w:rsidRPr="002D3EE1">
          <w:rPr>
            <w:rStyle w:val="Hyperlink"/>
          </w:rPr>
          <w:t>https://www.google.com/url?sa=t&amp;source=web&amp;rct=j&amp;opi=89978449&amp;url=https://ojs.sunderland.ac.uk/index.php/sunrae/article/download/3/2&amp;ved=2ahUKEwjoj_qVsLKFAxVKQEEAHZL6DvwQFnoECCoQAQ&amp;usg=AOvVaw00yfcQOOMNMxTTYZiT4GZ9</w:t>
        </w:r>
      </w:hyperlink>
      <w:r w:rsidRPr="002D3EE1">
        <w:t xml:space="preserve"> (Accessed: 8</w:t>
      </w:r>
      <w:r w:rsidRPr="002D3EE1">
        <w:rPr>
          <w:vertAlign w:val="superscript"/>
        </w:rPr>
        <w:t>TH</w:t>
      </w:r>
      <w:r w:rsidRPr="002D3EE1">
        <w:t xml:space="preserve"> April)</w:t>
      </w:r>
    </w:p>
    <w:p w14:paraId="456DD60F" w14:textId="77777777" w:rsidR="002D3EE1" w:rsidRPr="002D3EE1" w:rsidRDefault="002D3EE1"/>
    <w:p w14:paraId="0C2D52AB" w14:textId="21B9D7AA" w:rsidR="002D3EE1" w:rsidRPr="002D3EE1" w:rsidRDefault="002D3EE1">
      <w:r w:rsidRPr="002D3EE1">
        <w:t xml:space="preserve">Barnes, J. (2015) </w:t>
      </w:r>
      <w:r w:rsidRPr="002D3EE1">
        <w:rPr>
          <w:i/>
          <w:iCs/>
        </w:rPr>
        <w:t xml:space="preserve">Cross-curricular learning 3-14. </w:t>
      </w:r>
      <w:r w:rsidRPr="002D3EE1">
        <w:t xml:space="preserve">London: SAGE. </w:t>
      </w:r>
    </w:p>
    <w:p w14:paraId="719362E8" w14:textId="77777777" w:rsidR="002D3EE1" w:rsidRPr="002D3EE1" w:rsidRDefault="002D3EE1"/>
    <w:p w14:paraId="41C911FC" w14:textId="3E46496E" w:rsidR="002D3EE1" w:rsidRPr="002D3EE1" w:rsidRDefault="002D3EE1">
      <w:r w:rsidRPr="002D3EE1">
        <w:t xml:space="preserve">Bradbury, A and </w:t>
      </w:r>
      <w:proofErr w:type="spellStart"/>
      <w:r w:rsidRPr="002D3EE1">
        <w:t>Swailes</w:t>
      </w:r>
      <w:proofErr w:type="spellEnd"/>
      <w:r w:rsidRPr="002D3EE1">
        <w:t>, R. (2022)</w:t>
      </w:r>
      <w:r w:rsidRPr="002D3EE1">
        <w:rPr>
          <w:i/>
          <w:iCs/>
        </w:rPr>
        <w:t xml:space="preserve"> Early childhood theories. </w:t>
      </w:r>
      <w:r w:rsidRPr="002D3EE1">
        <w:t xml:space="preserve">London: SAGE. </w:t>
      </w:r>
    </w:p>
    <w:p w14:paraId="755ABED3" w14:textId="77777777" w:rsidR="002D3EE1" w:rsidRPr="002D3EE1" w:rsidRDefault="002D3EE1" w:rsidP="00F164AC"/>
    <w:p w14:paraId="451BA1F3" w14:textId="35578FA7" w:rsidR="002D3EE1" w:rsidRPr="002D3EE1" w:rsidRDefault="002D3EE1">
      <w:pPr>
        <w:rPr>
          <w:rFonts w:cstheme="minorHAnsi"/>
          <w:color w:val="000000" w:themeColor="text1"/>
        </w:rPr>
      </w:pPr>
      <w:proofErr w:type="spellStart"/>
      <w:r w:rsidRPr="002D3EE1">
        <w:rPr>
          <w:rFonts w:cstheme="minorHAnsi"/>
          <w:color w:val="000000" w:themeColor="text1"/>
        </w:rPr>
        <w:t>Dcox</w:t>
      </w:r>
      <w:proofErr w:type="spellEnd"/>
      <w:r w:rsidRPr="002D3EE1">
        <w:rPr>
          <w:rFonts w:cstheme="minorHAnsi"/>
          <w:color w:val="000000" w:themeColor="text1"/>
        </w:rPr>
        <w:t>. (2016) ‘</w:t>
      </w:r>
      <w:r w:rsidRPr="002D3EE1">
        <w:rPr>
          <w:rFonts w:eastAsia="Times New Roman" w:cstheme="minorHAnsi"/>
          <w:color w:val="000000" w:themeColor="text1"/>
          <w:kern w:val="36"/>
          <w:lang w:eastAsia="en-GB"/>
        </w:rPr>
        <w:t xml:space="preserve">Don’t waste time on cross curricular projects or wedging in other subjects into your lessons’, </w:t>
      </w:r>
      <w:r w:rsidRPr="002D3EE1">
        <w:rPr>
          <w:rFonts w:eastAsia="Times New Roman" w:cstheme="minorHAnsi"/>
          <w:i/>
          <w:iCs/>
          <w:color w:val="000000" w:themeColor="text1"/>
          <w:kern w:val="36"/>
          <w:lang w:eastAsia="en-GB"/>
        </w:rPr>
        <w:t xml:space="preserve">My views on teaching &amp; education </w:t>
      </w:r>
      <w:r w:rsidRPr="002D3EE1">
        <w:rPr>
          <w:rFonts w:eastAsia="Times New Roman" w:cstheme="minorHAnsi"/>
          <w:color w:val="000000" w:themeColor="text1"/>
          <w:kern w:val="36"/>
          <w:lang w:eastAsia="en-GB"/>
        </w:rPr>
        <w:t xml:space="preserve">[blog]. 11 December. Available at: </w:t>
      </w:r>
      <w:hyperlink r:id="rId7" w:history="1">
        <w:r w:rsidRPr="002D3EE1">
          <w:rPr>
            <w:rStyle w:val="Hyperlink"/>
            <w:rFonts w:cstheme="minorHAnsi"/>
          </w:rPr>
          <w:t>https://missdcoxblog.wordpress.com/2016/12/11/dont-waste-time-on-cross-curricular-projects-or-wedging-in-other-subjects-into-your-lessons/</w:t>
        </w:r>
      </w:hyperlink>
      <w:r w:rsidRPr="002D3EE1">
        <w:rPr>
          <w:rFonts w:cstheme="minorHAnsi"/>
          <w:color w:val="000000" w:themeColor="text1"/>
        </w:rPr>
        <w:t xml:space="preserve"> (Accessed: 8</w:t>
      </w:r>
      <w:r w:rsidRPr="002D3EE1">
        <w:rPr>
          <w:rFonts w:cstheme="minorHAnsi"/>
          <w:color w:val="000000" w:themeColor="text1"/>
          <w:vertAlign w:val="superscript"/>
        </w:rPr>
        <w:t>TH</w:t>
      </w:r>
      <w:r w:rsidRPr="002D3EE1">
        <w:rPr>
          <w:rFonts w:cstheme="minorHAnsi"/>
          <w:color w:val="000000" w:themeColor="text1"/>
        </w:rPr>
        <w:t xml:space="preserve"> April). </w:t>
      </w:r>
    </w:p>
    <w:p w14:paraId="7B2EBBD4" w14:textId="77777777" w:rsidR="002D3EE1" w:rsidRPr="002D3EE1" w:rsidRDefault="002D3EE1"/>
    <w:p w14:paraId="5020C829" w14:textId="4AE89CC4" w:rsidR="002D3EE1" w:rsidRPr="002D3EE1" w:rsidRDefault="002D3EE1">
      <w:r w:rsidRPr="002D3EE1">
        <w:t>Donaldson, G. (2015) ‘Successful Futures’. Independent review of curriculum and assessment arrangements in Wales, by Professor Graham Donaldson. Available at:</w:t>
      </w:r>
      <w:hyperlink r:id="rId8" w:history="1">
        <w:r w:rsidRPr="002D3EE1">
          <w:rPr>
            <w:rStyle w:val="Hyperlink"/>
          </w:rPr>
          <w:t>https://www.gov.wales/sites/default/files/publications/2018-03/successful-futures.pdf</w:t>
        </w:r>
      </w:hyperlink>
      <w:r w:rsidRPr="002D3EE1">
        <w:t xml:space="preserve"> (Accessed: 28</w:t>
      </w:r>
      <w:r w:rsidRPr="002D3EE1">
        <w:rPr>
          <w:vertAlign w:val="superscript"/>
        </w:rPr>
        <w:t>th</w:t>
      </w:r>
      <w:r w:rsidRPr="002D3EE1">
        <w:t xml:space="preserve"> March)</w:t>
      </w:r>
    </w:p>
    <w:p w14:paraId="58D2E2A5" w14:textId="77777777" w:rsidR="002D3EE1" w:rsidRPr="002D3EE1" w:rsidRDefault="002D3EE1"/>
    <w:p w14:paraId="15303DD9" w14:textId="77777777" w:rsidR="002D3EE1" w:rsidRPr="002D3EE1" w:rsidRDefault="002D3EE1">
      <w:r w:rsidRPr="002D3EE1">
        <w:t xml:space="preserve">Estyn (2018) </w:t>
      </w:r>
      <w:r w:rsidRPr="002D3EE1">
        <w:rPr>
          <w:i/>
          <w:iCs/>
        </w:rPr>
        <w:t xml:space="preserve">providing enriched experiences to develop skills. </w:t>
      </w:r>
      <w:r w:rsidRPr="002D3EE1">
        <w:t xml:space="preserve">Available at: </w:t>
      </w:r>
      <w:r w:rsidRPr="002D3EE1">
        <w:rPr>
          <w:i/>
          <w:iCs/>
        </w:rPr>
        <w:t xml:space="preserve"> </w:t>
      </w:r>
      <w:hyperlink r:id="rId9" w:history="1">
        <w:r w:rsidRPr="002D3EE1">
          <w:rPr>
            <w:rStyle w:val="Hyperlink"/>
          </w:rPr>
          <w:t>https://www.estyn.gov.wales/effective-practice/providing-enriched-experiences-develop-skills</w:t>
        </w:r>
      </w:hyperlink>
      <w:r w:rsidRPr="002D3EE1">
        <w:t xml:space="preserve"> (Accessed: 8</w:t>
      </w:r>
      <w:r w:rsidRPr="002D3EE1">
        <w:rPr>
          <w:vertAlign w:val="superscript"/>
        </w:rPr>
        <w:t>th</w:t>
      </w:r>
      <w:r w:rsidRPr="002D3EE1">
        <w:t xml:space="preserve"> April).</w:t>
      </w:r>
    </w:p>
    <w:p w14:paraId="476FE43F" w14:textId="682CAE86" w:rsidR="002D3EE1" w:rsidRPr="002D3EE1" w:rsidRDefault="002D3EE1">
      <w:r w:rsidRPr="002D3EE1">
        <w:t>Kerry, T. (2015)</w:t>
      </w:r>
      <w:r w:rsidRPr="002D3EE1">
        <w:rPr>
          <w:i/>
          <w:iCs/>
        </w:rPr>
        <w:t xml:space="preserve"> cross-curricular teaching in the primary school. </w:t>
      </w:r>
      <w:r w:rsidRPr="002D3EE1">
        <w:t>2</w:t>
      </w:r>
      <w:r w:rsidRPr="002D3EE1">
        <w:rPr>
          <w:vertAlign w:val="superscript"/>
        </w:rPr>
        <w:t>nd</w:t>
      </w:r>
      <w:r w:rsidRPr="002D3EE1">
        <w:t xml:space="preserve"> </w:t>
      </w:r>
      <w:proofErr w:type="spellStart"/>
      <w:r w:rsidRPr="002D3EE1">
        <w:t>edn</w:t>
      </w:r>
      <w:proofErr w:type="spellEnd"/>
      <w:r w:rsidRPr="002D3EE1">
        <w:t>. Oxon: Routledge.</w:t>
      </w:r>
    </w:p>
    <w:p w14:paraId="12A35161" w14:textId="77777777" w:rsidR="002D3EE1" w:rsidRPr="002D3EE1" w:rsidRDefault="002D3EE1" w:rsidP="00B37EB2"/>
    <w:p w14:paraId="0F7156FD" w14:textId="1E75BEC5" w:rsidR="002D3EE1" w:rsidRPr="002D3EE1" w:rsidRDefault="002D3EE1">
      <w:r w:rsidRPr="002D3EE1">
        <w:lastRenderedPageBreak/>
        <w:t xml:space="preserve">Logsdon, A. (2022) </w:t>
      </w:r>
      <w:r w:rsidRPr="002D3EE1">
        <w:rPr>
          <w:i/>
          <w:iCs/>
        </w:rPr>
        <w:t xml:space="preserve">can ability grouping in school help your child. </w:t>
      </w:r>
      <w:r w:rsidRPr="002D3EE1">
        <w:t xml:space="preserve">Available at: </w:t>
      </w:r>
      <w:hyperlink r:id="rId10" w:history="1">
        <w:r w:rsidRPr="002D3EE1">
          <w:rPr>
            <w:rStyle w:val="Hyperlink"/>
          </w:rPr>
          <w:t>https://www.verywellfamily.com/what-is-ability-grouping-2161808</w:t>
        </w:r>
      </w:hyperlink>
      <w:r w:rsidRPr="002D3EE1">
        <w:t xml:space="preserve"> (Accessed: 10</w:t>
      </w:r>
      <w:r w:rsidRPr="002D3EE1">
        <w:rPr>
          <w:vertAlign w:val="superscript"/>
        </w:rPr>
        <w:t>th</w:t>
      </w:r>
      <w:r w:rsidRPr="002D3EE1">
        <w:t xml:space="preserve"> April). </w:t>
      </w:r>
    </w:p>
    <w:p w14:paraId="26245ED0" w14:textId="77777777" w:rsidR="002D3EE1" w:rsidRPr="002D3EE1" w:rsidRDefault="002D3EE1"/>
    <w:p w14:paraId="0A22D2B3" w14:textId="5C5623D5" w:rsidR="002D3EE1" w:rsidRPr="002D3EE1" w:rsidRDefault="002D3EE1">
      <w:proofErr w:type="spellStart"/>
      <w:r w:rsidRPr="002D3EE1">
        <w:t>Nrich</w:t>
      </w:r>
      <w:proofErr w:type="spellEnd"/>
      <w:r w:rsidRPr="002D3EE1">
        <w:t xml:space="preserve"> (Unknown date)</w:t>
      </w:r>
      <w:r w:rsidRPr="002D3EE1">
        <w:rPr>
          <w:i/>
          <w:iCs/>
        </w:rPr>
        <w:t xml:space="preserve"> key obstacles hindering cross-curricular teaching. </w:t>
      </w:r>
      <w:r w:rsidRPr="002D3EE1">
        <w:t xml:space="preserve">Available at: </w:t>
      </w:r>
      <w:hyperlink r:id="rId11" w:history="1">
        <w:r w:rsidRPr="002D3EE1">
          <w:rPr>
            <w:rStyle w:val="Hyperlink"/>
          </w:rPr>
          <w:t>https://nrich.maths.org/8453</w:t>
        </w:r>
      </w:hyperlink>
      <w:r w:rsidRPr="002D3EE1">
        <w:t xml:space="preserve"> (Accessed: 28</w:t>
      </w:r>
      <w:r w:rsidRPr="002D3EE1">
        <w:rPr>
          <w:vertAlign w:val="superscript"/>
        </w:rPr>
        <w:t>th</w:t>
      </w:r>
      <w:r w:rsidRPr="002D3EE1">
        <w:t xml:space="preserve"> March)</w:t>
      </w:r>
    </w:p>
    <w:p w14:paraId="6FA98D26" w14:textId="77777777" w:rsidR="002D3EE1" w:rsidRPr="002D3EE1" w:rsidRDefault="002D3EE1"/>
    <w:p w14:paraId="74F9C5A3" w14:textId="5698E4C9" w:rsidR="002D3EE1" w:rsidRPr="002D3EE1" w:rsidRDefault="002D3EE1">
      <w:proofErr w:type="spellStart"/>
      <w:r w:rsidRPr="002D3EE1">
        <w:t>Sheidies</w:t>
      </w:r>
      <w:proofErr w:type="spellEnd"/>
      <w:r w:rsidRPr="002D3EE1">
        <w:t>, C. (2018)</w:t>
      </w:r>
      <w:r w:rsidRPr="002D3EE1">
        <w:rPr>
          <w:i/>
          <w:iCs/>
        </w:rPr>
        <w:t xml:space="preserve"> Disadvantages of subject -</w:t>
      </w:r>
      <w:proofErr w:type="spellStart"/>
      <w:r w:rsidRPr="002D3EE1">
        <w:rPr>
          <w:i/>
          <w:iCs/>
        </w:rPr>
        <w:t>centered</w:t>
      </w:r>
      <w:proofErr w:type="spellEnd"/>
      <w:r w:rsidRPr="002D3EE1">
        <w:rPr>
          <w:i/>
          <w:iCs/>
        </w:rPr>
        <w:t xml:space="preserve"> curriculum. </w:t>
      </w:r>
      <w:r w:rsidRPr="002D3EE1">
        <w:t xml:space="preserve">Available at: </w:t>
      </w:r>
      <w:hyperlink r:id="rId12" w:history="1">
        <w:r w:rsidRPr="002D3EE1">
          <w:rPr>
            <w:rStyle w:val="Hyperlink"/>
          </w:rPr>
          <w:t>https://classroom.synonym.com/disadvantages-subjectcentered-curriculum-12000458.html</w:t>
        </w:r>
      </w:hyperlink>
      <w:r w:rsidRPr="002D3EE1">
        <w:t xml:space="preserve"> (Accessed: 8</w:t>
      </w:r>
      <w:r w:rsidRPr="002D3EE1">
        <w:rPr>
          <w:vertAlign w:val="superscript"/>
        </w:rPr>
        <w:t>th</w:t>
      </w:r>
      <w:r w:rsidRPr="002D3EE1">
        <w:t xml:space="preserve"> April).</w:t>
      </w:r>
    </w:p>
    <w:p w14:paraId="428DE822" w14:textId="77777777" w:rsidR="002D3EE1" w:rsidRPr="002D3EE1" w:rsidRDefault="002D3EE1"/>
    <w:p w14:paraId="2D1FE94A" w14:textId="590F3685" w:rsidR="002D3EE1" w:rsidRPr="002D3EE1" w:rsidRDefault="002D3EE1" w:rsidP="00672511">
      <w:r w:rsidRPr="002D3EE1">
        <w:t xml:space="preserve">Welsh Government (2015) </w:t>
      </w:r>
      <w:r w:rsidRPr="002D3EE1">
        <w:rPr>
          <w:i/>
          <w:iCs/>
        </w:rPr>
        <w:t xml:space="preserve">Foundation phase framework. </w:t>
      </w:r>
      <w:r w:rsidRPr="002D3EE1">
        <w:t xml:space="preserve">Available at: </w:t>
      </w:r>
      <w:hyperlink r:id="rId13" w:history="1">
        <w:r w:rsidRPr="002D3EE1">
          <w:rPr>
            <w:rStyle w:val="Hyperlink"/>
          </w:rPr>
          <w:t>https://hwb.gov.wales/storage/d5d8e39c-b534-40cb-a3f5-7e2e126d8077/foundation-phase-framework.pdf</w:t>
        </w:r>
      </w:hyperlink>
      <w:r w:rsidRPr="002D3EE1">
        <w:t xml:space="preserve"> (Accessed: 28</w:t>
      </w:r>
      <w:r w:rsidRPr="002D3EE1">
        <w:rPr>
          <w:vertAlign w:val="superscript"/>
        </w:rPr>
        <w:t>th</w:t>
      </w:r>
      <w:r w:rsidRPr="002D3EE1">
        <w:t xml:space="preserve"> March)</w:t>
      </w:r>
    </w:p>
    <w:p w14:paraId="37AB61CF" w14:textId="77777777" w:rsidR="002D3EE1" w:rsidRPr="002D3EE1" w:rsidRDefault="002D3EE1" w:rsidP="00672511"/>
    <w:p w14:paraId="3C458517" w14:textId="44D425B4" w:rsidR="002D3EE1" w:rsidRPr="002D3EE1" w:rsidRDefault="002D3EE1">
      <w:r w:rsidRPr="002D3EE1">
        <w:t xml:space="preserve">Welsh Government (2019) </w:t>
      </w:r>
      <w:r w:rsidRPr="002D3EE1">
        <w:rPr>
          <w:i/>
          <w:iCs/>
        </w:rPr>
        <w:t xml:space="preserve">professional standards for teaching and leadership. </w:t>
      </w:r>
      <w:r w:rsidRPr="002D3EE1">
        <w:t xml:space="preserve">Available at: </w:t>
      </w:r>
      <w:hyperlink r:id="rId14" w:history="1">
        <w:r w:rsidRPr="002D3EE1">
          <w:rPr>
            <w:rStyle w:val="Hyperlink"/>
          </w:rPr>
          <w:t>https://hwb.gov.wales/api/storage/19bc948b-8a3f-41e0-944a-7bf2cadf7d18/professional-standards-for-teaching-and-leadership-interactive-pdf-for-pc.pdf</w:t>
        </w:r>
      </w:hyperlink>
      <w:r w:rsidRPr="002D3EE1">
        <w:t xml:space="preserve"> (Accessed: 11</w:t>
      </w:r>
      <w:r w:rsidRPr="002D3EE1">
        <w:rPr>
          <w:vertAlign w:val="superscript"/>
        </w:rPr>
        <w:t>th</w:t>
      </w:r>
      <w:r w:rsidRPr="002D3EE1">
        <w:t xml:space="preserve"> April)</w:t>
      </w:r>
    </w:p>
    <w:p w14:paraId="19B74CA0" w14:textId="77777777" w:rsidR="002D3EE1" w:rsidRPr="002D3EE1" w:rsidRDefault="002D3EE1"/>
    <w:p w14:paraId="520F8897" w14:textId="77777777" w:rsidR="002D3EE1" w:rsidRPr="002D3EE1" w:rsidRDefault="002D3EE1" w:rsidP="00574E2D">
      <w:pPr>
        <w:pStyle w:val="Heading1"/>
        <w:spacing w:before="0" w:after="225"/>
        <w:rPr>
          <w:rFonts w:asciiTheme="minorHAnsi" w:hAnsiTheme="minorHAnsi" w:cstheme="minorHAnsi"/>
          <w:color w:val="000000" w:themeColor="text1"/>
          <w:sz w:val="24"/>
          <w:szCs w:val="24"/>
        </w:rPr>
      </w:pPr>
      <w:r w:rsidRPr="002D3EE1">
        <w:rPr>
          <w:rFonts w:asciiTheme="minorHAnsi" w:hAnsiTheme="minorHAnsi" w:cstheme="minorHAnsi"/>
          <w:color w:val="000000" w:themeColor="text1"/>
          <w:sz w:val="24"/>
          <w:szCs w:val="24"/>
        </w:rPr>
        <w:t xml:space="preserve">Welsh Government (2020) ‘‘Areas of Learning and Experience’ as a central element of the new curriculum’, </w:t>
      </w:r>
      <w:r w:rsidRPr="002D3EE1">
        <w:rPr>
          <w:rFonts w:asciiTheme="minorHAnsi" w:hAnsiTheme="minorHAnsi" w:cstheme="minorHAnsi"/>
          <w:i/>
          <w:iCs/>
          <w:color w:val="000000" w:themeColor="text1"/>
          <w:sz w:val="24"/>
          <w:szCs w:val="24"/>
        </w:rPr>
        <w:t>Education Wales</w:t>
      </w:r>
      <w:r w:rsidRPr="002D3EE1">
        <w:rPr>
          <w:rFonts w:asciiTheme="minorHAnsi" w:hAnsiTheme="minorHAnsi" w:cstheme="minorHAnsi"/>
          <w:color w:val="000000" w:themeColor="text1"/>
          <w:sz w:val="24"/>
          <w:szCs w:val="24"/>
        </w:rPr>
        <w:t xml:space="preserve"> [blog]. 2</w:t>
      </w:r>
      <w:r w:rsidRPr="002D3EE1">
        <w:rPr>
          <w:rFonts w:asciiTheme="minorHAnsi" w:hAnsiTheme="minorHAnsi" w:cstheme="minorHAnsi"/>
          <w:color w:val="000000" w:themeColor="text1"/>
          <w:sz w:val="24"/>
          <w:szCs w:val="24"/>
          <w:vertAlign w:val="superscript"/>
        </w:rPr>
        <w:t>nd</w:t>
      </w:r>
      <w:r w:rsidRPr="002D3EE1">
        <w:rPr>
          <w:rFonts w:asciiTheme="minorHAnsi" w:hAnsiTheme="minorHAnsi" w:cstheme="minorHAnsi"/>
          <w:color w:val="000000" w:themeColor="text1"/>
          <w:sz w:val="24"/>
          <w:szCs w:val="24"/>
        </w:rPr>
        <w:t xml:space="preserve"> March. Available at: </w:t>
      </w:r>
      <w:hyperlink r:id="rId15" w:anchor=":~:text=Expressive%20Arts%3B%20Health%20and%20Well,and%20what%20do%20they%20comprise%3F" w:history="1">
        <w:r w:rsidRPr="002D3EE1">
          <w:rPr>
            <w:rStyle w:val="Hyperlink"/>
            <w:rFonts w:asciiTheme="minorHAnsi" w:hAnsiTheme="minorHAnsi" w:cstheme="minorHAnsi"/>
            <w:sz w:val="24"/>
            <w:szCs w:val="24"/>
          </w:rPr>
          <w:t>https://educationwales.blog.gov.wales/2020/03/02/areas-of-learning-and-experience-as-a-central-element-of-the-new-curriculum/#:~:text=Expressive%20Arts%3B%20Health%20and%20Well,and%20what%20do%20they%20comprise%3F</w:t>
        </w:r>
      </w:hyperlink>
      <w:r w:rsidRPr="002D3EE1">
        <w:rPr>
          <w:rFonts w:asciiTheme="minorHAnsi" w:hAnsiTheme="minorHAnsi" w:cstheme="minorHAnsi"/>
          <w:color w:val="000000" w:themeColor="text1"/>
          <w:sz w:val="24"/>
          <w:szCs w:val="24"/>
        </w:rPr>
        <w:t xml:space="preserve"> (Accessed: 5</w:t>
      </w:r>
      <w:r w:rsidRPr="002D3EE1">
        <w:rPr>
          <w:rFonts w:asciiTheme="minorHAnsi" w:hAnsiTheme="minorHAnsi" w:cstheme="minorHAnsi"/>
          <w:color w:val="000000" w:themeColor="text1"/>
          <w:sz w:val="24"/>
          <w:szCs w:val="24"/>
          <w:vertAlign w:val="superscript"/>
        </w:rPr>
        <w:t>th</w:t>
      </w:r>
      <w:r w:rsidRPr="002D3EE1">
        <w:rPr>
          <w:rFonts w:asciiTheme="minorHAnsi" w:hAnsiTheme="minorHAnsi" w:cstheme="minorHAnsi"/>
          <w:color w:val="000000" w:themeColor="text1"/>
          <w:sz w:val="24"/>
          <w:szCs w:val="24"/>
        </w:rPr>
        <w:t xml:space="preserve"> April).</w:t>
      </w:r>
    </w:p>
    <w:p w14:paraId="38F7DC67" w14:textId="28034E9F" w:rsidR="002D3EE1" w:rsidRPr="002D3EE1" w:rsidRDefault="002D3EE1">
      <w:r w:rsidRPr="002D3EE1">
        <w:t xml:space="preserve">Welsh Government (2020) </w:t>
      </w:r>
      <w:r w:rsidRPr="002D3EE1">
        <w:rPr>
          <w:i/>
          <w:iCs/>
        </w:rPr>
        <w:t xml:space="preserve">Mathematics and numeracy. </w:t>
      </w:r>
      <w:r w:rsidRPr="002D3EE1">
        <w:t xml:space="preserve">Available at: </w:t>
      </w:r>
      <w:hyperlink r:id="rId16" w:history="1">
        <w:r w:rsidRPr="002D3EE1">
          <w:rPr>
            <w:rStyle w:val="Hyperlink"/>
          </w:rPr>
          <w:t>https://hwb.gov.wales/curriculum-for-wales/mathematics-and-numeracy/descriptions-of-learning/</w:t>
        </w:r>
      </w:hyperlink>
      <w:r w:rsidRPr="002D3EE1">
        <w:t xml:space="preserve"> (Accessed: 10</w:t>
      </w:r>
      <w:r w:rsidRPr="002D3EE1">
        <w:rPr>
          <w:vertAlign w:val="superscript"/>
        </w:rPr>
        <w:t>th</w:t>
      </w:r>
      <w:r w:rsidRPr="002D3EE1">
        <w:t xml:space="preserve"> April)</w:t>
      </w:r>
    </w:p>
    <w:p w14:paraId="21EC01F4" w14:textId="77777777" w:rsidR="002D3EE1" w:rsidRPr="002D3EE1" w:rsidRDefault="002D3EE1"/>
    <w:p w14:paraId="17CF2334" w14:textId="7613BF76" w:rsidR="002D3EE1" w:rsidRPr="002D3EE1" w:rsidRDefault="002D3EE1" w:rsidP="00B37EB2">
      <w:r w:rsidRPr="002D3EE1">
        <w:t xml:space="preserve">Welsh Government (2021) </w:t>
      </w:r>
      <w:r w:rsidRPr="002D3EE1">
        <w:rPr>
          <w:i/>
          <w:iCs/>
        </w:rPr>
        <w:t xml:space="preserve">The curriculum for Wales- progression code. </w:t>
      </w:r>
      <w:r w:rsidRPr="002D3EE1">
        <w:t xml:space="preserve">Available at: </w:t>
      </w:r>
      <w:hyperlink r:id="rId17" w:history="1">
        <w:r w:rsidRPr="002D3EE1">
          <w:rPr>
            <w:rStyle w:val="Hyperlink"/>
          </w:rPr>
          <w:t>https://www.gov.wales/sites/default/files/publications/2021-11/curriculum-for-wales-progression-code.pdf</w:t>
        </w:r>
      </w:hyperlink>
      <w:r w:rsidRPr="002D3EE1">
        <w:t xml:space="preserve"> (Accessed: 10</w:t>
      </w:r>
      <w:r w:rsidRPr="002D3EE1">
        <w:rPr>
          <w:vertAlign w:val="superscript"/>
        </w:rPr>
        <w:t>th</w:t>
      </w:r>
      <w:r w:rsidRPr="002D3EE1">
        <w:t xml:space="preserve"> April)</w:t>
      </w:r>
    </w:p>
    <w:p w14:paraId="6EA4F931" w14:textId="77777777" w:rsidR="002D3EE1" w:rsidRPr="002D3EE1" w:rsidRDefault="002D3EE1" w:rsidP="00B37EB2"/>
    <w:p w14:paraId="008635D2" w14:textId="49F8B939" w:rsidR="002D3EE1" w:rsidRPr="002D3EE1" w:rsidRDefault="002D3EE1">
      <w:r w:rsidRPr="002D3EE1">
        <w:t xml:space="preserve">Welsh Government (2022) </w:t>
      </w:r>
      <w:r w:rsidRPr="002D3EE1">
        <w:rPr>
          <w:i/>
          <w:iCs/>
        </w:rPr>
        <w:t xml:space="preserve">Cross-curricular skills frameworks. </w:t>
      </w:r>
      <w:r w:rsidRPr="002D3EE1">
        <w:t xml:space="preserve">Available at: </w:t>
      </w:r>
      <w:hyperlink r:id="rId18" w:history="1">
        <w:r w:rsidRPr="002D3EE1">
          <w:rPr>
            <w:rStyle w:val="Hyperlink"/>
          </w:rPr>
          <w:t>https://hwb.gov.wales/curriculum-for-wales/cross-curricular-skills-frameworks</w:t>
        </w:r>
      </w:hyperlink>
      <w:r w:rsidRPr="002D3EE1">
        <w:t xml:space="preserve"> (Accessed: 5</w:t>
      </w:r>
      <w:r w:rsidRPr="002D3EE1">
        <w:rPr>
          <w:vertAlign w:val="superscript"/>
        </w:rPr>
        <w:t>th</w:t>
      </w:r>
      <w:r w:rsidRPr="002D3EE1">
        <w:t xml:space="preserve"> April)</w:t>
      </w:r>
    </w:p>
    <w:p w14:paraId="65E69340" w14:textId="77777777" w:rsidR="002D3EE1" w:rsidRPr="002D3EE1" w:rsidRDefault="002D3EE1"/>
    <w:p w14:paraId="37CB680C" w14:textId="59ABEC65" w:rsidR="002D3EE1" w:rsidRPr="002D3EE1" w:rsidRDefault="002D3EE1">
      <w:r w:rsidRPr="002D3EE1">
        <w:t xml:space="preserve">Welsh Government (2022) </w:t>
      </w:r>
      <w:r w:rsidRPr="002D3EE1">
        <w:rPr>
          <w:i/>
          <w:iCs/>
        </w:rPr>
        <w:t xml:space="preserve">Mathematics and numeracy. </w:t>
      </w:r>
      <w:r w:rsidRPr="002D3EE1">
        <w:t>Available at:</w:t>
      </w:r>
      <w:r w:rsidRPr="002D3EE1">
        <w:rPr>
          <w:i/>
          <w:iCs/>
        </w:rPr>
        <w:t xml:space="preserve"> </w:t>
      </w:r>
      <w:hyperlink r:id="rId19" w:history="1">
        <w:r w:rsidRPr="002D3EE1">
          <w:rPr>
            <w:rStyle w:val="Hyperlink"/>
          </w:rPr>
          <w:t>https://hwb.gov.wales/curriculum-for-wales/mathematics-and-numeracy/statements-of-what-matters/</w:t>
        </w:r>
      </w:hyperlink>
      <w:r w:rsidRPr="002D3EE1">
        <w:t xml:space="preserve"> (Accessed: 10</w:t>
      </w:r>
      <w:r w:rsidRPr="002D3EE1">
        <w:rPr>
          <w:vertAlign w:val="superscript"/>
        </w:rPr>
        <w:t>th</w:t>
      </w:r>
      <w:r w:rsidRPr="002D3EE1">
        <w:t xml:space="preserve"> April)</w:t>
      </w:r>
    </w:p>
    <w:p w14:paraId="3398B8FB" w14:textId="77777777" w:rsidR="002D3EE1" w:rsidRPr="002D3EE1" w:rsidRDefault="002D3EE1"/>
    <w:p w14:paraId="57405C28" w14:textId="7D0D6B4E" w:rsidR="002D3EE1" w:rsidRDefault="002D3EE1">
      <w:pPr>
        <w:rPr>
          <w:rStyle w:val="Hyperlink"/>
        </w:rPr>
      </w:pPr>
      <w:r w:rsidRPr="002D3EE1">
        <w:t xml:space="preserve">Welsh Government (2023) </w:t>
      </w:r>
      <w:r w:rsidRPr="002D3EE1">
        <w:rPr>
          <w:i/>
          <w:iCs/>
        </w:rPr>
        <w:t xml:space="preserve">Pedagogy. </w:t>
      </w:r>
      <w:r w:rsidRPr="002D3EE1">
        <w:t>Available at:</w:t>
      </w:r>
      <w:hyperlink r:id="rId20" w:history="1">
        <w:r w:rsidRPr="002D3EE1">
          <w:rPr>
            <w:rStyle w:val="Hyperlink"/>
          </w:rPr>
          <w:t>https://hwb.gov.wales/curriculum-for-wales/designing-your-curriculum/pedagogy</w:t>
        </w:r>
      </w:hyperlink>
      <w:r w:rsidRPr="002D3EE1">
        <w:rPr>
          <w:rStyle w:val="Hyperlink"/>
        </w:rPr>
        <w:t xml:space="preserve"> (Accessed: 10</w:t>
      </w:r>
      <w:r w:rsidRPr="002D3EE1">
        <w:rPr>
          <w:rStyle w:val="Hyperlink"/>
          <w:vertAlign w:val="superscript"/>
        </w:rPr>
        <w:t>th</w:t>
      </w:r>
      <w:r w:rsidRPr="002D3EE1">
        <w:rPr>
          <w:rStyle w:val="Hyperlink"/>
        </w:rPr>
        <w:t xml:space="preserve"> April)</w:t>
      </w:r>
    </w:p>
    <w:p w14:paraId="06DA83DA" w14:textId="77777777" w:rsidR="006E48B0" w:rsidRPr="002D3EE1" w:rsidRDefault="006E48B0">
      <w:pPr>
        <w:rPr>
          <w:rStyle w:val="Hyperlink"/>
        </w:rPr>
      </w:pPr>
    </w:p>
    <w:p w14:paraId="2AC1A31E" w14:textId="746B664C" w:rsidR="002D3EE1" w:rsidRPr="002D3EE1" w:rsidRDefault="002D3EE1">
      <w:pPr>
        <w:rPr>
          <w:color w:val="0563C1" w:themeColor="hyperlink"/>
          <w:u w:val="single"/>
        </w:rPr>
      </w:pPr>
      <w:r w:rsidRPr="002D3EE1">
        <w:t>Welsh Government (2023)</w:t>
      </w:r>
      <w:r w:rsidRPr="002D3EE1">
        <w:rPr>
          <w:i/>
          <w:iCs/>
        </w:rPr>
        <w:t xml:space="preserve"> Schools’ census results: January 2023. </w:t>
      </w:r>
      <w:r w:rsidRPr="002D3EE1">
        <w:t xml:space="preserve">Available at: </w:t>
      </w:r>
      <w:hyperlink r:id="rId21" w:anchor="130508" w:history="1">
        <w:r w:rsidRPr="002D3EE1">
          <w:rPr>
            <w:rStyle w:val="Hyperlink"/>
          </w:rPr>
          <w:t>https://www.gov.wales/schools-census-results-january-2023-html#130508</w:t>
        </w:r>
      </w:hyperlink>
      <w:r w:rsidRPr="002D3EE1">
        <w:t xml:space="preserve"> (Accessed: 9</w:t>
      </w:r>
      <w:r w:rsidRPr="002D3EE1">
        <w:rPr>
          <w:vertAlign w:val="superscript"/>
        </w:rPr>
        <w:t>th</w:t>
      </w:r>
      <w:r w:rsidRPr="002D3EE1">
        <w:t xml:space="preserve"> April). </w:t>
      </w:r>
    </w:p>
    <w:p w14:paraId="04185301" w14:textId="77777777" w:rsidR="002D3EE1" w:rsidRPr="002D3EE1" w:rsidRDefault="002D3EE1"/>
    <w:p w14:paraId="619B8ADE" w14:textId="77777777" w:rsidR="002D3EE1" w:rsidRPr="002D3EE1" w:rsidRDefault="002D3EE1">
      <w:r w:rsidRPr="002D3EE1">
        <w:t xml:space="preserve">Welsh Government (unknown date) </w:t>
      </w:r>
      <w:r w:rsidRPr="002D3EE1">
        <w:rPr>
          <w:i/>
          <w:iCs/>
        </w:rPr>
        <w:t xml:space="preserve">Digital competence framework. </w:t>
      </w:r>
      <w:r w:rsidRPr="002D3EE1">
        <w:t xml:space="preserve">Available at: </w:t>
      </w:r>
      <w:hyperlink r:id="rId22" w:history="1">
        <w:r w:rsidRPr="002D3EE1">
          <w:rPr>
            <w:rStyle w:val="Hyperlink"/>
          </w:rPr>
          <w:t>https://hwb.gov.wales/curriculum-for-wales/cross-curricular-skills-frameworks/digital-competence-framework</w:t>
        </w:r>
      </w:hyperlink>
      <w:r w:rsidRPr="002D3EE1">
        <w:t xml:space="preserve"> (Accessed: 10</w:t>
      </w:r>
      <w:r w:rsidRPr="002D3EE1">
        <w:rPr>
          <w:vertAlign w:val="superscript"/>
        </w:rPr>
        <w:t>th</w:t>
      </w:r>
      <w:r w:rsidRPr="002D3EE1">
        <w:t xml:space="preserve"> April)</w:t>
      </w:r>
    </w:p>
    <w:p w14:paraId="730FCFB1" w14:textId="77777777" w:rsidR="002D3EE1" w:rsidRDefault="002D3EE1">
      <w:pPr>
        <w:rPr>
          <w:u w:val="single"/>
        </w:rPr>
      </w:pPr>
    </w:p>
    <w:p w14:paraId="49F2C32A" w14:textId="77777777" w:rsidR="002D3EE1" w:rsidRDefault="002D3EE1">
      <w:pPr>
        <w:rPr>
          <w:u w:val="single"/>
        </w:rPr>
      </w:pPr>
    </w:p>
    <w:p w14:paraId="10F52729" w14:textId="77777777" w:rsidR="002D3EE1" w:rsidRDefault="002D3EE1">
      <w:pPr>
        <w:rPr>
          <w:u w:val="single"/>
        </w:rPr>
      </w:pPr>
    </w:p>
    <w:p w14:paraId="24920D74" w14:textId="77777777" w:rsidR="002D3EE1" w:rsidRDefault="002D3EE1">
      <w:pPr>
        <w:rPr>
          <w:u w:val="single"/>
        </w:rPr>
      </w:pPr>
    </w:p>
    <w:p w14:paraId="2D64D7BE" w14:textId="77777777" w:rsidR="002D3EE1" w:rsidRDefault="002D3EE1">
      <w:pPr>
        <w:rPr>
          <w:u w:val="single"/>
        </w:rPr>
      </w:pPr>
    </w:p>
    <w:p w14:paraId="1A5483C2" w14:textId="77777777" w:rsidR="002D3EE1" w:rsidRDefault="002D3EE1">
      <w:pPr>
        <w:rPr>
          <w:u w:val="single"/>
        </w:rPr>
      </w:pPr>
    </w:p>
    <w:p w14:paraId="7D4FDFFB" w14:textId="37B6482C" w:rsidR="002D3EE1" w:rsidRDefault="002D3EE1">
      <w:pPr>
        <w:rPr>
          <w:u w:val="single"/>
        </w:rPr>
      </w:pPr>
    </w:p>
    <w:p w14:paraId="3DDD93DA" w14:textId="707D145D" w:rsidR="002D3EE1" w:rsidRDefault="002D3EE1">
      <w:pPr>
        <w:rPr>
          <w:u w:val="single"/>
        </w:rPr>
      </w:pPr>
    </w:p>
    <w:p w14:paraId="6EEF3A8A" w14:textId="4F68ADD0" w:rsidR="002D3EE1" w:rsidRDefault="002D3EE1">
      <w:pPr>
        <w:rPr>
          <w:u w:val="single"/>
        </w:rPr>
      </w:pPr>
    </w:p>
    <w:p w14:paraId="7218A8D9" w14:textId="07F4B900" w:rsidR="002D3EE1" w:rsidRDefault="002D3EE1">
      <w:pPr>
        <w:rPr>
          <w:u w:val="single"/>
        </w:rPr>
      </w:pPr>
    </w:p>
    <w:p w14:paraId="5C801230" w14:textId="45584E25" w:rsidR="002D3EE1" w:rsidRDefault="002D3EE1">
      <w:pPr>
        <w:rPr>
          <w:u w:val="single"/>
        </w:rPr>
      </w:pPr>
    </w:p>
    <w:p w14:paraId="0732B276" w14:textId="144C0BC1" w:rsidR="002D3EE1" w:rsidRDefault="002D3EE1">
      <w:pPr>
        <w:rPr>
          <w:u w:val="single"/>
        </w:rPr>
      </w:pPr>
    </w:p>
    <w:p w14:paraId="6ED61FBE" w14:textId="1D26AF1C" w:rsidR="00175948" w:rsidRPr="00EF72FC" w:rsidRDefault="00EF72FC">
      <w:pPr>
        <w:rPr>
          <w:u w:val="single"/>
        </w:rPr>
      </w:pPr>
      <w:r w:rsidRPr="00EF72FC">
        <w:rPr>
          <w:u w:val="single"/>
        </w:rPr>
        <w:t>A</w:t>
      </w:r>
      <w:r w:rsidR="00175948" w:rsidRPr="00EF72FC">
        <w:rPr>
          <w:u w:val="single"/>
        </w:rPr>
        <w:t xml:space="preserve">ppendix </w:t>
      </w:r>
    </w:p>
    <w:p w14:paraId="45D251E1" w14:textId="09A5DA93" w:rsidR="002D3EE1" w:rsidRDefault="002D3EE1"/>
    <w:p w14:paraId="0B5C9B5C" w14:textId="3ABEF8B8" w:rsidR="00175948" w:rsidRDefault="006E48B0">
      <w:r w:rsidRPr="00175948">
        <w:rPr>
          <w:noProof/>
        </w:rPr>
        <w:drawing>
          <wp:anchor distT="0" distB="0" distL="114300" distR="114300" simplePos="0" relativeHeight="251658240" behindDoc="1" locked="0" layoutInCell="1" allowOverlap="1" wp14:anchorId="545EB044" wp14:editId="422BCCC0">
            <wp:simplePos x="0" y="0"/>
            <wp:positionH relativeFrom="column">
              <wp:posOffset>-750570</wp:posOffset>
            </wp:positionH>
            <wp:positionV relativeFrom="paragraph">
              <wp:posOffset>194818</wp:posOffset>
            </wp:positionV>
            <wp:extent cx="7141464" cy="5193792"/>
            <wp:effectExtent l="0" t="0" r="0" b="635"/>
            <wp:wrapNone/>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23" cstate="print">
                      <a:extLst>
                        <a:ext uri="{28A0092B-C50C-407E-A947-70E740481C1C}">
                          <a14:useLocalDpi xmlns:a14="http://schemas.microsoft.com/office/drawing/2010/main" val="0"/>
                        </a:ext>
                      </a:extLst>
                    </a:blip>
                    <a:srcRect l="14293" t="15690" r="18069" b="5601"/>
                    <a:stretch/>
                  </pic:blipFill>
                  <pic:spPr bwMode="auto">
                    <a:xfrm>
                      <a:off x="0" y="0"/>
                      <a:ext cx="7141464" cy="51937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F72FC">
        <w:t>A</w:t>
      </w:r>
      <w:r w:rsidR="00175948">
        <w:t xml:space="preserve">ppendix 1- lesson plan </w:t>
      </w:r>
    </w:p>
    <w:p w14:paraId="1AA0ECF2" w14:textId="433EF614" w:rsidR="00175948" w:rsidRDefault="00175948"/>
    <w:p w14:paraId="0DD0F639" w14:textId="3F99AC0E" w:rsidR="00175948" w:rsidRDefault="00175948"/>
    <w:p w14:paraId="441B6CD0" w14:textId="210DB758" w:rsidR="00175948" w:rsidRDefault="00175948"/>
    <w:p w14:paraId="4DDFAC51" w14:textId="4D9FD6E6" w:rsidR="00175948" w:rsidRDefault="00175948"/>
    <w:p w14:paraId="4233844F" w14:textId="0341F175" w:rsidR="00175948" w:rsidRDefault="00175948"/>
    <w:p w14:paraId="1A9365A7" w14:textId="4EB99A1A" w:rsidR="00175948" w:rsidRDefault="00175948"/>
    <w:p w14:paraId="205A0651" w14:textId="3E474341" w:rsidR="00175948" w:rsidRDefault="00175948"/>
    <w:p w14:paraId="7BD08FAC" w14:textId="0DF4B75F" w:rsidR="00175948" w:rsidRDefault="00175948"/>
    <w:p w14:paraId="17C40B6A" w14:textId="751046C5" w:rsidR="00175948" w:rsidRDefault="00175948"/>
    <w:p w14:paraId="50A3CC58" w14:textId="5E92CEC6" w:rsidR="00175948" w:rsidRDefault="00175948"/>
    <w:p w14:paraId="4187BAE2" w14:textId="52438ED5" w:rsidR="00175948" w:rsidRDefault="00175948"/>
    <w:p w14:paraId="56F1A2D6" w14:textId="22738C23" w:rsidR="00175948" w:rsidRDefault="00175948"/>
    <w:p w14:paraId="2C638E65" w14:textId="1D3506A3" w:rsidR="00175948" w:rsidRDefault="00175948"/>
    <w:p w14:paraId="67BCDCB0" w14:textId="536B3F54" w:rsidR="00175948" w:rsidRDefault="00175948"/>
    <w:p w14:paraId="54695FDE" w14:textId="698FA621" w:rsidR="00175948" w:rsidRDefault="00175948"/>
    <w:p w14:paraId="46E54210" w14:textId="6424463D" w:rsidR="00175948" w:rsidRDefault="00175948"/>
    <w:p w14:paraId="5EA7779D" w14:textId="59A499A0" w:rsidR="00175948" w:rsidRDefault="00175948"/>
    <w:p w14:paraId="1AA675EE" w14:textId="7F06E707" w:rsidR="00175948" w:rsidRDefault="00175948"/>
    <w:p w14:paraId="46D9E0E4" w14:textId="2F9573A7" w:rsidR="00175948" w:rsidRDefault="00175948"/>
    <w:p w14:paraId="1382ABEE" w14:textId="2E390094" w:rsidR="00175948" w:rsidRDefault="00175948"/>
    <w:p w14:paraId="0B4D737F" w14:textId="4D451A30" w:rsidR="00175948" w:rsidRDefault="00175948"/>
    <w:p w14:paraId="07B6009B" w14:textId="542313E6" w:rsidR="00175948" w:rsidRDefault="00175948"/>
    <w:p w14:paraId="38014D0E" w14:textId="1F12A5BA" w:rsidR="00175948" w:rsidRDefault="00175948"/>
    <w:p w14:paraId="0826C342" w14:textId="5F67C9E0" w:rsidR="00175948" w:rsidRDefault="00175948"/>
    <w:p w14:paraId="4E3FE885" w14:textId="1E97A6DA" w:rsidR="00175948" w:rsidRDefault="00175948"/>
    <w:p w14:paraId="09A225E6" w14:textId="5F0C2686" w:rsidR="00175948" w:rsidRDefault="00175948"/>
    <w:p w14:paraId="5A8F0375" w14:textId="7B7A7FE0" w:rsidR="00175948" w:rsidRDefault="006E48B0">
      <w:r w:rsidRPr="006E48B0">
        <w:drawing>
          <wp:anchor distT="0" distB="0" distL="114300" distR="114300" simplePos="0" relativeHeight="251669504" behindDoc="1" locked="0" layoutInCell="1" allowOverlap="1" wp14:anchorId="1DD6BA31" wp14:editId="1827FF32">
            <wp:simplePos x="0" y="0"/>
            <wp:positionH relativeFrom="column">
              <wp:posOffset>-795528</wp:posOffset>
            </wp:positionH>
            <wp:positionV relativeFrom="paragraph">
              <wp:posOffset>241808</wp:posOffset>
            </wp:positionV>
            <wp:extent cx="7062729" cy="464653"/>
            <wp:effectExtent l="0" t="0" r="0" b="5715"/>
            <wp:wrapNone/>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rotWithShape="1">
                    <a:blip r:embed="rId24" cstate="print">
                      <a:extLst>
                        <a:ext uri="{28A0092B-C50C-407E-A947-70E740481C1C}">
                          <a14:useLocalDpi xmlns:a14="http://schemas.microsoft.com/office/drawing/2010/main" val="0"/>
                        </a:ext>
                      </a:extLst>
                    </a:blip>
                    <a:srcRect l="10854" t="77603" r="16357" b="14734"/>
                    <a:stretch/>
                  </pic:blipFill>
                  <pic:spPr bwMode="auto">
                    <a:xfrm>
                      <a:off x="0" y="0"/>
                      <a:ext cx="7843032" cy="51598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8D721B" w14:textId="1B5A8A5B" w:rsidR="00175948" w:rsidRDefault="00175948"/>
    <w:p w14:paraId="50F070BE" w14:textId="0C40EA41" w:rsidR="00EF72FC" w:rsidRDefault="00EF72FC"/>
    <w:p w14:paraId="4983B628" w14:textId="678658BC" w:rsidR="002D3EE1" w:rsidRDefault="006E48B0">
      <w:r w:rsidRPr="00EF72FC">
        <w:rPr>
          <w:noProof/>
        </w:rPr>
        <w:drawing>
          <wp:anchor distT="0" distB="0" distL="114300" distR="114300" simplePos="0" relativeHeight="251664384" behindDoc="1" locked="0" layoutInCell="1" allowOverlap="1" wp14:anchorId="17F7835C" wp14:editId="28070C86">
            <wp:simplePos x="0" y="0"/>
            <wp:positionH relativeFrom="column">
              <wp:posOffset>-703580</wp:posOffset>
            </wp:positionH>
            <wp:positionV relativeFrom="paragraph">
              <wp:posOffset>2847975</wp:posOffset>
            </wp:positionV>
            <wp:extent cx="6925945" cy="2241436"/>
            <wp:effectExtent l="0" t="0" r="0" b="0"/>
            <wp:wrapNone/>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rotWithShape="1">
                    <a:blip r:embed="rId25">
                      <a:extLst>
                        <a:ext uri="{28A0092B-C50C-407E-A947-70E740481C1C}">
                          <a14:useLocalDpi xmlns:a14="http://schemas.microsoft.com/office/drawing/2010/main" val="0"/>
                        </a:ext>
                      </a:extLst>
                    </a:blip>
                    <a:srcRect l="23293" t="55455" r="23576" b="17034"/>
                    <a:stretch/>
                  </pic:blipFill>
                  <pic:spPr bwMode="auto">
                    <a:xfrm>
                      <a:off x="0" y="0"/>
                      <a:ext cx="6925945" cy="22414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75948">
        <w:rPr>
          <w:noProof/>
        </w:rPr>
        <w:drawing>
          <wp:anchor distT="0" distB="0" distL="114300" distR="114300" simplePos="0" relativeHeight="251662336" behindDoc="1" locked="0" layoutInCell="1" allowOverlap="1" wp14:anchorId="739A93F0" wp14:editId="0521B441">
            <wp:simplePos x="0" y="0"/>
            <wp:positionH relativeFrom="column">
              <wp:posOffset>-640080</wp:posOffset>
            </wp:positionH>
            <wp:positionV relativeFrom="paragraph">
              <wp:posOffset>5659755</wp:posOffset>
            </wp:positionV>
            <wp:extent cx="6861937" cy="3895105"/>
            <wp:effectExtent l="0" t="0" r="0" b="3810"/>
            <wp:wrapNone/>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rotWithShape="1">
                    <a:blip r:embed="rId26" cstate="print">
                      <a:extLst>
                        <a:ext uri="{28A0092B-C50C-407E-A947-70E740481C1C}">
                          <a14:useLocalDpi xmlns:a14="http://schemas.microsoft.com/office/drawing/2010/main" val="0"/>
                        </a:ext>
                      </a:extLst>
                    </a:blip>
                    <a:srcRect l="33803" t="22654" r="4785" b="21559"/>
                    <a:stretch/>
                  </pic:blipFill>
                  <pic:spPr bwMode="auto">
                    <a:xfrm>
                      <a:off x="0" y="0"/>
                      <a:ext cx="6861937" cy="3895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3EE1">
        <w:rPr>
          <w:noProof/>
        </w:rPr>
        <mc:AlternateContent>
          <mc:Choice Requires="wps">
            <w:drawing>
              <wp:anchor distT="0" distB="0" distL="114300" distR="114300" simplePos="0" relativeHeight="251661312" behindDoc="0" locked="0" layoutInCell="1" allowOverlap="1" wp14:anchorId="4D95540B" wp14:editId="4309B7F5">
                <wp:simplePos x="0" y="0"/>
                <wp:positionH relativeFrom="column">
                  <wp:posOffset>-644652</wp:posOffset>
                </wp:positionH>
                <wp:positionV relativeFrom="paragraph">
                  <wp:posOffset>5174996</wp:posOffset>
                </wp:positionV>
                <wp:extent cx="5572125" cy="485775"/>
                <wp:effectExtent l="0" t="0" r="15875" b="9525"/>
                <wp:wrapNone/>
                <wp:docPr id="4" name="Text Box 4"/>
                <wp:cNvGraphicFramePr/>
                <a:graphic xmlns:a="http://schemas.openxmlformats.org/drawingml/2006/main">
                  <a:graphicData uri="http://schemas.microsoft.com/office/word/2010/wordprocessingShape">
                    <wps:wsp>
                      <wps:cNvSpPr txBox="1"/>
                      <wps:spPr>
                        <a:xfrm>
                          <a:off x="0" y="0"/>
                          <a:ext cx="5572125" cy="485775"/>
                        </a:xfrm>
                        <a:prstGeom prst="rect">
                          <a:avLst/>
                        </a:prstGeom>
                        <a:solidFill>
                          <a:schemeClr val="lt1"/>
                        </a:solidFill>
                        <a:ln w="6350">
                          <a:solidFill>
                            <a:schemeClr val="bg1"/>
                          </a:solidFill>
                        </a:ln>
                      </wps:spPr>
                      <wps:txbx>
                        <w:txbxContent>
                          <w:p w14:paraId="15990809" w14:textId="48A50FF2" w:rsidR="00175948" w:rsidRDefault="00175948"/>
                          <w:p w14:paraId="7F61888B" w14:textId="79D15A6C" w:rsidR="00175948" w:rsidRDefault="00175948">
                            <w:r>
                              <w:t xml:space="preserve">Appendix 2 – bee bot map and worksheet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D95540B" id="_x0000_t202" coordsize="21600,21600" o:spt="202" path="m,l,21600r21600,l21600,xe">
                <v:stroke joinstyle="miter"/>
                <v:path gradientshapeok="t" o:connecttype="rect"/>
              </v:shapetype>
              <v:shape id="Text Box 4" o:spid="_x0000_s1026" type="#_x0000_t202" style="position:absolute;margin-left:-50.75pt;margin-top:407.5pt;width:438.75pt;height:38.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" fillcolor="white [3201]" strokecolor="white [3212]" strokeweight=".5pt">
                <v:textbox>
                  <w:txbxContent>
                    <w:p w14:paraId="15990809" w14:textId="48A50FF2" w:rsidR="00175948" w:rsidRDefault="00175948"/>
                    <w:p w14:paraId="7F61888B" w14:textId="79D15A6C" w:rsidR="00175948" w:rsidRDefault="00175948">
                      <w:r>
                        <w:t xml:space="preserve">Appendix 2 – bee bot map and worksheet </w:t>
                      </w:r>
                    </w:p>
                  </w:txbxContent>
                </v:textbox>
              </v:shape>
            </w:pict>
          </mc:Fallback>
        </mc:AlternateContent>
      </w:r>
      <w:r w:rsidR="002D3EE1" w:rsidRPr="00175948">
        <w:rPr>
          <w:noProof/>
        </w:rPr>
        <w:drawing>
          <wp:anchor distT="0" distB="0" distL="114300" distR="114300" simplePos="0" relativeHeight="251660288" behindDoc="1" locked="0" layoutInCell="1" allowOverlap="1" wp14:anchorId="3234B257" wp14:editId="64DDA6A7">
            <wp:simplePos x="0" y="0"/>
            <wp:positionH relativeFrom="column">
              <wp:posOffset>-703580</wp:posOffset>
            </wp:positionH>
            <wp:positionV relativeFrom="paragraph">
              <wp:posOffset>-714375</wp:posOffset>
            </wp:positionV>
            <wp:extent cx="6926401" cy="3644265"/>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14957" t="26867" r="15245" b="14377"/>
                    <a:stretch/>
                  </pic:blipFill>
                  <pic:spPr bwMode="auto">
                    <a:xfrm>
                      <a:off x="0" y="0"/>
                      <a:ext cx="6926401" cy="3644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F72FC">
        <w:br w:type="page"/>
      </w:r>
    </w:p>
    <w:p w14:paraId="6D4085B6" w14:textId="79E37910" w:rsidR="00175948" w:rsidRDefault="006E48B0">
      <w:r w:rsidRPr="00175948">
        <w:rPr>
          <w:noProof/>
        </w:rPr>
        <w:lastRenderedPageBreak/>
        <w:drawing>
          <wp:anchor distT="0" distB="0" distL="114300" distR="114300" simplePos="0" relativeHeight="251668480" behindDoc="1" locked="0" layoutInCell="1" allowOverlap="1" wp14:anchorId="41BDD097" wp14:editId="038EFB01">
            <wp:simplePos x="0" y="0"/>
            <wp:positionH relativeFrom="column">
              <wp:posOffset>-749300</wp:posOffset>
            </wp:positionH>
            <wp:positionV relativeFrom="paragraph">
              <wp:posOffset>-777367</wp:posOffset>
            </wp:positionV>
            <wp:extent cx="7123176" cy="4017704"/>
            <wp:effectExtent l="0" t="0" r="1905" b="0"/>
            <wp:wrapNone/>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rotWithShape="1">
                    <a:blip r:embed="rId28" cstate="print">
                      <a:extLst>
                        <a:ext uri="{28A0092B-C50C-407E-A947-70E740481C1C}">
                          <a14:useLocalDpi xmlns:a14="http://schemas.microsoft.com/office/drawing/2010/main" val="0"/>
                        </a:ext>
                      </a:extLst>
                    </a:blip>
                    <a:srcRect l="34068" t="22602" r="4941" b="22354"/>
                    <a:stretch/>
                  </pic:blipFill>
                  <pic:spPr bwMode="auto">
                    <a:xfrm>
                      <a:off x="0" y="0"/>
                      <a:ext cx="7123176" cy="401770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3EE1">
        <w:br w:type="page"/>
      </w:r>
    </w:p>
    <w:sectPr w:rsidR="001759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C01A7"/>
    <w:multiLevelType w:val="multilevel"/>
    <w:tmpl w:val="363C0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98090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7C2"/>
    <w:rsid w:val="00033C88"/>
    <w:rsid w:val="000D00D9"/>
    <w:rsid w:val="000F0B5B"/>
    <w:rsid w:val="00175948"/>
    <w:rsid w:val="001C0B1E"/>
    <w:rsid w:val="001E1730"/>
    <w:rsid w:val="00204845"/>
    <w:rsid w:val="00231A62"/>
    <w:rsid w:val="0024549E"/>
    <w:rsid w:val="0027148E"/>
    <w:rsid w:val="002B7C29"/>
    <w:rsid w:val="002C70EF"/>
    <w:rsid w:val="002D3EE1"/>
    <w:rsid w:val="00313911"/>
    <w:rsid w:val="00337930"/>
    <w:rsid w:val="003651FA"/>
    <w:rsid w:val="003870D3"/>
    <w:rsid w:val="003951A5"/>
    <w:rsid w:val="003B3D75"/>
    <w:rsid w:val="003B59C8"/>
    <w:rsid w:val="003D744C"/>
    <w:rsid w:val="003F0DA6"/>
    <w:rsid w:val="004108C6"/>
    <w:rsid w:val="00463BC2"/>
    <w:rsid w:val="00463DA3"/>
    <w:rsid w:val="004675C2"/>
    <w:rsid w:val="00482EE2"/>
    <w:rsid w:val="004B67A4"/>
    <w:rsid w:val="004F79E5"/>
    <w:rsid w:val="00514676"/>
    <w:rsid w:val="005319A0"/>
    <w:rsid w:val="00574E2D"/>
    <w:rsid w:val="00577B15"/>
    <w:rsid w:val="00590C3E"/>
    <w:rsid w:val="005A5DF2"/>
    <w:rsid w:val="005A6D2B"/>
    <w:rsid w:val="005A74C5"/>
    <w:rsid w:val="005F21AC"/>
    <w:rsid w:val="006345DF"/>
    <w:rsid w:val="006409E2"/>
    <w:rsid w:val="00646D01"/>
    <w:rsid w:val="00672511"/>
    <w:rsid w:val="00690931"/>
    <w:rsid w:val="006C3439"/>
    <w:rsid w:val="006E48B0"/>
    <w:rsid w:val="00713661"/>
    <w:rsid w:val="007258F5"/>
    <w:rsid w:val="007522BA"/>
    <w:rsid w:val="008578BD"/>
    <w:rsid w:val="00862B52"/>
    <w:rsid w:val="009014F2"/>
    <w:rsid w:val="009302D2"/>
    <w:rsid w:val="009652D7"/>
    <w:rsid w:val="00990D96"/>
    <w:rsid w:val="009A1F5C"/>
    <w:rsid w:val="009B525F"/>
    <w:rsid w:val="00A0489F"/>
    <w:rsid w:val="00A04FC8"/>
    <w:rsid w:val="00A05C00"/>
    <w:rsid w:val="00A5457C"/>
    <w:rsid w:val="00A55C57"/>
    <w:rsid w:val="00A5734F"/>
    <w:rsid w:val="00A6544B"/>
    <w:rsid w:val="00A65EAD"/>
    <w:rsid w:val="00A767B3"/>
    <w:rsid w:val="00AF2632"/>
    <w:rsid w:val="00B27FC1"/>
    <w:rsid w:val="00B33A77"/>
    <w:rsid w:val="00B37EB2"/>
    <w:rsid w:val="00B62F56"/>
    <w:rsid w:val="00BC7F05"/>
    <w:rsid w:val="00BD59F1"/>
    <w:rsid w:val="00C13DE9"/>
    <w:rsid w:val="00C5793F"/>
    <w:rsid w:val="00C62D9D"/>
    <w:rsid w:val="00C966E1"/>
    <w:rsid w:val="00CA0340"/>
    <w:rsid w:val="00CD605E"/>
    <w:rsid w:val="00D016F9"/>
    <w:rsid w:val="00D13800"/>
    <w:rsid w:val="00DA2937"/>
    <w:rsid w:val="00DB232D"/>
    <w:rsid w:val="00E30C64"/>
    <w:rsid w:val="00E679DF"/>
    <w:rsid w:val="00ED276B"/>
    <w:rsid w:val="00ED57C2"/>
    <w:rsid w:val="00EF1C2E"/>
    <w:rsid w:val="00EF72FC"/>
    <w:rsid w:val="00F154B1"/>
    <w:rsid w:val="00F164AC"/>
    <w:rsid w:val="00F66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A5C6A"/>
  <w15:chartTrackingRefBased/>
  <w15:docId w15:val="{1B8ED28F-1C17-9B47-A6CF-4C4C4A249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4E2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6345DF"/>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0B5B"/>
    <w:rPr>
      <w:color w:val="0563C1" w:themeColor="hyperlink"/>
      <w:u w:val="single"/>
    </w:rPr>
  </w:style>
  <w:style w:type="character" w:styleId="UnresolvedMention">
    <w:name w:val="Unresolved Mention"/>
    <w:basedOn w:val="DefaultParagraphFont"/>
    <w:uiPriority w:val="99"/>
    <w:semiHidden/>
    <w:unhideWhenUsed/>
    <w:rsid w:val="000F0B5B"/>
    <w:rPr>
      <w:color w:val="605E5C"/>
      <w:shd w:val="clear" w:color="auto" w:fill="E1DFDD"/>
    </w:rPr>
  </w:style>
  <w:style w:type="character" w:styleId="FollowedHyperlink">
    <w:name w:val="FollowedHyperlink"/>
    <w:basedOn w:val="DefaultParagraphFont"/>
    <w:uiPriority w:val="99"/>
    <w:semiHidden/>
    <w:unhideWhenUsed/>
    <w:rsid w:val="001C0B1E"/>
    <w:rPr>
      <w:color w:val="954F72" w:themeColor="followedHyperlink"/>
      <w:u w:val="single"/>
    </w:rPr>
  </w:style>
  <w:style w:type="character" w:customStyle="1" w:styleId="Heading3Char">
    <w:name w:val="Heading 3 Char"/>
    <w:basedOn w:val="DefaultParagraphFont"/>
    <w:link w:val="Heading3"/>
    <w:uiPriority w:val="9"/>
    <w:rsid w:val="006345DF"/>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574E2D"/>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A57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A573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872496">
      <w:bodyDiv w:val="1"/>
      <w:marLeft w:val="0"/>
      <w:marRight w:val="0"/>
      <w:marTop w:val="0"/>
      <w:marBottom w:val="0"/>
      <w:divBdr>
        <w:top w:val="none" w:sz="0" w:space="0" w:color="auto"/>
        <w:left w:val="none" w:sz="0" w:space="0" w:color="auto"/>
        <w:bottom w:val="none" w:sz="0" w:space="0" w:color="auto"/>
        <w:right w:val="none" w:sz="0" w:space="0" w:color="auto"/>
      </w:divBdr>
    </w:div>
    <w:div w:id="1063138088">
      <w:bodyDiv w:val="1"/>
      <w:marLeft w:val="0"/>
      <w:marRight w:val="0"/>
      <w:marTop w:val="0"/>
      <w:marBottom w:val="0"/>
      <w:divBdr>
        <w:top w:val="none" w:sz="0" w:space="0" w:color="auto"/>
        <w:left w:val="none" w:sz="0" w:space="0" w:color="auto"/>
        <w:bottom w:val="none" w:sz="0" w:space="0" w:color="auto"/>
        <w:right w:val="none" w:sz="0" w:space="0" w:color="auto"/>
      </w:divBdr>
    </w:div>
    <w:div w:id="1363557425">
      <w:bodyDiv w:val="1"/>
      <w:marLeft w:val="0"/>
      <w:marRight w:val="0"/>
      <w:marTop w:val="0"/>
      <w:marBottom w:val="0"/>
      <w:divBdr>
        <w:top w:val="none" w:sz="0" w:space="0" w:color="auto"/>
        <w:left w:val="none" w:sz="0" w:space="0" w:color="auto"/>
        <w:bottom w:val="none" w:sz="0" w:space="0" w:color="auto"/>
        <w:right w:val="none" w:sz="0" w:space="0" w:color="auto"/>
      </w:divBdr>
    </w:div>
    <w:div w:id="1851525199">
      <w:bodyDiv w:val="1"/>
      <w:marLeft w:val="0"/>
      <w:marRight w:val="0"/>
      <w:marTop w:val="0"/>
      <w:marBottom w:val="0"/>
      <w:divBdr>
        <w:top w:val="none" w:sz="0" w:space="0" w:color="auto"/>
        <w:left w:val="none" w:sz="0" w:space="0" w:color="auto"/>
        <w:bottom w:val="none" w:sz="0" w:space="0" w:color="auto"/>
        <w:right w:val="none" w:sz="0" w:space="0" w:color="auto"/>
      </w:divBdr>
    </w:div>
    <w:div w:id="2073430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18-03/successful-futures.pdf" TargetMode="External"/><Relationship Id="rId13" Type="http://schemas.openxmlformats.org/officeDocument/2006/relationships/hyperlink" Target="https://hwb.gov.wales/storage/d5d8e39c-b534-40cb-a3f5-7e2e126d8077/foundation-phase-framework.pdf" TargetMode="External"/><Relationship Id="rId18" Type="http://schemas.openxmlformats.org/officeDocument/2006/relationships/hyperlink" Target="https://hwb.gov.wales/curriculum-for-wales/cross-curricular-skills-frameworks" TargetMode="External"/><Relationship Id="rId26"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hyperlink" Target="https://www.gov.wales/schools-census-results-january-2023-html" TargetMode="External"/><Relationship Id="rId7" Type="http://schemas.openxmlformats.org/officeDocument/2006/relationships/hyperlink" Target="https://missdcoxblog.wordpress.com/2016/12/11/dont-waste-time-on-cross-curricular-projects-or-wedging-in-other-subjects-into-your-lessons/" TargetMode="External"/><Relationship Id="rId12" Type="http://schemas.openxmlformats.org/officeDocument/2006/relationships/hyperlink" Target="https://classroom.synonym.com/disadvantages-subjectcentered-curriculum-12000458.html" TargetMode="External"/><Relationship Id="rId17" Type="http://schemas.openxmlformats.org/officeDocument/2006/relationships/hyperlink" Target="https://www.gov.wales/sites/default/files/publications/2021-11/curriculum-for-wales-progression-code.pdf" TargetMode="External"/><Relationship Id="rId25"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hwb.gov.wales/curriculum-for-wales/mathematics-and-numeracy/descriptions-of-learning/" TargetMode="External"/><Relationship Id="rId20" Type="http://schemas.openxmlformats.org/officeDocument/2006/relationships/hyperlink" Target="https://hwb.gov.wales/curriculum-for-wales/designing-your-curriculum/pedagogy"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google.com/url?sa=t&amp;source=web&amp;rct=j&amp;opi=89978449&amp;url=https://ojs.sunderland.ac.uk/index.php/sunrae/article/download/3/2&amp;ved=2ahUKEwjoj_qVsLKFAxVKQEEAHZL6DvwQFnoECCoQAQ&amp;usg=AOvVaw00yfcQOOMNMxTTYZiT4GZ9" TargetMode="External"/><Relationship Id="rId11" Type="http://schemas.openxmlformats.org/officeDocument/2006/relationships/hyperlink" Target="https://nrich.maths.org/8453" TargetMode="External"/><Relationship Id="rId24" Type="http://schemas.openxmlformats.org/officeDocument/2006/relationships/image" Target="media/image2.png"/><Relationship Id="rId5" Type="http://schemas.openxmlformats.org/officeDocument/2006/relationships/hyperlink" Target="https://intranet.uwtsd.ac.uk/departments/library-and-learning-resources/academic-and-infoskills/referencing-handbooks" TargetMode="External"/><Relationship Id="rId15" Type="http://schemas.openxmlformats.org/officeDocument/2006/relationships/hyperlink" Target="https://educationwales.blog.gov.wales/2020/03/02/areas-of-learning-and-experience-as-a-central-element-of-the-new-curriculum/" TargetMode="External"/><Relationship Id="rId23" Type="http://schemas.openxmlformats.org/officeDocument/2006/relationships/image" Target="media/image1.png"/><Relationship Id="rId28" Type="http://schemas.openxmlformats.org/officeDocument/2006/relationships/image" Target="media/image6.png"/><Relationship Id="rId10" Type="http://schemas.openxmlformats.org/officeDocument/2006/relationships/hyperlink" Target="https://www.verywellfamily.com/what-is-ability-grouping-2161808" TargetMode="External"/><Relationship Id="rId19" Type="http://schemas.openxmlformats.org/officeDocument/2006/relationships/hyperlink" Target="https://hwb.gov.wales/curriculum-for-wales/mathematics-and-numeracy/statements-of-what-matters/" TargetMode="External"/><Relationship Id="rId4" Type="http://schemas.openxmlformats.org/officeDocument/2006/relationships/webSettings" Target="webSettings.xml"/><Relationship Id="rId9" Type="http://schemas.openxmlformats.org/officeDocument/2006/relationships/hyperlink" Target="https://www.estyn.gov.wales/effective-practice/providing-enriched-experiences-develop-skills" TargetMode="External"/><Relationship Id="rId14" Type="http://schemas.openxmlformats.org/officeDocument/2006/relationships/hyperlink" Target="https://hwb.gov.wales/api/storage/19bc948b-8a3f-41e0-944a-7bf2cadf7d18/professional-standards-for-teaching-and-leadership-interactive-pdf-for-pc.pdf" TargetMode="External"/><Relationship Id="rId22" Type="http://schemas.openxmlformats.org/officeDocument/2006/relationships/hyperlink" Target="https://hwb.gov.wales/curriculum-for-wales/cross-curricular-skills-frameworks/digital-competence-framework" TargetMode="External"/><Relationship Id="rId27" Type="http://schemas.openxmlformats.org/officeDocument/2006/relationships/image" Target="media/image5.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663</TotalTime>
  <Pages>10</Pages>
  <Words>3292</Words>
  <Characters>18770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HUG20856895 (Abby Hughes)</dc:creator>
  <cp:keywords/>
  <dc:description/>
  <cp:lastModifiedBy>HUG20856895 (Abby Hughes)</cp:lastModifiedBy>
  <cp:revision>29</cp:revision>
  <dcterms:created xsi:type="dcterms:W3CDTF">2024-03-28T13:30:00Z</dcterms:created>
  <dcterms:modified xsi:type="dcterms:W3CDTF">2024-04-14T18:08:00Z</dcterms:modified>
</cp:coreProperties>
</file>