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06748" w14:textId="77777777" w:rsidR="00661ED7" w:rsidRDefault="009C7682">
      <w:pPr>
        <w:pStyle w:val="Normal1"/>
        <w:jc w:val="center"/>
        <w:rPr>
          <w:rFonts w:eastAsia="Times New Roman" w:cs="Times New Roman"/>
          <w:b/>
          <w:sz w:val="32"/>
          <w:szCs w:val="32"/>
        </w:rPr>
      </w:pPr>
      <w:r>
        <w:rPr>
          <w:rFonts w:eastAsia="Times New Roman" w:cs="Times New Roman"/>
          <w:b/>
          <w:sz w:val="32"/>
          <w:szCs w:val="32"/>
        </w:rPr>
        <w:t xml:space="preserve">Community Engagement </w:t>
      </w:r>
    </w:p>
    <w:p w14:paraId="39372F4A" w14:textId="77777777" w:rsidR="00661ED7" w:rsidRPr="00B400A9" w:rsidRDefault="009C7682">
      <w:pPr>
        <w:pStyle w:val="Normal1"/>
        <w:jc w:val="center"/>
        <w:rPr>
          <w:rFonts w:eastAsia="Times New Roman" w:cs="Times New Roman"/>
          <w:bCs/>
          <w:szCs w:val="24"/>
        </w:rPr>
      </w:pPr>
      <w:r w:rsidRPr="00B400A9">
        <w:rPr>
          <w:rFonts w:eastAsia="Times New Roman" w:cs="Times New Roman"/>
          <w:bCs/>
          <w:szCs w:val="24"/>
        </w:rPr>
        <w:t>Student Name:</w:t>
      </w:r>
    </w:p>
    <w:p w14:paraId="151E06B9" w14:textId="77777777" w:rsidR="00661ED7" w:rsidRPr="00B400A9" w:rsidRDefault="009C7682">
      <w:pPr>
        <w:pStyle w:val="Normal1"/>
        <w:jc w:val="center"/>
        <w:rPr>
          <w:rFonts w:eastAsia="Times New Roman" w:cs="Times New Roman"/>
          <w:bCs/>
          <w:szCs w:val="24"/>
        </w:rPr>
      </w:pPr>
      <w:r w:rsidRPr="00B400A9">
        <w:rPr>
          <w:rFonts w:eastAsia="Times New Roman" w:cs="Times New Roman"/>
          <w:bCs/>
          <w:szCs w:val="24"/>
        </w:rPr>
        <w:t>Student ID:</w:t>
      </w:r>
    </w:p>
    <w:p w14:paraId="3BF49CB5" w14:textId="77777777" w:rsidR="00B400A9" w:rsidRPr="00B400A9" w:rsidRDefault="009C7682">
      <w:pPr>
        <w:pStyle w:val="Normal1"/>
        <w:jc w:val="center"/>
        <w:rPr>
          <w:rFonts w:eastAsia="Times New Roman" w:cs="Times New Roman"/>
          <w:bCs/>
          <w:szCs w:val="24"/>
        </w:rPr>
      </w:pPr>
      <w:r w:rsidRPr="00B400A9">
        <w:rPr>
          <w:rFonts w:eastAsia="Times New Roman" w:cs="Times New Roman"/>
          <w:bCs/>
          <w:szCs w:val="24"/>
        </w:rPr>
        <w:t xml:space="preserve">Module Title: </w:t>
      </w:r>
    </w:p>
    <w:p w14:paraId="322C99C1" w14:textId="23C589C8" w:rsidR="00661ED7" w:rsidRDefault="00B400A9">
      <w:pPr>
        <w:pStyle w:val="Normal1"/>
        <w:jc w:val="center"/>
        <w:rPr>
          <w:rFonts w:eastAsia="Times New Roman" w:cs="Times New Roman"/>
          <w:b/>
          <w:szCs w:val="24"/>
        </w:rPr>
      </w:pPr>
      <w:r w:rsidRPr="00B400A9">
        <w:rPr>
          <w:rFonts w:eastAsia="Times New Roman" w:cs="Times New Roman"/>
          <w:bCs/>
          <w:szCs w:val="24"/>
        </w:rPr>
        <w:t>Submission Date:</w:t>
      </w:r>
      <w:r w:rsidR="009C7682">
        <w:br w:type="page"/>
      </w:r>
    </w:p>
    <w:sdt>
      <w:sdtPr>
        <w:rPr>
          <w:rFonts w:ascii="Arial" w:eastAsia="Arial" w:hAnsi="Arial" w:cs="Arial"/>
          <w:b w:val="0"/>
          <w:bCs w:val="0"/>
          <w:color w:val="auto"/>
          <w:sz w:val="22"/>
          <w:szCs w:val="22"/>
        </w:rPr>
        <w:id w:val="743119985"/>
        <w:docPartObj>
          <w:docPartGallery w:val="Table of Contents"/>
          <w:docPartUnique/>
        </w:docPartObj>
      </w:sdtPr>
      <w:sdtEndPr>
        <w:rPr>
          <w:rFonts w:ascii="Times New Roman" w:hAnsi="Times New Roman" w:cs="Times New Roman"/>
          <w:sz w:val="24"/>
          <w:szCs w:val="24"/>
        </w:rPr>
      </w:sdtEndPr>
      <w:sdtContent>
        <w:p w14:paraId="74135E52" w14:textId="77777777" w:rsidR="003D5A3D" w:rsidRDefault="003D5A3D" w:rsidP="003D5A3D">
          <w:pPr>
            <w:pStyle w:val="Titlucuprins"/>
            <w:jc w:val="center"/>
          </w:pPr>
          <w:r w:rsidRPr="003D5A3D">
            <w:rPr>
              <w:rFonts w:ascii="Times New Roman" w:hAnsi="Times New Roman" w:cs="Times New Roman"/>
              <w:color w:val="auto"/>
            </w:rPr>
            <w:t>Table of Contents</w:t>
          </w:r>
        </w:p>
        <w:p w14:paraId="26166E7F" w14:textId="77777777" w:rsidR="003D5A3D" w:rsidRPr="003D5A3D" w:rsidRDefault="003D5A3D" w:rsidP="003D5A3D">
          <w:pPr>
            <w:pStyle w:val="Cuprins1"/>
            <w:tabs>
              <w:tab w:val="right" w:leader="dot" w:pos="9350"/>
            </w:tabs>
            <w:spacing w:line="360" w:lineRule="auto"/>
            <w:jc w:val="both"/>
            <w:rPr>
              <w:rFonts w:ascii="Times New Roman" w:hAnsi="Times New Roman" w:cs="Times New Roman"/>
              <w:noProof/>
              <w:sz w:val="24"/>
              <w:szCs w:val="24"/>
            </w:rPr>
          </w:pPr>
          <w:r w:rsidRPr="003D5A3D">
            <w:rPr>
              <w:rFonts w:ascii="Times New Roman" w:hAnsi="Times New Roman" w:cs="Times New Roman"/>
              <w:sz w:val="24"/>
              <w:szCs w:val="24"/>
            </w:rPr>
            <w:fldChar w:fldCharType="begin"/>
          </w:r>
          <w:r w:rsidRPr="003D5A3D">
            <w:rPr>
              <w:rFonts w:ascii="Times New Roman" w:hAnsi="Times New Roman" w:cs="Times New Roman"/>
              <w:sz w:val="24"/>
              <w:szCs w:val="24"/>
            </w:rPr>
            <w:instrText xml:space="preserve"> TOC \o "1-3" \h \z \u </w:instrText>
          </w:r>
          <w:r w:rsidRPr="003D5A3D">
            <w:rPr>
              <w:rFonts w:ascii="Times New Roman" w:hAnsi="Times New Roman" w:cs="Times New Roman"/>
              <w:sz w:val="24"/>
              <w:szCs w:val="24"/>
            </w:rPr>
            <w:fldChar w:fldCharType="separate"/>
          </w:r>
          <w:hyperlink w:anchor="_Toc99542454" w:history="1">
            <w:r w:rsidRPr="003D5A3D">
              <w:rPr>
                <w:rStyle w:val="Hyperlink"/>
                <w:rFonts w:ascii="Times New Roman" w:hAnsi="Times New Roman" w:cs="Times New Roman"/>
                <w:noProof/>
                <w:color w:val="auto"/>
                <w:sz w:val="24"/>
                <w:szCs w:val="24"/>
              </w:rPr>
              <w:t>Introduction</w:t>
            </w:r>
            <w:r w:rsidRPr="003D5A3D">
              <w:rPr>
                <w:rFonts w:ascii="Times New Roman" w:hAnsi="Times New Roman" w:cs="Times New Roman"/>
                <w:noProof/>
                <w:webHidden/>
                <w:sz w:val="24"/>
                <w:szCs w:val="24"/>
              </w:rPr>
              <w:tab/>
            </w:r>
            <w:r w:rsidRPr="003D5A3D">
              <w:rPr>
                <w:rFonts w:ascii="Times New Roman" w:hAnsi="Times New Roman" w:cs="Times New Roman"/>
                <w:noProof/>
                <w:webHidden/>
                <w:sz w:val="24"/>
                <w:szCs w:val="24"/>
              </w:rPr>
              <w:fldChar w:fldCharType="begin"/>
            </w:r>
            <w:r w:rsidRPr="003D5A3D">
              <w:rPr>
                <w:rFonts w:ascii="Times New Roman" w:hAnsi="Times New Roman" w:cs="Times New Roman"/>
                <w:noProof/>
                <w:webHidden/>
                <w:sz w:val="24"/>
                <w:szCs w:val="24"/>
              </w:rPr>
              <w:instrText xml:space="preserve"> PAGEREF _Toc99542454 \h </w:instrText>
            </w:r>
            <w:r w:rsidRPr="003D5A3D">
              <w:rPr>
                <w:rFonts w:ascii="Times New Roman" w:hAnsi="Times New Roman" w:cs="Times New Roman"/>
                <w:noProof/>
                <w:webHidden/>
                <w:sz w:val="24"/>
                <w:szCs w:val="24"/>
              </w:rPr>
            </w:r>
            <w:r w:rsidRPr="003D5A3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3D5A3D">
              <w:rPr>
                <w:rFonts w:ascii="Times New Roman" w:hAnsi="Times New Roman" w:cs="Times New Roman"/>
                <w:noProof/>
                <w:webHidden/>
                <w:sz w:val="24"/>
                <w:szCs w:val="24"/>
              </w:rPr>
              <w:fldChar w:fldCharType="end"/>
            </w:r>
          </w:hyperlink>
        </w:p>
        <w:p w14:paraId="4599B79B" w14:textId="77777777" w:rsidR="003D5A3D" w:rsidRPr="003D5A3D" w:rsidRDefault="00191617" w:rsidP="003D5A3D">
          <w:pPr>
            <w:pStyle w:val="Cuprins1"/>
            <w:tabs>
              <w:tab w:val="right" w:leader="dot" w:pos="9350"/>
            </w:tabs>
            <w:spacing w:line="360" w:lineRule="auto"/>
            <w:jc w:val="both"/>
            <w:rPr>
              <w:rFonts w:ascii="Times New Roman" w:hAnsi="Times New Roman" w:cs="Times New Roman"/>
              <w:noProof/>
              <w:sz w:val="24"/>
              <w:szCs w:val="24"/>
            </w:rPr>
          </w:pPr>
          <w:hyperlink w:anchor="_Toc99542455" w:history="1">
            <w:r w:rsidR="003D5A3D" w:rsidRPr="003D5A3D">
              <w:rPr>
                <w:rStyle w:val="Hyperlink"/>
                <w:rFonts w:ascii="Times New Roman" w:hAnsi="Times New Roman" w:cs="Times New Roman"/>
                <w:noProof/>
                <w:color w:val="auto"/>
                <w:sz w:val="24"/>
                <w:szCs w:val="24"/>
              </w:rPr>
              <w:t>Explanation of the project</w:t>
            </w:r>
            <w:r w:rsidR="003D5A3D" w:rsidRPr="003D5A3D">
              <w:rPr>
                <w:rFonts w:ascii="Times New Roman" w:hAnsi="Times New Roman" w:cs="Times New Roman"/>
                <w:noProof/>
                <w:webHidden/>
                <w:sz w:val="24"/>
                <w:szCs w:val="24"/>
              </w:rPr>
              <w:tab/>
            </w:r>
            <w:r w:rsidR="003D5A3D" w:rsidRPr="003D5A3D">
              <w:rPr>
                <w:rFonts w:ascii="Times New Roman" w:hAnsi="Times New Roman" w:cs="Times New Roman"/>
                <w:noProof/>
                <w:webHidden/>
                <w:sz w:val="24"/>
                <w:szCs w:val="24"/>
              </w:rPr>
              <w:fldChar w:fldCharType="begin"/>
            </w:r>
            <w:r w:rsidR="003D5A3D" w:rsidRPr="003D5A3D">
              <w:rPr>
                <w:rFonts w:ascii="Times New Roman" w:hAnsi="Times New Roman" w:cs="Times New Roman"/>
                <w:noProof/>
                <w:webHidden/>
                <w:sz w:val="24"/>
                <w:szCs w:val="24"/>
              </w:rPr>
              <w:instrText xml:space="preserve"> PAGEREF _Toc99542455 \h </w:instrText>
            </w:r>
            <w:r w:rsidR="003D5A3D" w:rsidRPr="003D5A3D">
              <w:rPr>
                <w:rFonts w:ascii="Times New Roman" w:hAnsi="Times New Roman" w:cs="Times New Roman"/>
                <w:noProof/>
                <w:webHidden/>
                <w:sz w:val="24"/>
                <w:szCs w:val="24"/>
              </w:rPr>
            </w:r>
            <w:r w:rsidR="003D5A3D" w:rsidRPr="003D5A3D">
              <w:rPr>
                <w:rFonts w:ascii="Times New Roman" w:hAnsi="Times New Roman" w:cs="Times New Roman"/>
                <w:noProof/>
                <w:webHidden/>
                <w:sz w:val="24"/>
                <w:szCs w:val="24"/>
              </w:rPr>
              <w:fldChar w:fldCharType="separate"/>
            </w:r>
            <w:r w:rsidR="003D5A3D">
              <w:rPr>
                <w:rFonts w:ascii="Times New Roman" w:hAnsi="Times New Roman" w:cs="Times New Roman"/>
                <w:noProof/>
                <w:webHidden/>
                <w:sz w:val="24"/>
                <w:szCs w:val="24"/>
              </w:rPr>
              <w:t>3</w:t>
            </w:r>
            <w:r w:rsidR="003D5A3D" w:rsidRPr="003D5A3D">
              <w:rPr>
                <w:rFonts w:ascii="Times New Roman" w:hAnsi="Times New Roman" w:cs="Times New Roman"/>
                <w:noProof/>
                <w:webHidden/>
                <w:sz w:val="24"/>
                <w:szCs w:val="24"/>
              </w:rPr>
              <w:fldChar w:fldCharType="end"/>
            </w:r>
          </w:hyperlink>
        </w:p>
        <w:p w14:paraId="35259B5D" w14:textId="77777777" w:rsidR="003D5A3D" w:rsidRPr="003D5A3D" w:rsidRDefault="00191617" w:rsidP="003D5A3D">
          <w:pPr>
            <w:pStyle w:val="Cuprins1"/>
            <w:tabs>
              <w:tab w:val="right" w:leader="dot" w:pos="9350"/>
            </w:tabs>
            <w:spacing w:line="360" w:lineRule="auto"/>
            <w:jc w:val="both"/>
            <w:rPr>
              <w:rFonts w:ascii="Times New Roman" w:hAnsi="Times New Roman" w:cs="Times New Roman"/>
              <w:noProof/>
              <w:sz w:val="24"/>
              <w:szCs w:val="24"/>
            </w:rPr>
          </w:pPr>
          <w:hyperlink w:anchor="_Toc99542456" w:history="1">
            <w:r w:rsidR="003D5A3D" w:rsidRPr="003D5A3D">
              <w:rPr>
                <w:rStyle w:val="Hyperlink"/>
                <w:rFonts w:ascii="Times New Roman" w:hAnsi="Times New Roman" w:cs="Times New Roman"/>
                <w:noProof/>
                <w:color w:val="auto"/>
                <w:sz w:val="24"/>
                <w:szCs w:val="24"/>
              </w:rPr>
              <w:t>The relationship shared by the stakeholders</w:t>
            </w:r>
            <w:r w:rsidR="003D5A3D" w:rsidRPr="003D5A3D">
              <w:rPr>
                <w:rFonts w:ascii="Times New Roman" w:hAnsi="Times New Roman" w:cs="Times New Roman"/>
                <w:noProof/>
                <w:webHidden/>
                <w:sz w:val="24"/>
                <w:szCs w:val="24"/>
              </w:rPr>
              <w:tab/>
            </w:r>
            <w:r w:rsidR="003D5A3D" w:rsidRPr="003D5A3D">
              <w:rPr>
                <w:rFonts w:ascii="Times New Roman" w:hAnsi="Times New Roman" w:cs="Times New Roman"/>
                <w:noProof/>
                <w:webHidden/>
                <w:sz w:val="24"/>
                <w:szCs w:val="24"/>
              </w:rPr>
              <w:fldChar w:fldCharType="begin"/>
            </w:r>
            <w:r w:rsidR="003D5A3D" w:rsidRPr="003D5A3D">
              <w:rPr>
                <w:rFonts w:ascii="Times New Roman" w:hAnsi="Times New Roman" w:cs="Times New Roman"/>
                <w:noProof/>
                <w:webHidden/>
                <w:sz w:val="24"/>
                <w:szCs w:val="24"/>
              </w:rPr>
              <w:instrText xml:space="preserve"> PAGEREF _Toc99542456 \h </w:instrText>
            </w:r>
            <w:r w:rsidR="003D5A3D" w:rsidRPr="003D5A3D">
              <w:rPr>
                <w:rFonts w:ascii="Times New Roman" w:hAnsi="Times New Roman" w:cs="Times New Roman"/>
                <w:noProof/>
                <w:webHidden/>
                <w:sz w:val="24"/>
                <w:szCs w:val="24"/>
              </w:rPr>
            </w:r>
            <w:r w:rsidR="003D5A3D" w:rsidRPr="003D5A3D">
              <w:rPr>
                <w:rFonts w:ascii="Times New Roman" w:hAnsi="Times New Roman" w:cs="Times New Roman"/>
                <w:noProof/>
                <w:webHidden/>
                <w:sz w:val="24"/>
                <w:szCs w:val="24"/>
              </w:rPr>
              <w:fldChar w:fldCharType="separate"/>
            </w:r>
            <w:r w:rsidR="003D5A3D">
              <w:rPr>
                <w:rFonts w:ascii="Times New Roman" w:hAnsi="Times New Roman" w:cs="Times New Roman"/>
                <w:noProof/>
                <w:webHidden/>
                <w:sz w:val="24"/>
                <w:szCs w:val="24"/>
              </w:rPr>
              <w:t>4</w:t>
            </w:r>
            <w:r w:rsidR="003D5A3D" w:rsidRPr="003D5A3D">
              <w:rPr>
                <w:rFonts w:ascii="Times New Roman" w:hAnsi="Times New Roman" w:cs="Times New Roman"/>
                <w:noProof/>
                <w:webHidden/>
                <w:sz w:val="24"/>
                <w:szCs w:val="24"/>
              </w:rPr>
              <w:fldChar w:fldCharType="end"/>
            </w:r>
          </w:hyperlink>
        </w:p>
        <w:p w14:paraId="7EC60165" w14:textId="77777777" w:rsidR="003D5A3D" w:rsidRPr="003D5A3D" w:rsidRDefault="00191617" w:rsidP="003D5A3D">
          <w:pPr>
            <w:pStyle w:val="Cuprins1"/>
            <w:tabs>
              <w:tab w:val="right" w:leader="dot" w:pos="9350"/>
            </w:tabs>
            <w:spacing w:line="360" w:lineRule="auto"/>
            <w:jc w:val="both"/>
            <w:rPr>
              <w:rFonts w:ascii="Times New Roman" w:hAnsi="Times New Roman" w:cs="Times New Roman"/>
              <w:noProof/>
              <w:sz w:val="24"/>
              <w:szCs w:val="24"/>
            </w:rPr>
          </w:pPr>
          <w:hyperlink w:anchor="_Toc99542457" w:history="1">
            <w:r w:rsidR="003D5A3D" w:rsidRPr="003D5A3D">
              <w:rPr>
                <w:rStyle w:val="Hyperlink"/>
                <w:rFonts w:ascii="Times New Roman" w:hAnsi="Times New Roman" w:cs="Times New Roman"/>
                <w:noProof/>
                <w:color w:val="auto"/>
                <w:sz w:val="24"/>
                <w:szCs w:val="24"/>
              </w:rPr>
              <w:t>Strategies of the social media in multiculturalism and cultural integration</w:t>
            </w:r>
            <w:r w:rsidR="003D5A3D" w:rsidRPr="003D5A3D">
              <w:rPr>
                <w:rFonts w:ascii="Times New Roman" w:hAnsi="Times New Roman" w:cs="Times New Roman"/>
                <w:noProof/>
                <w:webHidden/>
                <w:sz w:val="24"/>
                <w:szCs w:val="24"/>
              </w:rPr>
              <w:tab/>
            </w:r>
            <w:r w:rsidR="003D5A3D" w:rsidRPr="003D5A3D">
              <w:rPr>
                <w:rFonts w:ascii="Times New Roman" w:hAnsi="Times New Roman" w:cs="Times New Roman"/>
                <w:noProof/>
                <w:webHidden/>
                <w:sz w:val="24"/>
                <w:szCs w:val="24"/>
              </w:rPr>
              <w:fldChar w:fldCharType="begin"/>
            </w:r>
            <w:r w:rsidR="003D5A3D" w:rsidRPr="003D5A3D">
              <w:rPr>
                <w:rFonts w:ascii="Times New Roman" w:hAnsi="Times New Roman" w:cs="Times New Roman"/>
                <w:noProof/>
                <w:webHidden/>
                <w:sz w:val="24"/>
                <w:szCs w:val="24"/>
              </w:rPr>
              <w:instrText xml:space="preserve"> PAGEREF _Toc99542457 \h </w:instrText>
            </w:r>
            <w:r w:rsidR="003D5A3D" w:rsidRPr="003D5A3D">
              <w:rPr>
                <w:rFonts w:ascii="Times New Roman" w:hAnsi="Times New Roman" w:cs="Times New Roman"/>
                <w:noProof/>
                <w:webHidden/>
                <w:sz w:val="24"/>
                <w:szCs w:val="24"/>
              </w:rPr>
            </w:r>
            <w:r w:rsidR="003D5A3D" w:rsidRPr="003D5A3D">
              <w:rPr>
                <w:rFonts w:ascii="Times New Roman" w:hAnsi="Times New Roman" w:cs="Times New Roman"/>
                <w:noProof/>
                <w:webHidden/>
                <w:sz w:val="24"/>
                <w:szCs w:val="24"/>
              </w:rPr>
              <w:fldChar w:fldCharType="separate"/>
            </w:r>
            <w:r w:rsidR="003D5A3D">
              <w:rPr>
                <w:rFonts w:ascii="Times New Roman" w:hAnsi="Times New Roman" w:cs="Times New Roman"/>
                <w:noProof/>
                <w:webHidden/>
                <w:sz w:val="24"/>
                <w:szCs w:val="24"/>
              </w:rPr>
              <w:t>5</w:t>
            </w:r>
            <w:r w:rsidR="003D5A3D" w:rsidRPr="003D5A3D">
              <w:rPr>
                <w:rFonts w:ascii="Times New Roman" w:hAnsi="Times New Roman" w:cs="Times New Roman"/>
                <w:noProof/>
                <w:webHidden/>
                <w:sz w:val="24"/>
                <w:szCs w:val="24"/>
              </w:rPr>
              <w:fldChar w:fldCharType="end"/>
            </w:r>
          </w:hyperlink>
        </w:p>
        <w:p w14:paraId="0D306BE4" w14:textId="77777777" w:rsidR="003D5A3D" w:rsidRPr="003D5A3D" w:rsidRDefault="00191617" w:rsidP="003D5A3D">
          <w:pPr>
            <w:pStyle w:val="Cuprins1"/>
            <w:tabs>
              <w:tab w:val="right" w:leader="dot" w:pos="9350"/>
            </w:tabs>
            <w:spacing w:line="360" w:lineRule="auto"/>
            <w:jc w:val="both"/>
            <w:rPr>
              <w:rFonts w:ascii="Times New Roman" w:hAnsi="Times New Roman" w:cs="Times New Roman"/>
              <w:noProof/>
              <w:sz w:val="24"/>
              <w:szCs w:val="24"/>
            </w:rPr>
          </w:pPr>
          <w:hyperlink w:anchor="_Toc99542458" w:history="1">
            <w:r w:rsidR="003D5A3D" w:rsidRPr="003D5A3D">
              <w:rPr>
                <w:rStyle w:val="Hyperlink"/>
                <w:rFonts w:ascii="Times New Roman" w:hAnsi="Times New Roman" w:cs="Times New Roman"/>
                <w:noProof/>
                <w:color w:val="auto"/>
                <w:sz w:val="24"/>
                <w:szCs w:val="24"/>
              </w:rPr>
              <w:t>Forthcoming Approach</w:t>
            </w:r>
            <w:r w:rsidR="003D5A3D" w:rsidRPr="003D5A3D">
              <w:rPr>
                <w:rFonts w:ascii="Times New Roman" w:hAnsi="Times New Roman" w:cs="Times New Roman"/>
                <w:noProof/>
                <w:webHidden/>
                <w:sz w:val="24"/>
                <w:szCs w:val="24"/>
              </w:rPr>
              <w:tab/>
            </w:r>
            <w:r w:rsidR="003D5A3D" w:rsidRPr="003D5A3D">
              <w:rPr>
                <w:rFonts w:ascii="Times New Roman" w:hAnsi="Times New Roman" w:cs="Times New Roman"/>
                <w:noProof/>
                <w:webHidden/>
                <w:sz w:val="24"/>
                <w:szCs w:val="24"/>
              </w:rPr>
              <w:fldChar w:fldCharType="begin"/>
            </w:r>
            <w:r w:rsidR="003D5A3D" w:rsidRPr="003D5A3D">
              <w:rPr>
                <w:rFonts w:ascii="Times New Roman" w:hAnsi="Times New Roman" w:cs="Times New Roman"/>
                <w:noProof/>
                <w:webHidden/>
                <w:sz w:val="24"/>
                <w:szCs w:val="24"/>
              </w:rPr>
              <w:instrText xml:space="preserve"> PAGEREF _Toc99542458 \h </w:instrText>
            </w:r>
            <w:r w:rsidR="003D5A3D" w:rsidRPr="003D5A3D">
              <w:rPr>
                <w:rFonts w:ascii="Times New Roman" w:hAnsi="Times New Roman" w:cs="Times New Roman"/>
                <w:noProof/>
                <w:webHidden/>
                <w:sz w:val="24"/>
                <w:szCs w:val="24"/>
              </w:rPr>
            </w:r>
            <w:r w:rsidR="003D5A3D" w:rsidRPr="003D5A3D">
              <w:rPr>
                <w:rFonts w:ascii="Times New Roman" w:hAnsi="Times New Roman" w:cs="Times New Roman"/>
                <w:noProof/>
                <w:webHidden/>
                <w:sz w:val="24"/>
                <w:szCs w:val="24"/>
              </w:rPr>
              <w:fldChar w:fldCharType="separate"/>
            </w:r>
            <w:r w:rsidR="003D5A3D">
              <w:rPr>
                <w:rFonts w:ascii="Times New Roman" w:hAnsi="Times New Roman" w:cs="Times New Roman"/>
                <w:noProof/>
                <w:webHidden/>
                <w:sz w:val="24"/>
                <w:szCs w:val="24"/>
              </w:rPr>
              <w:t>7</w:t>
            </w:r>
            <w:r w:rsidR="003D5A3D" w:rsidRPr="003D5A3D">
              <w:rPr>
                <w:rFonts w:ascii="Times New Roman" w:hAnsi="Times New Roman" w:cs="Times New Roman"/>
                <w:noProof/>
                <w:webHidden/>
                <w:sz w:val="24"/>
                <w:szCs w:val="24"/>
              </w:rPr>
              <w:fldChar w:fldCharType="end"/>
            </w:r>
          </w:hyperlink>
        </w:p>
        <w:p w14:paraId="15A7C865" w14:textId="77777777" w:rsidR="003D5A3D" w:rsidRPr="003D5A3D" w:rsidRDefault="00191617" w:rsidP="003D5A3D">
          <w:pPr>
            <w:pStyle w:val="Cuprins1"/>
            <w:tabs>
              <w:tab w:val="right" w:leader="dot" w:pos="9350"/>
            </w:tabs>
            <w:spacing w:line="360" w:lineRule="auto"/>
            <w:jc w:val="both"/>
            <w:rPr>
              <w:rFonts w:ascii="Times New Roman" w:hAnsi="Times New Roman" w:cs="Times New Roman"/>
              <w:noProof/>
              <w:sz w:val="24"/>
              <w:szCs w:val="24"/>
            </w:rPr>
          </w:pPr>
          <w:hyperlink w:anchor="_Toc99542459" w:history="1">
            <w:r w:rsidR="003D5A3D" w:rsidRPr="003D5A3D">
              <w:rPr>
                <w:rStyle w:val="Hyperlink"/>
                <w:rFonts w:ascii="Times New Roman" w:hAnsi="Times New Roman" w:cs="Times New Roman"/>
                <w:noProof/>
                <w:color w:val="auto"/>
                <w:sz w:val="24"/>
                <w:szCs w:val="24"/>
              </w:rPr>
              <w:t>Conclusion</w:t>
            </w:r>
            <w:r w:rsidR="003D5A3D" w:rsidRPr="003D5A3D">
              <w:rPr>
                <w:rFonts w:ascii="Times New Roman" w:hAnsi="Times New Roman" w:cs="Times New Roman"/>
                <w:noProof/>
                <w:webHidden/>
                <w:sz w:val="24"/>
                <w:szCs w:val="24"/>
              </w:rPr>
              <w:tab/>
            </w:r>
            <w:r w:rsidR="003D5A3D" w:rsidRPr="003D5A3D">
              <w:rPr>
                <w:rFonts w:ascii="Times New Roman" w:hAnsi="Times New Roman" w:cs="Times New Roman"/>
                <w:noProof/>
                <w:webHidden/>
                <w:sz w:val="24"/>
                <w:szCs w:val="24"/>
              </w:rPr>
              <w:fldChar w:fldCharType="begin"/>
            </w:r>
            <w:r w:rsidR="003D5A3D" w:rsidRPr="003D5A3D">
              <w:rPr>
                <w:rFonts w:ascii="Times New Roman" w:hAnsi="Times New Roman" w:cs="Times New Roman"/>
                <w:noProof/>
                <w:webHidden/>
                <w:sz w:val="24"/>
                <w:szCs w:val="24"/>
              </w:rPr>
              <w:instrText xml:space="preserve"> PAGEREF _Toc99542459 \h </w:instrText>
            </w:r>
            <w:r w:rsidR="003D5A3D" w:rsidRPr="003D5A3D">
              <w:rPr>
                <w:rFonts w:ascii="Times New Roman" w:hAnsi="Times New Roman" w:cs="Times New Roman"/>
                <w:noProof/>
                <w:webHidden/>
                <w:sz w:val="24"/>
                <w:szCs w:val="24"/>
              </w:rPr>
            </w:r>
            <w:r w:rsidR="003D5A3D" w:rsidRPr="003D5A3D">
              <w:rPr>
                <w:rFonts w:ascii="Times New Roman" w:hAnsi="Times New Roman" w:cs="Times New Roman"/>
                <w:noProof/>
                <w:webHidden/>
                <w:sz w:val="24"/>
                <w:szCs w:val="24"/>
              </w:rPr>
              <w:fldChar w:fldCharType="separate"/>
            </w:r>
            <w:r w:rsidR="003D5A3D">
              <w:rPr>
                <w:rFonts w:ascii="Times New Roman" w:hAnsi="Times New Roman" w:cs="Times New Roman"/>
                <w:noProof/>
                <w:webHidden/>
                <w:sz w:val="24"/>
                <w:szCs w:val="24"/>
              </w:rPr>
              <w:t>7</w:t>
            </w:r>
            <w:r w:rsidR="003D5A3D" w:rsidRPr="003D5A3D">
              <w:rPr>
                <w:rFonts w:ascii="Times New Roman" w:hAnsi="Times New Roman" w:cs="Times New Roman"/>
                <w:noProof/>
                <w:webHidden/>
                <w:sz w:val="24"/>
                <w:szCs w:val="24"/>
              </w:rPr>
              <w:fldChar w:fldCharType="end"/>
            </w:r>
          </w:hyperlink>
        </w:p>
        <w:p w14:paraId="60BF97DE" w14:textId="77777777" w:rsidR="003D5A3D" w:rsidRPr="003D5A3D" w:rsidRDefault="00191617" w:rsidP="003D5A3D">
          <w:pPr>
            <w:pStyle w:val="Cuprins1"/>
            <w:tabs>
              <w:tab w:val="right" w:leader="dot" w:pos="9350"/>
            </w:tabs>
            <w:spacing w:line="360" w:lineRule="auto"/>
            <w:jc w:val="both"/>
            <w:rPr>
              <w:rFonts w:ascii="Times New Roman" w:hAnsi="Times New Roman" w:cs="Times New Roman"/>
              <w:noProof/>
              <w:sz w:val="24"/>
              <w:szCs w:val="24"/>
            </w:rPr>
          </w:pPr>
          <w:hyperlink w:anchor="_Toc99542460" w:history="1">
            <w:r w:rsidR="003D5A3D" w:rsidRPr="003D5A3D">
              <w:rPr>
                <w:rStyle w:val="Hyperlink"/>
                <w:rFonts w:ascii="Times New Roman" w:hAnsi="Times New Roman" w:cs="Times New Roman"/>
                <w:noProof/>
                <w:color w:val="auto"/>
                <w:sz w:val="24"/>
                <w:szCs w:val="24"/>
              </w:rPr>
              <w:t>References</w:t>
            </w:r>
            <w:r w:rsidR="003D5A3D" w:rsidRPr="003D5A3D">
              <w:rPr>
                <w:rFonts w:ascii="Times New Roman" w:hAnsi="Times New Roman" w:cs="Times New Roman"/>
                <w:noProof/>
                <w:webHidden/>
                <w:sz w:val="24"/>
                <w:szCs w:val="24"/>
              </w:rPr>
              <w:tab/>
            </w:r>
            <w:r w:rsidR="003D5A3D" w:rsidRPr="003D5A3D">
              <w:rPr>
                <w:rFonts w:ascii="Times New Roman" w:hAnsi="Times New Roman" w:cs="Times New Roman"/>
                <w:noProof/>
                <w:webHidden/>
                <w:sz w:val="24"/>
                <w:szCs w:val="24"/>
              </w:rPr>
              <w:fldChar w:fldCharType="begin"/>
            </w:r>
            <w:r w:rsidR="003D5A3D" w:rsidRPr="003D5A3D">
              <w:rPr>
                <w:rFonts w:ascii="Times New Roman" w:hAnsi="Times New Roman" w:cs="Times New Roman"/>
                <w:noProof/>
                <w:webHidden/>
                <w:sz w:val="24"/>
                <w:szCs w:val="24"/>
              </w:rPr>
              <w:instrText xml:space="preserve"> PAGEREF _Toc99542460 \h </w:instrText>
            </w:r>
            <w:r w:rsidR="003D5A3D" w:rsidRPr="003D5A3D">
              <w:rPr>
                <w:rFonts w:ascii="Times New Roman" w:hAnsi="Times New Roman" w:cs="Times New Roman"/>
                <w:noProof/>
                <w:webHidden/>
                <w:sz w:val="24"/>
                <w:szCs w:val="24"/>
              </w:rPr>
            </w:r>
            <w:r w:rsidR="003D5A3D" w:rsidRPr="003D5A3D">
              <w:rPr>
                <w:rFonts w:ascii="Times New Roman" w:hAnsi="Times New Roman" w:cs="Times New Roman"/>
                <w:noProof/>
                <w:webHidden/>
                <w:sz w:val="24"/>
                <w:szCs w:val="24"/>
              </w:rPr>
              <w:fldChar w:fldCharType="separate"/>
            </w:r>
            <w:r w:rsidR="003D5A3D">
              <w:rPr>
                <w:rFonts w:ascii="Times New Roman" w:hAnsi="Times New Roman" w:cs="Times New Roman"/>
                <w:noProof/>
                <w:webHidden/>
                <w:sz w:val="24"/>
                <w:szCs w:val="24"/>
              </w:rPr>
              <w:t>9</w:t>
            </w:r>
            <w:r w:rsidR="003D5A3D" w:rsidRPr="003D5A3D">
              <w:rPr>
                <w:rFonts w:ascii="Times New Roman" w:hAnsi="Times New Roman" w:cs="Times New Roman"/>
                <w:noProof/>
                <w:webHidden/>
                <w:sz w:val="24"/>
                <w:szCs w:val="24"/>
              </w:rPr>
              <w:fldChar w:fldCharType="end"/>
            </w:r>
          </w:hyperlink>
        </w:p>
        <w:p w14:paraId="3131FCEF" w14:textId="77777777" w:rsidR="003D5A3D" w:rsidRPr="003D5A3D" w:rsidRDefault="003D5A3D" w:rsidP="003D5A3D">
          <w:pPr>
            <w:spacing w:line="360" w:lineRule="auto"/>
            <w:jc w:val="both"/>
            <w:rPr>
              <w:rFonts w:ascii="Times New Roman" w:hAnsi="Times New Roman" w:cs="Times New Roman"/>
              <w:sz w:val="24"/>
              <w:szCs w:val="24"/>
            </w:rPr>
          </w:pPr>
          <w:r w:rsidRPr="003D5A3D">
            <w:rPr>
              <w:rFonts w:ascii="Times New Roman" w:hAnsi="Times New Roman" w:cs="Times New Roman"/>
              <w:sz w:val="24"/>
              <w:szCs w:val="24"/>
            </w:rPr>
            <w:fldChar w:fldCharType="end"/>
          </w:r>
        </w:p>
      </w:sdtContent>
    </w:sdt>
    <w:p w14:paraId="65C13C22" w14:textId="77777777" w:rsidR="003D5A3D" w:rsidRDefault="003D5A3D">
      <w:pPr>
        <w:rPr>
          <w:rFonts w:ascii="Times New Roman" w:eastAsia="Times New Roman" w:hAnsi="Times New Roman" w:cs="Times New Roman"/>
          <w:b/>
          <w:sz w:val="24"/>
          <w:szCs w:val="24"/>
        </w:rPr>
      </w:pPr>
      <w:r>
        <w:rPr>
          <w:rFonts w:eastAsia="Times New Roman" w:cs="Times New Roman"/>
          <w:b/>
          <w:szCs w:val="24"/>
        </w:rPr>
        <w:br w:type="page"/>
      </w:r>
    </w:p>
    <w:p w14:paraId="412CBFFD" w14:textId="6C4382F6" w:rsidR="00661ED7" w:rsidRPr="00B400A9" w:rsidRDefault="009C7682" w:rsidP="00B400A9">
      <w:pPr>
        <w:pStyle w:val="Normal1"/>
        <w:jc w:val="center"/>
        <w:rPr>
          <w:rFonts w:eastAsia="Times New Roman" w:cs="Times New Roman"/>
          <w:b/>
          <w:sz w:val="32"/>
          <w:szCs w:val="32"/>
        </w:rPr>
      </w:pPr>
      <w:r w:rsidRPr="00B400A9">
        <w:rPr>
          <w:rFonts w:eastAsia="Times New Roman" w:cs="Times New Roman"/>
          <w:b/>
          <w:sz w:val="32"/>
          <w:szCs w:val="32"/>
        </w:rPr>
        <w:t>Part A</w:t>
      </w:r>
    </w:p>
    <w:p w14:paraId="6CCE2C5E" w14:textId="77777777" w:rsidR="00661ED7" w:rsidRPr="00B400A9" w:rsidRDefault="009C7682" w:rsidP="00B400A9">
      <w:pPr>
        <w:pStyle w:val="Normal1"/>
        <w:jc w:val="center"/>
        <w:rPr>
          <w:rFonts w:eastAsia="Times New Roman" w:cs="Times New Roman"/>
          <w:b/>
          <w:sz w:val="32"/>
          <w:szCs w:val="32"/>
        </w:rPr>
      </w:pPr>
      <w:r w:rsidRPr="00B400A9">
        <w:rPr>
          <w:rFonts w:eastAsia="Times New Roman" w:cs="Times New Roman"/>
          <w:b/>
          <w:sz w:val="32"/>
          <w:szCs w:val="32"/>
        </w:rPr>
        <w:t>Process of community engagement by local authority</w:t>
      </w:r>
    </w:p>
    <w:p w14:paraId="3C88FBB9" w14:textId="77777777" w:rsidR="00661ED7" w:rsidRDefault="003D5A3D" w:rsidP="003D5A3D">
      <w:pPr>
        <w:pStyle w:val="Titlu1"/>
        <w:rPr>
          <w:sz w:val="24"/>
        </w:rPr>
      </w:pPr>
      <w:bookmarkStart w:id="0" w:name="_Toc99542454"/>
      <w:r>
        <w:t>Introduction</w:t>
      </w:r>
      <w:bookmarkEnd w:id="0"/>
      <w:r>
        <w:t xml:space="preserve"> </w:t>
      </w:r>
    </w:p>
    <w:p w14:paraId="6E2DBF7F" w14:textId="77777777" w:rsidR="00661ED7" w:rsidRPr="003D5A3D" w:rsidRDefault="009C7682" w:rsidP="003D5A3D">
      <w:pPr>
        <w:pStyle w:val="Normal1"/>
      </w:pPr>
      <w:r w:rsidRPr="003D5A3D">
        <w:t xml:space="preserve">Community engagement is the working process that collaborates a mass number of people within a certain geographic territory. It involves a specific motive or purpose of the work but the objective of all community engagements is the same, that is the development of the society from various aspects such as financial, cultural, moral or maybe technological as well. It generally pursues voluntary contribution by the community members for the welfare of society. On the other hand, it boosts up the employees of the organisation morally to do something better and new for mental satisfaction (De Weger et al., 2018). Woodland Trust is an organisation who are involved in the plantation of millions of trees throughout the year for wildlife preservation and environmental benefits. The vision of the organisation is to establish the United Kingdom as a green rich nation. Therefore, Woodland trust arranges several programmes to engage the mass community in noble work. They promote the organisation to the local communities with their purpose and strategies of the work so that people feel interested and contribute financially and physically to the trustee board (McElwee and Nghi, 2021). This report will explore the project of Woodland trust in detail. It will also help to understand the merged relationship with the stakeholders. Strategies obtained by Woodland Trust for cultural integration and the future of the project will be sustained in this following report. </w:t>
      </w:r>
    </w:p>
    <w:p w14:paraId="6C185C6D" w14:textId="77777777" w:rsidR="00661ED7" w:rsidRDefault="003D5A3D" w:rsidP="003D5A3D">
      <w:pPr>
        <w:pStyle w:val="Titlu1"/>
        <w:rPr>
          <w:sz w:val="24"/>
        </w:rPr>
      </w:pPr>
      <w:bookmarkStart w:id="1" w:name="_Toc99542455"/>
      <w:r>
        <w:t>Explanation of the project</w:t>
      </w:r>
      <w:bookmarkEnd w:id="1"/>
      <w:r>
        <w:t xml:space="preserve"> </w:t>
      </w:r>
    </w:p>
    <w:p w14:paraId="7D9EB402" w14:textId="77777777" w:rsidR="00661ED7" w:rsidRPr="003D5A3D" w:rsidRDefault="009C7682" w:rsidP="003D5A3D">
      <w:pPr>
        <w:pStyle w:val="Normal1"/>
      </w:pPr>
      <w:r w:rsidRPr="003D5A3D">
        <w:t xml:space="preserve">Woodland Trust was founded by Kenneth Watkins in 1972. The main concern of the project was to find out the reasons for the loss of traditional woodlands and the founder wanted to execute something as compensation for the massive loss of the planet. From there, the journey of the organisation started. It has become the largest conservation charity in the UK holding 500,000 members and supporters. The motive of the assigned project of Woodland Trust is to plant enormous trees round the year (Wang et al., 2022). They arrange campaigns to engage local authorities for understanding the necessity of preserving greens. Woodland Trust is also involved in restoring damaged trees so that they can be alive again. Through different campaigns, Woodland Trust promotes the motive of the organisation and engages local people and the international market too to become a supporter of the project. Donations, Grants, are being sanctioned by individuals or groups for the help of Woodland Trust. Woodland Trust also initiated arranged events for explaining the environmental laws brought by the UK Government. The campaigns organised each year by the authority are to boost up the people for planting trees in domestic places as well to fight climate change. The local councillors, nurseries, authorities of parks and gardens, schools and different residential complexes are involved in those campaigns which help the trustee to reciprocate the fundamental need of organisation for social and environmental benefits. Woodland Trust also sells trees online for the plantation in domestic and commercial places so that the United Kingdom receives a pure airy ambience by reducing the percentage of greenhouse gases and carbon dioxide. By arranging campaigns, the organisation collects funds for trees and woods and invests the fund in plantations, wildlife preservation and other environmentally beneficial works (Di Sacco et al., 2021). They have also projected support from online communities. Online supporters use #BigClimateFightBack to promote the good habit of tree plantations all over the world as it is the simplest solution for beautification and at the same time works as a natural air purifier. Woodland Trust has a specific motive for the tree plantation project is to carry forward the concept of Go Green to the upcoming generation. They are also involved in crowdfunding from local communities to involve mass people in this noble work to make them understand that it is a sort of investment for their future itself. In the past years, they arranged several events and campaigns to involve maximum people as a part of their work and in the upcoming days also it will be continued (Wang et al., 2019). In recent days, they are going to arrange a walkthrough woods campaign which will be continued in Bellmount and surrounding areas to share their thoughts on the recent Woodland texture and pattern of the rural territories. Woodland Trust also fascinated the event by naming it a magical journey and the specific campaign will take place in Rowanbank in the first week of April 2022. </w:t>
      </w:r>
    </w:p>
    <w:p w14:paraId="4C6CBF04" w14:textId="77777777" w:rsidR="00661ED7" w:rsidRPr="003D5A3D" w:rsidRDefault="009C7682" w:rsidP="003D5A3D">
      <w:pPr>
        <w:pStyle w:val="Titlu1"/>
        <w:rPr>
          <w:szCs w:val="24"/>
        </w:rPr>
      </w:pPr>
      <w:bookmarkStart w:id="2" w:name="_Toc99542456"/>
      <w:r w:rsidRPr="003D5A3D">
        <w:rPr>
          <w:szCs w:val="24"/>
        </w:rPr>
        <w:t>The relationshi</w:t>
      </w:r>
      <w:r w:rsidR="003D5A3D" w:rsidRPr="003D5A3D">
        <w:rPr>
          <w:szCs w:val="24"/>
        </w:rPr>
        <w:t>p shared by the stakeholders</w:t>
      </w:r>
      <w:bookmarkEnd w:id="2"/>
      <w:r w:rsidR="003D5A3D" w:rsidRPr="003D5A3D">
        <w:rPr>
          <w:szCs w:val="24"/>
        </w:rPr>
        <w:t xml:space="preserve"> </w:t>
      </w:r>
    </w:p>
    <w:p w14:paraId="02E8D3E6" w14:textId="77777777" w:rsidR="00661ED7" w:rsidRPr="003D5A3D" w:rsidRDefault="009C7682" w:rsidP="003D5A3D">
      <w:pPr>
        <w:pStyle w:val="Normal1"/>
      </w:pPr>
      <w:r w:rsidRPr="003D5A3D">
        <w:t>Woodland Trust shares an excellent relationship with the stakeholders for the sustainable growth of the organisation and to secure the financial contribution. Following are the stakeholders of Woodland Trust mentioned below:</w:t>
      </w:r>
    </w:p>
    <w:p w14:paraId="3915D10F" w14:textId="77777777" w:rsidR="00661ED7" w:rsidRPr="003D5A3D" w:rsidRDefault="009C7682">
      <w:pPr>
        <w:pStyle w:val="Normal1"/>
        <w:numPr>
          <w:ilvl w:val="0"/>
          <w:numId w:val="2"/>
        </w:numPr>
      </w:pPr>
      <w:r>
        <w:rPr>
          <w:rFonts w:eastAsia="Times New Roman" w:cs="Times New Roman"/>
          <w:b/>
          <w:color w:val="0E101A"/>
          <w:szCs w:val="24"/>
        </w:rPr>
        <w:t xml:space="preserve">Employees </w:t>
      </w:r>
      <w:r>
        <w:rPr>
          <w:rFonts w:eastAsia="Times New Roman" w:cs="Times New Roman"/>
          <w:color w:val="0E101A"/>
          <w:szCs w:val="24"/>
        </w:rPr>
        <w:t xml:space="preserve">- </w:t>
      </w:r>
      <w:r w:rsidRPr="003D5A3D">
        <w:t xml:space="preserve">The Board of Directors manage a positive attitude towards the employees of the organisation. They share a friendly working atmosphere and allow opportunities for self-development. By involving the employees in all the moral campaigns, they feel energised to work for a better tomorrow. </w:t>
      </w:r>
    </w:p>
    <w:p w14:paraId="1501F044" w14:textId="77777777" w:rsidR="00661ED7" w:rsidRDefault="009C7682">
      <w:pPr>
        <w:pStyle w:val="Normal1"/>
        <w:numPr>
          <w:ilvl w:val="0"/>
          <w:numId w:val="2"/>
        </w:numPr>
        <w:rPr>
          <w:rFonts w:eastAsia="Times New Roman" w:cs="Times New Roman"/>
          <w:szCs w:val="24"/>
        </w:rPr>
      </w:pPr>
      <w:r>
        <w:rPr>
          <w:rFonts w:eastAsia="Times New Roman" w:cs="Times New Roman"/>
          <w:b/>
          <w:color w:val="0E101A"/>
          <w:szCs w:val="24"/>
        </w:rPr>
        <w:t xml:space="preserve">Members - </w:t>
      </w:r>
      <w:r w:rsidRPr="003D5A3D">
        <w:t>Woodland Trust handles the member number of 500,000 wisely without any hassles or misconduct. A good relationship maintained with the members allows the people to renew their membership every year. A single-member costs Ero 2.5 per month for taking membership while for a couple it comes to Euro 3. For a family of four, it costs Euro 4 per month. After taking the membership, Woodland Trust provides a welcome pack and membership card along with a brief of over 1000 woods and trees (Lock, 2019). Members can also donate separately to the contribution fund of the Woodland trust.</w:t>
      </w:r>
      <w:r>
        <w:rPr>
          <w:rFonts w:eastAsia="Times New Roman" w:cs="Times New Roman"/>
          <w:color w:val="0E101A"/>
          <w:szCs w:val="24"/>
        </w:rPr>
        <w:t xml:space="preserve"> </w:t>
      </w:r>
    </w:p>
    <w:p w14:paraId="066B1395" w14:textId="77777777" w:rsidR="00661ED7" w:rsidRPr="003D5A3D" w:rsidRDefault="009C7682">
      <w:pPr>
        <w:pStyle w:val="Normal1"/>
        <w:numPr>
          <w:ilvl w:val="0"/>
          <w:numId w:val="2"/>
        </w:numPr>
      </w:pPr>
      <w:r>
        <w:rPr>
          <w:rFonts w:eastAsia="Times New Roman" w:cs="Times New Roman"/>
          <w:b/>
          <w:color w:val="0E101A"/>
          <w:szCs w:val="24"/>
        </w:rPr>
        <w:t xml:space="preserve">Donors </w:t>
      </w:r>
      <w:r>
        <w:rPr>
          <w:rFonts w:eastAsia="Times New Roman" w:cs="Times New Roman"/>
          <w:color w:val="0E101A"/>
          <w:szCs w:val="24"/>
        </w:rPr>
        <w:t xml:space="preserve">- </w:t>
      </w:r>
      <w:r w:rsidRPr="003D5A3D">
        <w:t xml:space="preserve">Woodland Trust has plenty of donors who contribute to the noble project of the organisation in wildlife preservation and planting trees. They receive donations online from different parts of the world as well as donations formed in different social campaigns. Many organisations from different sectors of the UK contribute to the fund of Woodland Trust to suffice their Corporate Social responsibilities (López‐Concepción et al., 2022). People fighting for environmental sustainability actively participate in the project, are also considered donors of physical labour by Woodland Trust. </w:t>
      </w:r>
    </w:p>
    <w:p w14:paraId="54DAFB6B" w14:textId="77777777" w:rsidR="00661ED7" w:rsidRPr="003D5A3D" w:rsidRDefault="009C7682">
      <w:pPr>
        <w:pStyle w:val="Normal1"/>
        <w:numPr>
          <w:ilvl w:val="0"/>
          <w:numId w:val="2"/>
        </w:numPr>
      </w:pPr>
      <w:r>
        <w:rPr>
          <w:rFonts w:eastAsia="Times New Roman" w:cs="Times New Roman"/>
          <w:b/>
          <w:color w:val="0E101A"/>
          <w:szCs w:val="24"/>
        </w:rPr>
        <w:t xml:space="preserve">Local Community </w:t>
      </w:r>
      <w:r>
        <w:rPr>
          <w:rFonts w:eastAsia="Times New Roman" w:cs="Times New Roman"/>
          <w:color w:val="0E101A"/>
          <w:szCs w:val="24"/>
        </w:rPr>
        <w:t xml:space="preserve">- </w:t>
      </w:r>
      <w:r w:rsidRPr="003D5A3D">
        <w:t xml:space="preserve">Woodland arrange campaigns, promote their social responsibilities in the local community to involve them in a mass quantity. The organisation keeps a healthy relationship with such stakeholders by instigating them to plant trees in the domestic territory. They also influence them to share their experience of tree plantation on the Facebook and Instagram pages of Woodland Trust. </w:t>
      </w:r>
    </w:p>
    <w:p w14:paraId="6FEC0BDD" w14:textId="77777777" w:rsidR="00661ED7" w:rsidRDefault="009C7682" w:rsidP="003D5A3D">
      <w:pPr>
        <w:pStyle w:val="Titlu1"/>
      </w:pPr>
      <w:bookmarkStart w:id="3" w:name="_Toc99542457"/>
      <w:r>
        <w:t>Strategies of the social media in multicultural</w:t>
      </w:r>
      <w:r w:rsidR="003D5A3D">
        <w:t>ism and cultural integration</w:t>
      </w:r>
      <w:bookmarkEnd w:id="3"/>
      <w:r w:rsidR="003D5A3D">
        <w:t xml:space="preserve"> </w:t>
      </w:r>
    </w:p>
    <w:p w14:paraId="4D900EE0" w14:textId="392AF511" w:rsidR="00661ED7" w:rsidRPr="003D5A3D" w:rsidRDefault="009C7682">
      <w:pPr>
        <w:pStyle w:val="Normal1"/>
      </w:pPr>
      <w:r>
        <w:rPr>
          <w:rFonts w:eastAsia="Times New Roman" w:cs="Times New Roman"/>
          <w:b/>
          <w:color w:val="0E101A"/>
          <w:szCs w:val="24"/>
        </w:rPr>
        <w:t xml:space="preserve">Role of social media in multiculturalism - </w:t>
      </w:r>
      <w:r w:rsidR="007B1568" w:rsidRPr="003D5A3D">
        <w:t>social media</w:t>
      </w:r>
      <w:r w:rsidRPr="003D5A3D">
        <w:t xml:space="preserve"> has created an easy way to realise that cultures in different forms are very much required on all sets of platforms. With the revolutionary innovation of smartphones, internet technology, and powerful applications the world has become a miniature in the pocket itself. Facebook, Twitter, Instagram and other social pages bring people together to communicate with each other. The trending hashtag in the social media pages started in 2007 and has become a strategy of different organisations or groups to promote their activities. The hashtag concept gathers more people from different parts of the world to comment on specific content (Algharabat and Rana, 2021). As a consequence, researchers find multiple opinions of different users easily. Many organisations, in the context of Woodland Trust as well use this hashtag for promoting their different projects over social media. #BigClimateFightBack is a trending concept of Woodland Trust which consists of allowing</w:t>
      </w:r>
      <w:r>
        <w:rPr>
          <w:rFonts w:eastAsia="Times New Roman" w:cs="Times New Roman"/>
          <w:color w:val="0E101A"/>
          <w:szCs w:val="24"/>
        </w:rPr>
        <w:t xml:space="preserve"> </w:t>
      </w:r>
      <w:r w:rsidRPr="003D5A3D">
        <w:t xml:space="preserve">people to join for sharing views and share experiences regarding plantation and wildlife preservation. They also use catchy headlines while posting photographs or any content for the fundraising activity. It helps to react to people from different cultural backgrounds in the post and fundraising becomes easy. Facebook is widely used by Woodland trust to receive multicultural opinions for their project named Fight Against Climate change and another one Provide Homes for Wildlife (Lou et al., 2021). Twitter is also used by Woodland Trust to understand the reach of the organisation worldwide. Fundraising activities and donations are also part of Twitter handling by Woodland trust. The Hashtag concept is also used by Woodland Trust on Instagram pages to evaluate the sense of multiculturalism in their online activities. It has been found that apart from the UK or Europe, Woodland Trust has also become popular on online platforms in other countries too such as South-East Asian and overseas. </w:t>
      </w:r>
    </w:p>
    <w:p w14:paraId="2A978F4D" w14:textId="77777777" w:rsidR="00661ED7" w:rsidRPr="003D5A3D" w:rsidRDefault="009C7682">
      <w:pPr>
        <w:pStyle w:val="Normal1"/>
      </w:pPr>
      <w:r>
        <w:rPr>
          <w:rFonts w:eastAsia="Times New Roman" w:cs="Times New Roman"/>
          <w:b/>
          <w:color w:val="0E101A"/>
          <w:szCs w:val="24"/>
        </w:rPr>
        <w:t xml:space="preserve">Role of social media in Cultural Integration - </w:t>
      </w:r>
      <w:r w:rsidRPr="003D5A3D">
        <w:t xml:space="preserve">Social media pages are widely involved in cultural integration for societal and environmental benefits. People use their social media accounts to share their peace of personal life in public forums to maintain healthy relationships in the community. Such social media accounts are detailed along with the host country, personal information of the account holder and the interests of the person. People with common aspects try to establish sustainable communication within the common community across the countries. Maybe the mother tongue or the cultural background is different, but because of available common factors, people try to communicate and integrate. Woodland Trust also uses social media pages for cultural integration (Tan and Apisit-Isariyah, 2018). They post their everyday activities on their various social media accounts and people react across the world. Questions and answers take place among the community members over the social media page on the topic of interest and therefore, cultural integration becomes sustained. </w:t>
      </w:r>
    </w:p>
    <w:p w14:paraId="13615458" w14:textId="77777777" w:rsidR="00661ED7" w:rsidRDefault="003D5A3D" w:rsidP="003D5A3D">
      <w:pPr>
        <w:pStyle w:val="Titlu1"/>
        <w:rPr>
          <w:sz w:val="24"/>
        </w:rPr>
      </w:pPr>
      <w:bookmarkStart w:id="4" w:name="_Toc99542458"/>
      <w:r>
        <w:t>Forthcoming Approach</w:t>
      </w:r>
      <w:bookmarkEnd w:id="4"/>
      <w:r>
        <w:t xml:space="preserve"> </w:t>
      </w:r>
    </w:p>
    <w:p w14:paraId="17ED5F81" w14:textId="77777777" w:rsidR="00661ED7" w:rsidRDefault="009C7682">
      <w:pPr>
        <w:pStyle w:val="Normal1"/>
        <w:rPr>
          <w:rFonts w:eastAsia="Times New Roman" w:cs="Times New Roman"/>
          <w:color w:val="0E101A"/>
          <w:szCs w:val="24"/>
        </w:rPr>
      </w:pPr>
      <w:r>
        <w:rPr>
          <w:rFonts w:eastAsia="Times New Roman" w:cs="Times New Roman"/>
          <w:color w:val="0E101A"/>
          <w:szCs w:val="24"/>
        </w:rPr>
        <w:t>The Woodland Trust has a ten years strategy in their timeframe for all future projects. They have taken different projects in hand for the environmental benefit listed below:</w:t>
      </w:r>
    </w:p>
    <w:p w14:paraId="08759FCC" w14:textId="77777777" w:rsidR="00661ED7" w:rsidRDefault="009C7682">
      <w:pPr>
        <w:pStyle w:val="Normal1"/>
        <w:numPr>
          <w:ilvl w:val="0"/>
          <w:numId w:val="1"/>
        </w:numPr>
        <w:rPr>
          <w:rFonts w:eastAsia="Times New Roman" w:cs="Times New Roman"/>
          <w:szCs w:val="24"/>
        </w:rPr>
      </w:pPr>
      <w:r>
        <w:rPr>
          <w:rFonts w:eastAsia="Times New Roman" w:cs="Times New Roman"/>
          <w:b/>
          <w:color w:val="0E101A"/>
          <w:szCs w:val="24"/>
        </w:rPr>
        <w:t xml:space="preserve">Reducing the use of pesticides </w:t>
      </w:r>
      <w:r>
        <w:rPr>
          <w:rFonts w:eastAsia="Times New Roman" w:cs="Times New Roman"/>
          <w:color w:val="0E101A"/>
          <w:szCs w:val="24"/>
        </w:rPr>
        <w:t>- Continuous use of pesticides in the agricultural field is polluting the soil and earthy water. It is also affecting the health of trees and shrubs. Woodland Trust is in a plan to reduce the use of pesticides and therefore wants to launch a campaign to enforce organic agriculture.</w:t>
      </w:r>
    </w:p>
    <w:p w14:paraId="238016F9" w14:textId="77777777" w:rsidR="00661ED7" w:rsidRDefault="009C7682">
      <w:pPr>
        <w:pStyle w:val="Normal1"/>
        <w:numPr>
          <w:ilvl w:val="0"/>
          <w:numId w:val="1"/>
        </w:numPr>
        <w:rPr>
          <w:rFonts w:eastAsia="Times New Roman" w:cs="Times New Roman"/>
          <w:szCs w:val="24"/>
        </w:rPr>
      </w:pPr>
      <w:r>
        <w:rPr>
          <w:rFonts w:eastAsia="Times New Roman" w:cs="Times New Roman"/>
          <w:color w:val="0E101A"/>
          <w:szCs w:val="24"/>
        </w:rPr>
        <w:t>I</w:t>
      </w:r>
      <w:r>
        <w:rPr>
          <w:rFonts w:eastAsia="Times New Roman" w:cs="Times New Roman"/>
          <w:b/>
          <w:color w:val="0E101A"/>
          <w:szCs w:val="24"/>
        </w:rPr>
        <w:t>mposing natural benefits for a healthy life -</w:t>
      </w:r>
      <w:r>
        <w:rPr>
          <w:rFonts w:eastAsia="Times New Roman" w:cs="Times New Roman"/>
          <w:color w:val="0E101A"/>
          <w:szCs w:val="24"/>
        </w:rPr>
        <w:t xml:space="preserve"> The project of planting trees has been started along with the journey of the organisation. Woodland Trust has launched an advertising campaign for promoting all the healthier benefits received because of a good amount of trees (Meijaard et al., 2021). </w:t>
      </w:r>
    </w:p>
    <w:p w14:paraId="03FE1B56" w14:textId="77777777" w:rsidR="00661ED7" w:rsidRDefault="009C7682">
      <w:pPr>
        <w:pStyle w:val="Normal1"/>
        <w:numPr>
          <w:ilvl w:val="0"/>
          <w:numId w:val="1"/>
        </w:numPr>
        <w:rPr>
          <w:rFonts w:eastAsia="Times New Roman" w:cs="Times New Roman"/>
          <w:szCs w:val="24"/>
        </w:rPr>
      </w:pPr>
      <w:r>
        <w:rPr>
          <w:rFonts w:eastAsia="Times New Roman" w:cs="Times New Roman"/>
          <w:b/>
          <w:color w:val="0E101A"/>
          <w:szCs w:val="24"/>
        </w:rPr>
        <w:t>Fight for strict environmental laws -</w:t>
      </w:r>
      <w:r>
        <w:rPr>
          <w:rFonts w:eastAsia="Times New Roman" w:cs="Times New Roman"/>
          <w:color w:val="0E101A"/>
          <w:szCs w:val="24"/>
        </w:rPr>
        <w:t xml:space="preserve"> The organisation has found that the Government needs to work more to be strict enough with the environmental policies. Therefore, breaking the environmental laws needs to be treated as a violation of the act and punishment in the form of imprisonment or fine to be established (Höhl et al., 2020). </w:t>
      </w:r>
    </w:p>
    <w:p w14:paraId="466B73A8" w14:textId="77777777" w:rsidR="00661ED7" w:rsidRDefault="009C7682">
      <w:pPr>
        <w:pStyle w:val="Normal1"/>
        <w:numPr>
          <w:ilvl w:val="0"/>
          <w:numId w:val="1"/>
        </w:numPr>
        <w:rPr>
          <w:rFonts w:eastAsia="Times New Roman" w:cs="Times New Roman"/>
          <w:szCs w:val="24"/>
        </w:rPr>
      </w:pPr>
      <w:r>
        <w:rPr>
          <w:rFonts w:eastAsia="Times New Roman" w:cs="Times New Roman"/>
          <w:b/>
          <w:color w:val="0E101A"/>
          <w:szCs w:val="24"/>
        </w:rPr>
        <w:t xml:space="preserve">Green Uk within 2025 - </w:t>
      </w:r>
      <w:r>
        <w:rPr>
          <w:rFonts w:eastAsia="Times New Roman" w:cs="Times New Roman"/>
          <w:color w:val="0E101A"/>
          <w:szCs w:val="24"/>
        </w:rPr>
        <w:t>The goal of making the United Kingdom green has been taken by Woodland Trust seriously and therefore, they are planning to plant more than 20 million trees within 2025 in respect of giving environmental benefits to both wildlife and human life.</w:t>
      </w:r>
    </w:p>
    <w:p w14:paraId="2340BD77" w14:textId="77777777" w:rsidR="00661ED7" w:rsidRDefault="009C7682" w:rsidP="003D5A3D">
      <w:pPr>
        <w:pStyle w:val="Titlu1"/>
      </w:pPr>
      <w:bookmarkStart w:id="5" w:name="_Toc99542459"/>
      <w:r>
        <w:t>Conclusion</w:t>
      </w:r>
      <w:bookmarkEnd w:id="5"/>
      <w:r>
        <w:t xml:space="preserve"> </w:t>
      </w:r>
    </w:p>
    <w:p w14:paraId="05B13203" w14:textId="77777777" w:rsidR="00661ED7" w:rsidRPr="003D5A3D" w:rsidRDefault="009C7682" w:rsidP="003D5A3D">
      <w:pPr>
        <w:pStyle w:val="Normal1"/>
      </w:pPr>
      <w:r w:rsidRPr="003D5A3D">
        <w:t xml:space="preserve">Lastly, in conclusion, community engagement is a powerful tool of social revolution. The organisation’s different social activities are performed for the sake of social and economical benefits and can be considered community engagement. Here, the platforms involve local authorities and communities to work together. Such noble works are recognised by many tycoons and they come forward for the donation and sponsorship of such activities. Woodland Trust has been founded by such organisations who fight for environmental welfare. Plantation of trees, wildlife preservation are the main motives of the organisation. Therefore, they arrange many campaigns on the border to involve local communities as a part of their work. Physical and financial investment both are counted as community engagement in Woodland trust. The organisation believes in women's empowerment. Therefore, they launch campaigns of tours to the forest or plantation of the trees where specifically female contributors are welcomed. In general, throughout the year, the organisation becomes very much active in programming the different welfare gatherings which are used for the promotion of the company as well as fundraising purposes. Woodland trust has membership cards segmented into single, couple and family members with the involvement of nominal monetary payment. Woodland Trust believes in strong and healthy relationships with its stakeholders. To hold the brand image for fundraising purposes and generate memberships, the organisation takes extra care of the stakeholder's well-being.. \by using social media pages, Woodland Trust has integrated the diversity in culture and gathered maximum people in their membership account. With all its future projects, Woodland trust will shine more and deliver sustainable environmental benefits to the entire society. </w:t>
      </w:r>
    </w:p>
    <w:p w14:paraId="79D83DE8" w14:textId="77777777" w:rsidR="00661ED7" w:rsidRPr="003D5A3D" w:rsidRDefault="00661ED7" w:rsidP="003D5A3D">
      <w:pPr>
        <w:pStyle w:val="Normal1"/>
      </w:pPr>
    </w:p>
    <w:p w14:paraId="77CBDC8C" w14:textId="77777777" w:rsidR="00661ED7" w:rsidRPr="003D5A3D" w:rsidRDefault="009C7682" w:rsidP="003D5A3D">
      <w:pPr>
        <w:pStyle w:val="Normal1"/>
      </w:pPr>
      <w:r w:rsidRPr="003D5A3D">
        <w:br w:type="page"/>
      </w:r>
    </w:p>
    <w:p w14:paraId="62D8DD05" w14:textId="77777777" w:rsidR="00661ED7" w:rsidRDefault="009C7682" w:rsidP="003D5A3D">
      <w:pPr>
        <w:pStyle w:val="Titlu1"/>
      </w:pPr>
      <w:bookmarkStart w:id="6" w:name="_Toc99542460"/>
      <w:r>
        <w:t>References</w:t>
      </w:r>
      <w:bookmarkEnd w:id="6"/>
      <w:r>
        <w:t xml:space="preserve">  </w:t>
      </w:r>
    </w:p>
    <w:p w14:paraId="34A3F3E4" w14:textId="77777777" w:rsidR="003D5A3D" w:rsidRPr="003D5A3D" w:rsidRDefault="003D5A3D" w:rsidP="003D5A3D">
      <w:pPr>
        <w:pStyle w:val="Normal1"/>
      </w:pPr>
      <w:r w:rsidRPr="003D5A3D">
        <w:t xml:space="preserve">Algharabat, R.S. and Rana, N.P., 2021. Social commerce in emerging markets and its impact on online community engagement. Information Systems Frontiers, 23(6), pp.1499-1520. Available at: </w:t>
      </w:r>
      <w:hyperlink r:id="rId8">
        <w:r w:rsidRPr="003D5A3D">
          <w:t>https://link.springer.com/article/10.1007/s10796-020-10041-4</w:t>
        </w:r>
      </w:hyperlink>
      <w:r w:rsidRPr="003D5A3D">
        <w:t xml:space="preserve"> </w:t>
      </w:r>
    </w:p>
    <w:p w14:paraId="10D03AF6" w14:textId="77777777" w:rsidR="003D5A3D" w:rsidRPr="003D5A3D" w:rsidRDefault="003D5A3D" w:rsidP="003D5A3D">
      <w:pPr>
        <w:pStyle w:val="Normal1"/>
      </w:pPr>
      <w:r w:rsidRPr="003D5A3D">
        <w:t xml:space="preserve">De Weger, E., Van Vooren, N., Luijkx, K.G., Baan, C.A. and Drewes, H.W., 2018. Achieving successful community engagement: a rapid realist review. BMC health services research, 18(1), pp.1-18. Available at: </w:t>
      </w:r>
      <w:hyperlink r:id="rId9">
        <w:r w:rsidRPr="003D5A3D">
          <w:t>https://bmchealthservres.biomedcentral.com/articles/10.1186/s12913-018-3090-1</w:t>
        </w:r>
      </w:hyperlink>
      <w:r w:rsidRPr="003D5A3D">
        <w:t xml:space="preserve"> </w:t>
      </w:r>
    </w:p>
    <w:p w14:paraId="1F72ADA3" w14:textId="77777777" w:rsidR="003D5A3D" w:rsidRPr="003D5A3D" w:rsidRDefault="003D5A3D" w:rsidP="003D5A3D">
      <w:pPr>
        <w:pStyle w:val="Normal1"/>
      </w:pPr>
      <w:r w:rsidRPr="003D5A3D">
        <w:t xml:space="preserve">Di Sacco, A., Hardwick, K.A., Blakesley, D., Brancalion, P.H., Breman, E., Cecilio Rebola, L., Chomba, S., Dixon, K., Elliott, S., Ruyonga, G. and Shaw, K., 2021. Ten golden rules for reforestation to optimize carbon sequestration, biodiversity recovery and livelihood benefits. Global Change Biology, 27(7), pp.1328-1348. Available at: </w:t>
      </w:r>
      <w:hyperlink r:id="rId10">
        <w:r w:rsidRPr="003D5A3D">
          <w:t>https://onlinelibrary.wiley.com/doi/pdf/10.1111/gcb.15498</w:t>
        </w:r>
      </w:hyperlink>
      <w:r w:rsidRPr="003D5A3D">
        <w:t xml:space="preserve"> </w:t>
      </w:r>
    </w:p>
    <w:p w14:paraId="0D7BF785" w14:textId="77777777" w:rsidR="003D5A3D" w:rsidRPr="003D5A3D" w:rsidRDefault="003D5A3D" w:rsidP="003D5A3D">
      <w:pPr>
        <w:pStyle w:val="Normal1"/>
      </w:pPr>
      <w:r w:rsidRPr="003D5A3D">
        <w:t xml:space="preserve">Höhl, M., Ahimbisibwe, V., Stanturf, J.A., Elsasser, P., Kleine, M. and Bolte, A., 2020. Forest landscape restoration—what generates failure and success?. Forests, 11(9), p.938. Available at: </w:t>
      </w:r>
      <w:hyperlink r:id="rId11">
        <w:r w:rsidRPr="003D5A3D">
          <w:t>https://www.mdpi.com/1999-4907/11/9/938/pdf</w:t>
        </w:r>
      </w:hyperlink>
      <w:r w:rsidRPr="003D5A3D">
        <w:t xml:space="preserve"> </w:t>
      </w:r>
    </w:p>
    <w:p w14:paraId="67D370B9" w14:textId="77777777" w:rsidR="003D5A3D" w:rsidRPr="003D5A3D" w:rsidRDefault="003D5A3D" w:rsidP="003D5A3D">
      <w:pPr>
        <w:pStyle w:val="Normal1"/>
      </w:pPr>
      <w:r w:rsidRPr="003D5A3D">
        <w:t xml:space="preserve">Lock, I., 2019. Explicating communicative organization-stakeholder relationships in the digital age: A systematic review and research agenda. Public Relations Review, 45(4), p.101829. Available at: </w:t>
      </w:r>
      <w:hyperlink r:id="rId12">
        <w:r w:rsidRPr="003D5A3D">
          <w:t>https://www.sciencedirect.com/science/article/pii/S0363811118305769</w:t>
        </w:r>
      </w:hyperlink>
      <w:r w:rsidRPr="003D5A3D">
        <w:t xml:space="preserve"> </w:t>
      </w:r>
    </w:p>
    <w:p w14:paraId="35984705" w14:textId="77777777" w:rsidR="003D5A3D" w:rsidRPr="003D5A3D" w:rsidRDefault="003D5A3D" w:rsidP="003D5A3D">
      <w:pPr>
        <w:pStyle w:val="Normal1"/>
      </w:pPr>
      <w:r w:rsidRPr="003D5A3D">
        <w:t xml:space="preserve">López‐Concepción, A., Gil‐Lacruz, A.I. and Saz‐Gil, I., 2022. Stakeholder engagement, Csr development and Sdgs compliance: A systematic review from 2015 to 2021. Corporate Social Responsibility and Environmental Management, 29(1), pp.19-31. Available at: </w:t>
      </w:r>
      <w:hyperlink r:id="rId13">
        <w:r w:rsidRPr="003D5A3D">
          <w:t>https://onlinelibrary.wiley.com/doi/pdfdirect/10.1002/csr.2170</w:t>
        </w:r>
      </w:hyperlink>
      <w:r w:rsidRPr="003D5A3D">
        <w:t xml:space="preserve"> </w:t>
      </w:r>
    </w:p>
    <w:p w14:paraId="2DE94E2E" w14:textId="77777777" w:rsidR="003D5A3D" w:rsidRPr="003D5A3D" w:rsidRDefault="003D5A3D" w:rsidP="003D5A3D">
      <w:pPr>
        <w:pStyle w:val="Normal1"/>
      </w:pPr>
      <w:r w:rsidRPr="003D5A3D">
        <w:t xml:space="preserve">Lou, L., Jiao, Y. and Koh, J., 2021. Determinants of Fan Engagement in Social Media-Based Brand Communities: A Brand Relationship Quality Perspective. Sustainability, 13(11), p.6117. Available at: </w:t>
      </w:r>
      <w:hyperlink r:id="rId14">
        <w:r w:rsidRPr="003D5A3D">
          <w:t>https://www.mdpi.com/2071-1050/13/11/6117/pdf</w:t>
        </w:r>
      </w:hyperlink>
      <w:r w:rsidRPr="003D5A3D">
        <w:t xml:space="preserve"> </w:t>
      </w:r>
    </w:p>
    <w:p w14:paraId="6A68F980" w14:textId="77777777" w:rsidR="003D5A3D" w:rsidRPr="003D5A3D" w:rsidRDefault="003D5A3D" w:rsidP="003D5A3D">
      <w:pPr>
        <w:pStyle w:val="Normal1"/>
      </w:pPr>
      <w:r w:rsidRPr="003D5A3D">
        <w:t xml:space="preserve">McElwee, P. and Nghi, T.H., 2021. Assessing the social benefits of tree planting by smallholders in Vietnam: lessons for large-scale reforestation programs. Ecological Restoration, 39(1-2), pp.52-63. Available at: </w:t>
      </w:r>
      <w:hyperlink r:id="rId15">
        <w:r w:rsidRPr="003D5A3D">
          <w:t>http://er.uwpress.org/content/39/1-2/52.full.pdf</w:t>
        </w:r>
      </w:hyperlink>
      <w:r w:rsidRPr="003D5A3D">
        <w:t xml:space="preserve"> </w:t>
      </w:r>
    </w:p>
    <w:p w14:paraId="58388594" w14:textId="77777777" w:rsidR="003D5A3D" w:rsidRPr="003D5A3D" w:rsidRDefault="003D5A3D" w:rsidP="003D5A3D">
      <w:pPr>
        <w:pStyle w:val="Normal1"/>
      </w:pPr>
      <w:r w:rsidRPr="003D5A3D">
        <w:t xml:space="preserve">Meijaard, E., Santika, T., Wilson, K.A., Budiharta, S., Kusworo, A., Law, E.A., Friedman, R., Hutabarat, J.A., Indrawan, T.P., Sherman, J. and St. John, F.A., 2021. Toward improved impact evaluation of community forest management in Indonesia. Conservation Science and Practice, 3(1), p.e189. Available at: </w:t>
      </w:r>
      <w:hyperlink r:id="rId16">
        <w:r w:rsidRPr="003D5A3D">
          <w:t>https://conbio.onlinelibrary.wiley.com/doi/pdfdirect/10.1111/csp2.189</w:t>
        </w:r>
      </w:hyperlink>
      <w:r w:rsidRPr="003D5A3D">
        <w:t xml:space="preserve"> </w:t>
      </w:r>
    </w:p>
    <w:p w14:paraId="0B69760E" w14:textId="77777777" w:rsidR="003D5A3D" w:rsidRPr="003D5A3D" w:rsidRDefault="003D5A3D" w:rsidP="003D5A3D">
      <w:pPr>
        <w:pStyle w:val="Normal1"/>
      </w:pPr>
      <w:r w:rsidRPr="003D5A3D">
        <w:t xml:space="preserve">Tan, C.C. and Apisit-Isariyah, P., 2018. Towards a community-based theory of brand community engagement. Advanced Science Letters, 24(7), pp.5167-5170. Available at: </w:t>
      </w:r>
      <w:hyperlink r:id="rId17">
        <w:r w:rsidRPr="003D5A3D">
          <w:t>https://www.researchgate.net/profile/Cc-Tan-2/publication/326101484_Towards_a_Community-Based_Theory_of_Brand_Community_Engagement/links/601957a0299bf1cc2698f5e6/Towards-a-Community-Based-Theory-of-Brand-Community-Engagement.pdf</w:t>
        </w:r>
      </w:hyperlink>
      <w:r w:rsidRPr="003D5A3D">
        <w:t xml:space="preserve"> </w:t>
      </w:r>
    </w:p>
    <w:p w14:paraId="67E2B127" w14:textId="77777777" w:rsidR="003D5A3D" w:rsidRPr="003D5A3D" w:rsidRDefault="003D5A3D" w:rsidP="003D5A3D">
      <w:pPr>
        <w:pStyle w:val="Normal1"/>
      </w:pPr>
      <w:r w:rsidRPr="003D5A3D">
        <w:t xml:space="preserve">Wang, C., Zhang, W., Li, X. and Wu, J., 2022. A global meta‐analysis of the impacts of tree plantations on biodiversity. Global Ecology and Biogeography, 31(3), pp.576-587. Available at: </w:t>
      </w:r>
      <w:hyperlink r:id="rId18">
        <w:r w:rsidRPr="003D5A3D">
          <w:t>https://onlinelibrary.wiley.com/doi/pdfdirect/10.1111/geb.13440</w:t>
        </w:r>
      </w:hyperlink>
      <w:r w:rsidRPr="003D5A3D">
        <w:t xml:space="preserve"> </w:t>
      </w:r>
    </w:p>
    <w:p w14:paraId="7EB31C9A" w14:textId="77777777" w:rsidR="003D5A3D" w:rsidRPr="003D5A3D" w:rsidRDefault="003D5A3D" w:rsidP="003D5A3D">
      <w:pPr>
        <w:pStyle w:val="Normal1"/>
      </w:pPr>
      <w:r w:rsidRPr="003D5A3D">
        <w:t xml:space="preserve">Wang, X., Hua, F., Wang, L., Wilcove, D.S. and Yu, D.W., 2019. The biodiversity benefit of native forests and mixed‐species plantations over monoculture plantations. Diversity and Distributions, 25(11), pp.1721-1735. Available at: </w:t>
      </w:r>
      <w:hyperlink r:id="rId19">
        <w:r w:rsidRPr="003D5A3D">
          <w:t>https://onlinelibrary.wiley.com/doi/pdf/10.1111/ddi.12972</w:t>
        </w:r>
      </w:hyperlink>
      <w:r w:rsidRPr="003D5A3D">
        <w:t xml:space="preserve"> </w:t>
      </w:r>
    </w:p>
    <w:sectPr w:rsidR="003D5A3D" w:rsidRPr="003D5A3D" w:rsidSect="003D5A3D">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4A756" w14:textId="77777777" w:rsidR="003E7CD5" w:rsidRDefault="003E7CD5" w:rsidP="003D5A3D">
      <w:pPr>
        <w:spacing w:line="240" w:lineRule="auto"/>
      </w:pPr>
      <w:r>
        <w:separator/>
      </w:r>
    </w:p>
  </w:endnote>
  <w:endnote w:type="continuationSeparator" w:id="0">
    <w:p w14:paraId="18D7F326" w14:textId="77777777" w:rsidR="003E7CD5" w:rsidRDefault="003E7CD5" w:rsidP="003D5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119995"/>
      <w:docPartObj>
        <w:docPartGallery w:val="Page Numbers (Bottom of Page)"/>
        <w:docPartUnique/>
      </w:docPartObj>
    </w:sdtPr>
    <w:sdtEndPr/>
    <w:sdtContent>
      <w:sdt>
        <w:sdtPr>
          <w:id w:val="565050523"/>
          <w:docPartObj>
            <w:docPartGallery w:val="Page Numbers (Top of Page)"/>
            <w:docPartUnique/>
          </w:docPartObj>
        </w:sdtPr>
        <w:sdtEndPr/>
        <w:sdtContent>
          <w:p w14:paraId="27E403E2" w14:textId="77777777" w:rsidR="003D5A3D" w:rsidRDefault="003D5A3D">
            <w:pPr>
              <w:pStyle w:val="Subsol"/>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sdtContent>
      </w:sdt>
    </w:sdtContent>
  </w:sdt>
  <w:p w14:paraId="7175B96F" w14:textId="77777777" w:rsidR="003D5A3D" w:rsidRDefault="003D5A3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2D8F1" w14:textId="77777777" w:rsidR="003E7CD5" w:rsidRDefault="003E7CD5" w:rsidP="003D5A3D">
      <w:pPr>
        <w:spacing w:line="240" w:lineRule="auto"/>
      </w:pPr>
      <w:r>
        <w:separator/>
      </w:r>
    </w:p>
  </w:footnote>
  <w:footnote w:type="continuationSeparator" w:id="0">
    <w:p w14:paraId="4451E1C7" w14:textId="77777777" w:rsidR="003E7CD5" w:rsidRDefault="003E7CD5" w:rsidP="003D5A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0250F"/>
    <w:multiLevelType w:val="multilevel"/>
    <w:tmpl w:val="2E5E41B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1F65304"/>
    <w:multiLevelType w:val="multilevel"/>
    <w:tmpl w:val="F624721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D7"/>
    <w:rsid w:val="00191617"/>
    <w:rsid w:val="003D5A3D"/>
    <w:rsid w:val="003E7CD5"/>
    <w:rsid w:val="00503904"/>
    <w:rsid w:val="00661ED7"/>
    <w:rsid w:val="007B1568"/>
    <w:rsid w:val="009C7682"/>
    <w:rsid w:val="00B40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A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3D5A3D"/>
    <w:pPr>
      <w:keepNext/>
      <w:keepLines/>
      <w:spacing w:before="400" w:after="120"/>
      <w:outlineLvl w:val="0"/>
    </w:pPr>
    <w:rPr>
      <w:b/>
      <w:sz w:val="28"/>
      <w:szCs w:val="40"/>
    </w:rPr>
  </w:style>
  <w:style w:type="paragraph" w:styleId="Titlu2">
    <w:name w:val="heading 2"/>
    <w:basedOn w:val="Normal1"/>
    <w:next w:val="Normal1"/>
    <w:rsid w:val="00661ED7"/>
    <w:pPr>
      <w:keepNext/>
      <w:keepLines/>
      <w:spacing w:before="360" w:after="120"/>
      <w:outlineLvl w:val="1"/>
    </w:pPr>
    <w:rPr>
      <w:sz w:val="32"/>
      <w:szCs w:val="32"/>
    </w:rPr>
  </w:style>
  <w:style w:type="paragraph" w:styleId="Titlu3">
    <w:name w:val="heading 3"/>
    <w:basedOn w:val="Normal1"/>
    <w:next w:val="Normal1"/>
    <w:rsid w:val="00661ED7"/>
    <w:pPr>
      <w:keepNext/>
      <w:keepLines/>
      <w:spacing w:before="320" w:after="80"/>
      <w:outlineLvl w:val="2"/>
    </w:pPr>
    <w:rPr>
      <w:color w:val="434343"/>
      <w:sz w:val="28"/>
      <w:szCs w:val="28"/>
    </w:rPr>
  </w:style>
  <w:style w:type="paragraph" w:styleId="Titlu4">
    <w:name w:val="heading 4"/>
    <w:basedOn w:val="Normal1"/>
    <w:next w:val="Normal1"/>
    <w:rsid w:val="00661ED7"/>
    <w:pPr>
      <w:keepNext/>
      <w:keepLines/>
      <w:spacing w:before="280" w:after="80"/>
      <w:outlineLvl w:val="3"/>
    </w:pPr>
    <w:rPr>
      <w:color w:val="666666"/>
      <w:szCs w:val="24"/>
    </w:rPr>
  </w:style>
  <w:style w:type="paragraph" w:styleId="Titlu5">
    <w:name w:val="heading 5"/>
    <w:basedOn w:val="Normal1"/>
    <w:next w:val="Normal1"/>
    <w:rsid w:val="00661ED7"/>
    <w:pPr>
      <w:keepNext/>
      <w:keepLines/>
      <w:spacing w:before="240" w:after="80"/>
      <w:outlineLvl w:val="4"/>
    </w:pPr>
    <w:rPr>
      <w:color w:val="666666"/>
      <w:sz w:val="22"/>
    </w:rPr>
  </w:style>
  <w:style w:type="paragraph" w:styleId="Titlu6">
    <w:name w:val="heading 6"/>
    <w:basedOn w:val="Normal1"/>
    <w:next w:val="Normal1"/>
    <w:rsid w:val="00661ED7"/>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3D5A3D"/>
    <w:pPr>
      <w:spacing w:line="360" w:lineRule="auto"/>
      <w:jc w:val="both"/>
    </w:pPr>
    <w:rPr>
      <w:rFonts w:ascii="Times New Roman" w:hAnsi="Times New Roman"/>
      <w:sz w:val="24"/>
    </w:rPr>
  </w:style>
  <w:style w:type="paragraph" w:styleId="Titlu">
    <w:name w:val="Title"/>
    <w:basedOn w:val="Normal1"/>
    <w:next w:val="Normal1"/>
    <w:rsid w:val="00661ED7"/>
    <w:pPr>
      <w:keepNext/>
      <w:keepLines/>
      <w:spacing w:after="60"/>
    </w:pPr>
    <w:rPr>
      <w:sz w:val="52"/>
      <w:szCs w:val="52"/>
    </w:rPr>
  </w:style>
  <w:style w:type="paragraph" w:styleId="Subtitlu">
    <w:name w:val="Subtitle"/>
    <w:basedOn w:val="Normal1"/>
    <w:next w:val="Normal1"/>
    <w:rsid w:val="00661ED7"/>
    <w:pPr>
      <w:keepNext/>
      <w:keepLines/>
      <w:spacing w:after="320"/>
    </w:pPr>
    <w:rPr>
      <w:rFonts w:ascii="Arial" w:hAnsi="Arial"/>
      <w:color w:val="666666"/>
      <w:sz w:val="30"/>
      <w:szCs w:val="30"/>
    </w:rPr>
  </w:style>
  <w:style w:type="paragraph" w:styleId="Titlucuprins">
    <w:name w:val="TOC Heading"/>
    <w:basedOn w:val="Titlu1"/>
    <w:next w:val="Normal"/>
    <w:uiPriority w:val="39"/>
    <w:semiHidden/>
    <w:unhideWhenUsed/>
    <w:qFormat/>
    <w:rsid w:val="003D5A3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Cuprins1">
    <w:name w:val="toc 1"/>
    <w:basedOn w:val="Normal"/>
    <w:next w:val="Normal"/>
    <w:autoRedefine/>
    <w:uiPriority w:val="39"/>
    <w:unhideWhenUsed/>
    <w:rsid w:val="003D5A3D"/>
    <w:pPr>
      <w:spacing w:after="100"/>
    </w:pPr>
  </w:style>
  <w:style w:type="character" w:styleId="Hyperlink">
    <w:name w:val="Hyperlink"/>
    <w:basedOn w:val="Fontdeparagrafimplicit"/>
    <w:uiPriority w:val="99"/>
    <w:unhideWhenUsed/>
    <w:rsid w:val="003D5A3D"/>
    <w:rPr>
      <w:color w:val="0000FF" w:themeColor="hyperlink"/>
      <w:u w:val="single"/>
    </w:rPr>
  </w:style>
  <w:style w:type="paragraph" w:styleId="TextnBalon">
    <w:name w:val="Balloon Text"/>
    <w:basedOn w:val="Normal"/>
    <w:link w:val="TextnBalonCaracter"/>
    <w:uiPriority w:val="99"/>
    <w:semiHidden/>
    <w:unhideWhenUsed/>
    <w:rsid w:val="003D5A3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D5A3D"/>
    <w:rPr>
      <w:rFonts w:ascii="Tahoma" w:hAnsi="Tahoma" w:cs="Tahoma"/>
      <w:sz w:val="16"/>
      <w:szCs w:val="16"/>
    </w:rPr>
  </w:style>
  <w:style w:type="paragraph" w:styleId="Antet">
    <w:name w:val="header"/>
    <w:basedOn w:val="Normal"/>
    <w:link w:val="AntetCaracter"/>
    <w:uiPriority w:val="99"/>
    <w:unhideWhenUsed/>
    <w:rsid w:val="003D5A3D"/>
    <w:pPr>
      <w:tabs>
        <w:tab w:val="center" w:pos="4680"/>
        <w:tab w:val="right" w:pos="9360"/>
      </w:tabs>
      <w:spacing w:line="240" w:lineRule="auto"/>
    </w:pPr>
  </w:style>
  <w:style w:type="character" w:customStyle="1" w:styleId="AntetCaracter">
    <w:name w:val="Antet Caracter"/>
    <w:basedOn w:val="Fontdeparagrafimplicit"/>
    <w:link w:val="Antet"/>
    <w:uiPriority w:val="99"/>
    <w:rsid w:val="003D5A3D"/>
  </w:style>
  <w:style w:type="paragraph" w:styleId="Subsol">
    <w:name w:val="footer"/>
    <w:basedOn w:val="Normal"/>
    <w:link w:val="SubsolCaracter"/>
    <w:uiPriority w:val="99"/>
    <w:unhideWhenUsed/>
    <w:rsid w:val="003D5A3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3D5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796-020-10041-4" TargetMode="External" /><Relationship Id="rId13" Type="http://schemas.openxmlformats.org/officeDocument/2006/relationships/hyperlink" Target="https://onlinelibrary.wiley.com/doi/pdfdirect/10.1002/csr.2170" TargetMode="External" /><Relationship Id="rId18" Type="http://schemas.openxmlformats.org/officeDocument/2006/relationships/hyperlink" Target="https://onlinelibrary.wiley.com/doi/pdfdirect/10.1111/geb.13440"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sciencedirect.com/science/article/pii/S0363811118305769" TargetMode="External" /><Relationship Id="rId17" Type="http://schemas.openxmlformats.org/officeDocument/2006/relationships/hyperlink" Target="https://www.researchgate.net/profile/Cc-Tan-2/publication/326101484_Towards_a_Community-Based_Theory_of_Brand_Community_Engagement/links/601957a0299bf1cc2698f5e6/Towards-a-Community-Based-Theory-of-Brand-Community-Engagement.pdf" TargetMode="External" /><Relationship Id="rId2" Type="http://schemas.openxmlformats.org/officeDocument/2006/relationships/numbering" Target="numbering.xml" /><Relationship Id="rId16" Type="http://schemas.openxmlformats.org/officeDocument/2006/relationships/hyperlink" Target="https://conbio.onlinelibrary.wiley.com/doi/pdfdirect/10.1111/csp2.189"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dpi.com/1999-4907/11/9/938/pdf" TargetMode="External" /><Relationship Id="rId5" Type="http://schemas.openxmlformats.org/officeDocument/2006/relationships/webSettings" Target="webSettings.xml" /><Relationship Id="rId15" Type="http://schemas.openxmlformats.org/officeDocument/2006/relationships/hyperlink" Target="http://er.uwpress.org/content/39/1-2/52.full.pdf" TargetMode="External" /><Relationship Id="rId10" Type="http://schemas.openxmlformats.org/officeDocument/2006/relationships/hyperlink" Target="https://onlinelibrary.wiley.com/doi/pdf/10.1111/gcb.15498" TargetMode="External" /><Relationship Id="rId19" Type="http://schemas.openxmlformats.org/officeDocument/2006/relationships/hyperlink" Target="https://onlinelibrary.wiley.com/doi/pdf/10.1111/ddi.12972" TargetMode="External" /><Relationship Id="rId4" Type="http://schemas.openxmlformats.org/officeDocument/2006/relationships/settings" Target="settings.xml" /><Relationship Id="rId9" Type="http://schemas.openxmlformats.org/officeDocument/2006/relationships/hyperlink" Target="https://bmchealthservres.biomedcentral.com/articles/10.1186/s12913-018-3090-1" TargetMode="External" /><Relationship Id="rId14" Type="http://schemas.openxmlformats.org/officeDocument/2006/relationships/hyperlink" Target="https://www.mdpi.com/2071-1050/13/11/6117/pdf"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F6EB1-30BE-4354-8385-0786B636F6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2760</Words>
  <Characters>16010</Characters>
  <Application>Microsoft Office Word</Application>
  <DocSecurity>0</DocSecurity>
  <Lines>133</Lines>
  <Paragraphs>37</Paragraphs>
  <ScaleCrop>false</ScaleCrop>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2022-03-30T11:43:00Z</dcterms:created>
  <dcterms:modified xsi:type="dcterms:W3CDTF">2022-03-30T11:43:00Z</dcterms:modified>
</cp:coreProperties>
</file>