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B669D" w14:textId="77777777" w:rsidR="00B31FE9" w:rsidRDefault="00B31FE9"/>
    <w:p w14:paraId="3A4B669E" w14:textId="77777777" w:rsidR="00B31FE9" w:rsidRDefault="00B31FE9"/>
    <w:p w14:paraId="3A4B669F" w14:textId="77777777" w:rsidR="00B31FE9" w:rsidRPr="00681495" w:rsidRDefault="00B31FE9" w:rsidP="0092183D">
      <w:pPr>
        <w:jc w:val="center"/>
        <w:rPr>
          <w:b/>
          <w:bCs/>
        </w:rPr>
      </w:pPr>
    </w:p>
    <w:p w14:paraId="3A4B66AC" w14:textId="5776DE8E" w:rsidR="00B31FE9" w:rsidRPr="00681495" w:rsidRDefault="00A12662" w:rsidP="0092183D">
      <w:pPr>
        <w:spacing w:after="80"/>
        <w:jc w:val="center"/>
        <w:rPr>
          <w:b/>
          <w:bCs/>
        </w:rPr>
      </w:pPr>
      <w:r w:rsidRPr="00681495">
        <w:rPr>
          <w:b/>
          <w:bCs/>
        </w:rPr>
        <w:t>STUDENT NAME</w:t>
      </w:r>
      <w:r w:rsidR="00000000" w:rsidRPr="00681495">
        <w:rPr>
          <w:b/>
          <w:bCs/>
        </w:rPr>
        <w:t xml:space="preserve">: </w:t>
      </w:r>
      <w:r w:rsidR="00681495" w:rsidRPr="00681495">
        <w:rPr>
          <w:b/>
          <w:bCs/>
        </w:rPr>
        <w:t>AGNES BOASIAKO</w:t>
      </w:r>
    </w:p>
    <w:p w14:paraId="3A4B66AD" w14:textId="7F6AC08E" w:rsidR="00B31FE9" w:rsidRPr="00681495" w:rsidRDefault="00000000" w:rsidP="0092183D">
      <w:pPr>
        <w:spacing w:after="80"/>
        <w:jc w:val="center"/>
        <w:rPr>
          <w:b/>
          <w:bCs/>
        </w:rPr>
      </w:pPr>
      <w:r w:rsidRPr="00681495">
        <w:rPr>
          <w:b/>
          <w:bCs/>
        </w:rPr>
        <w:t>S</w:t>
      </w:r>
      <w:r w:rsidR="00A12662" w:rsidRPr="00681495">
        <w:rPr>
          <w:b/>
          <w:bCs/>
        </w:rPr>
        <w:t>TUDENT</w:t>
      </w:r>
      <w:r w:rsidRPr="00681495">
        <w:rPr>
          <w:b/>
          <w:bCs/>
        </w:rPr>
        <w:t xml:space="preserve"> ID: 2334150</w:t>
      </w:r>
    </w:p>
    <w:p w14:paraId="230797C1" w14:textId="2BAD7AD2" w:rsidR="0092183D" w:rsidRPr="00681495" w:rsidRDefault="0092183D" w:rsidP="0092183D">
      <w:pPr>
        <w:spacing w:after="80"/>
        <w:jc w:val="center"/>
        <w:rPr>
          <w:b/>
          <w:bCs/>
        </w:rPr>
      </w:pPr>
      <w:r w:rsidRPr="00681495">
        <w:rPr>
          <w:b/>
          <w:bCs/>
        </w:rPr>
        <w:t>MODULE: BMHP6029</w:t>
      </w:r>
    </w:p>
    <w:p w14:paraId="6E8246FE" w14:textId="2C4CCE6E" w:rsidR="0092183D" w:rsidRPr="00681495" w:rsidRDefault="00B31096" w:rsidP="0092183D">
      <w:pPr>
        <w:spacing w:after="80"/>
        <w:jc w:val="center"/>
        <w:rPr>
          <w:b/>
          <w:bCs/>
        </w:rPr>
      </w:pPr>
      <w:r w:rsidRPr="00681495">
        <w:rPr>
          <w:b/>
          <w:bCs/>
        </w:rPr>
        <w:t>MODULE TITLE: PHYCOLOGICAL CLASSIFICATION AND PROVISIONS</w:t>
      </w:r>
    </w:p>
    <w:p w14:paraId="4F7076A9" w14:textId="7D49EFD8" w:rsidR="00B31096" w:rsidRPr="00681495" w:rsidRDefault="00A75716" w:rsidP="0092183D">
      <w:pPr>
        <w:spacing w:after="80"/>
        <w:jc w:val="center"/>
        <w:rPr>
          <w:b/>
          <w:bCs/>
        </w:rPr>
      </w:pPr>
      <w:r w:rsidRPr="00681495">
        <w:rPr>
          <w:b/>
          <w:bCs/>
        </w:rPr>
        <w:t>LECTURER'S</w:t>
      </w:r>
      <w:r w:rsidR="00B31096" w:rsidRPr="00681495">
        <w:rPr>
          <w:b/>
          <w:bCs/>
        </w:rPr>
        <w:t xml:space="preserve"> NAME: KENNEDY OBO</w:t>
      </w:r>
      <w:r w:rsidRPr="00681495">
        <w:rPr>
          <w:b/>
          <w:bCs/>
        </w:rPr>
        <w:t>HWEMU</w:t>
      </w:r>
    </w:p>
    <w:p w14:paraId="3FD84ED5" w14:textId="77777777" w:rsidR="00B31096" w:rsidRPr="00681495" w:rsidRDefault="00A12662" w:rsidP="00B31096">
      <w:pPr>
        <w:spacing w:after="80"/>
        <w:jc w:val="center"/>
        <w:rPr>
          <w:b/>
          <w:bCs/>
        </w:rPr>
      </w:pPr>
      <w:r w:rsidRPr="00681495">
        <w:rPr>
          <w:b/>
          <w:bCs/>
        </w:rPr>
        <w:t>SUBMISSION DATE</w:t>
      </w:r>
      <w:r w:rsidR="00000000" w:rsidRPr="00681495">
        <w:rPr>
          <w:b/>
          <w:bCs/>
        </w:rPr>
        <w:t xml:space="preserve">: </w:t>
      </w:r>
      <w:r w:rsidRPr="00681495">
        <w:rPr>
          <w:b/>
          <w:bCs/>
        </w:rPr>
        <w:t>20/07/26</w:t>
      </w:r>
    </w:p>
    <w:p w14:paraId="23330E54" w14:textId="77777777" w:rsidR="00B31096" w:rsidRPr="00681495" w:rsidRDefault="00B31096" w:rsidP="00B31096">
      <w:pPr>
        <w:spacing w:after="80"/>
        <w:jc w:val="center"/>
        <w:rPr>
          <w:b/>
          <w:bCs/>
        </w:rPr>
      </w:pPr>
    </w:p>
    <w:p w14:paraId="7ECBF517" w14:textId="77777777" w:rsidR="00B31096" w:rsidRDefault="00B31096" w:rsidP="00B31096">
      <w:pPr>
        <w:spacing w:after="80"/>
        <w:jc w:val="center"/>
      </w:pPr>
    </w:p>
    <w:p w14:paraId="322A4D1B" w14:textId="78B97BB6" w:rsidR="00A12662" w:rsidRDefault="00A12662" w:rsidP="00B31096">
      <w:pPr>
        <w:spacing w:after="80"/>
        <w:jc w:val="center"/>
      </w:pPr>
      <w:r>
        <w:rPr>
          <w:b/>
          <w:bCs/>
          <w:sz w:val="32"/>
          <w:szCs w:val="32"/>
        </w:rPr>
        <w:t>Attention Deficit Hyperactivity Disorder (ADHD):</w:t>
      </w:r>
    </w:p>
    <w:p w14:paraId="1BDCC8D9" w14:textId="77777777" w:rsidR="00A12662" w:rsidRDefault="00A12662" w:rsidP="00A12662">
      <w:pPr>
        <w:spacing w:after="80"/>
        <w:jc w:val="center"/>
      </w:pPr>
      <w:r>
        <w:rPr>
          <w:b/>
          <w:bCs/>
          <w:sz w:val="32"/>
          <w:szCs w:val="32"/>
        </w:rPr>
        <w:t>Classification, Diagnosis, Treatment and Contemporary Debates</w:t>
      </w:r>
    </w:p>
    <w:p w14:paraId="3A4B66B3" w14:textId="77777777" w:rsidR="00B31FE9" w:rsidRDefault="00000000">
      <w:pPr>
        <w:keepNext/>
        <w:spacing w:before="280" w:after="120"/>
      </w:pPr>
      <w:r>
        <w:rPr>
          <w:b/>
          <w:bCs/>
          <w:sz w:val="26"/>
          <w:szCs w:val="26"/>
        </w:rPr>
        <w:t>Section 1: Introduction</w:t>
      </w:r>
    </w:p>
    <w:p w14:paraId="3A4B66B4" w14:textId="77777777" w:rsidR="00B31FE9" w:rsidRDefault="00000000">
      <w:pPr>
        <w:keepNext/>
        <w:spacing w:before="180" w:after="80"/>
      </w:pPr>
      <w:r>
        <w:rPr>
          <w:b/>
          <w:bCs/>
          <w:sz w:val="24"/>
          <w:szCs w:val="24"/>
        </w:rPr>
        <w:t>1.1 Global Background</w:t>
      </w:r>
    </w:p>
    <w:p w14:paraId="3A4B66B5" w14:textId="77777777" w:rsidR="00B31FE9" w:rsidRDefault="00000000">
      <w:pPr>
        <w:spacing w:after="160"/>
        <w:jc w:val="both"/>
      </w:pPr>
      <w:r>
        <w:t>Attention Deficit Hyperactivity Disorder (ADHD) is a neurodevelopmental disorder involving persistent impairment of cognitive processes, attention and impulse control. It is one of the most prevalent neurodevelopmental disorders worldwide, with recent meta-analysis placing the prevalence among children and adolescents globally at approximately 7.6% (Salari et al., 2023), and a large proportion of the cases continuing into adulthood, with the global prevalence among adults estimated at approximately 2.5%–3% (Song et al., 2021). What used to be considered a childhood-only disorder, ADHD is currently recognized as a lifespan disorder with significant educational, professional, and mental health consequences.</w:t>
      </w:r>
    </w:p>
    <w:p w14:paraId="3A4B66B6" w14:textId="77777777" w:rsidR="00B31FE9" w:rsidRDefault="00000000">
      <w:pPr>
        <w:keepNext/>
        <w:spacing w:before="180" w:after="80"/>
      </w:pPr>
      <w:r>
        <w:rPr>
          <w:b/>
          <w:bCs/>
          <w:sz w:val="24"/>
          <w:szCs w:val="24"/>
        </w:rPr>
        <w:t>1.2 The Transition</w:t>
      </w:r>
    </w:p>
    <w:p w14:paraId="3A4B66B7" w14:textId="77777777" w:rsidR="00B31FE9" w:rsidRDefault="00000000">
      <w:pPr>
        <w:spacing w:after="160"/>
        <w:jc w:val="both"/>
      </w:pPr>
      <w:r>
        <w:t xml:space="preserve">The changes in the diagnostic criteria for ADHD reflect changes in how mental health as such was conceptualized – evolving from an overly focused on </w:t>
      </w:r>
      <w:proofErr w:type="spellStart"/>
      <w:r>
        <w:t>behavior</w:t>
      </w:r>
      <w:proofErr w:type="spellEnd"/>
      <w:r>
        <w:t xml:space="preserve"> and childhood-</w:t>
      </w:r>
      <w:proofErr w:type="spellStart"/>
      <w:r>
        <w:t>centered</w:t>
      </w:r>
      <w:proofErr w:type="spellEnd"/>
      <w:r>
        <w:t xml:space="preserve"> approach to a more developmental and lifespan-focused view (Reed et al., 2019).</w:t>
      </w:r>
    </w:p>
    <w:p w14:paraId="3A4B66B8" w14:textId="77777777" w:rsidR="00B31FE9" w:rsidRDefault="00000000">
      <w:pPr>
        <w:keepNext/>
        <w:spacing w:before="180" w:after="80"/>
      </w:pPr>
      <w:r>
        <w:rPr>
          <w:b/>
          <w:bCs/>
          <w:sz w:val="24"/>
          <w:szCs w:val="24"/>
        </w:rPr>
        <w:lastRenderedPageBreak/>
        <w:t>1.3 Report Outline</w:t>
      </w:r>
    </w:p>
    <w:p w14:paraId="3A4B66B9" w14:textId="77777777" w:rsidR="00B31FE9" w:rsidRDefault="00000000">
      <w:pPr>
        <w:spacing w:after="160"/>
        <w:jc w:val="both"/>
      </w:pPr>
      <w:r>
        <w:t xml:space="preserve">In this report, the reclassification of ADHD in ICD-11 (code 6A05) will be critically </w:t>
      </w:r>
      <w:proofErr w:type="spellStart"/>
      <w:r>
        <w:t>analyzed</w:t>
      </w:r>
      <w:proofErr w:type="spellEnd"/>
      <w:r>
        <w:t xml:space="preserve"> along with multimodal treatment and rehabilitation approaches, the opposition between the traditional medical approach and the novel neurodiversity perspective, and practical recommendations for health care systems improvement will be provided.</w:t>
      </w:r>
    </w:p>
    <w:p w14:paraId="3A4B66BA" w14:textId="77777777" w:rsidR="00B31FE9" w:rsidRDefault="00000000">
      <w:pPr>
        <w:keepNext/>
        <w:spacing w:before="280" w:after="120"/>
      </w:pPr>
      <w:r>
        <w:rPr>
          <w:b/>
          <w:bCs/>
          <w:sz w:val="26"/>
          <w:szCs w:val="26"/>
        </w:rPr>
        <w:t>Section 2: Classification and Diagnosis of ADHD</w:t>
      </w:r>
    </w:p>
    <w:p w14:paraId="3A4B66BB" w14:textId="77777777" w:rsidR="00B31FE9" w:rsidRDefault="00000000">
      <w:pPr>
        <w:keepNext/>
        <w:spacing w:before="180" w:after="80"/>
      </w:pPr>
      <w:r>
        <w:rPr>
          <w:b/>
          <w:bCs/>
          <w:sz w:val="24"/>
          <w:szCs w:val="24"/>
        </w:rPr>
        <w:t>2.1 Classification within the ICD-11</w:t>
      </w:r>
    </w:p>
    <w:p w14:paraId="3A4B66BC" w14:textId="77777777" w:rsidR="00B31FE9" w:rsidRDefault="00000000">
      <w:pPr>
        <w:spacing w:after="160"/>
        <w:jc w:val="both"/>
      </w:pPr>
      <w:r>
        <w:t xml:space="preserve">Attention Deficit Hyperactivity Disorder (ADHD) is categorized under Chapter 6: Mental, </w:t>
      </w:r>
      <w:proofErr w:type="spellStart"/>
      <w:r>
        <w:t>Behavioral</w:t>
      </w:r>
      <w:proofErr w:type="spellEnd"/>
      <w:r>
        <w:t xml:space="preserve">, or Neurodevelopmental Disorders of the International Classification of Diseases (ICD-11) where it has been allocated the code 6A05 under neurodevelopmental disorders (World Health Organization, 2022). This change signifies quite a departure from the classification in ICD-10, which referred to this disorder as “Hyperkinetic disorder” (F90) under </w:t>
      </w:r>
      <w:proofErr w:type="spellStart"/>
      <w:r>
        <w:t>behavioral</w:t>
      </w:r>
      <w:proofErr w:type="spellEnd"/>
      <w:r>
        <w:t xml:space="preserve"> and emotional disorders with onset usually occurring in childhood and adolescence (World Health Organization, 1992). The ICD-11 revision process consciously </w:t>
      </w:r>
      <w:proofErr w:type="spellStart"/>
      <w:r>
        <w:t>remodeled</w:t>
      </w:r>
      <w:proofErr w:type="spellEnd"/>
      <w:r>
        <w:t xml:space="preserve"> its mental health chapter to suit a developmental, life-span oriented perspective (Reed et al., 2019), and the placement of ADHD in the neurodevelopmental section produces a signal about recent findings proving that the disorder is classified as chronic and stems from abnormal development of brain functioning rather than being defined as a temporary disorder of children’s </w:t>
      </w:r>
      <w:proofErr w:type="spellStart"/>
      <w:r>
        <w:t>behavior</w:t>
      </w:r>
      <w:proofErr w:type="spellEnd"/>
      <w:r>
        <w:t xml:space="preserve"> (Posner, </w:t>
      </w:r>
      <w:proofErr w:type="spellStart"/>
      <w:r>
        <w:t>Polanczyk</w:t>
      </w:r>
      <w:proofErr w:type="spellEnd"/>
      <w:r>
        <w:t xml:space="preserve"> and </w:t>
      </w:r>
      <w:proofErr w:type="spellStart"/>
      <w:r>
        <w:t>Sonuga</w:t>
      </w:r>
      <w:proofErr w:type="spellEnd"/>
      <w:r>
        <w:t>-Barke, 2020). The new classification has clinical significance because it allows diagnosing and treating ADHD in adulthood, which has always been neglected in terms of the hyperkinetic disorder (</w:t>
      </w:r>
      <w:proofErr w:type="spellStart"/>
      <w:r>
        <w:t>Kooij</w:t>
      </w:r>
      <w:proofErr w:type="spellEnd"/>
      <w:r>
        <w:t xml:space="preserve"> et al., 2019).</w:t>
      </w:r>
    </w:p>
    <w:p w14:paraId="3A4B66BD" w14:textId="77777777" w:rsidR="00B31FE9" w:rsidRDefault="00000000">
      <w:pPr>
        <w:keepNext/>
        <w:spacing w:before="180" w:after="80"/>
      </w:pPr>
      <w:r>
        <w:rPr>
          <w:b/>
          <w:bCs/>
          <w:sz w:val="24"/>
          <w:szCs w:val="24"/>
        </w:rPr>
        <w:t>2.2 Diagnostic Boundaries and Presentations</w:t>
      </w:r>
    </w:p>
    <w:p w14:paraId="3A4B66BE" w14:textId="77777777" w:rsidR="00B31FE9" w:rsidRDefault="00000000">
      <w:pPr>
        <w:spacing w:after="160"/>
        <w:jc w:val="both"/>
      </w:pPr>
      <w:r>
        <w:t>According to the diagnostic criteria set out in the ICD-11, a diagnosis of ADHD is made after observing a process of inattention or hyperactivity-impulsivity over a period of at least six months that interferes with academic or social functioning. Diagnosis does not depend solely on presence of these symptoms but requires evidence of duration of symptoms and their occurrence across multiple environments as well as the fact that symptoms appeared in childhood, usually before the age of twelve (Faraone et al., 2021). In the ICD-11, three presentation categories are identified (First et al., 2021):</w:t>
      </w:r>
    </w:p>
    <w:p w14:paraId="3A4B66BF" w14:textId="77777777" w:rsidR="00B31FE9" w:rsidRDefault="00000000">
      <w:pPr>
        <w:spacing w:after="120"/>
        <w:ind w:left="360"/>
        <w:jc w:val="both"/>
      </w:pPr>
      <w:r>
        <w:rPr>
          <w:b/>
          <w:bCs/>
        </w:rPr>
        <w:t xml:space="preserve">6A05.0 – Predominantly Inattentive Presentation: </w:t>
      </w:r>
      <w:r>
        <w:t>presence of issues in attention-related processes without significant hyperactivity;</w:t>
      </w:r>
    </w:p>
    <w:p w14:paraId="3A4B66C0" w14:textId="77777777" w:rsidR="00B31FE9" w:rsidRDefault="00000000">
      <w:pPr>
        <w:spacing w:after="120"/>
        <w:ind w:left="360"/>
        <w:jc w:val="both"/>
      </w:pPr>
      <w:r>
        <w:rPr>
          <w:b/>
          <w:bCs/>
        </w:rPr>
        <w:t xml:space="preserve">6A05.1 – Predominantly Hyperactive-Impulsive Presentation: </w:t>
      </w:r>
      <w:r>
        <w:t xml:space="preserve">some hyperactive </w:t>
      </w:r>
      <w:proofErr w:type="spellStart"/>
      <w:r>
        <w:t>behavior</w:t>
      </w:r>
      <w:proofErr w:type="spellEnd"/>
      <w:r>
        <w:t xml:space="preserve"> in combination with impulsive issues but no significant attention problems;</w:t>
      </w:r>
    </w:p>
    <w:p w14:paraId="3A4B66C1" w14:textId="77777777" w:rsidR="00B31FE9" w:rsidRDefault="00000000">
      <w:pPr>
        <w:spacing w:after="120"/>
        <w:ind w:left="360"/>
        <w:jc w:val="both"/>
      </w:pPr>
      <w:r>
        <w:rPr>
          <w:b/>
          <w:bCs/>
        </w:rPr>
        <w:lastRenderedPageBreak/>
        <w:t xml:space="preserve">6A05.2 – Combined Presentation: </w:t>
      </w:r>
      <w:r>
        <w:t>mix of attention- and impulsivity-related symptoms which results in diagnosis of the ADHD.</w:t>
      </w:r>
    </w:p>
    <w:p w14:paraId="3A4B66C2" w14:textId="77777777" w:rsidR="00B31FE9" w:rsidRDefault="00000000">
      <w:pPr>
        <w:keepNext/>
        <w:spacing w:before="180" w:after="80"/>
      </w:pPr>
      <w:r>
        <w:rPr>
          <w:b/>
          <w:bCs/>
          <w:sz w:val="24"/>
          <w:szCs w:val="24"/>
        </w:rPr>
        <w:t>2.3 Critical Analysis of Classificatory Language</w:t>
      </w:r>
    </w:p>
    <w:p w14:paraId="3A4B66C3" w14:textId="77777777" w:rsidR="00B31FE9" w:rsidRDefault="00000000">
      <w:pPr>
        <w:spacing w:after="160"/>
        <w:jc w:val="both"/>
      </w:pPr>
      <w:r>
        <w:t>The use of the term “disorder” in ICD-11 must be critically examined. The World Health Organisation carefully chooses not to use the term “illness,” which indicates a temporary state of sickness or a specific external illness; whereas “disorder” denotes a significant clinical disruption of psychological or developmental activity. The use of “disorder” suggests that ADHD is a stable difference in terms of regulation and development rather than a condition to be treated.</w:t>
      </w:r>
    </w:p>
    <w:p w14:paraId="3A4B66C4" w14:textId="77777777" w:rsidR="00B31FE9" w:rsidRDefault="00000000">
      <w:pPr>
        <w:spacing w:after="160"/>
        <w:jc w:val="both"/>
      </w:pPr>
      <w:r>
        <w:t>On the other hand, the term is a double-edged sword. Proponents of neurodiversity claim that “disorder” creates a medical view of normative variations and adds to the problem of stigma (</w:t>
      </w:r>
      <w:proofErr w:type="spellStart"/>
      <w:r>
        <w:t>Sonuga</w:t>
      </w:r>
      <w:proofErr w:type="spellEnd"/>
      <w:r>
        <w:t xml:space="preserve">-Barke and Thapar, 2021). Additionally, the increasing number of diagnoses raises concern about </w:t>
      </w:r>
      <w:proofErr w:type="spellStart"/>
      <w:r>
        <w:t>overdiagnosing</w:t>
      </w:r>
      <w:proofErr w:type="spellEnd"/>
      <w:r>
        <w:t xml:space="preserve"> people with milder mental problems (Kazda et al., 2021). Nonetheless, the term “disorder” is necessary for practical purposes. Currently, this term is the one that gives the patient access to treatment, medication, workplace assistance, and educational support (NICE, 2018). The classification terms should be viewed as working mechanisms and not merely a goal; hence its stigmatizing effect can be minimized in the event of sensitive approach on the part of doctors.</w:t>
      </w:r>
    </w:p>
    <w:p w14:paraId="3A4B66C5" w14:textId="77777777" w:rsidR="00B31FE9" w:rsidRDefault="00000000">
      <w:pPr>
        <w:keepNext/>
        <w:spacing w:before="280" w:after="120"/>
      </w:pPr>
      <w:r>
        <w:rPr>
          <w:b/>
          <w:bCs/>
          <w:sz w:val="26"/>
          <w:szCs w:val="26"/>
        </w:rPr>
        <w:t>Section 3: Multimodal Treatment and Rehabilitation Pathways</w:t>
      </w:r>
    </w:p>
    <w:p w14:paraId="3A4B66C6" w14:textId="77777777" w:rsidR="00B31FE9" w:rsidRDefault="00000000">
      <w:pPr>
        <w:keepNext/>
        <w:spacing w:before="180" w:after="80"/>
      </w:pPr>
      <w:r>
        <w:rPr>
          <w:b/>
          <w:bCs/>
          <w:sz w:val="24"/>
          <w:szCs w:val="24"/>
        </w:rPr>
        <w:t>3.1 Pharmacological Interventions</w:t>
      </w:r>
    </w:p>
    <w:p w14:paraId="3A4B66C7" w14:textId="77777777" w:rsidR="00B31FE9" w:rsidRDefault="00000000">
      <w:pPr>
        <w:spacing w:after="160"/>
        <w:jc w:val="both"/>
      </w:pPr>
      <w:r>
        <w:t xml:space="preserve">According to many clinical practice guidelines, the first pharmacological line of treatment for ADHD diagnosis should be CNS stimulants such as methylphenidate, which blocks DAT and NET, and </w:t>
      </w:r>
      <w:proofErr w:type="spellStart"/>
      <w:r>
        <w:t>lisdexamfetamine</w:t>
      </w:r>
      <w:proofErr w:type="spellEnd"/>
      <w:r>
        <w:t xml:space="preserve">, which is the prodrug of </w:t>
      </w:r>
      <w:proofErr w:type="spellStart"/>
      <w:r>
        <w:t>dexamfetamine</w:t>
      </w:r>
      <w:proofErr w:type="spellEnd"/>
      <w:r>
        <w:t xml:space="preserve">. In addition to blocking these transporters, the latter also promotes presynaptic catecholamine release, raising dopamine and noradrenaline levels at synapses in </w:t>
      </w:r>
      <w:proofErr w:type="spellStart"/>
      <w:r>
        <w:t>fronto</w:t>
      </w:r>
      <w:proofErr w:type="spellEnd"/>
      <w:r>
        <w:t>-striatal circuits responsible for attention and inhibition (NICE, 2018; Cortese, 2020; Faraone et al., 2021). The primary advantages of both solutions are their rapid onset and large effect sizes; however, they have several important disadvantages, including appetite suppression, insomnia, increased blood pressure and heart rate, and their risk for abuse, due to their status of schedule II drugs.</w:t>
      </w:r>
    </w:p>
    <w:p w14:paraId="3A4B66C8" w14:textId="77777777" w:rsidR="00B31FE9" w:rsidRDefault="00000000">
      <w:pPr>
        <w:spacing w:after="160"/>
        <w:jc w:val="both"/>
      </w:pPr>
      <w:r>
        <w:t xml:space="preserve">For about 30% of patients who do not respond to stimulants, it is possible to use non-stimulant drugs. Atomoxetine works by inhibition of the presynaptic noradrenaline transporter, increasing the levels of noradrenaline in the prefrontal cortex without the action of this drug in the nucleus accumbens at the same time; therefore, atomoxetine is characterized by a low </w:t>
      </w:r>
      <w:r>
        <w:lastRenderedPageBreak/>
        <w:t xml:space="preserve">potential for abuse, but a delay in medical effect (Fu et al., 2022). Guanfacine, in turn, as a selective α2A-adrenoceptor agonist, contributes to the improvement of the prefrontal regulation of attention and control of impulses, being especially effective in cases of emotional instability or presence of tics (Cortese, 2020). Nonstimulant medication efficacy is relatively less than stimulant efficacy, and atomoxetine has been </w:t>
      </w:r>
      <w:proofErr w:type="spellStart"/>
      <w:r>
        <w:t>labeled</w:t>
      </w:r>
      <w:proofErr w:type="spellEnd"/>
      <w:r>
        <w:t xml:space="preserve"> with a black box warning regarding suicidal thoughts in youths (Fu et al., 2022).</w:t>
      </w:r>
    </w:p>
    <w:p w14:paraId="3A4B66C9" w14:textId="77777777" w:rsidR="00B31FE9" w:rsidRDefault="00000000">
      <w:pPr>
        <w:spacing w:after="160"/>
        <w:jc w:val="both"/>
      </w:pPr>
      <w:r>
        <w:t>These choices related to the field of medicine are presently affected by many constraints as regards the availability of resources. The shortage of stimulants that lasted throughout 2023 has been linked to the shortage of local production lines, a decrease in raw amphetamine imports during this period, and the inadequacy of quotas to the demands that are growing (</w:t>
      </w:r>
      <w:proofErr w:type="spellStart"/>
      <w:r>
        <w:t>Center</w:t>
      </w:r>
      <w:proofErr w:type="spellEnd"/>
      <w:r>
        <w:t xml:space="preserve"> for Infectious Disease Research and Policy, 2026). Indeed, switching medications with different bioavailability can cause problems for the continuation of treatment (NICE, 2018).</w:t>
      </w:r>
    </w:p>
    <w:p w14:paraId="3A4B66CA" w14:textId="77777777" w:rsidR="00B31FE9" w:rsidRDefault="00000000">
      <w:pPr>
        <w:keepNext/>
        <w:spacing w:before="180" w:after="80"/>
      </w:pPr>
      <w:r>
        <w:rPr>
          <w:b/>
          <w:bCs/>
          <w:sz w:val="24"/>
          <w:szCs w:val="24"/>
        </w:rPr>
        <w:t>3.2 Psychosocial and Environmental Rehabilitation</w:t>
      </w:r>
    </w:p>
    <w:p w14:paraId="3A4B66CB" w14:textId="77777777" w:rsidR="00B31FE9" w:rsidRDefault="00000000">
      <w:pPr>
        <w:spacing w:after="160"/>
        <w:jc w:val="both"/>
      </w:pPr>
      <w:r>
        <w:t>There is a need to emphasize that the practice of medications is much wider than simply being a cure within the treatment of ADHD (NICE, 2018). Cognitive-</w:t>
      </w:r>
      <w:proofErr w:type="spellStart"/>
      <w:r>
        <w:t>behavioral</w:t>
      </w:r>
      <w:proofErr w:type="spellEnd"/>
      <w:r>
        <w:t xml:space="preserve"> therapy applied to ADHD emphasizes the need to deal with the disorder directly, including developing strategies of organizing tasks and overcoming procrastination (Cortese, 2020). Psychoeducation can help patients cooperate better with the treatment and eliminate the feeling of guilt (</w:t>
      </w:r>
      <w:proofErr w:type="spellStart"/>
      <w:r>
        <w:t>Kooij</w:t>
      </w:r>
      <w:proofErr w:type="spellEnd"/>
      <w:r>
        <w:t xml:space="preserve"> et al., 2019). The adjustment of the surroundings is also important: it may include longer examination time at school or a work process that is regulated by the rules of equality (</w:t>
      </w:r>
      <w:proofErr w:type="spellStart"/>
      <w:r>
        <w:t>Kooij</w:t>
      </w:r>
      <w:proofErr w:type="spellEnd"/>
      <w:r>
        <w:t xml:space="preserve"> et al., 2019).</w:t>
      </w:r>
    </w:p>
    <w:p w14:paraId="3A4B66CC" w14:textId="77777777" w:rsidR="00B31FE9" w:rsidRDefault="00000000">
      <w:pPr>
        <w:keepNext/>
        <w:spacing w:before="180" w:after="80"/>
      </w:pPr>
      <w:r>
        <w:rPr>
          <w:b/>
          <w:bCs/>
          <w:sz w:val="24"/>
          <w:szCs w:val="24"/>
        </w:rPr>
        <w:t>3.3 Critical Appraisal of Systemic Limitations</w:t>
      </w:r>
    </w:p>
    <w:p w14:paraId="3A4B66CD" w14:textId="77777777" w:rsidR="00B31FE9" w:rsidRDefault="00000000">
      <w:pPr>
        <w:spacing w:after="160"/>
        <w:jc w:val="both"/>
      </w:pPr>
      <w:r>
        <w:t xml:space="preserve">Presently available delivery methods reveal major discrepancies. </w:t>
      </w:r>
      <w:proofErr w:type="spellStart"/>
      <w:r>
        <w:t>Behavioral</w:t>
      </w:r>
      <w:proofErr w:type="spellEnd"/>
      <w:r>
        <w:t xml:space="preserve"> therapies supported by scientific evidence make high demand for resources while being funded inequitably, which is why patients from socioeconomically disadvantaged backgrounds are often left with only the option of taking medications (Cortese, 2020). There are many questions related to the long-term use of stimulants, like requirements for cardiac monitoring and suppression of growth in children and low level of efficacy and adherence (</w:t>
      </w:r>
      <w:proofErr w:type="spellStart"/>
      <w:r>
        <w:t>Brikell</w:t>
      </w:r>
      <w:proofErr w:type="spellEnd"/>
      <w:r>
        <w:t xml:space="preserve"> et al., 2024). The greatest difficulties are experienced during the transition from childhood to adulthood. A national surveillance study of British patients has confirmed that although 64% of eligible patients had their referral approved, only 22% had attended the first appointment and only 6% managed to meet the criteria of successful transition (Eke et al., 2020).</w:t>
      </w:r>
    </w:p>
    <w:p w14:paraId="3A4B66CE" w14:textId="77777777" w:rsidR="00B31FE9" w:rsidRDefault="00000000">
      <w:pPr>
        <w:keepNext/>
        <w:spacing w:before="280" w:after="120"/>
      </w:pPr>
      <w:r>
        <w:rPr>
          <w:b/>
          <w:bCs/>
          <w:sz w:val="26"/>
          <w:szCs w:val="26"/>
        </w:rPr>
        <w:lastRenderedPageBreak/>
        <w:t xml:space="preserve">Section 4: Contemporary Debates — The Neurodiversity Paradigm and Structural </w:t>
      </w:r>
      <w:proofErr w:type="spellStart"/>
      <w:r>
        <w:rPr>
          <w:b/>
          <w:bCs/>
          <w:sz w:val="26"/>
          <w:szCs w:val="26"/>
        </w:rPr>
        <w:t>Blindspots</w:t>
      </w:r>
      <w:proofErr w:type="spellEnd"/>
    </w:p>
    <w:p w14:paraId="3A4B66CF" w14:textId="77777777" w:rsidR="00B31FE9" w:rsidRDefault="00000000">
      <w:pPr>
        <w:keepNext/>
        <w:spacing w:before="180" w:after="80"/>
      </w:pPr>
      <w:r>
        <w:rPr>
          <w:b/>
          <w:bCs/>
          <w:sz w:val="24"/>
          <w:szCs w:val="24"/>
        </w:rPr>
        <w:t>4.1 The Neurodivergence Conflict</w:t>
      </w:r>
    </w:p>
    <w:p w14:paraId="3A4B66D0" w14:textId="77777777" w:rsidR="00B31FE9" w:rsidRDefault="00000000">
      <w:pPr>
        <w:spacing w:after="160"/>
        <w:jc w:val="both"/>
      </w:pPr>
      <w:r>
        <w:t>At present, the most significant philosophical controversy present in ADHD literature revolves around the medical model and the neurodiversity paradigm. According to the medical model, ADHD is understood as a disorder or defect/chemical difference present within the individual that needs to be corrected or treated (Filipe and Holroyd, 2026). The neurodiversity paradigm takes a very different approach, seeing ADHD as a natural variation in human cognitive design rather than a defect. The neurodiversity paradigm is based on the social model of disability, which holds that disability does not come from an individual’s neurology but from the inconsistency between non-linear cognitive style and the requirements of a linear, industrial and productivity-oriented environment (</w:t>
      </w:r>
      <w:proofErr w:type="spellStart"/>
      <w:r>
        <w:t>Sonuga</w:t>
      </w:r>
      <w:proofErr w:type="spellEnd"/>
      <w:r>
        <w:t>-Barke and Thapar, 2021). The entire idea here is based on the notion that strengths and weaknesses depend on context, with the same ability to think divergently leading to difficulties in dealing with a strict deadline but allowing the person to succeed in fast-paced work environments. It is important to note that this paradigm does not reject that genuine suffering may take place; the moderate interpretation suggests that the two paradigms are complementary in nature since medical treatment and accommodation must both be included in the solution (Filipe and Holroyd, 2026). Thus, the point is where the “problem” is located and what changes should be made: in the person or the environment.</w:t>
      </w:r>
    </w:p>
    <w:p w14:paraId="3A4B66D1" w14:textId="77777777" w:rsidR="00B31FE9" w:rsidRDefault="00000000">
      <w:pPr>
        <w:keepNext/>
        <w:spacing w:before="180" w:after="80"/>
      </w:pPr>
      <w:r>
        <w:rPr>
          <w:b/>
          <w:bCs/>
          <w:sz w:val="24"/>
          <w:szCs w:val="24"/>
        </w:rPr>
        <w:t>4.2 The Adult and Gender Diagnostic Surge</w:t>
      </w:r>
    </w:p>
    <w:p w14:paraId="3A4B66D2" w14:textId="77777777" w:rsidR="00B31FE9" w:rsidRDefault="00000000">
      <w:pPr>
        <w:spacing w:after="160"/>
        <w:jc w:val="both"/>
      </w:pPr>
      <w:r>
        <w:t xml:space="preserve">This change in approach reveals an old structural issue: the absence of proper diagnosis of women, adults and marginalized populations. The past diagnostic standards were mainly founded on young and hyperactive children’s situation, which is why the main image of ADHD was a hyperactive male child (Hinshaw et al., 2022). Such an image has meant that the inattentive presentation (ICD-11 6A05.0) is far less recognized, because attention-related problems are internal rather than external, which leaves affected individuals out of the classroom referrals that catch hyperactive children (WHO, 2022; Attoe and Climie, 2023). There are also compensatory masking </w:t>
      </w:r>
      <w:proofErr w:type="spellStart"/>
      <w:r>
        <w:t>behaviors</w:t>
      </w:r>
      <w:proofErr w:type="spellEnd"/>
      <w:r>
        <w:t xml:space="preserve"> in girls due to social expectations, which leads to their difficulties being overlooked to such an extent that they are treated for comorbid anxiety or depression before ADHD is even on the agenda (Attoe and Climie, 2023). The result is a sharp rise in diagnoses in later years of life, with special reference to women, and a growing recognition of the condition across the genders (Hinshaw et al., 2022).</w:t>
      </w:r>
    </w:p>
    <w:p w14:paraId="3A4B66D3" w14:textId="77777777" w:rsidR="00B31FE9" w:rsidRDefault="00000000">
      <w:pPr>
        <w:keepNext/>
        <w:spacing w:before="180" w:after="80"/>
      </w:pPr>
      <w:r>
        <w:rPr>
          <w:b/>
          <w:bCs/>
          <w:sz w:val="24"/>
          <w:szCs w:val="24"/>
        </w:rPr>
        <w:lastRenderedPageBreak/>
        <w:t>4.3 Impact on Policy and Clinical Practice</w:t>
      </w:r>
    </w:p>
    <w:p w14:paraId="3A4B66D4" w14:textId="77777777" w:rsidR="00B31FE9" w:rsidRDefault="00000000">
      <w:pPr>
        <w:spacing w:after="160"/>
        <w:jc w:val="both"/>
      </w:pPr>
      <w:r>
        <w:t>The new paradigms change systems in the real world. The rush for diagnostics in the field of health economics places stress on the system due to the increasing need for assessments and at the same time raises the question of equality for those who were excluded from medical assistance in the past (Filipe and Holroyd, 2026). The movement towards neurodiversity implies moving away from a narrow understanding of reasonable accommodation to a progressive approach, employing flexible timing, written instructions, and reduced stimuli (</w:t>
      </w:r>
      <w:proofErr w:type="spellStart"/>
      <w:r>
        <w:t>Kooij</w:t>
      </w:r>
      <w:proofErr w:type="spellEnd"/>
      <w:r>
        <w:t xml:space="preserve"> et al., 2019). Public health messaging attempts to address the problems raised by social media but also causes complications due to the simplification of people’s understanding of their own conditions (Filipe and Holroyd, 2026). The conclusion is that only an integrated approach combining medical and social solutions can guarantee the best outcomes for patients.</w:t>
      </w:r>
    </w:p>
    <w:p w14:paraId="3A4B66D5" w14:textId="77777777" w:rsidR="00B31FE9" w:rsidRDefault="00000000">
      <w:pPr>
        <w:keepNext/>
        <w:spacing w:before="280" w:after="120"/>
      </w:pPr>
      <w:r>
        <w:rPr>
          <w:b/>
          <w:bCs/>
          <w:sz w:val="26"/>
          <w:szCs w:val="26"/>
        </w:rPr>
        <w:t>Section 5: Synthesis and Strategic Recommendations</w:t>
      </w:r>
    </w:p>
    <w:p w14:paraId="3A4B66D6" w14:textId="77777777" w:rsidR="00B31FE9" w:rsidRDefault="00000000">
      <w:pPr>
        <w:spacing w:after="160"/>
        <w:jc w:val="both"/>
      </w:pPr>
      <w:r>
        <w:t xml:space="preserve">The present report has followed the trajectory of ADHD, which was reclassified in the ICD-11 as a lifelong neurodevelopmental disorder (6A05), through the treatment approaches taken in dealing with cases and the controversies that have shaped the scope of ADHD studies. It describes a situation in which the progress made in ADHD research remains incomplete. The ICD-11 has made a great step forward by leaving behind the childhood-bound notion of “Hyperkinetic Disorder” from ICD-10 (Reed et al., 2019), but it still faces challenges with the delivery of medications, socio-economic barriers to behavioural therapies, the failure of the transition from youth into adulthood (Eke et al., 2020), and the neglect of inattentive patients – women and girls in particular (Hinshaw et al., 2022). Therefore, in clinical practice, appropriate amendments should be made to current paediatric screening methodologies to assist in identifying girls with ADHD, hence avoiding cases of comorbid anxiety and depression caused by missed ADHD detection (Attoe and Climie, 2023). In addition, there is a need to develop policies that would improve the training of adult practitioners </w:t>
      </w:r>
      <w:proofErr w:type="gramStart"/>
      <w:r>
        <w:t>in order to</w:t>
      </w:r>
      <w:proofErr w:type="gramEnd"/>
      <w:r>
        <w:t xml:space="preserve"> absorb the backlog of late-stage adult ADHD diagnoses. Finally, there should be more research initiatives aimed at increasing the funding of non-pharmacological methods for managing ADHD, </w:t>
      </w:r>
      <w:proofErr w:type="gramStart"/>
      <w:r>
        <w:t>in order to</w:t>
      </w:r>
      <w:proofErr w:type="gramEnd"/>
      <w:r>
        <w:t xml:space="preserve"> reduce reliance on stimulant drugs during periods when these drugs are not easily accessible to patients. Taken together, these measures would protect healthcare infrastructure from future demand shocks and, most importantly, enhance patients’ quality of life.</w:t>
      </w:r>
    </w:p>
    <w:p w14:paraId="3A4B66D7" w14:textId="422E5BE2" w:rsidR="00B31FE9" w:rsidRDefault="00000000">
      <w:pPr>
        <w:keepNext/>
        <w:spacing w:before="280" w:after="120"/>
      </w:pPr>
      <w:r>
        <w:rPr>
          <w:b/>
          <w:bCs/>
          <w:sz w:val="26"/>
          <w:szCs w:val="26"/>
        </w:rPr>
        <w:lastRenderedPageBreak/>
        <w:t>Reference List</w:t>
      </w:r>
    </w:p>
    <w:p w14:paraId="3A4B66D8" w14:textId="77777777" w:rsidR="00B31FE9" w:rsidRDefault="00000000">
      <w:pPr>
        <w:spacing w:after="160"/>
        <w:ind w:left="720" w:hanging="720"/>
      </w:pPr>
      <w:r>
        <w:t>Attoe, D.E. and Climie, E.A. (2023) 'Miss. Diagnosis: a systematic review of ADHD in adult women', Journal of Attention Disorders, 27(7), pp. 645–657.</w:t>
      </w:r>
    </w:p>
    <w:p w14:paraId="3A4B66D9" w14:textId="77777777" w:rsidR="00B31FE9" w:rsidRDefault="00000000">
      <w:pPr>
        <w:spacing w:after="160"/>
        <w:ind w:left="720" w:hanging="720"/>
      </w:pPr>
      <w:proofErr w:type="spellStart"/>
      <w:r>
        <w:t>Brikell</w:t>
      </w:r>
      <w:proofErr w:type="spellEnd"/>
      <w:r>
        <w:t>, I., Yao, H., Li, L., Astrup, A., Gao, L., Gillies, M.B. et al. (2024) 'ADHD medication discontinuation and persistence across the lifespan: a retrospective observational study using population-based databases', The Lancet Psychiatry, 11(1), pp. 16–26.</w:t>
      </w:r>
    </w:p>
    <w:p w14:paraId="3A4B66DA" w14:textId="77777777" w:rsidR="00B31FE9" w:rsidRDefault="00000000">
      <w:pPr>
        <w:spacing w:after="160"/>
        <w:ind w:left="720" w:hanging="720"/>
      </w:pPr>
      <w:proofErr w:type="spellStart"/>
      <w:r>
        <w:t>Center</w:t>
      </w:r>
      <w:proofErr w:type="spellEnd"/>
      <w:r>
        <w:t xml:space="preserve"> for Infectious Disease Research and Policy (2026) Report links ADHD drug shortage in US to global supply chain disruptions. Minneapolis: University of Minnesota. Available at: https://www.cidrap.umn.edu/resilient-drug-supply/report-links-adhd-drug-shortage-us-global-supply-chain-disruptions (Accessed: 9 July 2026).</w:t>
      </w:r>
    </w:p>
    <w:p w14:paraId="3A4B66DB" w14:textId="77777777" w:rsidR="00B31FE9" w:rsidRDefault="00000000">
      <w:pPr>
        <w:spacing w:after="160"/>
        <w:ind w:left="720" w:hanging="720"/>
      </w:pPr>
      <w:r>
        <w:t>Cortese, S. (2020) 'Pharmacologic treatment of attention deficit–hyperactivity disorder', New England Journal of Medicine, 383(11), pp. 1050–1056.</w:t>
      </w:r>
    </w:p>
    <w:p w14:paraId="3A4B66DC" w14:textId="77777777" w:rsidR="00B31FE9" w:rsidRDefault="00000000">
      <w:pPr>
        <w:spacing w:after="160"/>
        <w:ind w:left="720" w:hanging="720"/>
      </w:pPr>
      <w:r>
        <w:t>Eke, H., Ford, T., Newlove-Delgado, T., Price, A., Young, S., Ani, C., Sayal, K., Lynn, R.M., Paul, M. and Janssens, A. (2020) 'Transition between child and adult services for young people with attention-deficit hyperactivity disorder (ADHD): findings from a British national surveillance study', British Journal of Psychiatry, 217(5), pp. 616–622.</w:t>
      </w:r>
    </w:p>
    <w:p w14:paraId="3A4B66DD" w14:textId="77777777" w:rsidR="00B31FE9" w:rsidRDefault="00000000">
      <w:pPr>
        <w:spacing w:after="160"/>
        <w:ind w:left="720" w:hanging="720"/>
      </w:pPr>
      <w:r>
        <w:t xml:space="preserve">Faraone, S.V., </w:t>
      </w:r>
      <w:proofErr w:type="spellStart"/>
      <w:r>
        <w:t>Banaschewski</w:t>
      </w:r>
      <w:proofErr w:type="spellEnd"/>
      <w:r>
        <w:t xml:space="preserve">, T., Coghill, D., Zheng, Y., Biederman, J., </w:t>
      </w:r>
      <w:proofErr w:type="spellStart"/>
      <w:r>
        <w:t>Bellgrove</w:t>
      </w:r>
      <w:proofErr w:type="spellEnd"/>
      <w:r>
        <w:t xml:space="preserve">, M.A. et al. (2021) 'The World Federation of ADHD International Consensus Statement: 208 evidence-based conclusions about the disorder', Neuroscience &amp; </w:t>
      </w:r>
      <w:proofErr w:type="spellStart"/>
      <w:r>
        <w:t>Biobehavioral</w:t>
      </w:r>
      <w:proofErr w:type="spellEnd"/>
      <w:r>
        <w:t xml:space="preserve"> Reviews, 128, pp. 789–818.</w:t>
      </w:r>
    </w:p>
    <w:p w14:paraId="3A4B66DE" w14:textId="77777777" w:rsidR="00B31FE9" w:rsidRDefault="00000000">
      <w:pPr>
        <w:spacing w:after="160"/>
        <w:ind w:left="720" w:hanging="720"/>
      </w:pPr>
      <w:r>
        <w:t>Filipe, A.M. and Holroyd, D. (2026) 'Mapping the social studies of ADHD: from medicalization theory to neurodiversity in the digital age, and future directions', Health, [Online first]. doi:10.1177/13634593261449197.</w:t>
      </w:r>
    </w:p>
    <w:p w14:paraId="3A4B66DF" w14:textId="77777777" w:rsidR="00B31FE9" w:rsidRDefault="00000000">
      <w:pPr>
        <w:spacing w:after="160"/>
        <w:ind w:left="720" w:hanging="720"/>
      </w:pPr>
      <w:r>
        <w:t>First, M.B., Gaebel, W., Maj, M., Stein, D.J., Kogan, C.S., Saunders, J.B. et al. (2021) 'An organization- and category-level comparison of diagnostic requirements for mental disorders in ICD-11 and DSM-5', World Psychiatry, 20(1), pp. 34–51.</w:t>
      </w:r>
    </w:p>
    <w:p w14:paraId="3A4B66E0" w14:textId="77777777" w:rsidR="00B31FE9" w:rsidRDefault="00000000">
      <w:pPr>
        <w:spacing w:after="160"/>
        <w:ind w:left="720" w:hanging="720"/>
      </w:pPr>
      <w:r>
        <w:t>Fu, D., Wu, D.-D., Guo, H.-L., Hu, Y.-H., Xia, Y., Ji, X., Fang, W.-R., Li, Y.-M., Xu, J., Chen, F. and Liu, Q.-Q. (2022) 'The mechanism, clinical efficacy, safety, and dosage regimen of atomoxetine for ADHD therapy in children: a narrative review', Frontiers in Psychiatry, 12, 780921.</w:t>
      </w:r>
    </w:p>
    <w:p w14:paraId="3A4B66E1" w14:textId="77777777" w:rsidR="00B31FE9" w:rsidRDefault="00000000">
      <w:pPr>
        <w:spacing w:after="160"/>
        <w:ind w:left="720" w:hanging="720"/>
      </w:pPr>
      <w:r>
        <w:t xml:space="preserve">Hinshaw, S.P., Nguyen, P.T., O'Grady, S.M. and Rosenthal, E.A. (2022) 'Annual Research Review: attention-deficit/hyperactivity disorder in girls and women: </w:t>
      </w:r>
      <w:r>
        <w:lastRenderedPageBreak/>
        <w:t>underrepresentation, longitudinal processes, and key directions', Journal of Child Psychology and Psychiatry, 63(4), pp. 484–496.</w:t>
      </w:r>
    </w:p>
    <w:p w14:paraId="3A4B66E2" w14:textId="77777777" w:rsidR="00B31FE9" w:rsidRDefault="00000000">
      <w:pPr>
        <w:spacing w:after="160"/>
        <w:ind w:left="720" w:hanging="720"/>
      </w:pPr>
      <w:r>
        <w:t>Kazda, L., Bell, K., Thomas, R., McGeechan, K., Sims, R. and Barratt, A. (2021) 'Overdiagnosis of attention-deficit/hyperactivity disorder in children and adolescents: a systematic scoping review', JAMA Network Open, 4(4), e215335.</w:t>
      </w:r>
    </w:p>
    <w:p w14:paraId="3A4B66E3" w14:textId="77777777" w:rsidR="00B31FE9" w:rsidRDefault="00000000">
      <w:pPr>
        <w:spacing w:after="160"/>
        <w:ind w:left="720" w:hanging="720"/>
      </w:pPr>
      <w:proofErr w:type="spellStart"/>
      <w:r>
        <w:t>Kooij</w:t>
      </w:r>
      <w:proofErr w:type="spellEnd"/>
      <w:r>
        <w:t>, J.J.S., Bijlenga, D., Salerno, L., Jaeschke, R., Bitter, I., Balázs, J. et al. (2019) 'Updated European Consensus Statement on diagnosis and treatment of adult ADHD', European Psychiatry, 56(1), pp. 14–34.</w:t>
      </w:r>
    </w:p>
    <w:p w14:paraId="3A4B66E4" w14:textId="77777777" w:rsidR="00B31FE9" w:rsidRDefault="00000000">
      <w:pPr>
        <w:spacing w:after="160"/>
        <w:ind w:left="720" w:hanging="720"/>
      </w:pPr>
      <w:r>
        <w:t xml:space="preserve">National Institute for Health and Care Excellence (2018) </w:t>
      </w:r>
      <w:proofErr w:type="gramStart"/>
      <w:r>
        <w:t>Attention deficit hyperactivity disorder</w:t>
      </w:r>
      <w:proofErr w:type="gramEnd"/>
      <w:r>
        <w:t>: diagnosis and management. NICE guideline [NG87]. London: NICE. Available at: https://www.nice.org.uk/guidance/ng87 (Accessed: 9 July 2026).</w:t>
      </w:r>
    </w:p>
    <w:p w14:paraId="3A4B66E5" w14:textId="77777777" w:rsidR="00B31FE9" w:rsidRDefault="00000000">
      <w:pPr>
        <w:spacing w:after="160"/>
        <w:ind w:left="720" w:hanging="720"/>
      </w:pPr>
      <w:r>
        <w:t xml:space="preserve">Posner, J., </w:t>
      </w:r>
      <w:proofErr w:type="spellStart"/>
      <w:r>
        <w:t>Polanczyk</w:t>
      </w:r>
      <w:proofErr w:type="spellEnd"/>
      <w:r>
        <w:t xml:space="preserve">, G.V. and </w:t>
      </w:r>
      <w:proofErr w:type="spellStart"/>
      <w:r>
        <w:t>Sonuga</w:t>
      </w:r>
      <w:proofErr w:type="spellEnd"/>
      <w:r>
        <w:t>-Barke, E. (2020) 'Attention-deficit hyperactivity disorder', The Lancet, 395(10222), pp. 450–462.</w:t>
      </w:r>
    </w:p>
    <w:p w14:paraId="3A4B66E6" w14:textId="77777777" w:rsidR="00B31FE9" w:rsidRDefault="00000000">
      <w:pPr>
        <w:spacing w:after="160"/>
        <w:ind w:left="720" w:hanging="720"/>
      </w:pPr>
      <w:r>
        <w:t>Reed, G.M., First, M.B., Kogan, C.S., Hyman, S.E., Gureje, O., Gaebel, W. et al. (2019) 'Innovations and changes in the ICD-11 classification of mental, behavioural and neurodevelopmental disorders', World Psychiatry, 18(1), pp. 3–19.</w:t>
      </w:r>
    </w:p>
    <w:p w14:paraId="3A4B66E7" w14:textId="77777777" w:rsidR="00B31FE9" w:rsidRDefault="00000000">
      <w:pPr>
        <w:spacing w:after="160"/>
        <w:ind w:left="720" w:hanging="720"/>
      </w:pPr>
      <w:r>
        <w:t xml:space="preserve">Salari, N., Ghasemi, H., Abdoli, N., Rahmani, A., Shiri, M.H., Hashemian, A.H., Akbari, H. and Mohammadi, M. (2023) 'The global prevalence of ADHD in children and adolescents: a systematic review and meta-analysis', Italian Journal of </w:t>
      </w:r>
      <w:proofErr w:type="spellStart"/>
      <w:r>
        <w:t>Pediatrics</w:t>
      </w:r>
      <w:proofErr w:type="spellEnd"/>
      <w:r>
        <w:t>, 49(1), 48.</w:t>
      </w:r>
    </w:p>
    <w:p w14:paraId="3A4B66E8" w14:textId="77777777" w:rsidR="00B31FE9" w:rsidRDefault="00000000">
      <w:pPr>
        <w:spacing w:after="160"/>
        <w:ind w:left="720" w:hanging="720"/>
      </w:pPr>
      <w:r>
        <w:t>Song, P., Zha, M., Yang, Q., Zhang, Y., Li, X. and Rudan, I. (2021) 'The prevalence of adult attention-deficit hyperactivity disorder: a global systematic review and meta-analysis', Journal of Global Health, 11, 04009.</w:t>
      </w:r>
    </w:p>
    <w:p w14:paraId="3A4B66E9" w14:textId="77777777" w:rsidR="00B31FE9" w:rsidRDefault="00000000">
      <w:pPr>
        <w:spacing w:after="160"/>
        <w:ind w:left="720" w:hanging="720"/>
      </w:pPr>
      <w:proofErr w:type="spellStart"/>
      <w:r>
        <w:t>Sonuga</w:t>
      </w:r>
      <w:proofErr w:type="spellEnd"/>
      <w:r>
        <w:t>-Barke, E. and Thapar, A. (2021) 'The neurodiversity concept: is it helpful for clinicians and scientists?', The Lancet Psychiatry, 8(7), pp. 559–561.</w:t>
      </w:r>
    </w:p>
    <w:p w14:paraId="3A4B66EA" w14:textId="77777777" w:rsidR="00B31FE9" w:rsidRDefault="00000000">
      <w:pPr>
        <w:spacing w:after="160"/>
        <w:ind w:left="720" w:hanging="720"/>
      </w:pPr>
      <w:r>
        <w:t>World Health Organization (1992) The ICD-10 classification of mental and behavioural disorders: clinical descriptions and diagnostic guidelines. Geneva: World Health Organization.</w:t>
      </w:r>
    </w:p>
    <w:p w14:paraId="3A4B66EB" w14:textId="77777777" w:rsidR="00B31FE9" w:rsidRDefault="00000000">
      <w:pPr>
        <w:spacing w:after="160"/>
        <w:ind w:left="720" w:hanging="720"/>
      </w:pPr>
      <w:r>
        <w:t>World Health Organization (2022) ICD-11: International Classification of Diseases 11th Revision. Geneva: World Health Organization. Available at: https://icd.who.int/ (Accessed: 9 July 2026).</w:t>
      </w:r>
    </w:p>
    <w:sectPr w:rsidR="00B31FE9">
      <w:footerReference w:type="default" r:id="rId7"/>
      <w:footerReference w:type="first" r:id="rId8"/>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28F79" w14:textId="77777777" w:rsidR="00A34CEA" w:rsidRDefault="00A34CEA">
      <w:pPr>
        <w:spacing w:line="240" w:lineRule="auto"/>
      </w:pPr>
      <w:r>
        <w:separator/>
      </w:r>
    </w:p>
  </w:endnote>
  <w:endnote w:type="continuationSeparator" w:id="0">
    <w:p w14:paraId="502E28D8" w14:textId="77777777" w:rsidR="00A34CEA" w:rsidRDefault="00A34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B66EC" w14:textId="4480DB9A" w:rsidR="00B31FE9" w:rsidRDefault="00000000">
    <w:pPr>
      <w:jc w:val="center"/>
    </w:pPr>
    <w:r>
      <w:fldChar w:fldCharType="begin"/>
    </w:r>
    <w:r>
      <w:instrText>PAGE</w:instrText>
    </w:r>
    <w:r>
      <w:fldChar w:fldCharType="separate"/>
    </w:r>
    <w:r w:rsidR="00A12662">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B66ED" w14:textId="77777777" w:rsidR="00B31FE9" w:rsidRDefault="00B31FE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64EA9" w14:textId="77777777" w:rsidR="00A34CEA" w:rsidRDefault="00A34CEA">
      <w:pPr>
        <w:spacing w:line="240" w:lineRule="auto"/>
      </w:pPr>
      <w:r>
        <w:separator/>
      </w:r>
    </w:p>
  </w:footnote>
  <w:footnote w:type="continuationSeparator" w:id="0">
    <w:p w14:paraId="4AA8657E" w14:textId="77777777" w:rsidR="00A34CEA" w:rsidRDefault="00A34C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AB64F5"/>
    <w:multiLevelType w:val="hybridMultilevel"/>
    <w:tmpl w:val="C268B212"/>
    <w:lvl w:ilvl="0" w:tplc="103883BE">
      <w:start w:val="1"/>
      <w:numFmt w:val="bullet"/>
      <w:lvlText w:val="●"/>
      <w:lvlJc w:val="left"/>
      <w:pPr>
        <w:ind w:left="720" w:hanging="360"/>
      </w:pPr>
    </w:lvl>
    <w:lvl w:ilvl="1" w:tplc="779CFFF0">
      <w:start w:val="1"/>
      <w:numFmt w:val="bullet"/>
      <w:lvlText w:val="○"/>
      <w:lvlJc w:val="left"/>
      <w:pPr>
        <w:ind w:left="1440" w:hanging="360"/>
      </w:pPr>
    </w:lvl>
    <w:lvl w:ilvl="2" w:tplc="26363A4C">
      <w:start w:val="1"/>
      <w:numFmt w:val="bullet"/>
      <w:lvlText w:val="■"/>
      <w:lvlJc w:val="left"/>
      <w:pPr>
        <w:ind w:left="2160" w:hanging="360"/>
      </w:pPr>
    </w:lvl>
    <w:lvl w:ilvl="3" w:tplc="0624DEE0">
      <w:start w:val="1"/>
      <w:numFmt w:val="bullet"/>
      <w:lvlText w:val="●"/>
      <w:lvlJc w:val="left"/>
      <w:pPr>
        <w:ind w:left="2880" w:hanging="360"/>
      </w:pPr>
    </w:lvl>
    <w:lvl w:ilvl="4" w:tplc="E884CCC2">
      <w:start w:val="1"/>
      <w:numFmt w:val="bullet"/>
      <w:lvlText w:val="○"/>
      <w:lvlJc w:val="left"/>
      <w:pPr>
        <w:ind w:left="3600" w:hanging="360"/>
      </w:pPr>
    </w:lvl>
    <w:lvl w:ilvl="5" w:tplc="DF20776C">
      <w:start w:val="1"/>
      <w:numFmt w:val="bullet"/>
      <w:lvlText w:val="■"/>
      <w:lvlJc w:val="left"/>
      <w:pPr>
        <w:ind w:left="4320" w:hanging="360"/>
      </w:pPr>
    </w:lvl>
    <w:lvl w:ilvl="6" w:tplc="DF402F1E">
      <w:start w:val="1"/>
      <w:numFmt w:val="bullet"/>
      <w:lvlText w:val="●"/>
      <w:lvlJc w:val="left"/>
      <w:pPr>
        <w:ind w:left="5040" w:hanging="360"/>
      </w:pPr>
    </w:lvl>
    <w:lvl w:ilvl="7" w:tplc="F17A7D20">
      <w:start w:val="1"/>
      <w:numFmt w:val="bullet"/>
      <w:lvlText w:val="●"/>
      <w:lvlJc w:val="left"/>
      <w:pPr>
        <w:ind w:left="5760" w:hanging="360"/>
      </w:pPr>
    </w:lvl>
    <w:lvl w:ilvl="8" w:tplc="A3F2EF90">
      <w:start w:val="1"/>
      <w:numFmt w:val="bullet"/>
      <w:lvlText w:val="●"/>
      <w:lvlJc w:val="left"/>
      <w:pPr>
        <w:ind w:left="6480" w:hanging="360"/>
      </w:pPr>
    </w:lvl>
  </w:abstractNum>
  <w:num w:numId="1" w16cid:durableId="191963700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1FE9"/>
    <w:rsid w:val="00681495"/>
    <w:rsid w:val="0092183D"/>
    <w:rsid w:val="009A2E6F"/>
    <w:rsid w:val="00A12662"/>
    <w:rsid w:val="00A34CEA"/>
    <w:rsid w:val="00A75716"/>
    <w:rsid w:val="00B31096"/>
    <w:rsid w:val="00B31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B669D"/>
  <w15:docId w15:val="{E727C6B9-432D-4B35-ABCF-DCD997BDC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2892</Words>
  <Characters>16488</Characters>
  <Application>Microsoft Office Word</Application>
  <DocSecurity>0</DocSecurity>
  <Lines>137</Lines>
  <Paragraphs>38</Paragraphs>
  <ScaleCrop>false</ScaleCrop>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ADHD Report</dc:creator>
  <cp:lastModifiedBy>Agnes BOASIAKO</cp:lastModifiedBy>
  <cp:revision>6</cp:revision>
  <dcterms:created xsi:type="dcterms:W3CDTF">2026-07-09T15:45:00Z</dcterms:created>
  <dcterms:modified xsi:type="dcterms:W3CDTF">2026-07-17T18:04:00Z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c086eaaa-3316-483b-ac57-201d35ee49f3</vt:lpwstr>
  </property>
</Properties>
</file>