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B46791" w14:textId="1850FEE5" w:rsidR="004D72C3" w:rsidRPr="00BB31AE" w:rsidRDefault="004D72C3" w:rsidP="004D72C3">
      <w:pPr>
        <w:pStyle w:val="Title"/>
        <w:jc w:val="center"/>
        <w:rPr>
          <w:b/>
          <w:bCs/>
          <w:color w:val="007789"/>
          <w:sz w:val="60"/>
          <w:szCs w:val="60"/>
        </w:rPr>
      </w:pPr>
      <w:r w:rsidRPr="00BB31AE">
        <w:rPr>
          <w:b/>
          <w:bCs/>
          <w:color w:val="007789"/>
          <w:sz w:val="60"/>
          <w:szCs w:val="60"/>
        </w:rPr>
        <w:t>NSEDA Assignment E</w:t>
      </w:r>
    </w:p>
    <w:p w14:paraId="65FE43DC" w14:textId="6CF5FBFE" w:rsidR="004D72C3" w:rsidRPr="00BB31AE" w:rsidRDefault="004D72C3" w:rsidP="004D72C3">
      <w:pPr>
        <w:pStyle w:val="Title"/>
        <w:rPr>
          <w:rFonts w:ascii="Segoe UI" w:hAnsi="Segoe UI" w:cs="Segoe UI"/>
          <w:sz w:val="18"/>
          <w:szCs w:val="18"/>
        </w:rPr>
      </w:pPr>
    </w:p>
    <w:p w14:paraId="667E441C" w14:textId="43DD3542" w:rsidR="004D72C3" w:rsidRPr="00BB31AE" w:rsidRDefault="004D72C3" w:rsidP="004D72C3">
      <w:pPr>
        <w:pStyle w:val="paragraph"/>
        <w:spacing w:before="0" w:beforeAutospacing="0" w:after="0" w:afterAutospacing="0"/>
        <w:jc w:val="center"/>
        <w:textAlignment w:val="baseline"/>
        <w:rPr>
          <w:rFonts w:ascii="Segoe UI" w:hAnsi="Segoe UI" w:cs="Segoe UI"/>
          <w:sz w:val="18"/>
          <w:szCs w:val="18"/>
          <w:lang w:val="en-GB"/>
        </w:rPr>
      </w:pPr>
      <w:r w:rsidRPr="00BB31AE">
        <w:rPr>
          <w:rStyle w:val="normaltextrun"/>
          <w:smallCaps/>
          <w:color w:val="000000"/>
          <w:sz w:val="26"/>
          <w:szCs w:val="26"/>
          <w:lang w:val="en-GB"/>
        </w:rPr>
        <w:t>STEFAN DAVID JAREMA | Nuclear Safety| ACDA5023</w:t>
      </w:r>
    </w:p>
    <w:p w14:paraId="097A62C6" w14:textId="6C64CE08" w:rsidR="004D72C3" w:rsidRPr="00BB31AE" w:rsidRDefault="004D72C3">
      <w:pPr>
        <w:rPr>
          <w:rFonts w:ascii="Times New Roman" w:eastAsiaTheme="majorEastAsia" w:hAnsi="Times New Roman" w:cs="Times New Roman"/>
          <w:color w:val="0F4761" w:themeColor="accent1" w:themeShade="BF"/>
          <w:sz w:val="40"/>
          <w:szCs w:val="40"/>
        </w:rPr>
      </w:pPr>
      <w:r w:rsidRPr="00BB31AE">
        <w:rPr>
          <w:rFonts w:ascii="Times New Roman" w:eastAsiaTheme="majorEastAsia" w:hAnsi="Times New Roman" w:cs="Times New Roman"/>
          <w:color w:val="0F4761" w:themeColor="accent1" w:themeShade="BF"/>
          <w:sz w:val="40"/>
          <w:szCs w:val="40"/>
        </w:rPr>
        <w:br w:type="page"/>
      </w:r>
    </w:p>
    <w:sdt>
      <w:sdtPr>
        <w:rPr>
          <w:rFonts w:asciiTheme="minorHAnsi" w:eastAsiaTheme="minorHAnsi" w:hAnsiTheme="minorHAnsi" w:cstheme="minorBidi"/>
          <w:color w:val="auto"/>
          <w:sz w:val="22"/>
          <w:szCs w:val="22"/>
          <w:lang w:val="en-GB"/>
        </w:rPr>
        <w:id w:val="-392973960"/>
        <w:docPartObj>
          <w:docPartGallery w:val="Table of Contents"/>
          <w:docPartUnique/>
        </w:docPartObj>
      </w:sdtPr>
      <w:sdtEndPr>
        <w:rPr>
          <w:b/>
          <w:bCs/>
        </w:rPr>
      </w:sdtEndPr>
      <w:sdtContent>
        <w:p w14:paraId="60D460C3" w14:textId="24A1F53E" w:rsidR="004D72C3" w:rsidRPr="00BB31AE" w:rsidRDefault="004D72C3">
          <w:pPr>
            <w:pStyle w:val="TOCHeading"/>
            <w:rPr>
              <w:lang w:val="en-GB"/>
            </w:rPr>
          </w:pPr>
          <w:r w:rsidRPr="00BB31AE">
            <w:rPr>
              <w:lang w:val="en-GB"/>
            </w:rPr>
            <w:t>Contents</w:t>
          </w:r>
        </w:p>
        <w:p w14:paraId="22B68373" w14:textId="3F5E9FA5" w:rsidR="005E5DA0" w:rsidRDefault="004D72C3">
          <w:pPr>
            <w:pStyle w:val="TOC1"/>
            <w:tabs>
              <w:tab w:val="right" w:leader="dot" w:pos="9350"/>
            </w:tabs>
            <w:rPr>
              <w:rFonts w:eastAsiaTheme="minorEastAsia"/>
              <w:noProof/>
              <w:kern w:val="2"/>
              <w:sz w:val="24"/>
              <w:szCs w:val="24"/>
              <w:lang w:val="en-US"/>
              <w14:ligatures w14:val="standardContextual"/>
            </w:rPr>
          </w:pPr>
          <w:r w:rsidRPr="00BB31AE">
            <w:fldChar w:fldCharType="begin"/>
          </w:r>
          <w:r w:rsidRPr="00BB31AE">
            <w:instrText xml:space="preserve"> TOC \o "1-3" \h \z \u </w:instrText>
          </w:r>
          <w:r w:rsidRPr="00BB31AE">
            <w:fldChar w:fldCharType="separate"/>
          </w:r>
          <w:hyperlink w:anchor="_Toc240031051" w:history="1">
            <w:r w:rsidR="005E5DA0" w:rsidRPr="00210ED2">
              <w:rPr>
                <w:rStyle w:val="Hyperlink"/>
                <w:noProof/>
              </w:rPr>
              <w:t>Introduction</w:t>
            </w:r>
            <w:r w:rsidR="005E5DA0">
              <w:rPr>
                <w:noProof/>
                <w:webHidden/>
              </w:rPr>
              <w:tab/>
            </w:r>
            <w:r w:rsidR="005E5DA0">
              <w:rPr>
                <w:noProof/>
                <w:webHidden/>
              </w:rPr>
              <w:fldChar w:fldCharType="begin"/>
            </w:r>
            <w:r w:rsidR="005E5DA0">
              <w:rPr>
                <w:noProof/>
                <w:webHidden/>
              </w:rPr>
              <w:instrText xml:space="preserve"> PAGEREF _Toc240031051 \h </w:instrText>
            </w:r>
            <w:r w:rsidR="005E5DA0">
              <w:rPr>
                <w:noProof/>
                <w:webHidden/>
              </w:rPr>
            </w:r>
            <w:r w:rsidR="005E5DA0">
              <w:rPr>
                <w:noProof/>
                <w:webHidden/>
              </w:rPr>
              <w:fldChar w:fldCharType="separate"/>
            </w:r>
            <w:r w:rsidR="005E5DA0">
              <w:rPr>
                <w:noProof/>
                <w:webHidden/>
              </w:rPr>
              <w:t>3</w:t>
            </w:r>
            <w:r w:rsidR="005E5DA0">
              <w:rPr>
                <w:noProof/>
                <w:webHidden/>
              </w:rPr>
              <w:fldChar w:fldCharType="end"/>
            </w:r>
          </w:hyperlink>
        </w:p>
        <w:p w14:paraId="4EDD8B1F" w14:textId="4606CE38" w:rsidR="005E5DA0" w:rsidRDefault="005E5DA0">
          <w:pPr>
            <w:pStyle w:val="TOC1"/>
            <w:tabs>
              <w:tab w:val="right" w:leader="dot" w:pos="9350"/>
            </w:tabs>
            <w:rPr>
              <w:rFonts w:eastAsiaTheme="minorEastAsia"/>
              <w:noProof/>
              <w:kern w:val="2"/>
              <w:sz w:val="24"/>
              <w:szCs w:val="24"/>
              <w:lang w:val="en-US"/>
              <w14:ligatures w14:val="standardContextual"/>
            </w:rPr>
          </w:pPr>
          <w:hyperlink w:anchor="_Toc240031052" w:history="1">
            <w:r w:rsidRPr="00210ED2">
              <w:rPr>
                <w:rStyle w:val="Hyperlink"/>
                <w:rFonts w:ascii="Times New Roman" w:hAnsi="Times New Roman" w:cs="Times New Roman"/>
                <w:noProof/>
              </w:rPr>
              <w:t>Suitability of 137Cs as an Irradiation Source</w:t>
            </w:r>
            <w:r>
              <w:rPr>
                <w:noProof/>
                <w:webHidden/>
              </w:rPr>
              <w:tab/>
            </w:r>
            <w:r>
              <w:rPr>
                <w:noProof/>
                <w:webHidden/>
              </w:rPr>
              <w:fldChar w:fldCharType="begin"/>
            </w:r>
            <w:r>
              <w:rPr>
                <w:noProof/>
                <w:webHidden/>
              </w:rPr>
              <w:instrText xml:space="preserve"> PAGEREF _Toc240031052 \h </w:instrText>
            </w:r>
            <w:r>
              <w:rPr>
                <w:noProof/>
                <w:webHidden/>
              </w:rPr>
            </w:r>
            <w:r>
              <w:rPr>
                <w:noProof/>
                <w:webHidden/>
              </w:rPr>
              <w:fldChar w:fldCharType="separate"/>
            </w:r>
            <w:r>
              <w:rPr>
                <w:noProof/>
                <w:webHidden/>
              </w:rPr>
              <w:t>4</w:t>
            </w:r>
            <w:r>
              <w:rPr>
                <w:noProof/>
                <w:webHidden/>
              </w:rPr>
              <w:fldChar w:fldCharType="end"/>
            </w:r>
          </w:hyperlink>
        </w:p>
        <w:p w14:paraId="242F14E2" w14:textId="4F166218" w:rsidR="005E5DA0" w:rsidRDefault="005E5DA0">
          <w:pPr>
            <w:pStyle w:val="TOC2"/>
            <w:tabs>
              <w:tab w:val="right" w:leader="dot" w:pos="9350"/>
            </w:tabs>
            <w:rPr>
              <w:rFonts w:eastAsiaTheme="minorEastAsia"/>
              <w:noProof/>
              <w:kern w:val="2"/>
              <w:sz w:val="24"/>
              <w:szCs w:val="24"/>
              <w:lang w:val="en-US"/>
              <w14:ligatures w14:val="standardContextual"/>
            </w:rPr>
          </w:pPr>
          <w:hyperlink w:anchor="_Toc240031053" w:history="1">
            <w:r w:rsidRPr="00210ED2">
              <w:rPr>
                <w:rStyle w:val="Hyperlink"/>
                <w:rFonts w:eastAsia="Aptos"/>
                <w:noProof/>
              </w:rPr>
              <w:t>Dosimetry Equipment vs Effective Dose calculations</w:t>
            </w:r>
            <w:r>
              <w:rPr>
                <w:noProof/>
                <w:webHidden/>
              </w:rPr>
              <w:tab/>
            </w:r>
            <w:r>
              <w:rPr>
                <w:noProof/>
                <w:webHidden/>
              </w:rPr>
              <w:fldChar w:fldCharType="begin"/>
            </w:r>
            <w:r>
              <w:rPr>
                <w:noProof/>
                <w:webHidden/>
              </w:rPr>
              <w:instrText xml:space="preserve"> PAGEREF _Toc240031053 \h </w:instrText>
            </w:r>
            <w:r>
              <w:rPr>
                <w:noProof/>
                <w:webHidden/>
              </w:rPr>
            </w:r>
            <w:r>
              <w:rPr>
                <w:noProof/>
                <w:webHidden/>
              </w:rPr>
              <w:fldChar w:fldCharType="separate"/>
            </w:r>
            <w:r>
              <w:rPr>
                <w:noProof/>
                <w:webHidden/>
              </w:rPr>
              <w:t>5</w:t>
            </w:r>
            <w:r>
              <w:rPr>
                <w:noProof/>
                <w:webHidden/>
              </w:rPr>
              <w:fldChar w:fldCharType="end"/>
            </w:r>
          </w:hyperlink>
        </w:p>
        <w:p w14:paraId="3D40D5CD" w14:textId="20FF9893" w:rsidR="005E5DA0" w:rsidRDefault="005E5DA0">
          <w:pPr>
            <w:pStyle w:val="TOC2"/>
            <w:tabs>
              <w:tab w:val="right" w:leader="dot" w:pos="9350"/>
            </w:tabs>
            <w:rPr>
              <w:rFonts w:eastAsiaTheme="minorEastAsia"/>
              <w:noProof/>
              <w:kern w:val="2"/>
              <w:sz w:val="24"/>
              <w:szCs w:val="24"/>
              <w:lang w:val="en-US"/>
              <w14:ligatures w14:val="standardContextual"/>
            </w:rPr>
          </w:pPr>
          <w:hyperlink w:anchor="_Toc240031054" w:history="1">
            <w:r w:rsidRPr="00210ED2">
              <w:rPr>
                <w:rStyle w:val="Hyperlink"/>
                <w:rFonts w:ascii="Times New Roman" w:eastAsia="Aptos" w:hAnsi="Times New Roman" w:cs="Times New Roman"/>
                <w:noProof/>
              </w:rPr>
              <w:t>Health implications of the radiological exposure</w:t>
            </w:r>
            <w:r>
              <w:rPr>
                <w:noProof/>
                <w:webHidden/>
              </w:rPr>
              <w:tab/>
            </w:r>
            <w:r>
              <w:rPr>
                <w:noProof/>
                <w:webHidden/>
              </w:rPr>
              <w:fldChar w:fldCharType="begin"/>
            </w:r>
            <w:r>
              <w:rPr>
                <w:noProof/>
                <w:webHidden/>
              </w:rPr>
              <w:instrText xml:space="preserve"> PAGEREF _Toc240031054 \h </w:instrText>
            </w:r>
            <w:r>
              <w:rPr>
                <w:noProof/>
                <w:webHidden/>
              </w:rPr>
            </w:r>
            <w:r>
              <w:rPr>
                <w:noProof/>
                <w:webHidden/>
              </w:rPr>
              <w:fldChar w:fldCharType="separate"/>
            </w:r>
            <w:r>
              <w:rPr>
                <w:noProof/>
                <w:webHidden/>
              </w:rPr>
              <w:t>5</w:t>
            </w:r>
            <w:r>
              <w:rPr>
                <w:noProof/>
                <w:webHidden/>
              </w:rPr>
              <w:fldChar w:fldCharType="end"/>
            </w:r>
          </w:hyperlink>
        </w:p>
        <w:p w14:paraId="7B57000C" w14:textId="27591958" w:rsidR="005E5DA0" w:rsidRDefault="005E5DA0">
          <w:pPr>
            <w:pStyle w:val="TOC3"/>
            <w:tabs>
              <w:tab w:val="right" w:leader="dot" w:pos="9350"/>
            </w:tabs>
            <w:rPr>
              <w:rFonts w:eastAsiaTheme="minorEastAsia"/>
              <w:noProof/>
              <w:kern w:val="2"/>
              <w:sz w:val="24"/>
              <w:szCs w:val="24"/>
              <w:lang w:val="en-US"/>
              <w14:ligatures w14:val="standardContextual"/>
            </w:rPr>
          </w:pPr>
          <w:hyperlink w:anchor="_Toc240031055" w:history="1">
            <w:r w:rsidRPr="00210ED2">
              <w:rPr>
                <w:rStyle w:val="Hyperlink"/>
                <w:rFonts w:ascii="Times New Roman" w:eastAsia="Aptos" w:hAnsi="Times New Roman" w:cs="Times New Roman"/>
                <w:noProof/>
              </w:rPr>
              <w:t>Short-Term Effects (Acute)</w:t>
            </w:r>
            <w:r>
              <w:rPr>
                <w:noProof/>
                <w:webHidden/>
              </w:rPr>
              <w:tab/>
            </w:r>
            <w:r>
              <w:rPr>
                <w:noProof/>
                <w:webHidden/>
              </w:rPr>
              <w:fldChar w:fldCharType="begin"/>
            </w:r>
            <w:r>
              <w:rPr>
                <w:noProof/>
                <w:webHidden/>
              </w:rPr>
              <w:instrText xml:space="preserve"> PAGEREF _Toc240031055 \h </w:instrText>
            </w:r>
            <w:r>
              <w:rPr>
                <w:noProof/>
                <w:webHidden/>
              </w:rPr>
            </w:r>
            <w:r>
              <w:rPr>
                <w:noProof/>
                <w:webHidden/>
              </w:rPr>
              <w:fldChar w:fldCharType="separate"/>
            </w:r>
            <w:r>
              <w:rPr>
                <w:noProof/>
                <w:webHidden/>
              </w:rPr>
              <w:t>5</w:t>
            </w:r>
            <w:r>
              <w:rPr>
                <w:noProof/>
                <w:webHidden/>
              </w:rPr>
              <w:fldChar w:fldCharType="end"/>
            </w:r>
          </w:hyperlink>
        </w:p>
        <w:p w14:paraId="53A9BFC0" w14:textId="22F96D0A" w:rsidR="005E5DA0" w:rsidRDefault="005E5DA0">
          <w:pPr>
            <w:pStyle w:val="TOC3"/>
            <w:tabs>
              <w:tab w:val="right" w:leader="dot" w:pos="9350"/>
            </w:tabs>
            <w:rPr>
              <w:rFonts w:eastAsiaTheme="minorEastAsia"/>
              <w:noProof/>
              <w:kern w:val="2"/>
              <w:sz w:val="24"/>
              <w:szCs w:val="24"/>
              <w:lang w:val="en-US"/>
              <w14:ligatures w14:val="standardContextual"/>
            </w:rPr>
          </w:pPr>
          <w:hyperlink w:anchor="_Toc240031056" w:history="1">
            <w:r w:rsidRPr="00210ED2">
              <w:rPr>
                <w:rStyle w:val="Hyperlink"/>
                <w:rFonts w:ascii="Times New Roman" w:eastAsia="Aptos" w:hAnsi="Times New Roman" w:cs="Times New Roman"/>
                <w:noProof/>
              </w:rPr>
              <w:t>Stochastic effects (Long-Term Effects)</w:t>
            </w:r>
            <w:r>
              <w:rPr>
                <w:noProof/>
                <w:webHidden/>
              </w:rPr>
              <w:tab/>
            </w:r>
            <w:r>
              <w:rPr>
                <w:noProof/>
                <w:webHidden/>
              </w:rPr>
              <w:fldChar w:fldCharType="begin"/>
            </w:r>
            <w:r>
              <w:rPr>
                <w:noProof/>
                <w:webHidden/>
              </w:rPr>
              <w:instrText xml:space="preserve"> PAGEREF _Toc240031056 \h </w:instrText>
            </w:r>
            <w:r>
              <w:rPr>
                <w:noProof/>
                <w:webHidden/>
              </w:rPr>
            </w:r>
            <w:r>
              <w:rPr>
                <w:noProof/>
                <w:webHidden/>
              </w:rPr>
              <w:fldChar w:fldCharType="separate"/>
            </w:r>
            <w:r>
              <w:rPr>
                <w:noProof/>
                <w:webHidden/>
              </w:rPr>
              <w:t>6</w:t>
            </w:r>
            <w:r>
              <w:rPr>
                <w:noProof/>
                <w:webHidden/>
              </w:rPr>
              <w:fldChar w:fldCharType="end"/>
            </w:r>
          </w:hyperlink>
        </w:p>
        <w:p w14:paraId="322DF81A" w14:textId="7B7F644B" w:rsidR="005E5DA0" w:rsidRDefault="005E5DA0">
          <w:pPr>
            <w:pStyle w:val="TOC2"/>
            <w:tabs>
              <w:tab w:val="right" w:leader="dot" w:pos="9350"/>
            </w:tabs>
            <w:rPr>
              <w:rFonts w:eastAsiaTheme="minorEastAsia"/>
              <w:noProof/>
              <w:kern w:val="2"/>
              <w:sz w:val="24"/>
              <w:szCs w:val="24"/>
              <w:lang w:val="en-US"/>
              <w14:ligatures w14:val="standardContextual"/>
            </w:rPr>
          </w:pPr>
          <w:hyperlink w:anchor="_Toc240031057" w:history="1">
            <w:r w:rsidRPr="00210ED2">
              <w:rPr>
                <w:rStyle w:val="Hyperlink"/>
                <w:noProof/>
                <w:shd w:val="clear" w:color="auto" w:fill="FFFFFF"/>
              </w:rPr>
              <w:t>Ionising Radiations Regulations 2017</w:t>
            </w:r>
            <w:r>
              <w:rPr>
                <w:noProof/>
                <w:webHidden/>
              </w:rPr>
              <w:tab/>
            </w:r>
            <w:r>
              <w:rPr>
                <w:noProof/>
                <w:webHidden/>
              </w:rPr>
              <w:fldChar w:fldCharType="begin"/>
            </w:r>
            <w:r>
              <w:rPr>
                <w:noProof/>
                <w:webHidden/>
              </w:rPr>
              <w:instrText xml:space="preserve"> PAGEREF _Toc240031057 \h </w:instrText>
            </w:r>
            <w:r>
              <w:rPr>
                <w:noProof/>
                <w:webHidden/>
              </w:rPr>
            </w:r>
            <w:r>
              <w:rPr>
                <w:noProof/>
                <w:webHidden/>
              </w:rPr>
              <w:fldChar w:fldCharType="separate"/>
            </w:r>
            <w:r>
              <w:rPr>
                <w:noProof/>
                <w:webHidden/>
              </w:rPr>
              <w:t>7</w:t>
            </w:r>
            <w:r>
              <w:rPr>
                <w:noProof/>
                <w:webHidden/>
              </w:rPr>
              <w:fldChar w:fldCharType="end"/>
            </w:r>
          </w:hyperlink>
        </w:p>
        <w:p w14:paraId="2893BEA2" w14:textId="2C71D37D" w:rsidR="005E5DA0" w:rsidRDefault="005E5DA0">
          <w:pPr>
            <w:pStyle w:val="TOC3"/>
            <w:tabs>
              <w:tab w:val="right" w:leader="dot" w:pos="9350"/>
            </w:tabs>
            <w:rPr>
              <w:rFonts w:eastAsiaTheme="minorEastAsia"/>
              <w:noProof/>
              <w:kern w:val="2"/>
              <w:sz w:val="24"/>
              <w:szCs w:val="24"/>
              <w:lang w:val="en-US"/>
              <w14:ligatures w14:val="standardContextual"/>
            </w:rPr>
          </w:pPr>
          <w:hyperlink w:anchor="_Toc240031058" w:history="1">
            <w:r w:rsidRPr="00210ED2">
              <w:rPr>
                <w:rStyle w:val="Hyperlink"/>
                <w:rFonts w:ascii="Times New Roman" w:hAnsi="Times New Roman" w:cs="Times New Roman"/>
                <w:noProof/>
              </w:rPr>
              <w:t>Regulation 8 Radiation risk assessments</w:t>
            </w:r>
            <w:r>
              <w:rPr>
                <w:noProof/>
                <w:webHidden/>
              </w:rPr>
              <w:tab/>
            </w:r>
            <w:r>
              <w:rPr>
                <w:noProof/>
                <w:webHidden/>
              </w:rPr>
              <w:fldChar w:fldCharType="begin"/>
            </w:r>
            <w:r>
              <w:rPr>
                <w:noProof/>
                <w:webHidden/>
              </w:rPr>
              <w:instrText xml:space="preserve"> PAGEREF _Toc240031058 \h </w:instrText>
            </w:r>
            <w:r>
              <w:rPr>
                <w:noProof/>
                <w:webHidden/>
              </w:rPr>
            </w:r>
            <w:r>
              <w:rPr>
                <w:noProof/>
                <w:webHidden/>
              </w:rPr>
              <w:fldChar w:fldCharType="separate"/>
            </w:r>
            <w:r>
              <w:rPr>
                <w:noProof/>
                <w:webHidden/>
              </w:rPr>
              <w:t>7</w:t>
            </w:r>
            <w:r>
              <w:rPr>
                <w:noProof/>
                <w:webHidden/>
              </w:rPr>
              <w:fldChar w:fldCharType="end"/>
            </w:r>
          </w:hyperlink>
        </w:p>
        <w:p w14:paraId="470527BD" w14:textId="7D9FF9C7" w:rsidR="005E5DA0" w:rsidRDefault="005E5DA0">
          <w:pPr>
            <w:pStyle w:val="TOC3"/>
            <w:tabs>
              <w:tab w:val="right" w:leader="dot" w:pos="9350"/>
            </w:tabs>
            <w:rPr>
              <w:rFonts w:eastAsiaTheme="minorEastAsia"/>
              <w:noProof/>
              <w:kern w:val="2"/>
              <w:sz w:val="24"/>
              <w:szCs w:val="24"/>
              <w:lang w:val="en-US"/>
              <w14:ligatures w14:val="standardContextual"/>
            </w:rPr>
          </w:pPr>
          <w:hyperlink w:anchor="_Toc240031059" w:history="1">
            <w:r w:rsidRPr="00210ED2">
              <w:rPr>
                <w:rStyle w:val="Hyperlink"/>
                <w:rFonts w:ascii="Times New Roman" w:hAnsi="Times New Roman" w:cs="Times New Roman"/>
                <w:noProof/>
              </w:rPr>
              <w:t>Regulation 9 Restriction of exposure</w:t>
            </w:r>
            <w:r>
              <w:rPr>
                <w:noProof/>
                <w:webHidden/>
              </w:rPr>
              <w:tab/>
            </w:r>
            <w:r>
              <w:rPr>
                <w:noProof/>
                <w:webHidden/>
              </w:rPr>
              <w:fldChar w:fldCharType="begin"/>
            </w:r>
            <w:r>
              <w:rPr>
                <w:noProof/>
                <w:webHidden/>
              </w:rPr>
              <w:instrText xml:space="preserve"> PAGEREF _Toc240031059 \h </w:instrText>
            </w:r>
            <w:r>
              <w:rPr>
                <w:noProof/>
                <w:webHidden/>
              </w:rPr>
            </w:r>
            <w:r>
              <w:rPr>
                <w:noProof/>
                <w:webHidden/>
              </w:rPr>
              <w:fldChar w:fldCharType="separate"/>
            </w:r>
            <w:r>
              <w:rPr>
                <w:noProof/>
                <w:webHidden/>
              </w:rPr>
              <w:t>7</w:t>
            </w:r>
            <w:r>
              <w:rPr>
                <w:noProof/>
                <w:webHidden/>
              </w:rPr>
              <w:fldChar w:fldCharType="end"/>
            </w:r>
          </w:hyperlink>
        </w:p>
        <w:p w14:paraId="2BD2642A" w14:textId="57021F10" w:rsidR="005E5DA0" w:rsidRDefault="005E5DA0">
          <w:pPr>
            <w:pStyle w:val="TOC3"/>
            <w:tabs>
              <w:tab w:val="right" w:leader="dot" w:pos="9350"/>
            </w:tabs>
            <w:rPr>
              <w:rFonts w:eastAsiaTheme="minorEastAsia"/>
              <w:noProof/>
              <w:kern w:val="2"/>
              <w:sz w:val="24"/>
              <w:szCs w:val="24"/>
              <w:lang w:val="en-US"/>
              <w14:ligatures w14:val="standardContextual"/>
            </w:rPr>
          </w:pPr>
          <w:hyperlink w:anchor="_Toc240031060" w:history="1">
            <w:r w:rsidRPr="00210ED2">
              <w:rPr>
                <w:rStyle w:val="Hyperlink"/>
                <w:rFonts w:ascii="Times New Roman" w:hAnsi="Times New Roman" w:cs="Times New Roman"/>
                <w:noProof/>
              </w:rPr>
              <w:t>Regulation 11 Maintenance and examination of engineering controls etc and personal protective equipment</w:t>
            </w:r>
            <w:r>
              <w:rPr>
                <w:noProof/>
                <w:webHidden/>
              </w:rPr>
              <w:tab/>
            </w:r>
            <w:r>
              <w:rPr>
                <w:noProof/>
                <w:webHidden/>
              </w:rPr>
              <w:fldChar w:fldCharType="begin"/>
            </w:r>
            <w:r>
              <w:rPr>
                <w:noProof/>
                <w:webHidden/>
              </w:rPr>
              <w:instrText xml:space="preserve"> PAGEREF _Toc240031060 \h </w:instrText>
            </w:r>
            <w:r>
              <w:rPr>
                <w:noProof/>
                <w:webHidden/>
              </w:rPr>
            </w:r>
            <w:r>
              <w:rPr>
                <w:noProof/>
                <w:webHidden/>
              </w:rPr>
              <w:fldChar w:fldCharType="separate"/>
            </w:r>
            <w:r>
              <w:rPr>
                <w:noProof/>
                <w:webHidden/>
              </w:rPr>
              <w:t>7</w:t>
            </w:r>
            <w:r>
              <w:rPr>
                <w:noProof/>
                <w:webHidden/>
              </w:rPr>
              <w:fldChar w:fldCharType="end"/>
            </w:r>
          </w:hyperlink>
        </w:p>
        <w:p w14:paraId="41596551" w14:textId="346C1FCA" w:rsidR="005E5DA0" w:rsidRDefault="005E5DA0">
          <w:pPr>
            <w:pStyle w:val="TOC3"/>
            <w:tabs>
              <w:tab w:val="right" w:leader="dot" w:pos="9350"/>
            </w:tabs>
            <w:rPr>
              <w:rFonts w:eastAsiaTheme="minorEastAsia"/>
              <w:noProof/>
              <w:kern w:val="2"/>
              <w:sz w:val="24"/>
              <w:szCs w:val="24"/>
              <w:lang w:val="en-US"/>
              <w14:ligatures w14:val="standardContextual"/>
            </w:rPr>
          </w:pPr>
          <w:hyperlink w:anchor="_Toc240031061" w:history="1">
            <w:r w:rsidRPr="00210ED2">
              <w:rPr>
                <w:rStyle w:val="Hyperlink"/>
                <w:rFonts w:ascii="Times New Roman" w:hAnsi="Times New Roman" w:cs="Times New Roman"/>
                <w:noProof/>
              </w:rPr>
              <w:t>Regulation 12 Dose limitation</w:t>
            </w:r>
            <w:r>
              <w:rPr>
                <w:noProof/>
                <w:webHidden/>
              </w:rPr>
              <w:tab/>
            </w:r>
            <w:r>
              <w:rPr>
                <w:noProof/>
                <w:webHidden/>
              </w:rPr>
              <w:fldChar w:fldCharType="begin"/>
            </w:r>
            <w:r>
              <w:rPr>
                <w:noProof/>
                <w:webHidden/>
              </w:rPr>
              <w:instrText xml:space="preserve"> PAGEREF _Toc240031061 \h </w:instrText>
            </w:r>
            <w:r>
              <w:rPr>
                <w:noProof/>
                <w:webHidden/>
              </w:rPr>
            </w:r>
            <w:r>
              <w:rPr>
                <w:noProof/>
                <w:webHidden/>
              </w:rPr>
              <w:fldChar w:fldCharType="separate"/>
            </w:r>
            <w:r>
              <w:rPr>
                <w:noProof/>
                <w:webHidden/>
              </w:rPr>
              <w:t>8</w:t>
            </w:r>
            <w:r>
              <w:rPr>
                <w:noProof/>
                <w:webHidden/>
              </w:rPr>
              <w:fldChar w:fldCharType="end"/>
            </w:r>
          </w:hyperlink>
        </w:p>
        <w:p w14:paraId="1D90A7E6" w14:textId="7E0CABC5" w:rsidR="005E5DA0" w:rsidRDefault="005E5DA0">
          <w:pPr>
            <w:pStyle w:val="TOC3"/>
            <w:tabs>
              <w:tab w:val="right" w:leader="dot" w:pos="9350"/>
            </w:tabs>
            <w:rPr>
              <w:rFonts w:eastAsiaTheme="minorEastAsia"/>
              <w:noProof/>
              <w:kern w:val="2"/>
              <w:sz w:val="24"/>
              <w:szCs w:val="24"/>
              <w:lang w:val="en-US"/>
              <w14:ligatures w14:val="standardContextual"/>
            </w:rPr>
          </w:pPr>
          <w:hyperlink w:anchor="_Toc240031062" w:history="1">
            <w:r w:rsidRPr="00210ED2">
              <w:rPr>
                <w:rStyle w:val="Hyperlink"/>
                <w:rFonts w:ascii="Times New Roman" w:hAnsi="Times New Roman" w:cs="Times New Roman"/>
                <w:noProof/>
              </w:rPr>
              <w:t>Regulation 14 Radiation protection adviser (RPA)</w:t>
            </w:r>
            <w:r>
              <w:rPr>
                <w:noProof/>
                <w:webHidden/>
              </w:rPr>
              <w:tab/>
            </w:r>
            <w:r>
              <w:rPr>
                <w:noProof/>
                <w:webHidden/>
              </w:rPr>
              <w:fldChar w:fldCharType="begin"/>
            </w:r>
            <w:r>
              <w:rPr>
                <w:noProof/>
                <w:webHidden/>
              </w:rPr>
              <w:instrText xml:space="preserve"> PAGEREF _Toc240031062 \h </w:instrText>
            </w:r>
            <w:r>
              <w:rPr>
                <w:noProof/>
                <w:webHidden/>
              </w:rPr>
            </w:r>
            <w:r>
              <w:rPr>
                <w:noProof/>
                <w:webHidden/>
              </w:rPr>
              <w:fldChar w:fldCharType="separate"/>
            </w:r>
            <w:r>
              <w:rPr>
                <w:noProof/>
                <w:webHidden/>
              </w:rPr>
              <w:t>8</w:t>
            </w:r>
            <w:r>
              <w:rPr>
                <w:noProof/>
                <w:webHidden/>
              </w:rPr>
              <w:fldChar w:fldCharType="end"/>
            </w:r>
          </w:hyperlink>
        </w:p>
        <w:p w14:paraId="5185E35E" w14:textId="31945F6B" w:rsidR="005E5DA0" w:rsidRDefault="005E5DA0">
          <w:pPr>
            <w:pStyle w:val="TOC3"/>
            <w:tabs>
              <w:tab w:val="right" w:leader="dot" w:pos="9350"/>
            </w:tabs>
            <w:rPr>
              <w:rFonts w:eastAsiaTheme="minorEastAsia"/>
              <w:noProof/>
              <w:kern w:val="2"/>
              <w:sz w:val="24"/>
              <w:szCs w:val="24"/>
              <w:lang w:val="en-US"/>
              <w14:ligatures w14:val="standardContextual"/>
            </w:rPr>
          </w:pPr>
          <w:hyperlink w:anchor="_Toc240031063" w:history="1">
            <w:r w:rsidRPr="00210ED2">
              <w:rPr>
                <w:rStyle w:val="Hyperlink"/>
                <w:rFonts w:ascii="Times New Roman" w:hAnsi="Times New Roman" w:cs="Times New Roman"/>
                <w:noProof/>
              </w:rPr>
              <w:t>Regulation 18: Local Rules and Radiation Protection Supervisors (RPS)</w:t>
            </w:r>
            <w:r>
              <w:rPr>
                <w:noProof/>
                <w:webHidden/>
              </w:rPr>
              <w:tab/>
            </w:r>
            <w:r>
              <w:rPr>
                <w:noProof/>
                <w:webHidden/>
              </w:rPr>
              <w:fldChar w:fldCharType="begin"/>
            </w:r>
            <w:r>
              <w:rPr>
                <w:noProof/>
                <w:webHidden/>
              </w:rPr>
              <w:instrText xml:space="preserve"> PAGEREF _Toc240031063 \h </w:instrText>
            </w:r>
            <w:r>
              <w:rPr>
                <w:noProof/>
                <w:webHidden/>
              </w:rPr>
            </w:r>
            <w:r>
              <w:rPr>
                <w:noProof/>
                <w:webHidden/>
              </w:rPr>
              <w:fldChar w:fldCharType="separate"/>
            </w:r>
            <w:r>
              <w:rPr>
                <w:noProof/>
                <w:webHidden/>
              </w:rPr>
              <w:t>8</w:t>
            </w:r>
            <w:r>
              <w:rPr>
                <w:noProof/>
                <w:webHidden/>
              </w:rPr>
              <w:fldChar w:fldCharType="end"/>
            </w:r>
          </w:hyperlink>
        </w:p>
        <w:p w14:paraId="18706B90" w14:textId="12BA97FF" w:rsidR="005E5DA0" w:rsidRDefault="005E5DA0">
          <w:pPr>
            <w:pStyle w:val="TOC3"/>
            <w:tabs>
              <w:tab w:val="right" w:leader="dot" w:pos="9350"/>
            </w:tabs>
            <w:rPr>
              <w:rFonts w:eastAsiaTheme="minorEastAsia"/>
              <w:noProof/>
              <w:kern w:val="2"/>
              <w:sz w:val="24"/>
              <w:szCs w:val="24"/>
              <w:lang w:val="en-US"/>
              <w14:ligatures w14:val="standardContextual"/>
            </w:rPr>
          </w:pPr>
          <w:hyperlink w:anchor="_Toc240031064" w:history="1">
            <w:r w:rsidRPr="00210ED2">
              <w:rPr>
                <w:rStyle w:val="Hyperlink"/>
                <w:rFonts w:ascii="Times New Roman" w:hAnsi="Times New Roman" w:cs="Times New Roman"/>
                <w:noProof/>
              </w:rPr>
              <w:t>Regulation 24 Dosimetry for accidents etc &amp; 26 Investigation and notification of overexposure</w:t>
            </w:r>
            <w:r>
              <w:rPr>
                <w:noProof/>
                <w:webHidden/>
              </w:rPr>
              <w:tab/>
            </w:r>
            <w:r>
              <w:rPr>
                <w:noProof/>
                <w:webHidden/>
              </w:rPr>
              <w:fldChar w:fldCharType="begin"/>
            </w:r>
            <w:r>
              <w:rPr>
                <w:noProof/>
                <w:webHidden/>
              </w:rPr>
              <w:instrText xml:space="preserve"> PAGEREF _Toc240031064 \h </w:instrText>
            </w:r>
            <w:r>
              <w:rPr>
                <w:noProof/>
                <w:webHidden/>
              </w:rPr>
            </w:r>
            <w:r>
              <w:rPr>
                <w:noProof/>
                <w:webHidden/>
              </w:rPr>
              <w:fldChar w:fldCharType="separate"/>
            </w:r>
            <w:r>
              <w:rPr>
                <w:noProof/>
                <w:webHidden/>
              </w:rPr>
              <w:t>9</w:t>
            </w:r>
            <w:r>
              <w:rPr>
                <w:noProof/>
                <w:webHidden/>
              </w:rPr>
              <w:fldChar w:fldCharType="end"/>
            </w:r>
          </w:hyperlink>
        </w:p>
        <w:p w14:paraId="2BDB21B2" w14:textId="2B6A0E26" w:rsidR="005E5DA0" w:rsidRDefault="005E5DA0">
          <w:pPr>
            <w:pStyle w:val="TOC2"/>
            <w:tabs>
              <w:tab w:val="right" w:leader="dot" w:pos="9350"/>
            </w:tabs>
            <w:rPr>
              <w:rFonts w:eastAsiaTheme="minorEastAsia"/>
              <w:noProof/>
              <w:kern w:val="2"/>
              <w:sz w:val="24"/>
              <w:szCs w:val="24"/>
              <w:lang w:val="en-US"/>
              <w14:ligatures w14:val="standardContextual"/>
            </w:rPr>
          </w:pPr>
          <w:hyperlink w:anchor="_Toc240031065" w:history="1">
            <w:r w:rsidRPr="00210ED2">
              <w:rPr>
                <w:rStyle w:val="Hyperlink"/>
                <w:rFonts w:ascii="Times New Roman" w:eastAsia="Aptos" w:hAnsi="Times New Roman" w:cs="Times New Roman"/>
                <w:noProof/>
              </w:rPr>
              <w:t>ONR safety assessment principles (SAPs)</w:t>
            </w:r>
            <w:r>
              <w:rPr>
                <w:noProof/>
                <w:webHidden/>
              </w:rPr>
              <w:tab/>
            </w:r>
            <w:r>
              <w:rPr>
                <w:noProof/>
                <w:webHidden/>
              </w:rPr>
              <w:fldChar w:fldCharType="begin"/>
            </w:r>
            <w:r>
              <w:rPr>
                <w:noProof/>
                <w:webHidden/>
              </w:rPr>
              <w:instrText xml:space="preserve"> PAGEREF _Toc240031065 \h </w:instrText>
            </w:r>
            <w:r>
              <w:rPr>
                <w:noProof/>
                <w:webHidden/>
              </w:rPr>
            </w:r>
            <w:r>
              <w:rPr>
                <w:noProof/>
                <w:webHidden/>
              </w:rPr>
              <w:fldChar w:fldCharType="separate"/>
            </w:r>
            <w:r>
              <w:rPr>
                <w:noProof/>
                <w:webHidden/>
              </w:rPr>
              <w:t>9</w:t>
            </w:r>
            <w:r>
              <w:rPr>
                <w:noProof/>
                <w:webHidden/>
              </w:rPr>
              <w:fldChar w:fldCharType="end"/>
            </w:r>
          </w:hyperlink>
        </w:p>
        <w:p w14:paraId="10A86DDA" w14:textId="012B61A6" w:rsidR="005E5DA0" w:rsidRDefault="005E5DA0">
          <w:pPr>
            <w:pStyle w:val="TOC3"/>
            <w:tabs>
              <w:tab w:val="right" w:leader="dot" w:pos="9350"/>
            </w:tabs>
            <w:rPr>
              <w:rFonts w:eastAsiaTheme="minorEastAsia"/>
              <w:noProof/>
              <w:kern w:val="2"/>
              <w:sz w:val="24"/>
              <w:szCs w:val="24"/>
              <w:lang w:val="en-US"/>
              <w14:ligatures w14:val="standardContextual"/>
            </w:rPr>
          </w:pPr>
          <w:hyperlink w:anchor="_Toc240031066" w:history="1">
            <w:r w:rsidRPr="00210ED2">
              <w:rPr>
                <w:rStyle w:val="Hyperlink"/>
                <w:rFonts w:ascii="Times New Roman" w:hAnsi="Times New Roman" w:cs="Times New Roman"/>
                <w:noProof/>
              </w:rPr>
              <w:t>EKP.3 Defence in depth</w:t>
            </w:r>
            <w:r>
              <w:rPr>
                <w:noProof/>
                <w:webHidden/>
              </w:rPr>
              <w:tab/>
            </w:r>
            <w:r>
              <w:rPr>
                <w:noProof/>
                <w:webHidden/>
              </w:rPr>
              <w:fldChar w:fldCharType="begin"/>
            </w:r>
            <w:r>
              <w:rPr>
                <w:noProof/>
                <w:webHidden/>
              </w:rPr>
              <w:instrText xml:space="preserve"> PAGEREF _Toc240031066 \h </w:instrText>
            </w:r>
            <w:r>
              <w:rPr>
                <w:noProof/>
                <w:webHidden/>
              </w:rPr>
            </w:r>
            <w:r>
              <w:rPr>
                <w:noProof/>
                <w:webHidden/>
              </w:rPr>
              <w:fldChar w:fldCharType="separate"/>
            </w:r>
            <w:r>
              <w:rPr>
                <w:noProof/>
                <w:webHidden/>
              </w:rPr>
              <w:t>9</w:t>
            </w:r>
            <w:r>
              <w:rPr>
                <w:noProof/>
                <w:webHidden/>
              </w:rPr>
              <w:fldChar w:fldCharType="end"/>
            </w:r>
          </w:hyperlink>
        </w:p>
        <w:p w14:paraId="288B02E9" w14:textId="5E632267" w:rsidR="005E5DA0" w:rsidRDefault="005E5DA0">
          <w:pPr>
            <w:pStyle w:val="TOC3"/>
            <w:tabs>
              <w:tab w:val="right" w:leader="dot" w:pos="9350"/>
            </w:tabs>
            <w:rPr>
              <w:rFonts w:eastAsiaTheme="minorEastAsia"/>
              <w:noProof/>
              <w:kern w:val="2"/>
              <w:sz w:val="24"/>
              <w:szCs w:val="24"/>
              <w:lang w:val="en-US"/>
              <w14:ligatures w14:val="standardContextual"/>
            </w:rPr>
          </w:pPr>
          <w:hyperlink w:anchor="_Toc240031067" w:history="1">
            <w:r w:rsidRPr="00210ED2">
              <w:rPr>
                <w:rStyle w:val="Hyperlink"/>
                <w:rFonts w:ascii="Times New Roman" w:hAnsi="Times New Roman" w:cs="Times New Roman"/>
                <w:noProof/>
              </w:rPr>
              <w:t>EMT.2: Maintenance, Inspection, and Testing</w:t>
            </w:r>
            <w:r>
              <w:rPr>
                <w:noProof/>
                <w:webHidden/>
              </w:rPr>
              <w:tab/>
            </w:r>
            <w:r>
              <w:rPr>
                <w:noProof/>
                <w:webHidden/>
              </w:rPr>
              <w:fldChar w:fldCharType="begin"/>
            </w:r>
            <w:r>
              <w:rPr>
                <w:noProof/>
                <w:webHidden/>
              </w:rPr>
              <w:instrText xml:space="preserve"> PAGEREF _Toc240031067 \h </w:instrText>
            </w:r>
            <w:r>
              <w:rPr>
                <w:noProof/>
                <w:webHidden/>
              </w:rPr>
            </w:r>
            <w:r>
              <w:rPr>
                <w:noProof/>
                <w:webHidden/>
              </w:rPr>
              <w:fldChar w:fldCharType="separate"/>
            </w:r>
            <w:r>
              <w:rPr>
                <w:noProof/>
                <w:webHidden/>
              </w:rPr>
              <w:t>10</w:t>
            </w:r>
            <w:r>
              <w:rPr>
                <w:noProof/>
                <w:webHidden/>
              </w:rPr>
              <w:fldChar w:fldCharType="end"/>
            </w:r>
          </w:hyperlink>
        </w:p>
        <w:p w14:paraId="77FB7FC1" w14:textId="538A10F9" w:rsidR="005E5DA0" w:rsidRDefault="005E5DA0">
          <w:pPr>
            <w:pStyle w:val="TOC3"/>
            <w:tabs>
              <w:tab w:val="right" w:leader="dot" w:pos="9350"/>
            </w:tabs>
            <w:rPr>
              <w:rFonts w:eastAsiaTheme="minorEastAsia"/>
              <w:noProof/>
              <w:kern w:val="2"/>
              <w:sz w:val="24"/>
              <w:szCs w:val="24"/>
              <w:lang w:val="en-US"/>
              <w14:ligatures w14:val="standardContextual"/>
            </w:rPr>
          </w:pPr>
          <w:hyperlink w:anchor="_Toc240031068" w:history="1">
            <w:r w:rsidRPr="00210ED2">
              <w:rPr>
                <w:rStyle w:val="Hyperlink"/>
                <w:rFonts w:ascii="Times New Roman" w:hAnsi="Times New Roman" w:cs="Times New Roman"/>
                <w:noProof/>
              </w:rPr>
              <w:t>RP.2 – Radiation Protection in Accident Conditions</w:t>
            </w:r>
            <w:r>
              <w:rPr>
                <w:noProof/>
                <w:webHidden/>
              </w:rPr>
              <w:tab/>
            </w:r>
            <w:r>
              <w:rPr>
                <w:noProof/>
                <w:webHidden/>
              </w:rPr>
              <w:fldChar w:fldCharType="begin"/>
            </w:r>
            <w:r>
              <w:rPr>
                <w:noProof/>
                <w:webHidden/>
              </w:rPr>
              <w:instrText xml:space="preserve"> PAGEREF _Toc240031068 \h </w:instrText>
            </w:r>
            <w:r>
              <w:rPr>
                <w:noProof/>
                <w:webHidden/>
              </w:rPr>
            </w:r>
            <w:r>
              <w:rPr>
                <w:noProof/>
                <w:webHidden/>
              </w:rPr>
              <w:fldChar w:fldCharType="separate"/>
            </w:r>
            <w:r>
              <w:rPr>
                <w:noProof/>
                <w:webHidden/>
              </w:rPr>
              <w:t>10</w:t>
            </w:r>
            <w:r>
              <w:rPr>
                <w:noProof/>
                <w:webHidden/>
              </w:rPr>
              <w:fldChar w:fldCharType="end"/>
            </w:r>
          </w:hyperlink>
        </w:p>
        <w:p w14:paraId="06610A86" w14:textId="63C40748" w:rsidR="005E5DA0" w:rsidRDefault="005E5DA0">
          <w:pPr>
            <w:pStyle w:val="TOC2"/>
            <w:tabs>
              <w:tab w:val="right" w:leader="dot" w:pos="9350"/>
            </w:tabs>
            <w:rPr>
              <w:rFonts w:eastAsiaTheme="minorEastAsia"/>
              <w:noProof/>
              <w:kern w:val="2"/>
              <w:sz w:val="24"/>
              <w:szCs w:val="24"/>
              <w:lang w:val="en-US"/>
              <w14:ligatures w14:val="standardContextual"/>
            </w:rPr>
          </w:pPr>
          <w:hyperlink w:anchor="_Toc240031069" w:history="1">
            <w:r w:rsidRPr="00210ED2">
              <w:rPr>
                <w:rStyle w:val="Hyperlink"/>
                <w:rFonts w:ascii="Times New Roman" w:hAnsi="Times New Roman" w:cs="Times New Roman"/>
                <w:noProof/>
              </w:rPr>
              <w:t>ALARP Improvements</w:t>
            </w:r>
            <w:r>
              <w:rPr>
                <w:noProof/>
                <w:webHidden/>
              </w:rPr>
              <w:tab/>
            </w:r>
            <w:r>
              <w:rPr>
                <w:noProof/>
                <w:webHidden/>
              </w:rPr>
              <w:fldChar w:fldCharType="begin"/>
            </w:r>
            <w:r>
              <w:rPr>
                <w:noProof/>
                <w:webHidden/>
              </w:rPr>
              <w:instrText xml:space="preserve"> PAGEREF _Toc240031069 \h </w:instrText>
            </w:r>
            <w:r>
              <w:rPr>
                <w:noProof/>
                <w:webHidden/>
              </w:rPr>
            </w:r>
            <w:r>
              <w:rPr>
                <w:noProof/>
                <w:webHidden/>
              </w:rPr>
              <w:fldChar w:fldCharType="separate"/>
            </w:r>
            <w:r>
              <w:rPr>
                <w:noProof/>
                <w:webHidden/>
              </w:rPr>
              <w:t>11</w:t>
            </w:r>
            <w:r>
              <w:rPr>
                <w:noProof/>
                <w:webHidden/>
              </w:rPr>
              <w:fldChar w:fldCharType="end"/>
            </w:r>
          </w:hyperlink>
        </w:p>
        <w:p w14:paraId="53DD7073" w14:textId="3C043ED4" w:rsidR="005E5DA0" w:rsidRDefault="005E5DA0">
          <w:pPr>
            <w:pStyle w:val="TOC3"/>
            <w:tabs>
              <w:tab w:val="right" w:leader="dot" w:pos="9350"/>
            </w:tabs>
            <w:rPr>
              <w:rFonts w:eastAsiaTheme="minorEastAsia"/>
              <w:noProof/>
              <w:kern w:val="2"/>
              <w:sz w:val="24"/>
              <w:szCs w:val="24"/>
              <w:lang w:val="en-US"/>
              <w14:ligatures w14:val="standardContextual"/>
            </w:rPr>
          </w:pPr>
          <w:hyperlink w:anchor="_Toc240031070" w:history="1">
            <w:r w:rsidRPr="00210ED2">
              <w:rPr>
                <w:rStyle w:val="Hyperlink"/>
                <w:rFonts w:ascii="Times New Roman" w:hAnsi="Times New Roman" w:cs="Times New Roman"/>
                <w:noProof/>
              </w:rPr>
              <w:t>Controls (Reducing Likelihood)</w:t>
            </w:r>
            <w:r>
              <w:rPr>
                <w:noProof/>
                <w:webHidden/>
              </w:rPr>
              <w:tab/>
            </w:r>
            <w:r>
              <w:rPr>
                <w:noProof/>
                <w:webHidden/>
              </w:rPr>
              <w:fldChar w:fldCharType="begin"/>
            </w:r>
            <w:r>
              <w:rPr>
                <w:noProof/>
                <w:webHidden/>
              </w:rPr>
              <w:instrText xml:space="preserve"> PAGEREF _Toc240031070 \h </w:instrText>
            </w:r>
            <w:r>
              <w:rPr>
                <w:noProof/>
                <w:webHidden/>
              </w:rPr>
            </w:r>
            <w:r>
              <w:rPr>
                <w:noProof/>
                <w:webHidden/>
              </w:rPr>
              <w:fldChar w:fldCharType="separate"/>
            </w:r>
            <w:r>
              <w:rPr>
                <w:noProof/>
                <w:webHidden/>
              </w:rPr>
              <w:t>11</w:t>
            </w:r>
            <w:r>
              <w:rPr>
                <w:noProof/>
                <w:webHidden/>
              </w:rPr>
              <w:fldChar w:fldCharType="end"/>
            </w:r>
          </w:hyperlink>
        </w:p>
        <w:p w14:paraId="712FC756" w14:textId="199EDD83" w:rsidR="005E5DA0" w:rsidRDefault="005E5DA0">
          <w:pPr>
            <w:pStyle w:val="TOC3"/>
            <w:tabs>
              <w:tab w:val="right" w:leader="dot" w:pos="9350"/>
            </w:tabs>
            <w:rPr>
              <w:rFonts w:eastAsiaTheme="minorEastAsia"/>
              <w:noProof/>
              <w:kern w:val="2"/>
              <w:sz w:val="24"/>
              <w:szCs w:val="24"/>
              <w:lang w:val="en-US"/>
              <w14:ligatures w14:val="standardContextual"/>
            </w:rPr>
          </w:pPr>
          <w:hyperlink w:anchor="_Toc240031071" w:history="1">
            <w:r w:rsidRPr="00210ED2">
              <w:rPr>
                <w:rStyle w:val="Hyperlink"/>
                <w:rFonts w:ascii="Times New Roman" w:hAnsi="Times New Roman" w:cs="Times New Roman"/>
                <w:noProof/>
              </w:rPr>
              <w:t>Mitigations (Reducing Consequence)</w:t>
            </w:r>
            <w:r>
              <w:rPr>
                <w:noProof/>
                <w:webHidden/>
              </w:rPr>
              <w:tab/>
            </w:r>
            <w:r>
              <w:rPr>
                <w:noProof/>
                <w:webHidden/>
              </w:rPr>
              <w:fldChar w:fldCharType="begin"/>
            </w:r>
            <w:r>
              <w:rPr>
                <w:noProof/>
                <w:webHidden/>
              </w:rPr>
              <w:instrText xml:space="preserve"> PAGEREF _Toc240031071 \h </w:instrText>
            </w:r>
            <w:r>
              <w:rPr>
                <w:noProof/>
                <w:webHidden/>
              </w:rPr>
            </w:r>
            <w:r>
              <w:rPr>
                <w:noProof/>
                <w:webHidden/>
              </w:rPr>
              <w:fldChar w:fldCharType="separate"/>
            </w:r>
            <w:r>
              <w:rPr>
                <w:noProof/>
                <w:webHidden/>
              </w:rPr>
              <w:t>12</w:t>
            </w:r>
            <w:r>
              <w:rPr>
                <w:noProof/>
                <w:webHidden/>
              </w:rPr>
              <w:fldChar w:fldCharType="end"/>
            </w:r>
          </w:hyperlink>
        </w:p>
        <w:p w14:paraId="50FF2D18" w14:textId="10D44FDD" w:rsidR="005E5DA0" w:rsidRDefault="005E5DA0">
          <w:pPr>
            <w:pStyle w:val="TOC3"/>
            <w:tabs>
              <w:tab w:val="right" w:leader="dot" w:pos="9350"/>
            </w:tabs>
            <w:rPr>
              <w:rFonts w:eastAsiaTheme="minorEastAsia"/>
              <w:noProof/>
              <w:kern w:val="2"/>
              <w:sz w:val="24"/>
              <w:szCs w:val="24"/>
              <w:lang w:val="en-US"/>
              <w14:ligatures w14:val="standardContextual"/>
            </w:rPr>
          </w:pPr>
          <w:hyperlink w:anchor="_Toc240031072" w:history="1">
            <w:r w:rsidRPr="00210ED2">
              <w:rPr>
                <w:rStyle w:val="Hyperlink"/>
                <w:rFonts w:ascii="Times New Roman" w:hAnsi="Times New Roman" w:cs="Times New Roman"/>
                <w:noProof/>
              </w:rPr>
              <w:t>ALARP Cost-Benefit Analysis</w:t>
            </w:r>
            <w:r>
              <w:rPr>
                <w:noProof/>
                <w:webHidden/>
              </w:rPr>
              <w:tab/>
            </w:r>
            <w:r>
              <w:rPr>
                <w:noProof/>
                <w:webHidden/>
              </w:rPr>
              <w:fldChar w:fldCharType="begin"/>
            </w:r>
            <w:r>
              <w:rPr>
                <w:noProof/>
                <w:webHidden/>
              </w:rPr>
              <w:instrText xml:space="preserve"> PAGEREF _Toc240031072 \h </w:instrText>
            </w:r>
            <w:r>
              <w:rPr>
                <w:noProof/>
                <w:webHidden/>
              </w:rPr>
            </w:r>
            <w:r>
              <w:rPr>
                <w:noProof/>
                <w:webHidden/>
              </w:rPr>
              <w:fldChar w:fldCharType="separate"/>
            </w:r>
            <w:r>
              <w:rPr>
                <w:noProof/>
                <w:webHidden/>
              </w:rPr>
              <w:t>12</w:t>
            </w:r>
            <w:r>
              <w:rPr>
                <w:noProof/>
                <w:webHidden/>
              </w:rPr>
              <w:fldChar w:fldCharType="end"/>
            </w:r>
          </w:hyperlink>
        </w:p>
        <w:p w14:paraId="6871DF7D" w14:textId="2CBA8B72" w:rsidR="005E5DA0" w:rsidRDefault="005E5DA0">
          <w:pPr>
            <w:pStyle w:val="TOC1"/>
            <w:tabs>
              <w:tab w:val="right" w:leader="dot" w:pos="9350"/>
            </w:tabs>
            <w:rPr>
              <w:rFonts w:eastAsiaTheme="minorEastAsia"/>
              <w:noProof/>
              <w:kern w:val="2"/>
              <w:sz w:val="24"/>
              <w:szCs w:val="24"/>
              <w:lang w:val="en-US"/>
              <w14:ligatures w14:val="standardContextual"/>
            </w:rPr>
          </w:pPr>
          <w:hyperlink w:anchor="_Toc240031073" w:history="1">
            <w:r w:rsidRPr="00210ED2">
              <w:rPr>
                <w:rStyle w:val="Hyperlink"/>
                <w:noProof/>
              </w:rPr>
              <w:t>Conclusion</w:t>
            </w:r>
            <w:r>
              <w:rPr>
                <w:noProof/>
                <w:webHidden/>
              </w:rPr>
              <w:tab/>
            </w:r>
            <w:r>
              <w:rPr>
                <w:noProof/>
                <w:webHidden/>
              </w:rPr>
              <w:fldChar w:fldCharType="begin"/>
            </w:r>
            <w:r>
              <w:rPr>
                <w:noProof/>
                <w:webHidden/>
              </w:rPr>
              <w:instrText xml:space="preserve"> PAGEREF _Toc240031073 \h </w:instrText>
            </w:r>
            <w:r>
              <w:rPr>
                <w:noProof/>
                <w:webHidden/>
              </w:rPr>
            </w:r>
            <w:r>
              <w:rPr>
                <w:noProof/>
                <w:webHidden/>
              </w:rPr>
              <w:fldChar w:fldCharType="separate"/>
            </w:r>
            <w:r>
              <w:rPr>
                <w:noProof/>
                <w:webHidden/>
              </w:rPr>
              <w:t>12</w:t>
            </w:r>
            <w:r>
              <w:rPr>
                <w:noProof/>
                <w:webHidden/>
              </w:rPr>
              <w:fldChar w:fldCharType="end"/>
            </w:r>
          </w:hyperlink>
        </w:p>
        <w:p w14:paraId="73979C38" w14:textId="70F9D721" w:rsidR="005E5DA0" w:rsidRDefault="005E5DA0">
          <w:pPr>
            <w:pStyle w:val="TOC1"/>
            <w:tabs>
              <w:tab w:val="right" w:leader="dot" w:pos="9350"/>
            </w:tabs>
            <w:rPr>
              <w:rFonts w:eastAsiaTheme="minorEastAsia"/>
              <w:noProof/>
              <w:kern w:val="2"/>
              <w:sz w:val="24"/>
              <w:szCs w:val="24"/>
              <w:lang w:val="en-US"/>
              <w14:ligatures w14:val="standardContextual"/>
            </w:rPr>
          </w:pPr>
          <w:hyperlink w:anchor="_Toc240031074" w:history="1">
            <w:r w:rsidRPr="00210ED2">
              <w:rPr>
                <w:rStyle w:val="Hyperlink"/>
                <w:noProof/>
              </w:rPr>
              <w:t>References</w:t>
            </w:r>
            <w:r>
              <w:rPr>
                <w:noProof/>
                <w:webHidden/>
              </w:rPr>
              <w:tab/>
            </w:r>
            <w:r>
              <w:rPr>
                <w:noProof/>
                <w:webHidden/>
              </w:rPr>
              <w:fldChar w:fldCharType="begin"/>
            </w:r>
            <w:r>
              <w:rPr>
                <w:noProof/>
                <w:webHidden/>
              </w:rPr>
              <w:instrText xml:space="preserve"> PAGEREF _Toc240031074 \h </w:instrText>
            </w:r>
            <w:r>
              <w:rPr>
                <w:noProof/>
                <w:webHidden/>
              </w:rPr>
            </w:r>
            <w:r>
              <w:rPr>
                <w:noProof/>
                <w:webHidden/>
              </w:rPr>
              <w:fldChar w:fldCharType="separate"/>
            </w:r>
            <w:r>
              <w:rPr>
                <w:noProof/>
                <w:webHidden/>
              </w:rPr>
              <w:t>13</w:t>
            </w:r>
            <w:r>
              <w:rPr>
                <w:noProof/>
                <w:webHidden/>
              </w:rPr>
              <w:fldChar w:fldCharType="end"/>
            </w:r>
          </w:hyperlink>
        </w:p>
        <w:p w14:paraId="1A50FA12" w14:textId="2A55EEF7" w:rsidR="005E5DA0" w:rsidRDefault="005E5DA0">
          <w:pPr>
            <w:pStyle w:val="TOC1"/>
            <w:tabs>
              <w:tab w:val="right" w:leader="dot" w:pos="9350"/>
            </w:tabs>
            <w:rPr>
              <w:rFonts w:eastAsiaTheme="minorEastAsia"/>
              <w:noProof/>
              <w:kern w:val="2"/>
              <w:sz w:val="24"/>
              <w:szCs w:val="24"/>
              <w:lang w:val="en-US"/>
              <w14:ligatures w14:val="standardContextual"/>
            </w:rPr>
          </w:pPr>
          <w:hyperlink w:anchor="_Toc240031075" w:history="1">
            <w:r w:rsidRPr="00210ED2">
              <w:rPr>
                <w:rStyle w:val="Hyperlink"/>
                <w:noProof/>
                <w:lang w:val="en-US"/>
              </w:rPr>
              <w:t>Annex A</w:t>
            </w:r>
            <w:r>
              <w:rPr>
                <w:noProof/>
                <w:webHidden/>
              </w:rPr>
              <w:tab/>
            </w:r>
            <w:r>
              <w:rPr>
                <w:noProof/>
                <w:webHidden/>
              </w:rPr>
              <w:fldChar w:fldCharType="begin"/>
            </w:r>
            <w:r>
              <w:rPr>
                <w:noProof/>
                <w:webHidden/>
              </w:rPr>
              <w:instrText xml:space="preserve"> PAGEREF _Toc240031075 \h </w:instrText>
            </w:r>
            <w:r>
              <w:rPr>
                <w:noProof/>
                <w:webHidden/>
              </w:rPr>
            </w:r>
            <w:r>
              <w:rPr>
                <w:noProof/>
                <w:webHidden/>
              </w:rPr>
              <w:fldChar w:fldCharType="separate"/>
            </w:r>
            <w:r>
              <w:rPr>
                <w:noProof/>
                <w:webHidden/>
              </w:rPr>
              <w:t>15</w:t>
            </w:r>
            <w:r>
              <w:rPr>
                <w:noProof/>
                <w:webHidden/>
              </w:rPr>
              <w:fldChar w:fldCharType="end"/>
            </w:r>
          </w:hyperlink>
        </w:p>
        <w:p w14:paraId="2F964368" w14:textId="20421BFC" w:rsidR="005E5DA0" w:rsidRDefault="005E5DA0">
          <w:pPr>
            <w:pStyle w:val="TOC2"/>
            <w:tabs>
              <w:tab w:val="right" w:leader="dot" w:pos="9350"/>
            </w:tabs>
            <w:rPr>
              <w:rFonts w:eastAsiaTheme="minorEastAsia"/>
              <w:noProof/>
              <w:kern w:val="2"/>
              <w:sz w:val="24"/>
              <w:szCs w:val="24"/>
              <w:lang w:val="en-US"/>
              <w14:ligatures w14:val="standardContextual"/>
            </w:rPr>
          </w:pPr>
          <w:hyperlink w:anchor="_Toc240031076" w:history="1">
            <w:r w:rsidRPr="00210ED2">
              <w:rPr>
                <w:rStyle w:val="Hyperlink"/>
                <w:noProof/>
              </w:rPr>
              <w:t>Dosimetry Calculations</w:t>
            </w:r>
            <w:r>
              <w:rPr>
                <w:noProof/>
                <w:webHidden/>
              </w:rPr>
              <w:tab/>
            </w:r>
            <w:r>
              <w:rPr>
                <w:noProof/>
                <w:webHidden/>
              </w:rPr>
              <w:fldChar w:fldCharType="begin"/>
            </w:r>
            <w:r>
              <w:rPr>
                <w:noProof/>
                <w:webHidden/>
              </w:rPr>
              <w:instrText xml:space="preserve"> PAGEREF _Toc240031076 \h </w:instrText>
            </w:r>
            <w:r>
              <w:rPr>
                <w:noProof/>
                <w:webHidden/>
              </w:rPr>
            </w:r>
            <w:r>
              <w:rPr>
                <w:noProof/>
                <w:webHidden/>
              </w:rPr>
              <w:fldChar w:fldCharType="separate"/>
            </w:r>
            <w:r>
              <w:rPr>
                <w:noProof/>
                <w:webHidden/>
              </w:rPr>
              <w:t>15</w:t>
            </w:r>
            <w:r>
              <w:rPr>
                <w:noProof/>
                <w:webHidden/>
              </w:rPr>
              <w:fldChar w:fldCharType="end"/>
            </w:r>
          </w:hyperlink>
        </w:p>
        <w:p w14:paraId="32A4AF78" w14:textId="4380E7B8" w:rsidR="005E5DA0" w:rsidRDefault="005E5DA0">
          <w:pPr>
            <w:pStyle w:val="TOC2"/>
            <w:tabs>
              <w:tab w:val="right" w:leader="dot" w:pos="9350"/>
            </w:tabs>
            <w:rPr>
              <w:rFonts w:eastAsiaTheme="minorEastAsia"/>
              <w:noProof/>
              <w:kern w:val="2"/>
              <w:sz w:val="24"/>
              <w:szCs w:val="24"/>
              <w:lang w:val="en-US"/>
              <w14:ligatures w14:val="standardContextual"/>
            </w:rPr>
          </w:pPr>
          <w:hyperlink w:anchor="_Toc240031077" w:history="1">
            <w:r w:rsidRPr="00210ED2">
              <w:rPr>
                <w:rStyle w:val="Hyperlink"/>
                <w:rFonts w:ascii="Times New Roman" w:hAnsi="Times New Roman" w:cs="Times New Roman"/>
                <w:noProof/>
              </w:rPr>
              <w:t>Initial Investigation</w:t>
            </w:r>
            <w:r>
              <w:rPr>
                <w:noProof/>
                <w:webHidden/>
              </w:rPr>
              <w:tab/>
            </w:r>
            <w:r>
              <w:rPr>
                <w:noProof/>
                <w:webHidden/>
              </w:rPr>
              <w:fldChar w:fldCharType="begin"/>
            </w:r>
            <w:r>
              <w:rPr>
                <w:noProof/>
                <w:webHidden/>
              </w:rPr>
              <w:instrText xml:space="preserve"> PAGEREF _Toc240031077 \h </w:instrText>
            </w:r>
            <w:r>
              <w:rPr>
                <w:noProof/>
                <w:webHidden/>
              </w:rPr>
            </w:r>
            <w:r>
              <w:rPr>
                <w:noProof/>
                <w:webHidden/>
              </w:rPr>
              <w:fldChar w:fldCharType="separate"/>
            </w:r>
            <w:r>
              <w:rPr>
                <w:noProof/>
                <w:webHidden/>
              </w:rPr>
              <w:t>15</w:t>
            </w:r>
            <w:r>
              <w:rPr>
                <w:noProof/>
                <w:webHidden/>
              </w:rPr>
              <w:fldChar w:fldCharType="end"/>
            </w:r>
          </w:hyperlink>
        </w:p>
        <w:p w14:paraId="72EC5B64" w14:textId="7C6248F5" w:rsidR="005E5DA0" w:rsidRDefault="005E5DA0">
          <w:pPr>
            <w:pStyle w:val="TOC2"/>
            <w:tabs>
              <w:tab w:val="right" w:leader="dot" w:pos="9350"/>
            </w:tabs>
            <w:rPr>
              <w:rFonts w:eastAsiaTheme="minorEastAsia"/>
              <w:noProof/>
              <w:kern w:val="2"/>
              <w:sz w:val="24"/>
              <w:szCs w:val="24"/>
              <w:lang w:val="en-US"/>
              <w14:ligatures w14:val="standardContextual"/>
            </w:rPr>
          </w:pPr>
          <w:hyperlink w:anchor="_Toc240031078" w:history="1">
            <w:r w:rsidRPr="00210ED2">
              <w:rPr>
                <w:rStyle w:val="Hyperlink"/>
                <w:rFonts w:ascii="Times New Roman" w:eastAsia="Aptos" w:hAnsi="Times New Roman" w:cs="Times New Roman"/>
                <w:noProof/>
              </w:rPr>
              <w:t>Direct Inspection</w:t>
            </w:r>
            <w:r>
              <w:rPr>
                <w:noProof/>
                <w:webHidden/>
              </w:rPr>
              <w:tab/>
            </w:r>
            <w:r>
              <w:rPr>
                <w:noProof/>
                <w:webHidden/>
              </w:rPr>
              <w:fldChar w:fldCharType="begin"/>
            </w:r>
            <w:r>
              <w:rPr>
                <w:noProof/>
                <w:webHidden/>
              </w:rPr>
              <w:instrText xml:space="preserve"> PAGEREF _Toc240031078 \h </w:instrText>
            </w:r>
            <w:r>
              <w:rPr>
                <w:noProof/>
                <w:webHidden/>
              </w:rPr>
            </w:r>
            <w:r>
              <w:rPr>
                <w:noProof/>
                <w:webHidden/>
              </w:rPr>
              <w:fldChar w:fldCharType="separate"/>
            </w:r>
            <w:r>
              <w:rPr>
                <w:noProof/>
                <w:webHidden/>
              </w:rPr>
              <w:t>16</w:t>
            </w:r>
            <w:r>
              <w:rPr>
                <w:noProof/>
                <w:webHidden/>
              </w:rPr>
              <w:fldChar w:fldCharType="end"/>
            </w:r>
          </w:hyperlink>
        </w:p>
        <w:p w14:paraId="707B127F" w14:textId="4F0815C2" w:rsidR="005E5DA0" w:rsidRDefault="005E5DA0">
          <w:pPr>
            <w:pStyle w:val="TOC2"/>
            <w:tabs>
              <w:tab w:val="right" w:leader="dot" w:pos="9350"/>
            </w:tabs>
            <w:rPr>
              <w:rFonts w:eastAsiaTheme="minorEastAsia"/>
              <w:noProof/>
              <w:kern w:val="2"/>
              <w:sz w:val="24"/>
              <w:szCs w:val="24"/>
              <w:lang w:val="en-US"/>
              <w14:ligatures w14:val="standardContextual"/>
            </w:rPr>
          </w:pPr>
          <w:hyperlink w:anchor="_Toc240031079" w:history="1">
            <w:r w:rsidRPr="00210ED2">
              <w:rPr>
                <w:rStyle w:val="Hyperlink"/>
                <w:rFonts w:ascii="Times New Roman" w:hAnsi="Times New Roman" w:cs="Times New Roman"/>
                <w:noProof/>
                <w:shd w:val="clear" w:color="auto" w:fill="FFFFFF"/>
              </w:rPr>
              <w:t>Summary</w:t>
            </w:r>
            <w:r>
              <w:rPr>
                <w:noProof/>
                <w:webHidden/>
              </w:rPr>
              <w:tab/>
            </w:r>
            <w:r>
              <w:rPr>
                <w:noProof/>
                <w:webHidden/>
              </w:rPr>
              <w:fldChar w:fldCharType="begin"/>
            </w:r>
            <w:r>
              <w:rPr>
                <w:noProof/>
                <w:webHidden/>
              </w:rPr>
              <w:instrText xml:space="preserve"> PAGEREF _Toc240031079 \h </w:instrText>
            </w:r>
            <w:r>
              <w:rPr>
                <w:noProof/>
                <w:webHidden/>
              </w:rPr>
            </w:r>
            <w:r>
              <w:rPr>
                <w:noProof/>
                <w:webHidden/>
              </w:rPr>
              <w:fldChar w:fldCharType="separate"/>
            </w:r>
            <w:r>
              <w:rPr>
                <w:noProof/>
                <w:webHidden/>
              </w:rPr>
              <w:t>17</w:t>
            </w:r>
            <w:r>
              <w:rPr>
                <w:noProof/>
                <w:webHidden/>
              </w:rPr>
              <w:fldChar w:fldCharType="end"/>
            </w:r>
          </w:hyperlink>
        </w:p>
        <w:p w14:paraId="4E91112D" w14:textId="3C81860D" w:rsidR="004D72C3" w:rsidRPr="00BB31AE" w:rsidRDefault="004D72C3">
          <w:r w:rsidRPr="00BB31AE">
            <w:rPr>
              <w:b/>
              <w:bCs/>
            </w:rPr>
            <w:fldChar w:fldCharType="end"/>
          </w:r>
        </w:p>
      </w:sdtContent>
    </w:sdt>
    <w:p w14:paraId="1F511B7D" w14:textId="1AD75E77" w:rsidR="005C6749" w:rsidRDefault="005C6749">
      <w:pPr>
        <w:pStyle w:val="TableofFigures"/>
        <w:tabs>
          <w:tab w:val="right" w:leader="dot" w:pos="9350"/>
        </w:tabs>
        <w:rPr>
          <w:noProof/>
        </w:rPr>
      </w:pPr>
      <w:r>
        <w:rPr>
          <w:rFonts w:ascii="Times New Roman" w:eastAsiaTheme="majorEastAsia" w:hAnsi="Times New Roman" w:cs="Times New Roman"/>
          <w:color w:val="0F4761" w:themeColor="accent1" w:themeShade="BF"/>
          <w:sz w:val="40"/>
          <w:szCs w:val="40"/>
        </w:rPr>
        <w:fldChar w:fldCharType="begin"/>
      </w:r>
      <w:r>
        <w:rPr>
          <w:rFonts w:ascii="Times New Roman" w:eastAsiaTheme="majorEastAsia" w:hAnsi="Times New Roman" w:cs="Times New Roman"/>
          <w:color w:val="0F4761" w:themeColor="accent1" w:themeShade="BF"/>
          <w:sz w:val="40"/>
          <w:szCs w:val="40"/>
        </w:rPr>
        <w:instrText xml:space="preserve"> TOC \h \z \c "Table" </w:instrText>
      </w:r>
      <w:r>
        <w:rPr>
          <w:rFonts w:ascii="Times New Roman" w:eastAsiaTheme="majorEastAsia" w:hAnsi="Times New Roman" w:cs="Times New Roman"/>
          <w:color w:val="0F4761" w:themeColor="accent1" w:themeShade="BF"/>
          <w:sz w:val="40"/>
          <w:szCs w:val="40"/>
        </w:rPr>
        <w:fldChar w:fldCharType="separate"/>
      </w:r>
      <w:hyperlink w:anchor="_Toc240030721" w:history="1">
        <w:r w:rsidRPr="007504F4">
          <w:rPr>
            <w:rStyle w:val="Hyperlink"/>
            <w:rFonts w:ascii="Times New Roman" w:hAnsi="Times New Roman" w:cs="Times New Roman"/>
            <w:noProof/>
          </w:rPr>
          <w:t>Table 1 Suitability of 137Cs</w:t>
        </w:r>
        <w:r>
          <w:rPr>
            <w:noProof/>
            <w:webHidden/>
          </w:rPr>
          <w:tab/>
        </w:r>
        <w:r>
          <w:rPr>
            <w:noProof/>
            <w:webHidden/>
          </w:rPr>
          <w:fldChar w:fldCharType="begin"/>
        </w:r>
        <w:r>
          <w:rPr>
            <w:noProof/>
            <w:webHidden/>
          </w:rPr>
          <w:instrText xml:space="preserve"> PAGEREF _Toc240030721 \h </w:instrText>
        </w:r>
        <w:r>
          <w:rPr>
            <w:noProof/>
            <w:webHidden/>
          </w:rPr>
        </w:r>
        <w:r>
          <w:rPr>
            <w:noProof/>
            <w:webHidden/>
          </w:rPr>
          <w:fldChar w:fldCharType="separate"/>
        </w:r>
        <w:r>
          <w:rPr>
            <w:noProof/>
            <w:webHidden/>
          </w:rPr>
          <w:t>5</w:t>
        </w:r>
        <w:r>
          <w:rPr>
            <w:noProof/>
            <w:webHidden/>
          </w:rPr>
          <w:fldChar w:fldCharType="end"/>
        </w:r>
      </w:hyperlink>
    </w:p>
    <w:p w14:paraId="0598544B" w14:textId="3390901F" w:rsidR="005C6749" w:rsidRDefault="005C6749">
      <w:pPr>
        <w:pStyle w:val="TableofFigures"/>
        <w:tabs>
          <w:tab w:val="right" w:leader="dot" w:pos="9350"/>
        </w:tabs>
        <w:rPr>
          <w:noProof/>
        </w:rPr>
      </w:pPr>
      <w:hyperlink w:anchor="_Toc240030722" w:history="1">
        <w:r w:rsidRPr="007504F4">
          <w:rPr>
            <w:rStyle w:val="Hyperlink"/>
            <w:noProof/>
          </w:rPr>
          <w:t>Table 2 Data congruence</w:t>
        </w:r>
        <w:r>
          <w:rPr>
            <w:noProof/>
            <w:webHidden/>
          </w:rPr>
          <w:tab/>
        </w:r>
        <w:r>
          <w:rPr>
            <w:noProof/>
            <w:webHidden/>
          </w:rPr>
          <w:fldChar w:fldCharType="begin"/>
        </w:r>
        <w:r>
          <w:rPr>
            <w:noProof/>
            <w:webHidden/>
          </w:rPr>
          <w:instrText xml:space="preserve"> PAGEREF _Toc240030722 \h </w:instrText>
        </w:r>
        <w:r>
          <w:rPr>
            <w:noProof/>
            <w:webHidden/>
          </w:rPr>
        </w:r>
        <w:r>
          <w:rPr>
            <w:noProof/>
            <w:webHidden/>
          </w:rPr>
          <w:fldChar w:fldCharType="separate"/>
        </w:r>
        <w:r>
          <w:rPr>
            <w:noProof/>
            <w:webHidden/>
          </w:rPr>
          <w:t>6</w:t>
        </w:r>
        <w:r>
          <w:rPr>
            <w:noProof/>
            <w:webHidden/>
          </w:rPr>
          <w:fldChar w:fldCharType="end"/>
        </w:r>
      </w:hyperlink>
    </w:p>
    <w:p w14:paraId="5AC255DC" w14:textId="43C88F49" w:rsidR="004D72C3" w:rsidRPr="00BB31AE" w:rsidRDefault="005C6749">
      <w:pPr>
        <w:rPr>
          <w:rFonts w:ascii="Times New Roman" w:eastAsiaTheme="majorEastAsia" w:hAnsi="Times New Roman" w:cs="Times New Roman"/>
          <w:color w:val="0F4761" w:themeColor="accent1" w:themeShade="BF"/>
          <w:sz w:val="40"/>
          <w:szCs w:val="40"/>
        </w:rPr>
      </w:pPr>
      <w:r>
        <w:rPr>
          <w:rFonts w:ascii="Times New Roman" w:eastAsiaTheme="majorEastAsia" w:hAnsi="Times New Roman" w:cs="Times New Roman"/>
          <w:color w:val="0F4761" w:themeColor="accent1" w:themeShade="BF"/>
          <w:sz w:val="40"/>
          <w:szCs w:val="40"/>
        </w:rPr>
        <w:fldChar w:fldCharType="end"/>
      </w:r>
    </w:p>
    <w:p w14:paraId="4AF8A057" w14:textId="77777777" w:rsidR="00F35064" w:rsidRDefault="00F35064" w:rsidP="00F35064">
      <w:pPr>
        <w:pStyle w:val="Heading1"/>
      </w:pPr>
      <w:bookmarkStart w:id="0" w:name="_Toc240031051"/>
      <w:r>
        <w:t>Introduction</w:t>
      </w:r>
      <w:bookmarkEnd w:id="0"/>
      <w:r>
        <w:t xml:space="preserve"> </w:t>
      </w:r>
    </w:p>
    <w:p w14:paraId="7A916AA0" w14:textId="77777777" w:rsidR="00F35064" w:rsidRPr="00F35064" w:rsidRDefault="00F35064" w:rsidP="00F35064">
      <w:pPr>
        <w:rPr>
          <w:lang w:val="en-US"/>
        </w:rPr>
      </w:pPr>
      <w:r w:rsidRPr="00F35064">
        <w:rPr>
          <w:lang w:val="en-US"/>
        </w:rPr>
        <w:t xml:space="preserve">This report presents a comprehensive investigation into a radiological incident that occurred on 3 November 2024 at the University Hospital Laboratory, involving a Gammacell-220R Blood and Research Irradiator. The incident resulted from a combination of latent mechanical degradation, control-system failures, and the </w:t>
      </w:r>
      <w:proofErr w:type="spellStart"/>
      <w:r w:rsidRPr="00F35064">
        <w:rPr>
          <w:lang w:val="en-US"/>
        </w:rPr>
        <w:t>normalisation</w:t>
      </w:r>
      <w:proofErr w:type="spellEnd"/>
      <w:r w:rsidRPr="00F35064">
        <w:rPr>
          <w:lang w:val="en-US"/>
        </w:rPr>
        <w:t xml:space="preserve"> of unsafe working practices, leading to an operator being accidentally exposed to a high-activity Caesium-137 source without adequate shielding.</w:t>
      </w:r>
    </w:p>
    <w:p w14:paraId="37B4755C" w14:textId="3A833691" w:rsidR="00F35064" w:rsidRPr="00F35064" w:rsidRDefault="00F35064" w:rsidP="00F35064">
      <w:pPr>
        <w:rPr>
          <w:lang w:val="en-US"/>
        </w:rPr>
      </w:pPr>
      <w:r w:rsidRPr="00F35064">
        <w:rPr>
          <w:lang w:val="en-US"/>
        </w:rPr>
        <w:t>The following analysis reconstructs the</w:t>
      </w:r>
      <w:r>
        <w:rPr>
          <w:lang w:val="en-US"/>
        </w:rPr>
        <w:t xml:space="preserve"> incident</w:t>
      </w:r>
      <w:r w:rsidRPr="00F35064">
        <w:rPr>
          <w:lang w:val="en-US"/>
        </w:rPr>
        <w:t xml:space="preserve"> to estimate the effective dose received by the operator and evaluates this against the potential deterministic and stochastic health effects of radiation exposure. Furthermore, the incident is assessed for compliance with the </w:t>
      </w:r>
      <w:proofErr w:type="spellStart"/>
      <w:r w:rsidRPr="00F35064">
        <w:rPr>
          <w:lang w:val="en-US"/>
        </w:rPr>
        <w:t>Ionising</w:t>
      </w:r>
      <w:proofErr w:type="spellEnd"/>
      <w:r w:rsidRPr="00F35064">
        <w:rPr>
          <w:lang w:val="en-US"/>
        </w:rPr>
        <w:t xml:space="preserve"> Radiations Regulations 2017 (IRR17) and evaluated against the Office for Nuclear Regulation (ONR) Safety Assessment Principles (SAPs). Finally,</w:t>
      </w:r>
      <w:r>
        <w:rPr>
          <w:lang w:val="en-US"/>
        </w:rPr>
        <w:t xml:space="preserve"> </w:t>
      </w:r>
      <w:r w:rsidRPr="00F35064">
        <w:rPr>
          <w:lang w:val="en-US"/>
        </w:rPr>
        <w:t xml:space="preserve">a formal Bowtie risk assessment </w:t>
      </w:r>
      <w:r>
        <w:rPr>
          <w:lang w:val="en-US"/>
        </w:rPr>
        <w:t xml:space="preserve">tool </w:t>
      </w:r>
      <w:r w:rsidRPr="00F35064">
        <w:rPr>
          <w:lang w:val="en-US"/>
        </w:rPr>
        <w:t xml:space="preserve">is used to identify proportionate, engineered safety improvements, with the aim of reducing the likelihood and consequences of a similar event in accordance with the As Low </w:t>
      </w:r>
      <w:proofErr w:type="gramStart"/>
      <w:r w:rsidRPr="00F35064">
        <w:rPr>
          <w:lang w:val="en-US"/>
        </w:rPr>
        <w:t>As</w:t>
      </w:r>
      <w:proofErr w:type="gramEnd"/>
      <w:r w:rsidRPr="00F35064">
        <w:rPr>
          <w:lang w:val="en-US"/>
        </w:rPr>
        <w:t xml:space="preserve"> Reasonably Practicable (ALARP) principle.</w:t>
      </w:r>
    </w:p>
    <w:p w14:paraId="39BCE16E" w14:textId="15BB3BFA" w:rsidR="00F35064" w:rsidRDefault="00F35064" w:rsidP="00F35064">
      <w:r>
        <w:br w:type="page"/>
      </w:r>
    </w:p>
    <w:p w14:paraId="020877F1" w14:textId="1BE19FD1" w:rsidR="00921862" w:rsidRPr="00BB31AE" w:rsidRDefault="00921862" w:rsidP="00921862">
      <w:pPr>
        <w:pStyle w:val="Heading1"/>
        <w:rPr>
          <w:rFonts w:ascii="Times New Roman" w:hAnsi="Times New Roman" w:cs="Times New Roman"/>
        </w:rPr>
      </w:pPr>
      <w:bookmarkStart w:id="1" w:name="_Toc240031052"/>
      <w:r w:rsidRPr="00BB31AE">
        <w:rPr>
          <w:rFonts w:ascii="Times New Roman" w:hAnsi="Times New Roman" w:cs="Times New Roman"/>
        </w:rPr>
        <w:lastRenderedPageBreak/>
        <w:t>Suitability of 137Cs as an Irradiation Source</w:t>
      </w:r>
      <w:bookmarkEnd w:id="1"/>
    </w:p>
    <w:p w14:paraId="5B05C016" w14:textId="77777777" w:rsidR="00921862" w:rsidRPr="00BB31AE" w:rsidRDefault="00921862" w:rsidP="009E4AAA">
      <w:pPr>
        <w:rPr>
          <w:rFonts w:ascii="Times New Roman" w:hAnsi="Times New Roman" w:cs="Times New Roman"/>
        </w:rPr>
      </w:pPr>
    </w:p>
    <w:p w14:paraId="477CACF8" w14:textId="0C003D3A" w:rsidR="00921862" w:rsidRPr="00BB31AE" w:rsidRDefault="00321590" w:rsidP="009E4AAA">
      <w:pPr>
        <w:rPr>
          <w:rFonts w:ascii="Times New Roman" w:hAnsi="Times New Roman" w:cs="Times New Roman"/>
        </w:rPr>
      </w:pPr>
      <w:r w:rsidRPr="00BB31AE">
        <w:rPr>
          <w:rFonts w:ascii="Times New Roman" w:hAnsi="Times New Roman" w:cs="Times New Roman"/>
        </w:rPr>
        <w:t>137Cs Is a common medical irradiation source due to some of its properties</w:t>
      </w:r>
      <w:r w:rsidR="009C3250">
        <w:rPr>
          <w:rFonts w:ascii="Times New Roman" w:hAnsi="Times New Roman" w:cs="Times New Roman"/>
        </w:rPr>
        <w:t xml:space="preserve"> [1</w:t>
      </w:r>
      <w:r w:rsidRPr="00BB31AE">
        <w:rPr>
          <w:rFonts w:ascii="Times New Roman" w:hAnsi="Times New Roman" w:cs="Times New Roman"/>
        </w:rPr>
        <w:t>]</w:t>
      </w:r>
      <w:r w:rsidR="000E28DA" w:rsidRPr="00BB31AE">
        <w:rPr>
          <w:rFonts w:ascii="Times New Roman" w:hAnsi="Times New Roman" w:cs="Times New Roman"/>
        </w:rPr>
        <w:t xml:space="preserve"> [</w:t>
      </w:r>
      <w:r w:rsidR="00AC5C28">
        <w:rPr>
          <w:rFonts w:ascii="Times New Roman" w:hAnsi="Times New Roman" w:cs="Times New Roman"/>
        </w:rPr>
        <w:t>2</w:t>
      </w:r>
      <w:r w:rsidR="000E28DA" w:rsidRPr="00BB31AE">
        <w:rPr>
          <w:rFonts w:ascii="Times New Roman" w:hAnsi="Times New Roman" w:cs="Times New Roman"/>
        </w:rPr>
        <w:t>]</w:t>
      </w:r>
      <w:r w:rsidRPr="00BB31AE">
        <w:rPr>
          <w:rFonts w:ascii="Times New Roman" w:hAnsi="Times New Roman" w:cs="Times New Roman"/>
        </w:rPr>
        <w:t xml:space="preserve">: </w:t>
      </w:r>
    </w:p>
    <w:p w14:paraId="746B4CBA" w14:textId="5A5CAEC3" w:rsidR="001C5B84" w:rsidRPr="00BB31AE" w:rsidRDefault="001C5B84" w:rsidP="001C5B84">
      <w:pPr>
        <w:pStyle w:val="Caption"/>
        <w:keepNext/>
        <w:jc w:val="center"/>
        <w:rPr>
          <w:rFonts w:ascii="Times New Roman" w:hAnsi="Times New Roman" w:cs="Times New Roman"/>
        </w:rPr>
      </w:pPr>
      <w:bookmarkStart w:id="2" w:name="_Toc240030721"/>
      <w:r w:rsidRPr="00BB31AE">
        <w:rPr>
          <w:rFonts w:ascii="Times New Roman" w:hAnsi="Times New Roman" w:cs="Times New Roman"/>
        </w:rPr>
        <w:t xml:space="preserve">Table </w:t>
      </w:r>
      <w:r w:rsidRPr="00BB31AE">
        <w:rPr>
          <w:rFonts w:ascii="Times New Roman" w:hAnsi="Times New Roman" w:cs="Times New Roman"/>
        </w:rPr>
        <w:fldChar w:fldCharType="begin"/>
      </w:r>
      <w:r w:rsidRPr="00BB31AE">
        <w:rPr>
          <w:rFonts w:ascii="Times New Roman" w:hAnsi="Times New Roman" w:cs="Times New Roman"/>
        </w:rPr>
        <w:instrText xml:space="preserve"> SEQ Table \* ARABIC </w:instrText>
      </w:r>
      <w:r w:rsidRPr="00BB31AE">
        <w:rPr>
          <w:rFonts w:ascii="Times New Roman" w:hAnsi="Times New Roman" w:cs="Times New Roman"/>
        </w:rPr>
        <w:fldChar w:fldCharType="separate"/>
      </w:r>
      <w:r w:rsidR="000310D6">
        <w:rPr>
          <w:rFonts w:ascii="Times New Roman" w:hAnsi="Times New Roman" w:cs="Times New Roman"/>
          <w:noProof/>
        </w:rPr>
        <w:t>1</w:t>
      </w:r>
      <w:r w:rsidRPr="00BB31AE">
        <w:rPr>
          <w:rFonts w:ascii="Times New Roman" w:hAnsi="Times New Roman" w:cs="Times New Roman"/>
        </w:rPr>
        <w:fldChar w:fldCharType="end"/>
      </w:r>
      <w:r w:rsidRPr="00BB31AE">
        <w:rPr>
          <w:rFonts w:ascii="Times New Roman" w:hAnsi="Times New Roman" w:cs="Times New Roman"/>
        </w:rPr>
        <w:t xml:space="preserve"> Suitability of 137Cs</w:t>
      </w:r>
      <w:bookmarkEnd w:id="2"/>
    </w:p>
    <w:tbl>
      <w:tblPr>
        <w:tblStyle w:val="TableGrid"/>
        <w:tblW w:w="10075" w:type="dxa"/>
        <w:jc w:val="center"/>
        <w:tblLook w:val="04A0" w:firstRow="1" w:lastRow="0" w:firstColumn="1" w:lastColumn="0" w:noHBand="0" w:noVBand="1"/>
      </w:tblPr>
      <w:tblGrid>
        <w:gridCol w:w="1345"/>
        <w:gridCol w:w="3240"/>
        <w:gridCol w:w="5490"/>
      </w:tblGrid>
      <w:tr w:rsidR="009E053F" w:rsidRPr="00BB31AE" w14:paraId="484D606C" w14:textId="77777777" w:rsidTr="001C5B84">
        <w:trPr>
          <w:jc w:val="center"/>
        </w:trPr>
        <w:tc>
          <w:tcPr>
            <w:tcW w:w="1345" w:type="dxa"/>
            <w:vAlign w:val="center"/>
          </w:tcPr>
          <w:p w14:paraId="0E3C5B2B" w14:textId="7C5D1B02" w:rsidR="009E053F" w:rsidRPr="00BB31AE" w:rsidRDefault="009E053F" w:rsidP="000E28DA">
            <w:pPr>
              <w:jc w:val="center"/>
              <w:rPr>
                <w:rFonts w:ascii="Times New Roman" w:hAnsi="Times New Roman" w:cs="Times New Roman"/>
              </w:rPr>
            </w:pPr>
            <w:r w:rsidRPr="00BB31AE">
              <w:rPr>
                <w:rFonts w:ascii="Times New Roman" w:hAnsi="Times New Roman" w:cs="Times New Roman"/>
              </w:rPr>
              <w:t>Properties</w:t>
            </w:r>
          </w:p>
        </w:tc>
        <w:tc>
          <w:tcPr>
            <w:tcW w:w="3240" w:type="dxa"/>
            <w:vAlign w:val="center"/>
          </w:tcPr>
          <w:p w14:paraId="1F3BFD3E" w14:textId="18A54ADD" w:rsidR="009E053F" w:rsidRPr="00BB31AE" w:rsidRDefault="004F52A0" w:rsidP="000E28DA">
            <w:pPr>
              <w:jc w:val="center"/>
              <w:rPr>
                <w:rFonts w:ascii="Times New Roman" w:hAnsi="Times New Roman" w:cs="Times New Roman"/>
              </w:rPr>
            </w:pPr>
            <w:r w:rsidRPr="00BB31AE">
              <w:rPr>
                <w:rFonts w:ascii="Times New Roman" w:hAnsi="Times New Roman" w:cs="Times New Roman"/>
              </w:rPr>
              <w:t>D</w:t>
            </w:r>
            <w:r w:rsidR="009E053F" w:rsidRPr="00BB31AE">
              <w:rPr>
                <w:rFonts w:ascii="Times New Roman" w:hAnsi="Times New Roman" w:cs="Times New Roman"/>
              </w:rPr>
              <w:t>escription</w:t>
            </w:r>
          </w:p>
        </w:tc>
        <w:tc>
          <w:tcPr>
            <w:tcW w:w="5490" w:type="dxa"/>
            <w:vAlign w:val="center"/>
          </w:tcPr>
          <w:p w14:paraId="5B6EE4D3" w14:textId="75AF809F" w:rsidR="009E053F" w:rsidRPr="00BB31AE" w:rsidRDefault="009E053F" w:rsidP="000E28DA">
            <w:pPr>
              <w:jc w:val="center"/>
              <w:rPr>
                <w:rFonts w:ascii="Times New Roman" w:hAnsi="Times New Roman" w:cs="Times New Roman"/>
              </w:rPr>
            </w:pPr>
            <w:r w:rsidRPr="00BB31AE">
              <w:rPr>
                <w:rFonts w:ascii="Times New Roman" w:hAnsi="Times New Roman" w:cs="Times New Roman"/>
              </w:rPr>
              <w:t>Benefits</w:t>
            </w:r>
          </w:p>
        </w:tc>
      </w:tr>
      <w:tr w:rsidR="009E053F" w:rsidRPr="00BB31AE" w14:paraId="04978000" w14:textId="77777777" w:rsidTr="001C5B84">
        <w:trPr>
          <w:jc w:val="center"/>
        </w:trPr>
        <w:tc>
          <w:tcPr>
            <w:tcW w:w="1345" w:type="dxa"/>
            <w:vAlign w:val="center"/>
          </w:tcPr>
          <w:p w14:paraId="6AD32C37" w14:textId="41247BF9" w:rsidR="009E053F" w:rsidRPr="00BB31AE" w:rsidRDefault="009E053F" w:rsidP="000E28DA">
            <w:pPr>
              <w:jc w:val="center"/>
              <w:rPr>
                <w:rFonts w:ascii="Times New Roman" w:hAnsi="Times New Roman" w:cs="Times New Roman"/>
              </w:rPr>
            </w:pPr>
            <w:r w:rsidRPr="00BB31AE">
              <w:rPr>
                <w:rFonts w:ascii="Times New Roman" w:hAnsi="Times New Roman" w:cs="Times New Roman"/>
              </w:rPr>
              <w:t>Half-life</w:t>
            </w:r>
          </w:p>
        </w:tc>
        <w:tc>
          <w:tcPr>
            <w:tcW w:w="3240" w:type="dxa"/>
            <w:vAlign w:val="center"/>
          </w:tcPr>
          <w:p w14:paraId="5B78ED0B" w14:textId="38BEDF23" w:rsidR="009E053F" w:rsidRPr="00BB31AE" w:rsidRDefault="009E053F" w:rsidP="000E28DA">
            <w:pPr>
              <w:jc w:val="center"/>
              <w:rPr>
                <w:rFonts w:ascii="Times New Roman" w:hAnsi="Times New Roman" w:cs="Times New Roman"/>
              </w:rPr>
            </w:pPr>
            <w:r w:rsidRPr="00BB31AE">
              <w:rPr>
                <w:rFonts w:ascii="Times New Roman" w:hAnsi="Times New Roman" w:cs="Times New Roman"/>
              </w:rPr>
              <w:t>137Cs has a physical half-life of approximately 30.17 years</w:t>
            </w:r>
            <w:r w:rsidR="000E28DA" w:rsidRPr="00BB31AE">
              <w:rPr>
                <w:rFonts w:ascii="Times New Roman" w:hAnsi="Times New Roman" w:cs="Times New Roman"/>
              </w:rPr>
              <w:t xml:space="preserve"> [</w:t>
            </w:r>
            <w:r w:rsidR="00AC5C28">
              <w:rPr>
                <w:rFonts w:ascii="Times New Roman" w:hAnsi="Times New Roman" w:cs="Times New Roman"/>
              </w:rPr>
              <w:t>3</w:t>
            </w:r>
            <w:r w:rsidR="000E28DA" w:rsidRPr="00BB31AE">
              <w:rPr>
                <w:rFonts w:ascii="Times New Roman" w:hAnsi="Times New Roman" w:cs="Times New Roman"/>
              </w:rPr>
              <w:t>]</w:t>
            </w:r>
          </w:p>
        </w:tc>
        <w:tc>
          <w:tcPr>
            <w:tcW w:w="5490" w:type="dxa"/>
            <w:vAlign w:val="center"/>
          </w:tcPr>
          <w:p w14:paraId="492AA8B8" w14:textId="220A02F7" w:rsidR="009E053F" w:rsidRPr="00BB31AE" w:rsidRDefault="009E053F" w:rsidP="000E28DA">
            <w:pPr>
              <w:jc w:val="center"/>
              <w:rPr>
                <w:rFonts w:ascii="Times New Roman" w:hAnsi="Times New Roman" w:cs="Times New Roman"/>
              </w:rPr>
            </w:pPr>
            <w:r w:rsidRPr="00BB31AE">
              <w:rPr>
                <w:rFonts w:ascii="Times New Roman" w:hAnsi="Times New Roman" w:cs="Times New Roman"/>
              </w:rPr>
              <w:t>Minimal need for calibration updates for equipment as the radiation output drops by only about 2.3% per year. This allows the system to deliver stable, predictable doses without frequent calculation adjustments</w:t>
            </w:r>
          </w:p>
        </w:tc>
      </w:tr>
      <w:tr w:rsidR="009E053F" w:rsidRPr="00BB31AE" w14:paraId="128B89A4" w14:textId="77777777" w:rsidTr="001C5B84">
        <w:trPr>
          <w:jc w:val="center"/>
        </w:trPr>
        <w:tc>
          <w:tcPr>
            <w:tcW w:w="1345" w:type="dxa"/>
            <w:vAlign w:val="center"/>
          </w:tcPr>
          <w:p w14:paraId="33B3758C" w14:textId="68E63C22" w:rsidR="009E053F" w:rsidRPr="00BB31AE" w:rsidRDefault="009E053F" w:rsidP="000E28DA">
            <w:pPr>
              <w:jc w:val="center"/>
              <w:rPr>
                <w:rFonts w:ascii="Times New Roman" w:hAnsi="Times New Roman" w:cs="Times New Roman"/>
              </w:rPr>
            </w:pPr>
            <w:r w:rsidRPr="00BB31AE">
              <w:rPr>
                <w:rFonts w:ascii="Times New Roman" w:hAnsi="Times New Roman" w:cs="Times New Roman"/>
              </w:rPr>
              <w:t>Ideal Gamma Ray Energy</w:t>
            </w:r>
          </w:p>
        </w:tc>
        <w:tc>
          <w:tcPr>
            <w:tcW w:w="3240" w:type="dxa"/>
            <w:vAlign w:val="center"/>
          </w:tcPr>
          <w:p w14:paraId="10E595AF" w14:textId="7B406592" w:rsidR="009E053F" w:rsidRPr="00BB31AE" w:rsidRDefault="009E053F" w:rsidP="000E28DA">
            <w:pPr>
              <w:jc w:val="center"/>
              <w:rPr>
                <w:rFonts w:ascii="Times New Roman" w:hAnsi="Times New Roman" w:cs="Times New Roman"/>
              </w:rPr>
            </w:pPr>
            <w:r w:rsidRPr="00BB31AE">
              <w:rPr>
                <w:rFonts w:ascii="Times New Roman" w:hAnsi="Times New Roman" w:cs="Times New Roman"/>
              </w:rPr>
              <w:t>Through beta decay, 137 Cs turns into the metastable isomer Barium-137</w:t>
            </w:r>
            <w:proofErr w:type="gramStart"/>
            <w:r w:rsidRPr="00BB31AE">
              <w:rPr>
                <w:rFonts w:ascii="Times New Roman" w:hAnsi="Times New Roman" w:cs="Times New Roman"/>
              </w:rPr>
              <w:t>m ,</w:t>
            </w:r>
            <w:proofErr w:type="gramEnd"/>
            <w:r w:rsidRPr="00BB31AE">
              <w:rPr>
                <w:rFonts w:ascii="Times New Roman" w:hAnsi="Times New Roman" w:cs="Times New Roman"/>
              </w:rPr>
              <w:t xml:space="preserve"> which instantly emits a 662 keV gamma ray [</w:t>
            </w:r>
            <w:hyperlink r:id="rId6" w:history="1">
              <w:r w:rsidR="00AC5C28">
                <w:rPr>
                  <w:rStyle w:val="Hyperlink"/>
                  <w:rFonts w:ascii="Times New Roman" w:hAnsi="Times New Roman" w:cs="Times New Roman"/>
                </w:rPr>
                <w:t>4</w:t>
              </w:r>
            </w:hyperlink>
            <w:r w:rsidRPr="00BB31AE">
              <w:rPr>
                <w:rFonts w:ascii="Times New Roman" w:hAnsi="Times New Roman" w:cs="Times New Roman"/>
              </w:rPr>
              <w:t>]</w:t>
            </w:r>
          </w:p>
          <w:p w14:paraId="43163BB8" w14:textId="42543649" w:rsidR="009E053F" w:rsidRPr="00BB31AE" w:rsidRDefault="009E053F" w:rsidP="000E28DA">
            <w:pPr>
              <w:jc w:val="center"/>
              <w:rPr>
                <w:rFonts w:ascii="Times New Roman" w:hAnsi="Times New Roman" w:cs="Times New Roman"/>
              </w:rPr>
            </w:pPr>
          </w:p>
        </w:tc>
        <w:tc>
          <w:tcPr>
            <w:tcW w:w="5490" w:type="dxa"/>
            <w:vAlign w:val="center"/>
          </w:tcPr>
          <w:p w14:paraId="0FCB03F0" w14:textId="7DCC318D" w:rsidR="005150D5" w:rsidRPr="00BB31AE" w:rsidRDefault="005150D5" w:rsidP="000E28DA">
            <w:pPr>
              <w:jc w:val="center"/>
              <w:rPr>
                <w:rFonts w:ascii="Times New Roman" w:hAnsi="Times New Roman" w:cs="Times New Roman"/>
              </w:rPr>
            </w:pPr>
            <w:r w:rsidRPr="00BB31AE">
              <w:rPr>
                <w:rFonts w:ascii="Times New Roman" w:hAnsi="Times New Roman" w:cs="Times New Roman"/>
              </w:rPr>
              <w:t>Monoenergetic radiation (photons have the exact same amount of kinetic energy) are useful in medical imaging, radiation therapy, and material analysis because they prevent beam-hardening artifacts and reduce scattering providing better resolution imagery. [</w:t>
            </w:r>
            <w:hyperlink r:id="rId7" w:history="1">
              <w:r w:rsidR="00AC5C28">
                <w:rPr>
                  <w:rStyle w:val="Hyperlink"/>
                  <w:rFonts w:ascii="Times New Roman" w:hAnsi="Times New Roman" w:cs="Times New Roman"/>
                </w:rPr>
                <w:t>5</w:t>
              </w:r>
            </w:hyperlink>
            <w:r w:rsidRPr="00BB31AE">
              <w:rPr>
                <w:rFonts w:ascii="Times New Roman" w:hAnsi="Times New Roman" w:cs="Times New Roman"/>
              </w:rPr>
              <w:t>] [</w:t>
            </w:r>
            <w:hyperlink r:id="rId8" w:history="1">
              <w:r w:rsidR="00AC5C28">
                <w:rPr>
                  <w:rStyle w:val="Hyperlink"/>
                  <w:rFonts w:ascii="Times New Roman" w:hAnsi="Times New Roman" w:cs="Times New Roman"/>
                </w:rPr>
                <w:t>6</w:t>
              </w:r>
            </w:hyperlink>
            <w:r w:rsidRPr="00BB31AE">
              <w:rPr>
                <w:rFonts w:ascii="Times New Roman" w:hAnsi="Times New Roman" w:cs="Times New Roman"/>
              </w:rPr>
              <w:t>]</w:t>
            </w:r>
          </w:p>
          <w:p w14:paraId="46FDD2C4" w14:textId="77777777" w:rsidR="009E053F" w:rsidRPr="00BB31AE" w:rsidRDefault="009E053F" w:rsidP="000E28DA">
            <w:pPr>
              <w:jc w:val="center"/>
              <w:rPr>
                <w:rFonts w:ascii="Times New Roman" w:hAnsi="Times New Roman" w:cs="Times New Roman"/>
              </w:rPr>
            </w:pPr>
          </w:p>
        </w:tc>
      </w:tr>
      <w:tr w:rsidR="009E053F" w:rsidRPr="00BB31AE" w14:paraId="5993F4A8" w14:textId="77777777" w:rsidTr="001C5B84">
        <w:trPr>
          <w:jc w:val="center"/>
        </w:trPr>
        <w:tc>
          <w:tcPr>
            <w:tcW w:w="1345" w:type="dxa"/>
            <w:vAlign w:val="center"/>
          </w:tcPr>
          <w:p w14:paraId="5ACA35DD" w14:textId="5A080536" w:rsidR="009E053F" w:rsidRPr="00BB31AE" w:rsidRDefault="004F52A0" w:rsidP="000E28DA">
            <w:pPr>
              <w:jc w:val="center"/>
              <w:rPr>
                <w:rFonts w:ascii="Times New Roman" w:hAnsi="Times New Roman" w:cs="Times New Roman"/>
              </w:rPr>
            </w:pPr>
            <w:r w:rsidRPr="00BB31AE">
              <w:rPr>
                <w:rFonts w:ascii="Times New Roman" w:hAnsi="Times New Roman" w:cs="Times New Roman"/>
              </w:rPr>
              <w:t xml:space="preserve">Sealed </w:t>
            </w:r>
            <w:r w:rsidR="000E28DA" w:rsidRPr="00BB31AE">
              <w:rPr>
                <w:rFonts w:ascii="Times New Roman" w:hAnsi="Times New Roman" w:cs="Times New Roman"/>
              </w:rPr>
              <w:t>S</w:t>
            </w:r>
            <w:r w:rsidRPr="00BB31AE">
              <w:rPr>
                <w:rFonts w:ascii="Times New Roman" w:hAnsi="Times New Roman" w:cs="Times New Roman"/>
              </w:rPr>
              <w:t xml:space="preserve">ource </w:t>
            </w:r>
            <w:r w:rsidR="000E28DA" w:rsidRPr="00BB31AE">
              <w:rPr>
                <w:rFonts w:ascii="Times New Roman" w:hAnsi="Times New Roman" w:cs="Times New Roman"/>
              </w:rPr>
              <w:t>D</w:t>
            </w:r>
            <w:r w:rsidRPr="00BB31AE">
              <w:rPr>
                <w:rFonts w:ascii="Times New Roman" w:hAnsi="Times New Roman" w:cs="Times New Roman"/>
              </w:rPr>
              <w:t>esign</w:t>
            </w:r>
          </w:p>
        </w:tc>
        <w:tc>
          <w:tcPr>
            <w:tcW w:w="3240" w:type="dxa"/>
            <w:vAlign w:val="center"/>
          </w:tcPr>
          <w:p w14:paraId="0E2C034A" w14:textId="240F0821" w:rsidR="009E053F" w:rsidRPr="00BB31AE" w:rsidRDefault="004F52A0" w:rsidP="000E28DA">
            <w:pPr>
              <w:jc w:val="center"/>
              <w:rPr>
                <w:rFonts w:ascii="Times New Roman" w:hAnsi="Times New Roman" w:cs="Times New Roman"/>
              </w:rPr>
            </w:pPr>
            <w:r w:rsidRPr="00BB31AE">
              <w:rPr>
                <w:rFonts w:ascii="Times New Roman" w:hAnsi="Times New Roman" w:cs="Times New Roman"/>
              </w:rPr>
              <w:t>C</w:t>
            </w:r>
            <w:r w:rsidR="005150D5" w:rsidRPr="00BB31AE">
              <w:rPr>
                <w:rFonts w:ascii="Times New Roman" w:hAnsi="Times New Roman" w:cs="Times New Roman"/>
              </w:rPr>
              <w:t>aesium chloride ceramic can be densely compacted into a powder and be double encased in encapsulated stainless-steel pencils (C-188)</w:t>
            </w:r>
            <w:r w:rsidRPr="00BB31AE">
              <w:rPr>
                <w:rFonts w:ascii="Times New Roman" w:hAnsi="Times New Roman" w:cs="Times New Roman"/>
              </w:rPr>
              <w:t xml:space="preserve"> although the use of pencils for 137Cs is not that </w:t>
            </w:r>
            <w:r w:rsidR="0097325F" w:rsidRPr="00BB31AE">
              <w:rPr>
                <w:rFonts w:ascii="Times New Roman" w:hAnsi="Times New Roman" w:cs="Times New Roman"/>
              </w:rPr>
              <w:t>common. [</w:t>
            </w:r>
            <w:hyperlink r:id="rId9" w:history="1">
              <w:r w:rsidR="000310D6">
                <w:rPr>
                  <w:rStyle w:val="Hyperlink"/>
                  <w:rFonts w:ascii="Times New Roman" w:hAnsi="Times New Roman" w:cs="Times New Roman"/>
                </w:rPr>
                <w:t>7</w:t>
              </w:r>
            </w:hyperlink>
            <w:r w:rsidR="000E28DA" w:rsidRPr="00BB31AE">
              <w:rPr>
                <w:rFonts w:ascii="Times New Roman" w:hAnsi="Times New Roman" w:cs="Times New Roman"/>
              </w:rPr>
              <w:t>] [</w:t>
            </w:r>
            <w:hyperlink r:id="rId10" w:history="1">
              <w:r w:rsidR="000310D6">
                <w:rPr>
                  <w:rStyle w:val="Hyperlink"/>
                  <w:rFonts w:ascii="Times New Roman" w:hAnsi="Times New Roman" w:cs="Times New Roman"/>
                </w:rPr>
                <w:t>8</w:t>
              </w:r>
            </w:hyperlink>
            <w:r w:rsidR="000E28DA" w:rsidRPr="00BB31AE">
              <w:rPr>
                <w:rFonts w:ascii="Times New Roman" w:hAnsi="Times New Roman" w:cs="Times New Roman"/>
              </w:rPr>
              <w:t>]</w:t>
            </w:r>
          </w:p>
        </w:tc>
        <w:tc>
          <w:tcPr>
            <w:tcW w:w="5490" w:type="dxa"/>
            <w:vAlign w:val="center"/>
          </w:tcPr>
          <w:p w14:paraId="4986F5E3" w14:textId="3E529FF6" w:rsidR="009E053F" w:rsidRPr="00BB31AE" w:rsidRDefault="004F52A0" w:rsidP="000E28DA">
            <w:pPr>
              <w:jc w:val="center"/>
              <w:rPr>
                <w:rFonts w:ascii="Times New Roman" w:hAnsi="Times New Roman" w:cs="Times New Roman"/>
              </w:rPr>
            </w:pPr>
            <w:r w:rsidRPr="00BB31AE">
              <w:rPr>
                <w:rFonts w:ascii="Times New Roman" w:hAnsi="Times New Roman" w:cs="Times New Roman"/>
              </w:rPr>
              <w:t>Minimizes the risk of contamination if the primary encapsulation fails this containment is required as caesium chloride is highly soluble in water.</w:t>
            </w:r>
          </w:p>
        </w:tc>
      </w:tr>
    </w:tbl>
    <w:p w14:paraId="63B5E53E" w14:textId="77777777" w:rsidR="00321590" w:rsidRPr="00BB31AE" w:rsidRDefault="00321590" w:rsidP="009E4AAA">
      <w:pPr>
        <w:rPr>
          <w:rFonts w:ascii="Times New Roman" w:hAnsi="Times New Roman" w:cs="Times New Roman"/>
        </w:rPr>
      </w:pPr>
    </w:p>
    <w:p w14:paraId="2FCEE3DD" w14:textId="77777777" w:rsidR="00321590" w:rsidRPr="00BB31AE" w:rsidRDefault="00321590" w:rsidP="009E4AAA">
      <w:pPr>
        <w:rPr>
          <w:rFonts w:ascii="Times New Roman" w:hAnsi="Times New Roman" w:cs="Times New Roman"/>
        </w:rPr>
      </w:pPr>
    </w:p>
    <w:p w14:paraId="7196308E" w14:textId="77777777" w:rsidR="00321590" w:rsidRPr="00BB31AE" w:rsidRDefault="00321590" w:rsidP="009E4AAA">
      <w:pPr>
        <w:rPr>
          <w:rFonts w:ascii="Times New Roman" w:hAnsi="Times New Roman" w:cs="Times New Roman"/>
        </w:rPr>
      </w:pPr>
    </w:p>
    <w:p w14:paraId="496B5504" w14:textId="77777777" w:rsidR="000E28DA" w:rsidRPr="00BB31AE" w:rsidRDefault="000E28DA">
      <w:pPr>
        <w:rPr>
          <w:rFonts w:ascii="Times New Roman" w:eastAsiaTheme="majorEastAsia" w:hAnsi="Times New Roman" w:cs="Times New Roman"/>
          <w:color w:val="0F4761" w:themeColor="accent1" w:themeShade="BF"/>
          <w:sz w:val="40"/>
          <w:szCs w:val="40"/>
        </w:rPr>
      </w:pPr>
      <w:r w:rsidRPr="00BB31AE">
        <w:rPr>
          <w:rFonts w:ascii="Times New Roman" w:hAnsi="Times New Roman" w:cs="Times New Roman"/>
        </w:rPr>
        <w:br w:type="page"/>
      </w:r>
    </w:p>
    <w:p w14:paraId="6BB47C52" w14:textId="6FB7AB35" w:rsidR="00C61903" w:rsidRPr="00BB31AE" w:rsidRDefault="00C61903">
      <w:pPr>
        <w:rPr>
          <w:rFonts w:ascii="Times New Roman" w:eastAsia="Aptos" w:hAnsi="Times New Roman" w:cs="Times New Roman"/>
          <w:kern w:val="2"/>
          <w14:ligatures w14:val="standardContextual"/>
        </w:rPr>
      </w:pPr>
    </w:p>
    <w:p w14:paraId="41FF680B" w14:textId="09F734E2" w:rsidR="00B1537E" w:rsidRPr="00BB31AE" w:rsidRDefault="00B1537E" w:rsidP="00C61903">
      <w:pPr>
        <w:pStyle w:val="Heading2"/>
        <w:rPr>
          <w:rFonts w:eastAsia="Aptos"/>
        </w:rPr>
      </w:pPr>
      <w:bookmarkStart w:id="3" w:name="_Toc240031053"/>
      <w:r w:rsidRPr="00BB31AE">
        <w:rPr>
          <w:rFonts w:eastAsia="Aptos"/>
        </w:rPr>
        <w:t xml:space="preserve">Dosimetry Equipment vs </w:t>
      </w:r>
      <w:r w:rsidR="00D37FEE" w:rsidRPr="00BB31AE">
        <w:rPr>
          <w:rFonts w:eastAsia="Aptos"/>
        </w:rPr>
        <w:t>Effective Dose calculations</w:t>
      </w:r>
      <w:bookmarkEnd w:id="3"/>
    </w:p>
    <w:p w14:paraId="1015DB7D" w14:textId="77777777" w:rsidR="00D37FEE" w:rsidRPr="00BB31AE" w:rsidRDefault="00D37FEE" w:rsidP="00B1537E">
      <w:pPr>
        <w:spacing w:line="256" w:lineRule="auto"/>
        <w:rPr>
          <w:rFonts w:ascii="Times New Roman" w:eastAsia="Aptos" w:hAnsi="Times New Roman" w:cs="Times New Roman"/>
          <w:kern w:val="2"/>
          <w14:ligatures w14:val="standardContextual"/>
        </w:rPr>
      </w:pPr>
    </w:p>
    <w:p w14:paraId="4975173F" w14:textId="256DE13A" w:rsidR="00D37FEE" w:rsidRPr="00BB31AE" w:rsidRDefault="00D37FEE" w:rsidP="00B1537E">
      <w:pPr>
        <w:spacing w:line="256" w:lineRule="auto"/>
        <w:rPr>
          <w:rFonts w:ascii="Times New Roman" w:eastAsia="Aptos" w:hAnsi="Times New Roman" w:cs="Times New Roman"/>
          <w:kern w:val="2"/>
          <w14:ligatures w14:val="standardContextual"/>
        </w:rPr>
      </w:pPr>
      <w:r w:rsidRPr="00BB31AE">
        <w:rPr>
          <w:rFonts w:ascii="Times New Roman" w:eastAsia="Aptos" w:hAnsi="Times New Roman" w:cs="Times New Roman"/>
          <w:kern w:val="2"/>
          <w14:ligatures w14:val="standardContextual"/>
        </w:rPr>
        <w:t>By combining the calculated means (averages) of both phases 31mSv + 3</w:t>
      </w:r>
      <w:r w:rsidR="00381324" w:rsidRPr="00BB31AE">
        <w:rPr>
          <w:rFonts w:ascii="Times New Roman" w:eastAsia="Aptos" w:hAnsi="Times New Roman" w:cs="Times New Roman"/>
          <w:kern w:val="2"/>
          <w14:ligatures w14:val="standardContextual"/>
        </w:rPr>
        <w:t>1</w:t>
      </w:r>
      <w:r w:rsidRPr="00BB31AE">
        <w:rPr>
          <w:rFonts w:ascii="Times New Roman" w:eastAsia="Aptos" w:hAnsi="Times New Roman" w:cs="Times New Roman"/>
          <w:kern w:val="2"/>
          <w14:ligatures w14:val="standardContextual"/>
        </w:rPr>
        <w:t xml:space="preserve"> mSv, the Total Estimated Effective Dose to the operator's torso is ≈ 6</w:t>
      </w:r>
      <w:r w:rsidR="00381324" w:rsidRPr="00BB31AE">
        <w:rPr>
          <w:rFonts w:ascii="Times New Roman" w:eastAsia="Aptos" w:hAnsi="Times New Roman" w:cs="Times New Roman"/>
          <w:kern w:val="2"/>
          <w14:ligatures w14:val="standardContextual"/>
        </w:rPr>
        <w:t>2</w:t>
      </w:r>
      <w:r w:rsidRPr="00BB31AE">
        <w:rPr>
          <w:rFonts w:ascii="Times New Roman" w:eastAsia="Aptos" w:hAnsi="Times New Roman" w:cs="Times New Roman"/>
          <w:kern w:val="2"/>
          <w14:ligatures w14:val="standardContextual"/>
        </w:rPr>
        <w:t xml:space="preserve"> mSv</w:t>
      </w:r>
    </w:p>
    <w:p w14:paraId="03BC8006" w14:textId="5F17594C" w:rsidR="00381324" w:rsidRPr="00BB31AE" w:rsidRDefault="00143423" w:rsidP="007C1B2F">
      <w:pPr>
        <w:spacing w:line="256" w:lineRule="auto"/>
        <w:rPr>
          <w:rStyle w:val="normaltextrun"/>
          <w:rFonts w:ascii="Times New Roman" w:hAnsi="Times New Roman" w:cs="Times New Roman"/>
          <w:shd w:val="clear" w:color="auto" w:fill="FFFFFF"/>
        </w:rPr>
      </w:pPr>
      <w:r w:rsidRPr="00BB31AE">
        <w:rPr>
          <w:rStyle w:val="normaltextrun"/>
          <w:rFonts w:ascii="Times New Roman" w:hAnsi="Times New Roman" w:cs="Times New Roman"/>
          <w:shd w:val="clear" w:color="auto" w:fill="FFFFFF"/>
        </w:rPr>
        <w:t xml:space="preserve"> </w:t>
      </w:r>
    </w:p>
    <w:p w14:paraId="7B6A5186" w14:textId="755AFA43" w:rsidR="000310D6" w:rsidRDefault="000310D6" w:rsidP="000310D6">
      <w:pPr>
        <w:pStyle w:val="Caption"/>
        <w:keepNext/>
        <w:jc w:val="center"/>
      </w:pPr>
      <w:bookmarkStart w:id="4" w:name="_Toc240030722"/>
      <w:r>
        <w:t xml:space="preserve">Table </w:t>
      </w:r>
      <w:r>
        <w:fldChar w:fldCharType="begin"/>
      </w:r>
      <w:r>
        <w:instrText xml:space="preserve"> SEQ Table \* ARABIC </w:instrText>
      </w:r>
      <w:r>
        <w:fldChar w:fldCharType="separate"/>
      </w:r>
      <w:r>
        <w:rPr>
          <w:noProof/>
        </w:rPr>
        <w:t>2</w:t>
      </w:r>
      <w:r>
        <w:fldChar w:fldCharType="end"/>
      </w:r>
      <w:r>
        <w:t xml:space="preserve"> Data congruence</w:t>
      </w:r>
      <w:bookmarkEnd w:id="4"/>
    </w:p>
    <w:tbl>
      <w:tblPr>
        <w:tblStyle w:val="TableGrid"/>
        <w:tblW w:w="0" w:type="auto"/>
        <w:tblLook w:val="04A0" w:firstRow="1" w:lastRow="0" w:firstColumn="1" w:lastColumn="0" w:noHBand="0" w:noVBand="1"/>
      </w:tblPr>
      <w:tblGrid>
        <w:gridCol w:w="1530"/>
        <w:gridCol w:w="998"/>
        <w:gridCol w:w="1079"/>
        <w:gridCol w:w="1168"/>
        <w:gridCol w:w="1430"/>
        <w:gridCol w:w="3145"/>
      </w:tblGrid>
      <w:tr w:rsidR="0035225C" w:rsidRPr="00BB31AE" w14:paraId="6895CCAA" w14:textId="77777777" w:rsidTr="0035225C">
        <w:tc>
          <w:tcPr>
            <w:tcW w:w="0" w:type="auto"/>
            <w:vAlign w:val="center"/>
            <w:hideMark/>
          </w:tcPr>
          <w:p w14:paraId="780B3BE0" w14:textId="77777777" w:rsidR="0035225C" w:rsidRPr="00BB31AE" w:rsidRDefault="0035225C" w:rsidP="0035225C">
            <w:pPr>
              <w:spacing w:after="160" w:line="256" w:lineRule="auto"/>
              <w:jc w:val="center"/>
              <w:rPr>
                <w:rFonts w:ascii="Times New Roman" w:hAnsi="Times New Roman" w:cs="Times New Roman"/>
                <w:shd w:val="clear" w:color="auto" w:fill="FFFFFF"/>
              </w:rPr>
            </w:pPr>
            <w:r w:rsidRPr="00BB31AE">
              <w:rPr>
                <w:rFonts w:ascii="Times New Roman" w:hAnsi="Times New Roman" w:cs="Times New Roman"/>
                <w:shd w:val="clear" w:color="auto" w:fill="FFFFFF"/>
              </w:rPr>
              <w:t>Dosimeter</w:t>
            </w:r>
          </w:p>
        </w:tc>
        <w:tc>
          <w:tcPr>
            <w:tcW w:w="0" w:type="auto"/>
            <w:vAlign w:val="center"/>
            <w:hideMark/>
          </w:tcPr>
          <w:p w14:paraId="6204F7E2" w14:textId="77777777" w:rsidR="0035225C" w:rsidRPr="00BB31AE" w:rsidRDefault="0035225C" w:rsidP="0035225C">
            <w:pPr>
              <w:spacing w:after="160" w:line="256" w:lineRule="auto"/>
              <w:jc w:val="center"/>
              <w:rPr>
                <w:rFonts w:ascii="Times New Roman" w:hAnsi="Times New Roman" w:cs="Times New Roman"/>
                <w:shd w:val="clear" w:color="auto" w:fill="FFFFFF"/>
              </w:rPr>
            </w:pPr>
            <w:r w:rsidRPr="00BB31AE">
              <w:rPr>
                <w:rFonts w:ascii="Times New Roman" w:hAnsi="Times New Roman" w:cs="Times New Roman"/>
                <w:shd w:val="clear" w:color="auto" w:fill="FFFFFF"/>
              </w:rPr>
              <w:t>Location</w:t>
            </w:r>
          </w:p>
        </w:tc>
        <w:tc>
          <w:tcPr>
            <w:tcW w:w="0" w:type="auto"/>
            <w:vAlign w:val="center"/>
            <w:hideMark/>
          </w:tcPr>
          <w:p w14:paraId="73A68E83" w14:textId="77777777" w:rsidR="0035225C" w:rsidRPr="00BB31AE" w:rsidRDefault="0035225C" w:rsidP="0035225C">
            <w:pPr>
              <w:spacing w:after="160" w:line="256" w:lineRule="auto"/>
              <w:jc w:val="center"/>
              <w:rPr>
                <w:rFonts w:ascii="Times New Roman" w:hAnsi="Times New Roman" w:cs="Times New Roman"/>
                <w:shd w:val="clear" w:color="auto" w:fill="FFFFFF"/>
              </w:rPr>
            </w:pPr>
            <w:r w:rsidRPr="00BB31AE">
              <w:rPr>
                <w:rFonts w:ascii="Times New Roman" w:hAnsi="Times New Roman" w:cs="Times New Roman"/>
                <w:shd w:val="clear" w:color="auto" w:fill="FFFFFF"/>
              </w:rPr>
              <w:t>Wearing Period</w:t>
            </w:r>
          </w:p>
        </w:tc>
        <w:tc>
          <w:tcPr>
            <w:tcW w:w="0" w:type="auto"/>
            <w:vAlign w:val="center"/>
            <w:hideMark/>
          </w:tcPr>
          <w:p w14:paraId="57B629A1" w14:textId="77777777" w:rsidR="0035225C" w:rsidRPr="00BB31AE" w:rsidRDefault="0035225C" w:rsidP="0035225C">
            <w:pPr>
              <w:spacing w:after="160" w:line="256" w:lineRule="auto"/>
              <w:jc w:val="center"/>
              <w:rPr>
                <w:rFonts w:ascii="Times New Roman" w:hAnsi="Times New Roman" w:cs="Times New Roman"/>
                <w:shd w:val="clear" w:color="auto" w:fill="FFFFFF"/>
              </w:rPr>
            </w:pPr>
            <w:r w:rsidRPr="00BB31AE">
              <w:rPr>
                <w:rFonts w:ascii="Times New Roman" w:hAnsi="Times New Roman" w:cs="Times New Roman"/>
                <w:shd w:val="clear" w:color="auto" w:fill="FFFFFF"/>
              </w:rPr>
              <w:t>Measured Dose</w:t>
            </w:r>
          </w:p>
        </w:tc>
        <w:tc>
          <w:tcPr>
            <w:tcW w:w="1430" w:type="dxa"/>
          </w:tcPr>
          <w:p w14:paraId="33C9F2C1" w14:textId="0A713E69" w:rsidR="0035225C" w:rsidRPr="00BB31AE" w:rsidRDefault="0035225C" w:rsidP="0035225C">
            <w:pPr>
              <w:spacing w:line="256" w:lineRule="auto"/>
              <w:jc w:val="center"/>
              <w:rPr>
                <w:rFonts w:ascii="Times New Roman" w:hAnsi="Times New Roman" w:cs="Times New Roman"/>
                <w:shd w:val="clear" w:color="auto" w:fill="FFFFFF"/>
              </w:rPr>
            </w:pPr>
            <w:r w:rsidRPr="00BB31AE">
              <w:rPr>
                <w:rFonts w:ascii="Times New Roman" w:hAnsi="Times New Roman" w:cs="Times New Roman"/>
                <w:shd w:val="clear" w:color="auto" w:fill="FFFFFF"/>
              </w:rPr>
              <w:t>Calculated Dose</w:t>
            </w:r>
          </w:p>
        </w:tc>
        <w:tc>
          <w:tcPr>
            <w:tcW w:w="3145" w:type="dxa"/>
            <w:vAlign w:val="center"/>
            <w:hideMark/>
          </w:tcPr>
          <w:p w14:paraId="0267F104" w14:textId="7AEA201B" w:rsidR="0035225C" w:rsidRPr="00BB31AE" w:rsidRDefault="00482C5D" w:rsidP="0035225C">
            <w:pPr>
              <w:spacing w:after="160" w:line="256" w:lineRule="auto"/>
              <w:jc w:val="center"/>
              <w:rPr>
                <w:rFonts w:ascii="Times New Roman" w:hAnsi="Times New Roman" w:cs="Times New Roman"/>
                <w:shd w:val="clear" w:color="auto" w:fill="FFFFFF"/>
              </w:rPr>
            </w:pPr>
            <w:r w:rsidRPr="00BB31AE">
              <w:rPr>
                <w:rFonts w:ascii="Times New Roman" w:hAnsi="Times New Roman" w:cs="Times New Roman"/>
                <w:shd w:val="clear" w:color="auto" w:fill="FFFFFF"/>
              </w:rPr>
              <w:t>Data</w:t>
            </w:r>
            <w:r w:rsidR="0035225C" w:rsidRPr="00BB31AE">
              <w:rPr>
                <w:rFonts w:ascii="Times New Roman" w:hAnsi="Times New Roman" w:cs="Times New Roman"/>
                <w:shd w:val="clear" w:color="auto" w:fill="FFFFFF"/>
              </w:rPr>
              <w:t xml:space="preserve"> Congruence</w:t>
            </w:r>
          </w:p>
        </w:tc>
      </w:tr>
      <w:tr w:rsidR="0035225C" w:rsidRPr="00BB31AE" w14:paraId="5DB8FB60" w14:textId="77777777" w:rsidTr="00C769BE">
        <w:tc>
          <w:tcPr>
            <w:tcW w:w="0" w:type="auto"/>
            <w:vAlign w:val="center"/>
            <w:hideMark/>
          </w:tcPr>
          <w:p w14:paraId="55D98806" w14:textId="77777777" w:rsidR="0035225C" w:rsidRPr="00BB31AE" w:rsidRDefault="0035225C" w:rsidP="0035225C">
            <w:pPr>
              <w:spacing w:after="160" w:line="256" w:lineRule="auto"/>
              <w:jc w:val="center"/>
              <w:rPr>
                <w:rFonts w:ascii="Times New Roman" w:hAnsi="Times New Roman" w:cs="Times New Roman"/>
                <w:shd w:val="clear" w:color="auto" w:fill="FFFFFF"/>
              </w:rPr>
            </w:pPr>
            <w:r w:rsidRPr="00BB31AE">
              <w:rPr>
                <w:rFonts w:ascii="Times New Roman" w:hAnsi="Times New Roman" w:cs="Times New Roman"/>
                <w:shd w:val="clear" w:color="auto" w:fill="FFFFFF"/>
              </w:rPr>
              <w:t>TLD</w:t>
            </w:r>
          </w:p>
        </w:tc>
        <w:tc>
          <w:tcPr>
            <w:tcW w:w="0" w:type="auto"/>
            <w:vAlign w:val="center"/>
            <w:hideMark/>
          </w:tcPr>
          <w:p w14:paraId="15443F19" w14:textId="77777777" w:rsidR="0035225C" w:rsidRPr="00BB31AE" w:rsidRDefault="0035225C" w:rsidP="0035225C">
            <w:pPr>
              <w:spacing w:after="160" w:line="256" w:lineRule="auto"/>
              <w:jc w:val="center"/>
              <w:rPr>
                <w:rFonts w:ascii="Times New Roman" w:hAnsi="Times New Roman" w:cs="Times New Roman"/>
                <w:shd w:val="clear" w:color="auto" w:fill="FFFFFF"/>
              </w:rPr>
            </w:pPr>
            <w:r w:rsidRPr="00BB31AE">
              <w:rPr>
                <w:rFonts w:ascii="Times New Roman" w:hAnsi="Times New Roman" w:cs="Times New Roman"/>
                <w:shd w:val="clear" w:color="auto" w:fill="FFFFFF"/>
              </w:rPr>
              <w:t>Waist</w:t>
            </w:r>
          </w:p>
        </w:tc>
        <w:tc>
          <w:tcPr>
            <w:tcW w:w="0" w:type="auto"/>
            <w:vAlign w:val="center"/>
            <w:hideMark/>
          </w:tcPr>
          <w:p w14:paraId="763571A7" w14:textId="0F09C560" w:rsidR="0035225C" w:rsidRPr="00BB31AE" w:rsidRDefault="001C5B84" w:rsidP="00C769BE">
            <w:pPr>
              <w:spacing w:after="160" w:line="256" w:lineRule="auto"/>
              <w:jc w:val="center"/>
              <w:rPr>
                <w:rFonts w:ascii="Times New Roman" w:hAnsi="Times New Roman" w:cs="Times New Roman"/>
                <w:shd w:val="clear" w:color="auto" w:fill="FFFFFF"/>
              </w:rPr>
            </w:pPr>
            <w:r w:rsidRPr="00BB31AE">
              <w:rPr>
                <w:rFonts w:ascii="Times New Roman" w:hAnsi="Times New Roman" w:cs="Times New Roman"/>
                <w:shd w:val="clear" w:color="auto" w:fill="FFFFFF"/>
              </w:rPr>
              <w:t xml:space="preserve">Phase </w:t>
            </w:r>
            <w:r w:rsidR="0035225C" w:rsidRPr="00BB31AE">
              <w:rPr>
                <w:rFonts w:ascii="Times New Roman" w:hAnsi="Times New Roman" w:cs="Times New Roman"/>
                <w:shd w:val="clear" w:color="auto" w:fill="FFFFFF"/>
              </w:rPr>
              <w:t>1 &amp; 2</w:t>
            </w:r>
          </w:p>
        </w:tc>
        <w:tc>
          <w:tcPr>
            <w:tcW w:w="0" w:type="auto"/>
            <w:vAlign w:val="center"/>
            <w:hideMark/>
          </w:tcPr>
          <w:p w14:paraId="7B56101F" w14:textId="4D90A6DD" w:rsidR="0035225C" w:rsidRPr="00BB31AE" w:rsidRDefault="00C769BE" w:rsidP="00C769BE">
            <w:pPr>
              <w:spacing w:after="160" w:line="256" w:lineRule="auto"/>
              <w:jc w:val="center"/>
              <w:rPr>
                <w:rFonts w:ascii="Times New Roman" w:hAnsi="Times New Roman" w:cs="Times New Roman"/>
                <w:shd w:val="clear" w:color="auto" w:fill="FFFFFF"/>
              </w:rPr>
            </w:pPr>
            <w:r w:rsidRPr="00BB31AE">
              <w:rPr>
                <w:rFonts w:ascii="Times New Roman" w:hAnsi="Times New Roman" w:cs="Times New Roman"/>
                <w:shd w:val="clear" w:color="auto" w:fill="FFFFFF"/>
              </w:rPr>
              <w:t>63.5mSv</w:t>
            </w:r>
          </w:p>
        </w:tc>
        <w:tc>
          <w:tcPr>
            <w:tcW w:w="1430" w:type="dxa"/>
            <w:vAlign w:val="center"/>
          </w:tcPr>
          <w:p w14:paraId="79904F6F" w14:textId="64C568F0" w:rsidR="0035225C" w:rsidRPr="00BB31AE" w:rsidRDefault="0035225C" w:rsidP="00C769BE">
            <w:pPr>
              <w:spacing w:line="256" w:lineRule="auto"/>
              <w:jc w:val="center"/>
              <w:rPr>
                <w:rFonts w:ascii="Times New Roman" w:hAnsi="Times New Roman" w:cs="Times New Roman"/>
                <w:shd w:val="clear" w:color="auto" w:fill="FFFFFF"/>
              </w:rPr>
            </w:pPr>
            <w:r w:rsidRPr="00BB31AE">
              <w:rPr>
                <w:rFonts w:ascii="Times New Roman" w:eastAsia="Aptos" w:hAnsi="Times New Roman" w:cs="Times New Roman"/>
                <w:kern w:val="2"/>
                <w:sz w:val="24"/>
                <w:szCs w:val="24"/>
                <w14:ligatures w14:val="standardContextual"/>
              </w:rPr>
              <w:t>≈ 62 mSv</w:t>
            </w:r>
          </w:p>
        </w:tc>
        <w:tc>
          <w:tcPr>
            <w:tcW w:w="3145" w:type="dxa"/>
            <w:vAlign w:val="center"/>
            <w:hideMark/>
          </w:tcPr>
          <w:p w14:paraId="2FB56A3A" w14:textId="633C7EB8" w:rsidR="0035225C" w:rsidRPr="00BB31AE" w:rsidRDefault="001C5B84" w:rsidP="001C5B84">
            <w:pPr>
              <w:spacing w:after="160" w:line="256" w:lineRule="auto"/>
              <w:jc w:val="center"/>
              <w:rPr>
                <w:rFonts w:ascii="Times New Roman" w:hAnsi="Times New Roman" w:cs="Times New Roman"/>
                <w:shd w:val="clear" w:color="auto" w:fill="FFFFFF"/>
              </w:rPr>
            </w:pPr>
            <w:r w:rsidRPr="00BB31AE">
              <w:rPr>
                <w:rFonts w:ascii="Times New Roman" w:hAnsi="Times New Roman" w:cs="Times New Roman"/>
                <w:shd w:val="clear" w:color="auto" w:fill="FFFFFF"/>
              </w:rPr>
              <w:t>Close match: TLD was worn throughout, capturing the full two-phase exposure.</w:t>
            </w:r>
          </w:p>
        </w:tc>
      </w:tr>
      <w:tr w:rsidR="00C769BE" w:rsidRPr="00BB31AE" w14:paraId="6A04CAC9" w14:textId="77777777" w:rsidTr="00C769BE">
        <w:tc>
          <w:tcPr>
            <w:tcW w:w="0" w:type="auto"/>
            <w:vAlign w:val="center"/>
            <w:hideMark/>
          </w:tcPr>
          <w:p w14:paraId="1C907695" w14:textId="2C660B69" w:rsidR="00C769BE" w:rsidRPr="00BB31AE" w:rsidRDefault="00720A7F" w:rsidP="00C769BE">
            <w:pPr>
              <w:spacing w:after="160" w:line="256" w:lineRule="auto"/>
              <w:jc w:val="center"/>
              <w:rPr>
                <w:rFonts w:ascii="Times New Roman" w:hAnsi="Times New Roman" w:cs="Times New Roman"/>
                <w:shd w:val="clear" w:color="auto" w:fill="FFFFFF"/>
              </w:rPr>
            </w:pPr>
            <w:r w:rsidRPr="00BB31AE">
              <w:rPr>
                <w:rFonts w:ascii="Times New Roman" w:hAnsi="Times New Roman" w:cs="Times New Roman"/>
                <w:shd w:val="clear" w:color="auto" w:fill="FFFFFF"/>
              </w:rPr>
              <w:t>Electronic Personal Dosimeter (EPD)</w:t>
            </w:r>
          </w:p>
        </w:tc>
        <w:tc>
          <w:tcPr>
            <w:tcW w:w="0" w:type="auto"/>
            <w:vAlign w:val="center"/>
            <w:hideMark/>
          </w:tcPr>
          <w:p w14:paraId="6D21EA66" w14:textId="77777777" w:rsidR="00C769BE" w:rsidRPr="00BB31AE" w:rsidRDefault="00C769BE" w:rsidP="00C769BE">
            <w:pPr>
              <w:spacing w:after="160" w:line="256" w:lineRule="auto"/>
              <w:jc w:val="center"/>
              <w:rPr>
                <w:rFonts w:ascii="Times New Roman" w:hAnsi="Times New Roman" w:cs="Times New Roman"/>
                <w:shd w:val="clear" w:color="auto" w:fill="FFFFFF"/>
              </w:rPr>
            </w:pPr>
            <w:r w:rsidRPr="00BB31AE">
              <w:rPr>
                <w:rFonts w:ascii="Times New Roman" w:hAnsi="Times New Roman" w:cs="Times New Roman"/>
                <w:shd w:val="clear" w:color="auto" w:fill="FFFFFF"/>
              </w:rPr>
              <w:t>Chest</w:t>
            </w:r>
          </w:p>
        </w:tc>
        <w:tc>
          <w:tcPr>
            <w:tcW w:w="0" w:type="auto"/>
            <w:vAlign w:val="center"/>
            <w:hideMark/>
          </w:tcPr>
          <w:p w14:paraId="492A34B4" w14:textId="5ACCE0B4" w:rsidR="00C769BE" w:rsidRPr="00BB31AE" w:rsidRDefault="001C5B84" w:rsidP="00C769BE">
            <w:pPr>
              <w:spacing w:after="160" w:line="256" w:lineRule="auto"/>
              <w:jc w:val="center"/>
              <w:rPr>
                <w:rFonts w:ascii="Times New Roman" w:hAnsi="Times New Roman" w:cs="Times New Roman"/>
                <w:shd w:val="clear" w:color="auto" w:fill="FFFFFF"/>
              </w:rPr>
            </w:pPr>
            <w:r w:rsidRPr="00BB31AE">
              <w:rPr>
                <w:rFonts w:ascii="Times New Roman" w:hAnsi="Times New Roman" w:cs="Times New Roman"/>
                <w:shd w:val="clear" w:color="auto" w:fill="FFFFFF"/>
              </w:rPr>
              <w:t xml:space="preserve">Phase </w:t>
            </w:r>
            <w:r w:rsidR="00C769BE" w:rsidRPr="00BB31AE">
              <w:rPr>
                <w:rFonts w:ascii="Times New Roman" w:hAnsi="Times New Roman" w:cs="Times New Roman"/>
                <w:shd w:val="clear" w:color="auto" w:fill="FFFFFF"/>
              </w:rPr>
              <w:t>2 Only</w:t>
            </w:r>
          </w:p>
        </w:tc>
        <w:tc>
          <w:tcPr>
            <w:tcW w:w="0" w:type="auto"/>
            <w:vAlign w:val="center"/>
          </w:tcPr>
          <w:p w14:paraId="7334BBB9" w14:textId="698B3742" w:rsidR="00C769BE" w:rsidRPr="00BB31AE" w:rsidRDefault="00C769BE" w:rsidP="00C769BE">
            <w:pPr>
              <w:spacing w:line="256" w:lineRule="auto"/>
              <w:jc w:val="center"/>
              <w:rPr>
                <w:rFonts w:ascii="Times New Roman" w:hAnsi="Times New Roman" w:cs="Times New Roman"/>
                <w:shd w:val="clear" w:color="auto" w:fill="FFFFFF"/>
              </w:rPr>
            </w:pPr>
            <w:r w:rsidRPr="00BB31AE">
              <w:rPr>
                <w:rFonts w:ascii="Times New Roman" w:hAnsi="Times New Roman" w:cs="Times New Roman"/>
                <w:shd w:val="clear" w:color="auto" w:fill="FFFFFF"/>
              </w:rPr>
              <w:t>41.2 mSv</w:t>
            </w:r>
          </w:p>
        </w:tc>
        <w:tc>
          <w:tcPr>
            <w:tcW w:w="1430" w:type="dxa"/>
            <w:vAlign w:val="center"/>
          </w:tcPr>
          <w:p w14:paraId="46C6027B" w14:textId="4F2145F0" w:rsidR="00C769BE" w:rsidRPr="00BB31AE" w:rsidRDefault="001C5B84" w:rsidP="00C769BE">
            <w:pPr>
              <w:spacing w:line="256" w:lineRule="auto"/>
              <w:jc w:val="center"/>
              <w:rPr>
                <w:rFonts w:ascii="Times New Roman" w:hAnsi="Times New Roman" w:cs="Times New Roman"/>
                <w:shd w:val="clear" w:color="auto" w:fill="FFFFFF"/>
              </w:rPr>
            </w:pPr>
            <w:r w:rsidRPr="00BB31AE">
              <w:rPr>
                <w:rFonts w:ascii="Times New Roman" w:hAnsi="Times New Roman" w:cs="Times New Roman"/>
                <w:shd w:val="clear" w:color="auto" w:fill="FFFFFF"/>
              </w:rPr>
              <w:t>16–52 mSv</w:t>
            </w:r>
          </w:p>
        </w:tc>
        <w:tc>
          <w:tcPr>
            <w:tcW w:w="3145" w:type="dxa"/>
            <w:vAlign w:val="center"/>
            <w:hideMark/>
          </w:tcPr>
          <w:p w14:paraId="49129C58" w14:textId="49F2F7F7" w:rsidR="00C769BE" w:rsidRPr="00BB31AE" w:rsidRDefault="001C5B84" w:rsidP="001C5B84">
            <w:pPr>
              <w:spacing w:after="160" w:line="256" w:lineRule="auto"/>
              <w:jc w:val="center"/>
              <w:rPr>
                <w:rFonts w:ascii="Times New Roman" w:hAnsi="Times New Roman" w:cs="Times New Roman"/>
                <w:shd w:val="clear" w:color="auto" w:fill="FFFFFF"/>
              </w:rPr>
            </w:pPr>
            <w:r w:rsidRPr="00BB31AE">
              <w:rPr>
                <w:rFonts w:ascii="Times New Roman" w:hAnsi="Times New Roman" w:cs="Times New Roman"/>
                <w:shd w:val="clear" w:color="auto" w:fill="FFFFFF"/>
              </w:rPr>
              <w:t>Within range: EPD missed Phase 1 entirely, so it only recorded the closer, higher rate exposure.</w:t>
            </w:r>
          </w:p>
        </w:tc>
      </w:tr>
    </w:tbl>
    <w:p w14:paraId="0A75D46D" w14:textId="77777777" w:rsidR="00381324" w:rsidRPr="00BB31AE" w:rsidRDefault="00381324" w:rsidP="007C1B2F">
      <w:pPr>
        <w:spacing w:line="256" w:lineRule="auto"/>
        <w:rPr>
          <w:rStyle w:val="normaltextrun"/>
          <w:rFonts w:ascii="Times New Roman" w:hAnsi="Times New Roman" w:cs="Times New Roman"/>
          <w:color w:val="00B050"/>
          <w:shd w:val="clear" w:color="auto" w:fill="FFFFFF"/>
        </w:rPr>
      </w:pPr>
    </w:p>
    <w:p w14:paraId="6EE4B31A" w14:textId="77777777" w:rsidR="001C5B84" w:rsidRPr="00BB31AE" w:rsidRDefault="001C5B84" w:rsidP="001C5B84">
      <w:pPr>
        <w:rPr>
          <w:rFonts w:ascii="Times New Roman" w:hAnsi="Times New Roman" w:cs="Times New Roman"/>
        </w:rPr>
      </w:pPr>
      <w:r w:rsidRPr="00BB31AE">
        <w:rPr>
          <w:rFonts w:ascii="Times New Roman" w:hAnsi="Times New Roman" w:cs="Times New Roman"/>
        </w:rPr>
        <w:t>The TLD's near total exposure reading (63.5 mSv) compared to the EPD's partial reading (41.2 mSv) is explained by the wearing period alone, the EPD was worn only for the second direct inspection, so it excludes the Phase 1 dose the TLD captured. However, the EPD's peak rate of 4.5 Sv/h falls below the calculated Phase 2 range (5.82–9.32 Sv/h), likely because the chest badge was shielded by the operator's own torso as she leaned into the drawer, whereas the calculation assumes line of sight.</w:t>
      </w:r>
    </w:p>
    <w:p w14:paraId="42CC9C1A" w14:textId="29F801E0" w:rsidR="008028FA" w:rsidRPr="00BB31AE" w:rsidRDefault="008028FA" w:rsidP="00BE7CD6">
      <w:pPr>
        <w:spacing w:line="256" w:lineRule="auto"/>
        <w:rPr>
          <w:rFonts w:ascii="Times New Roman" w:eastAsia="Aptos" w:hAnsi="Times New Roman" w:cs="Times New Roman"/>
          <w:kern w:val="2"/>
          <w:sz w:val="24"/>
          <w:szCs w:val="24"/>
          <w14:ligatures w14:val="standardContextual"/>
        </w:rPr>
      </w:pPr>
    </w:p>
    <w:p w14:paraId="6B13D3FF" w14:textId="096017C3" w:rsidR="00BE7CD6" w:rsidRPr="00BB31AE" w:rsidRDefault="00143423" w:rsidP="006361DF">
      <w:pPr>
        <w:pStyle w:val="Heading2"/>
        <w:rPr>
          <w:rFonts w:ascii="Times New Roman" w:eastAsia="Aptos" w:hAnsi="Times New Roman" w:cs="Times New Roman"/>
        </w:rPr>
      </w:pPr>
      <w:bookmarkStart w:id="5" w:name="_Toc240031054"/>
      <w:r w:rsidRPr="00BB31AE">
        <w:rPr>
          <w:rFonts w:ascii="Times New Roman" w:eastAsia="Aptos" w:hAnsi="Times New Roman" w:cs="Times New Roman"/>
        </w:rPr>
        <w:t>Health implications of the radiological exposure</w:t>
      </w:r>
      <w:bookmarkEnd w:id="5"/>
      <w:r w:rsidRPr="00BB31AE">
        <w:rPr>
          <w:rFonts w:ascii="Times New Roman" w:eastAsia="Aptos" w:hAnsi="Times New Roman" w:cs="Times New Roman"/>
        </w:rPr>
        <w:t xml:space="preserve"> </w:t>
      </w:r>
    </w:p>
    <w:p w14:paraId="26E01616" w14:textId="77777777" w:rsidR="00143423" w:rsidRPr="00BB31AE" w:rsidRDefault="00143423" w:rsidP="00BE7CD6">
      <w:pPr>
        <w:spacing w:line="256" w:lineRule="auto"/>
        <w:rPr>
          <w:rFonts w:ascii="Times New Roman" w:eastAsia="Aptos" w:hAnsi="Times New Roman" w:cs="Times New Roman"/>
          <w:kern w:val="2"/>
          <w14:ligatures w14:val="standardContextual"/>
        </w:rPr>
      </w:pPr>
    </w:p>
    <w:p w14:paraId="5A8F5562" w14:textId="5D329DCA" w:rsidR="00143423" w:rsidRPr="00BB31AE" w:rsidRDefault="00143423" w:rsidP="00BE7CD6">
      <w:pPr>
        <w:spacing w:line="256" w:lineRule="auto"/>
        <w:rPr>
          <w:rFonts w:ascii="Times New Roman" w:eastAsia="Aptos" w:hAnsi="Times New Roman" w:cs="Times New Roman"/>
          <w:kern w:val="2"/>
          <w14:ligatures w14:val="standardContextual"/>
        </w:rPr>
      </w:pPr>
      <w:proofErr w:type="gramStart"/>
      <w:r w:rsidRPr="00BB31AE">
        <w:rPr>
          <w:rFonts w:ascii="Times New Roman" w:eastAsia="Aptos" w:hAnsi="Times New Roman" w:cs="Times New Roman"/>
          <w:kern w:val="2"/>
          <w14:ligatures w14:val="standardContextual"/>
        </w:rPr>
        <w:t>In order to</w:t>
      </w:r>
      <w:proofErr w:type="gramEnd"/>
      <w:r w:rsidRPr="00BB31AE">
        <w:rPr>
          <w:rFonts w:ascii="Times New Roman" w:eastAsia="Aptos" w:hAnsi="Times New Roman" w:cs="Times New Roman"/>
          <w:kern w:val="2"/>
          <w14:ligatures w14:val="standardContextual"/>
        </w:rPr>
        <w:t xml:space="preserve"> understand the possible health implications from this </w:t>
      </w:r>
      <w:r w:rsidR="001B46E5" w:rsidRPr="00BB31AE">
        <w:rPr>
          <w:rFonts w:ascii="Times New Roman" w:eastAsia="Aptos" w:hAnsi="Times New Roman" w:cs="Times New Roman"/>
          <w:kern w:val="2"/>
          <w14:ligatures w14:val="standardContextual"/>
        </w:rPr>
        <w:t>exposure</w:t>
      </w:r>
      <w:r w:rsidRPr="00BB31AE">
        <w:rPr>
          <w:rFonts w:ascii="Times New Roman" w:eastAsia="Aptos" w:hAnsi="Times New Roman" w:cs="Times New Roman"/>
          <w:kern w:val="2"/>
          <w14:ligatures w14:val="standardContextual"/>
        </w:rPr>
        <w:t xml:space="preserve"> it is important to break down the possible effects into short-term effects (acute) and long-term-effects (chronic).</w:t>
      </w:r>
    </w:p>
    <w:p w14:paraId="0DB6213E" w14:textId="77777777" w:rsidR="006361DF" w:rsidRPr="00BB31AE" w:rsidRDefault="006361DF" w:rsidP="00143423">
      <w:pPr>
        <w:spacing w:line="256" w:lineRule="auto"/>
        <w:rPr>
          <w:rFonts w:ascii="Times New Roman" w:eastAsia="Aptos" w:hAnsi="Times New Roman" w:cs="Times New Roman"/>
          <w:kern w:val="2"/>
          <w:sz w:val="24"/>
          <w:szCs w:val="24"/>
          <w14:ligatures w14:val="standardContextual"/>
        </w:rPr>
      </w:pPr>
    </w:p>
    <w:p w14:paraId="498CD31E" w14:textId="77777777" w:rsidR="006361DF" w:rsidRPr="00BB31AE" w:rsidRDefault="006361DF" w:rsidP="006361DF">
      <w:pPr>
        <w:pStyle w:val="Heading3"/>
        <w:rPr>
          <w:rFonts w:ascii="Times New Roman" w:eastAsia="Aptos" w:hAnsi="Times New Roman" w:cs="Times New Roman"/>
        </w:rPr>
      </w:pPr>
      <w:bookmarkStart w:id="6" w:name="_Toc240031055"/>
      <w:r w:rsidRPr="00BB31AE">
        <w:rPr>
          <w:rFonts w:ascii="Times New Roman" w:eastAsia="Aptos" w:hAnsi="Times New Roman" w:cs="Times New Roman"/>
        </w:rPr>
        <w:t>Short-Term Effects (Acute)</w:t>
      </w:r>
      <w:bookmarkEnd w:id="6"/>
    </w:p>
    <w:p w14:paraId="0D211770" w14:textId="77777777" w:rsidR="006361DF" w:rsidRPr="00BB31AE" w:rsidRDefault="006361DF" w:rsidP="00143423">
      <w:pPr>
        <w:spacing w:line="256" w:lineRule="auto"/>
        <w:rPr>
          <w:rFonts w:ascii="Times New Roman" w:eastAsia="Aptos" w:hAnsi="Times New Roman" w:cs="Times New Roman"/>
          <w:kern w:val="2"/>
          <w:sz w:val="24"/>
          <w:szCs w:val="24"/>
          <w14:ligatures w14:val="standardContextual"/>
        </w:rPr>
      </w:pPr>
    </w:p>
    <w:p w14:paraId="10414072" w14:textId="7D505412" w:rsidR="00143423" w:rsidRPr="00BB31AE" w:rsidRDefault="00143423" w:rsidP="00143423">
      <w:pPr>
        <w:spacing w:line="256" w:lineRule="auto"/>
        <w:rPr>
          <w:rFonts w:ascii="Times New Roman" w:eastAsia="Aptos" w:hAnsi="Times New Roman" w:cs="Times New Roman"/>
          <w:kern w:val="2"/>
          <w14:ligatures w14:val="standardContextual"/>
        </w:rPr>
      </w:pPr>
      <w:r w:rsidRPr="00BB31AE">
        <w:rPr>
          <w:rFonts w:ascii="Times New Roman" w:eastAsia="Aptos" w:hAnsi="Times New Roman" w:cs="Times New Roman"/>
          <w:kern w:val="2"/>
          <w14:ligatures w14:val="standardContextual"/>
        </w:rPr>
        <w:t xml:space="preserve">Post incident it was noted that “The worker was sent to the Appointed Doctor for a check-up.” Where “No signs of radiation injury (such as erythema) were noted.” </w:t>
      </w:r>
    </w:p>
    <w:p w14:paraId="5644C67A" w14:textId="77777777" w:rsidR="006361DF" w:rsidRPr="00BB31AE" w:rsidRDefault="006361DF" w:rsidP="00143423">
      <w:pPr>
        <w:spacing w:line="256" w:lineRule="auto"/>
        <w:rPr>
          <w:rFonts w:ascii="Times New Roman" w:eastAsia="Aptos" w:hAnsi="Times New Roman" w:cs="Times New Roman"/>
          <w:kern w:val="2"/>
          <w14:ligatures w14:val="standardContextual"/>
        </w:rPr>
      </w:pPr>
    </w:p>
    <w:p w14:paraId="52A33049" w14:textId="13A25933" w:rsidR="00143423" w:rsidRPr="00BB31AE" w:rsidRDefault="00143423" w:rsidP="00143423">
      <w:pPr>
        <w:spacing w:line="256" w:lineRule="auto"/>
        <w:rPr>
          <w:rFonts w:ascii="Times New Roman" w:eastAsia="Aptos" w:hAnsi="Times New Roman" w:cs="Times New Roman"/>
          <w:kern w:val="2"/>
          <w14:ligatures w14:val="standardContextual"/>
        </w:rPr>
      </w:pPr>
      <w:r w:rsidRPr="00BB31AE">
        <w:rPr>
          <w:rFonts w:ascii="Times New Roman" w:eastAsia="Aptos" w:hAnsi="Times New Roman" w:cs="Times New Roman"/>
          <w:kern w:val="2"/>
          <w14:ligatures w14:val="standardContextual"/>
        </w:rPr>
        <w:t xml:space="preserve">To determine whether this is consistent with the literature written on the subject it is important to first determine the </w:t>
      </w:r>
      <w:r w:rsidR="009B023E" w:rsidRPr="00BB31AE">
        <w:rPr>
          <w:rFonts w:ascii="Times New Roman" w:eastAsia="Aptos" w:hAnsi="Times New Roman" w:cs="Times New Roman"/>
        </w:rPr>
        <w:t>Absorbed Dose (</w:t>
      </w:r>
      <m:oMath>
        <m:sSub>
          <m:sSubPr>
            <m:ctrlPr>
              <w:rPr>
                <w:rFonts w:ascii="Cambria Math" w:eastAsia="Aptos" w:hAnsi="Cambria Math" w:cs="Times New Roman"/>
              </w:rPr>
            </m:ctrlPr>
          </m:sSubPr>
          <m:e>
            <m:r>
              <w:rPr>
                <w:rFonts w:ascii="Cambria Math" w:eastAsia="Aptos" w:hAnsi="Cambria Math" w:cs="Times New Roman"/>
              </w:rPr>
              <m:t>D</m:t>
            </m:r>
          </m:e>
          <m:sub>
            <m:r>
              <w:rPr>
                <w:rFonts w:ascii="Cambria Math" w:eastAsia="Aptos" w:hAnsi="Cambria Math" w:cs="Times New Roman"/>
              </w:rPr>
              <m:t>T</m:t>
            </m:r>
          </m:sub>
        </m:sSub>
      </m:oMath>
      <w:r w:rsidR="009B023E" w:rsidRPr="00BB31AE">
        <w:rPr>
          <w:rFonts w:ascii="Times New Roman" w:eastAsia="Aptos" w:hAnsi="Times New Roman" w:cs="Times New Roman"/>
        </w:rPr>
        <w:t xml:space="preserve">) </w:t>
      </w:r>
      <w:r w:rsidRPr="00BB31AE">
        <w:rPr>
          <w:rFonts w:ascii="Times New Roman" w:eastAsia="Aptos" w:hAnsi="Times New Roman" w:cs="Times New Roman"/>
          <w:kern w:val="2"/>
          <w14:ligatures w14:val="standardContextual"/>
        </w:rPr>
        <w:t xml:space="preserve">required to </w:t>
      </w:r>
      <w:r w:rsidR="0070752D" w:rsidRPr="00BB31AE">
        <w:rPr>
          <w:rFonts w:ascii="Times New Roman" w:eastAsia="Aptos" w:hAnsi="Times New Roman" w:cs="Times New Roman"/>
          <w:kern w:val="2"/>
          <w14:ligatures w14:val="standardContextual"/>
        </w:rPr>
        <w:t>present with erythema.</w:t>
      </w:r>
    </w:p>
    <w:p w14:paraId="2113BBE7" w14:textId="09E01087" w:rsidR="0070752D" w:rsidRPr="00BB31AE" w:rsidRDefault="0070752D" w:rsidP="00143423">
      <w:pPr>
        <w:spacing w:line="256" w:lineRule="auto"/>
        <w:rPr>
          <w:rFonts w:ascii="Times New Roman" w:eastAsia="Aptos" w:hAnsi="Times New Roman" w:cs="Times New Roman"/>
          <w:kern w:val="2"/>
          <w:sz w:val="24"/>
          <w:szCs w:val="24"/>
          <w14:ligatures w14:val="standardContextual"/>
        </w:rPr>
      </w:pPr>
    </w:p>
    <w:p w14:paraId="753EF076" w14:textId="149A46E7" w:rsidR="00AB3357" w:rsidRPr="00BB31AE" w:rsidRDefault="00AB3357" w:rsidP="00143423">
      <w:pPr>
        <w:spacing w:line="256" w:lineRule="auto"/>
        <w:rPr>
          <w:rFonts w:ascii="Times New Roman" w:eastAsia="Aptos" w:hAnsi="Times New Roman" w:cs="Times New Roman"/>
          <w:color w:val="000000" w:themeColor="text1"/>
        </w:rPr>
      </w:pPr>
      <w:r w:rsidRPr="00BB31AE">
        <w:rPr>
          <w:rFonts w:ascii="Times New Roman" w:eastAsia="Aptos" w:hAnsi="Times New Roman" w:cs="Times New Roman"/>
          <w:kern w:val="2"/>
          <w14:ligatures w14:val="standardContextual"/>
        </w:rPr>
        <w:t xml:space="preserve">By using The Radiation Weighting </w:t>
      </w:r>
      <w:r w:rsidRPr="00BB31AE">
        <w:rPr>
          <w:rFonts w:ascii="Times New Roman" w:eastAsia="Aptos" w:hAnsi="Times New Roman" w:cs="Times New Roman"/>
          <w:color w:val="000000" w:themeColor="text1"/>
          <w:kern w:val="2"/>
          <w14:ligatures w14:val="standardContextual"/>
        </w:rPr>
        <w:t xml:space="preserve">Factor </w:t>
      </w:r>
      <m:oMath>
        <m:r>
          <w:rPr>
            <w:rFonts w:ascii="Cambria Math" w:eastAsia="Aptos" w:hAnsi="Cambria Math" w:cs="Times New Roman"/>
            <w:color w:val="000000" w:themeColor="text1"/>
            <w:kern w:val="2"/>
            <w14:ligatures w14:val="standardContextual"/>
          </w:rPr>
          <m:t>(</m:t>
        </m:r>
        <m:sSub>
          <m:sSubPr>
            <m:ctrlPr>
              <w:rPr>
                <w:rFonts w:ascii="Cambria Math" w:hAnsi="Cambria Math" w:cs="Times New Roman"/>
                <w:i/>
                <w:color w:val="000000" w:themeColor="text1"/>
              </w:rPr>
            </m:ctrlPr>
          </m:sSubPr>
          <m:e>
            <m:r>
              <w:rPr>
                <w:rFonts w:ascii="Cambria Math" w:hAnsi="Cambria Math" w:cs="Times New Roman"/>
                <w:color w:val="000000" w:themeColor="text1"/>
              </w:rPr>
              <m:t>w</m:t>
            </m:r>
          </m:e>
          <m:sub>
            <m:r>
              <w:rPr>
                <w:rFonts w:ascii="Cambria Math" w:hAnsi="Cambria Math" w:cs="Times New Roman"/>
                <w:color w:val="000000" w:themeColor="text1"/>
              </w:rPr>
              <m:t>R</m:t>
            </m:r>
          </m:sub>
        </m:sSub>
      </m:oMath>
      <w:r w:rsidR="004151CE" w:rsidRPr="00BB31AE">
        <w:rPr>
          <w:rFonts w:ascii="Times New Roman" w:eastAsia="Aptos" w:hAnsi="Times New Roman" w:cs="Times New Roman"/>
          <w:color w:val="000000" w:themeColor="text1"/>
        </w:rPr>
        <w:t xml:space="preserve">) which </w:t>
      </w:r>
      <w:r w:rsidR="00CC5FD7" w:rsidRPr="00BB31AE">
        <w:rPr>
          <w:rFonts w:ascii="Times New Roman" w:eastAsia="Aptos" w:hAnsi="Times New Roman" w:cs="Times New Roman"/>
          <w:color w:val="000000" w:themeColor="text1"/>
        </w:rPr>
        <w:t xml:space="preserve">is used to determine </w:t>
      </w:r>
      <w:r w:rsidR="004151CE" w:rsidRPr="00BB31AE">
        <w:rPr>
          <w:rFonts w:ascii="Times New Roman" w:eastAsia="Aptos" w:hAnsi="Times New Roman" w:cs="Times New Roman"/>
          <w:color w:val="000000" w:themeColor="text1"/>
        </w:rPr>
        <w:t xml:space="preserve">the damage that each radiation type </w:t>
      </w:r>
      <w:r w:rsidR="00CC5FD7" w:rsidRPr="00BB31AE">
        <w:rPr>
          <w:rFonts w:ascii="Times New Roman" w:eastAsia="Aptos" w:hAnsi="Times New Roman" w:cs="Times New Roman"/>
          <w:color w:val="000000" w:themeColor="text1"/>
        </w:rPr>
        <w:t>does which is found by looking at the ICRP they sate that the gamma radiation weighting factor is 1</w:t>
      </w:r>
      <w:r w:rsidR="009B023E" w:rsidRPr="00BB31AE">
        <w:rPr>
          <w:rFonts w:ascii="Times New Roman" w:eastAsia="Aptos" w:hAnsi="Times New Roman" w:cs="Times New Roman"/>
          <w:color w:val="000000" w:themeColor="text1"/>
        </w:rPr>
        <w:t xml:space="preserve"> we can convert the 62mSv effective does into the Absorbed does </w:t>
      </w:r>
      <w:r w:rsidR="009B023E" w:rsidRPr="00BB31AE">
        <w:rPr>
          <w:rFonts w:ascii="Times New Roman" w:eastAsia="Aptos" w:hAnsi="Times New Roman" w:cs="Times New Roman"/>
        </w:rPr>
        <w:t>(</w:t>
      </w:r>
      <m:oMath>
        <m:sSub>
          <m:sSubPr>
            <m:ctrlPr>
              <w:rPr>
                <w:rFonts w:ascii="Cambria Math" w:eastAsia="Aptos" w:hAnsi="Cambria Math" w:cs="Times New Roman"/>
              </w:rPr>
            </m:ctrlPr>
          </m:sSubPr>
          <m:e>
            <m:r>
              <w:rPr>
                <w:rFonts w:ascii="Cambria Math" w:eastAsia="Aptos" w:hAnsi="Cambria Math" w:cs="Times New Roman"/>
              </w:rPr>
              <m:t>D</m:t>
            </m:r>
          </m:e>
          <m:sub>
            <m:r>
              <w:rPr>
                <w:rFonts w:ascii="Cambria Math" w:eastAsia="Aptos" w:hAnsi="Cambria Math" w:cs="Times New Roman"/>
              </w:rPr>
              <m:t>T</m:t>
            </m:r>
          </m:sub>
        </m:sSub>
      </m:oMath>
      <w:r w:rsidR="009B023E" w:rsidRPr="00BB31AE">
        <w:rPr>
          <w:rFonts w:ascii="Times New Roman" w:eastAsia="Aptos" w:hAnsi="Times New Roman" w:cs="Times New Roman"/>
        </w:rPr>
        <w:t xml:space="preserve">) measured in Grays </w:t>
      </w:r>
    </w:p>
    <w:p w14:paraId="5A7BF449" w14:textId="77777777" w:rsidR="009B023E" w:rsidRPr="00BB31AE" w:rsidRDefault="00000000" w:rsidP="009B023E">
      <w:pPr>
        <w:spacing w:line="256" w:lineRule="auto"/>
        <w:rPr>
          <w:rFonts w:ascii="Times New Roman" w:eastAsia="Aptos" w:hAnsi="Times New Roman" w:cs="Times New Roman"/>
        </w:rPr>
      </w:pPr>
      <m:oMathPara>
        <m:oMath>
          <m:f>
            <m:fPr>
              <m:ctrlPr>
                <w:rPr>
                  <w:rFonts w:ascii="Cambria Math" w:eastAsia="Aptos" w:hAnsi="Cambria Math" w:cs="Times New Roman"/>
                  <w:i/>
                </w:rPr>
              </m:ctrlPr>
            </m:fPr>
            <m:num>
              <m:sSub>
                <m:sSubPr>
                  <m:ctrlPr>
                    <w:rPr>
                      <w:rFonts w:ascii="Cambria Math" w:eastAsia="Aptos" w:hAnsi="Cambria Math" w:cs="Times New Roman"/>
                    </w:rPr>
                  </m:ctrlPr>
                </m:sSubPr>
                <m:e>
                  <m:r>
                    <w:rPr>
                      <w:rFonts w:ascii="Cambria Math" w:eastAsia="Aptos" w:hAnsi="Cambria Math" w:cs="Times New Roman"/>
                    </w:rPr>
                    <m:t>H</m:t>
                  </m:r>
                </m:e>
                <m:sub>
                  <m:r>
                    <w:rPr>
                      <w:rFonts w:ascii="Cambria Math" w:eastAsia="Aptos" w:hAnsi="Cambria Math" w:cs="Times New Roman"/>
                    </w:rPr>
                    <m:t>T</m:t>
                  </m:r>
                </m:sub>
              </m:sSub>
            </m:num>
            <m:den>
              <m:sSub>
                <m:sSubPr>
                  <m:ctrlPr>
                    <w:rPr>
                      <w:rFonts w:ascii="Cambria Math" w:eastAsia="Aptos" w:hAnsi="Cambria Math" w:cs="Times New Roman"/>
                    </w:rPr>
                  </m:ctrlPr>
                </m:sSubPr>
                <m:e>
                  <m:r>
                    <w:rPr>
                      <w:rFonts w:ascii="Cambria Math" w:eastAsia="Aptos" w:hAnsi="Cambria Math" w:cs="Times New Roman"/>
                    </w:rPr>
                    <m:t>w</m:t>
                  </m:r>
                </m:e>
                <m:sub>
                  <m:r>
                    <w:rPr>
                      <w:rFonts w:ascii="Cambria Math" w:eastAsia="Aptos" w:hAnsi="Cambria Math" w:cs="Times New Roman"/>
                    </w:rPr>
                    <m:t>R</m:t>
                  </m:r>
                </m:sub>
              </m:sSub>
            </m:den>
          </m:f>
          <m:r>
            <w:rPr>
              <w:rFonts w:ascii="Cambria Math" w:eastAsia="Aptos" w:hAnsi="Cambria Math" w:cs="Times New Roman"/>
            </w:rPr>
            <m:t>=</m:t>
          </m:r>
          <m:sSub>
            <m:sSubPr>
              <m:ctrlPr>
                <w:rPr>
                  <w:rFonts w:ascii="Cambria Math" w:eastAsia="Aptos" w:hAnsi="Cambria Math" w:cs="Times New Roman"/>
                </w:rPr>
              </m:ctrlPr>
            </m:sSubPr>
            <m:e>
              <m:r>
                <w:rPr>
                  <w:rFonts w:ascii="Cambria Math" w:eastAsia="Aptos" w:hAnsi="Cambria Math" w:cs="Times New Roman"/>
                </w:rPr>
                <m:t>D</m:t>
              </m:r>
            </m:e>
            <m:sub>
              <m:r>
                <w:rPr>
                  <w:rFonts w:ascii="Cambria Math" w:eastAsia="Aptos" w:hAnsi="Cambria Math" w:cs="Times New Roman"/>
                </w:rPr>
                <m:t>T</m:t>
              </m:r>
            </m:sub>
          </m:sSub>
        </m:oMath>
      </m:oMathPara>
    </w:p>
    <w:p w14:paraId="46838759" w14:textId="77777777" w:rsidR="009B023E" w:rsidRPr="00BB31AE" w:rsidRDefault="009B023E" w:rsidP="00143423">
      <w:pPr>
        <w:spacing w:line="256" w:lineRule="auto"/>
        <w:rPr>
          <w:rFonts w:ascii="Times New Roman" w:eastAsia="Aptos" w:hAnsi="Times New Roman" w:cs="Times New Roman"/>
          <w:color w:val="000000" w:themeColor="text1"/>
        </w:rPr>
      </w:pPr>
    </w:p>
    <w:p w14:paraId="50113960" w14:textId="43DA36BF" w:rsidR="009B023E" w:rsidRPr="00BB31AE" w:rsidRDefault="009B023E" w:rsidP="009B023E">
      <w:pPr>
        <w:spacing w:line="256" w:lineRule="auto"/>
        <w:rPr>
          <w:rFonts w:ascii="Times New Roman" w:eastAsia="Aptos" w:hAnsi="Times New Roman" w:cs="Times New Roman"/>
        </w:rPr>
      </w:pPr>
      <w:r w:rsidRPr="00BB31AE">
        <w:rPr>
          <w:rFonts w:ascii="Times New Roman" w:eastAsia="Aptos" w:hAnsi="Times New Roman" w:cs="Times New Roman"/>
          <w:color w:val="000000" w:themeColor="text1"/>
        </w:rPr>
        <w:t xml:space="preserve">With </w:t>
      </w:r>
      <m:oMath>
        <m:r>
          <w:rPr>
            <w:rFonts w:ascii="Cambria Math" w:eastAsia="Aptos" w:hAnsi="Cambria Math" w:cs="Times New Roman"/>
            <w:color w:val="000000" w:themeColor="text1"/>
            <w:kern w:val="2"/>
            <w14:ligatures w14:val="standardContextual"/>
          </w:rPr>
          <m:t>(</m:t>
        </m:r>
        <m:sSub>
          <m:sSubPr>
            <m:ctrlPr>
              <w:rPr>
                <w:rFonts w:ascii="Cambria Math" w:hAnsi="Cambria Math" w:cs="Times New Roman"/>
                <w:i/>
                <w:color w:val="000000" w:themeColor="text1"/>
              </w:rPr>
            </m:ctrlPr>
          </m:sSubPr>
          <m:e>
            <m:r>
              <w:rPr>
                <w:rFonts w:ascii="Cambria Math" w:hAnsi="Cambria Math" w:cs="Times New Roman"/>
                <w:color w:val="000000" w:themeColor="text1"/>
              </w:rPr>
              <m:t>w</m:t>
            </m:r>
          </m:e>
          <m:sub>
            <m:r>
              <w:rPr>
                <w:rFonts w:ascii="Cambria Math" w:hAnsi="Cambria Math" w:cs="Times New Roman"/>
                <w:color w:val="000000" w:themeColor="text1"/>
              </w:rPr>
              <m:t>R</m:t>
            </m:r>
          </m:sub>
        </m:sSub>
      </m:oMath>
      <w:r w:rsidRPr="00BB31AE">
        <w:rPr>
          <w:rFonts w:ascii="Times New Roman" w:eastAsia="Aptos" w:hAnsi="Times New Roman" w:cs="Times New Roman"/>
          <w:color w:val="000000" w:themeColor="text1"/>
        </w:rPr>
        <w:t xml:space="preserve">) = 1 and </w:t>
      </w:r>
      <m:oMath>
        <m:sSub>
          <m:sSubPr>
            <m:ctrlPr>
              <w:rPr>
                <w:rFonts w:ascii="Cambria Math" w:eastAsia="Aptos" w:hAnsi="Cambria Math" w:cs="Times New Roman"/>
              </w:rPr>
            </m:ctrlPr>
          </m:sSubPr>
          <m:e>
            <m:r>
              <w:rPr>
                <w:rFonts w:ascii="Cambria Math" w:eastAsia="Aptos" w:hAnsi="Cambria Math" w:cs="Times New Roman"/>
              </w:rPr>
              <m:t>H</m:t>
            </m:r>
          </m:e>
          <m:sub>
            <m:r>
              <w:rPr>
                <w:rFonts w:ascii="Cambria Math" w:eastAsia="Aptos" w:hAnsi="Cambria Math" w:cs="Times New Roman"/>
              </w:rPr>
              <m:t>T</m:t>
            </m:r>
          </m:sub>
        </m:sSub>
      </m:oMath>
      <w:r w:rsidRPr="00BB31AE">
        <w:rPr>
          <w:rFonts w:ascii="Times New Roman" w:eastAsia="Aptos" w:hAnsi="Times New Roman" w:cs="Times New Roman"/>
        </w:rPr>
        <w:t xml:space="preserve"> = the effective does = 62</w:t>
      </w:r>
      <w:proofErr w:type="gramStart"/>
      <w:r w:rsidRPr="00BB31AE">
        <w:rPr>
          <w:rFonts w:ascii="Times New Roman" w:eastAsia="Aptos" w:hAnsi="Times New Roman" w:cs="Times New Roman"/>
        </w:rPr>
        <w:t>mSv  we</w:t>
      </w:r>
      <w:proofErr w:type="gramEnd"/>
      <w:r w:rsidRPr="00BB31AE">
        <w:rPr>
          <w:rFonts w:ascii="Times New Roman" w:eastAsia="Aptos" w:hAnsi="Times New Roman" w:cs="Times New Roman"/>
        </w:rPr>
        <w:t xml:space="preserve"> can determine that the Absorbed Dose (</w:t>
      </w:r>
      <m:oMath>
        <m:sSub>
          <m:sSubPr>
            <m:ctrlPr>
              <w:rPr>
                <w:rFonts w:ascii="Cambria Math" w:eastAsia="Aptos" w:hAnsi="Cambria Math" w:cs="Times New Roman"/>
              </w:rPr>
            </m:ctrlPr>
          </m:sSubPr>
          <m:e>
            <m:r>
              <w:rPr>
                <w:rFonts w:ascii="Cambria Math" w:eastAsia="Aptos" w:hAnsi="Cambria Math" w:cs="Times New Roman"/>
              </w:rPr>
              <m:t>D</m:t>
            </m:r>
          </m:e>
          <m:sub>
            <m:r>
              <w:rPr>
                <w:rFonts w:ascii="Cambria Math" w:eastAsia="Aptos" w:hAnsi="Cambria Math" w:cs="Times New Roman"/>
              </w:rPr>
              <m:t>T</m:t>
            </m:r>
          </m:sub>
        </m:sSub>
      </m:oMath>
      <w:r w:rsidRPr="00BB31AE">
        <w:rPr>
          <w:rFonts w:ascii="Times New Roman" w:eastAsia="Aptos" w:hAnsi="Times New Roman" w:cs="Times New Roman"/>
        </w:rPr>
        <w:t>) = 62 mGy</w:t>
      </w:r>
    </w:p>
    <w:p w14:paraId="2F3A34B0" w14:textId="77777777" w:rsidR="009B023E" w:rsidRPr="00BB31AE" w:rsidRDefault="009B023E" w:rsidP="00143423">
      <w:pPr>
        <w:spacing w:line="256" w:lineRule="auto"/>
        <w:rPr>
          <w:rFonts w:ascii="Times New Roman" w:eastAsia="Aptos" w:hAnsi="Times New Roman" w:cs="Times New Roman"/>
          <w:color w:val="000000" w:themeColor="text1"/>
        </w:rPr>
      </w:pPr>
    </w:p>
    <w:p w14:paraId="2B142276" w14:textId="179A9A0C" w:rsidR="009B023E" w:rsidRPr="00BB31AE" w:rsidRDefault="00000000" w:rsidP="00143423">
      <w:pPr>
        <w:spacing w:line="256" w:lineRule="auto"/>
        <w:rPr>
          <w:rFonts w:ascii="Times New Roman" w:eastAsia="Aptos" w:hAnsi="Times New Roman" w:cs="Times New Roman"/>
        </w:rPr>
      </w:pPr>
      <m:oMath>
        <m:f>
          <m:fPr>
            <m:ctrlPr>
              <w:rPr>
                <w:rFonts w:ascii="Cambria Math" w:eastAsia="Aptos" w:hAnsi="Cambria Math" w:cs="Times New Roman"/>
                <w:i/>
              </w:rPr>
            </m:ctrlPr>
          </m:fPr>
          <m:num>
            <m:r>
              <m:rPr>
                <m:sty m:val="p"/>
              </m:rPr>
              <w:rPr>
                <w:rFonts w:ascii="Cambria Math" w:eastAsia="Aptos" w:hAnsi="Cambria Math" w:cs="Times New Roman"/>
              </w:rPr>
              <m:t>62</m:t>
            </m:r>
          </m:num>
          <m:den>
            <m:r>
              <m:rPr>
                <m:sty m:val="p"/>
              </m:rPr>
              <w:rPr>
                <w:rFonts w:ascii="Cambria Math" w:eastAsia="Aptos" w:hAnsi="Cambria Math" w:cs="Times New Roman"/>
              </w:rPr>
              <m:t>1</m:t>
            </m:r>
          </m:den>
        </m:f>
        <m:r>
          <w:rPr>
            <w:rFonts w:ascii="Cambria Math" w:eastAsia="Aptos" w:hAnsi="Cambria Math" w:cs="Times New Roman"/>
          </w:rPr>
          <m:t>=</m:t>
        </m:r>
        <m:r>
          <m:rPr>
            <m:sty m:val="p"/>
          </m:rPr>
          <w:rPr>
            <w:rFonts w:ascii="Cambria Math" w:eastAsia="Aptos" w:hAnsi="Cambria Math" w:cs="Times New Roman"/>
          </w:rPr>
          <m:t>62</m:t>
        </m:r>
      </m:oMath>
      <w:r w:rsidR="009B023E" w:rsidRPr="00BB31AE">
        <w:rPr>
          <w:rFonts w:ascii="Times New Roman" w:eastAsia="Aptos" w:hAnsi="Times New Roman" w:cs="Times New Roman"/>
        </w:rPr>
        <w:t>mGy</w:t>
      </w:r>
    </w:p>
    <w:p w14:paraId="28A82659" w14:textId="77777777" w:rsidR="009B023E" w:rsidRPr="00BB31AE" w:rsidRDefault="009B023E" w:rsidP="00143423">
      <w:pPr>
        <w:spacing w:line="256" w:lineRule="auto"/>
        <w:rPr>
          <w:rFonts w:ascii="Times New Roman" w:eastAsia="Aptos" w:hAnsi="Times New Roman" w:cs="Times New Roman"/>
        </w:rPr>
      </w:pPr>
    </w:p>
    <w:p w14:paraId="5BCAE594" w14:textId="39622CF1" w:rsidR="006361DF" w:rsidRPr="00BB31AE" w:rsidRDefault="006361DF" w:rsidP="00143423">
      <w:pPr>
        <w:spacing w:line="256" w:lineRule="auto"/>
        <w:rPr>
          <w:rFonts w:ascii="Times New Roman" w:eastAsia="Aptos" w:hAnsi="Times New Roman" w:cs="Times New Roman"/>
          <w:kern w:val="2"/>
          <w14:ligatures w14:val="standardContextual"/>
        </w:rPr>
      </w:pPr>
      <w:r w:rsidRPr="00BB31AE">
        <w:rPr>
          <w:rFonts w:ascii="Times New Roman" w:eastAsia="Aptos" w:hAnsi="Times New Roman" w:cs="Times New Roman"/>
        </w:rPr>
        <w:t>The International atomic energy agency (IAEA) states that “It is unlikely for a skin reaction to occur for doses lower than about 2 Gy on the skin surface.” [</w:t>
      </w:r>
      <w:hyperlink r:id="rId11" w:history="1">
        <w:r w:rsidR="000310D6">
          <w:rPr>
            <w:rStyle w:val="Hyperlink"/>
            <w:rFonts w:ascii="Times New Roman" w:eastAsia="Aptos" w:hAnsi="Times New Roman" w:cs="Times New Roman"/>
          </w:rPr>
          <w:t>9</w:t>
        </w:r>
      </w:hyperlink>
      <w:r w:rsidRPr="00BB31AE">
        <w:rPr>
          <w:rFonts w:ascii="Times New Roman" w:eastAsia="Aptos" w:hAnsi="Times New Roman" w:cs="Times New Roman"/>
        </w:rPr>
        <w:t>] as the do</w:t>
      </w:r>
      <w:r w:rsidR="006863B8" w:rsidRPr="00BB31AE">
        <w:rPr>
          <w:rFonts w:ascii="Times New Roman" w:eastAsia="Aptos" w:hAnsi="Times New Roman" w:cs="Times New Roman"/>
        </w:rPr>
        <w:t>se</w:t>
      </w:r>
      <w:r w:rsidRPr="00BB31AE">
        <w:rPr>
          <w:rFonts w:ascii="Times New Roman" w:eastAsia="Aptos" w:hAnsi="Times New Roman" w:cs="Times New Roman"/>
        </w:rPr>
        <w:t xml:space="preserve"> received by the operator is </w:t>
      </w:r>
      <w:proofErr w:type="spellStart"/>
      <w:proofErr w:type="gramStart"/>
      <w:r w:rsidRPr="00BB31AE">
        <w:rPr>
          <w:rFonts w:ascii="Times New Roman" w:eastAsia="Aptos" w:hAnsi="Times New Roman" w:cs="Times New Roman"/>
        </w:rPr>
        <w:t>a</w:t>
      </w:r>
      <w:proofErr w:type="spellEnd"/>
      <w:proofErr w:type="gramEnd"/>
      <w:r w:rsidRPr="00BB31AE">
        <w:rPr>
          <w:rFonts w:ascii="Times New Roman" w:eastAsia="Aptos" w:hAnsi="Times New Roman" w:cs="Times New Roman"/>
        </w:rPr>
        <w:t xml:space="preserve"> approximately 32 times smaller than 2 Gy it seems consistent that no </w:t>
      </w:r>
      <w:r w:rsidRPr="00BB31AE">
        <w:rPr>
          <w:rFonts w:ascii="Times New Roman" w:eastAsia="Aptos" w:hAnsi="Times New Roman" w:cs="Times New Roman"/>
          <w:kern w:val="2"/>
          <w14:ligatures w14:val="standardContextual"/>
        </w:rPr>
        <w:t xml:space="preserve">erythema would be present. </w:t>
      </w:r>
    </w:p>
    <w:p w14:paraId="2EF2BEAD" w14:textId="77777777" w:rsidR="0081209D" w:rsidRPr="00BB31AE" w:rsidRDefault="0081209D" w:rsidP="00143423">
      <w:pPr>
        <w:spacing w:line="256" w:lineRule="auto"/>
        <w:rPr>
          <w:rFonts w:ascii="Times New Roman" w:eastAsia="Aptos" w:hAnsi="Times New Roman" w:cs="Times New Roman"/>
          <w:kern w:val="2"/>
          <w14:ligatures w14:val="standardContextual"/>
        </w:rPr>
      </w:pPr>
    </w:p>
    <w:p w14:paraId="0AB87911" w14:textId="599C7121" w:rsidR="0081209D" w:rsidRPr="00BB31AE" w:rsidRDefault="00A74FEB" w:rsidP="00143423">
      <w:pPr>
        <w:spacing w:line="256" w:lineRule="auto"/>
        <w:rPr>
          <w:rFonts w:ascii="Times New Roman" w:eastAsia="Aptos" w:hAnsi="Times New Roman" w:cs="Times New Roman"/>
          <w:kern w:val="2"/>
          <w14:ligatures w14:val="standardContextual"/>
        </w:rPr>
      </w:pPr>
      <w:r w:rsidRPr="00BB31AE">
        <w:rPr>
          <w:rFonts w:ascii="Times New Roman" w:eastAsia="Aptos" w:hAnsi="Times New Roman" w:cs="Times New Roman"/>
          <w:kern w:val="2"/>
          <w14:ligatures w14:val="standardContextual"/>
        </w:rPr>
        <w:t>However,</w:t>
      </w:r>
      <w:r w:rsidR="0081209D" w:rsidRPr="00BB31AE">
        <w:rPr>
          <w:rFonts w:ascii="Times New Roman" w:eastAsia="Aptos" w:hAnsi="Times New Roman" w:cs="Times New Roman"/>
          <w:kern w:val="2"/>
          <w14:ligatures w14:val="standardContextual"/>
        </w:rPr>
        <w:t xml:space="preserve"> there are more possible acute symptoms rather than just erythema for example the first symptoms of acute radiation </w:t>
      </w:r>
      <w:r w:rsidR="00732616" w:rsidRPr="00BB31AE">
        <w:rPr>
          <w:rFonts w:ascii="Times New Roman" w:eastAsia="Aptos" w:hAnsi="Times New Roman" w:cs="Times New Roman"/>
          <w:kern w:val="2"/>
          <w14:ligatures w14:val="standardContextual"/>
        </w:rPr>
        <w:t>exposures</w:t>
      </w:r>
      <w:r w:rsidR="0081209D" w:rsidRPr="00BB31AE">
        <w:rPr>
          <w:rFonts w:ascii="Times New Roman" w:eastAsia="Aptos" w:hAnsi="Times New Roman" w:cs="Times New Roman"/>
          <w:kern w:val="2"/>
          <w14:ligatures w14:val="standardContextual"/>
        </w:rPr>
        <w:t xml:space="preserve"> </w:t>
      </w:r>
      <w:r w:rsidR="006863B8" w:rsidRPr="00BB31AE">
        <w:rPr>
          <w:rFonts w:ascii="Times New Roman" w:eastAsia="Aptos" w:hAnsi="Times New Roman" w:cs="Times New Roman"/>
          <w:kern w:val="2"/>
          <w14:ligatures w14:val="standardContextual"/>
        </w:rPr>
        <w:t>is</w:t>
      </w:r>
      <w:r w:rsidR="0081209D" w:rsidRPr="00BB31AE">
        <w:rPr>
          <w:rFonts w:ascii="Times New Roman" w:eastAsia="Aptos" w:hAnsi="Times New Roman" w:cs="Times New Roman"/>
          <w:kern w:val="2"/>
          <w14:ligatures w14:val="standardContextual"/>
        </w:rPr>
        <w:t xml:space="preserve"> usually vomiting and nausea </w:t>
      </w:r>
      <w:r w:rsidR="00732616" w:rsidRPr="00BB31AE">
        <w:rPr>
          <w:rFonts w:ascii="Times New Roman" w:eastAsia="Aptos" w:hAnsi="Times New Roman" w:cs="Times New Roman"/>
          <w:kern w:val="2"/>
          <w14:ligatures w14:val="standardContextual"/>
        </w:rPr>
        <w:t>this usually occurs within the first 24 hours however symptoms can present earlier if the exposure is greater however as the operators dose was lower than 0.5Gy these symptoms are unlikely. [</w:t>
      </w:r>
      <w:r w:rsidR="000310D6">
        <w:rPr>
          <w:rFonts w:ascii="Times New Roman" w:eastAsia="Aptos" w:hAnsi="Times New Roman" w:cs="Times New Roman"/>
          <w:kern w:val="2"/>
          <w14:ligatures w14:val="standardContextual"/>
        </w:rPr>
        <w:t>10</w:t>
      </w:r>
      <w:r w:rsidR="00732616" w:rsidRPr="00BB31AE">
        <w:rPr>
          <w:rFonts w:ascii="Times New Roman" w:eastAsia="Aptos" w:hAnsi="Times New Roman" w:cs="Times New Roman"/>
          <w:kern w:val="2"/>
          <w14:ligatures w14:val="standardContextual"/>
        </w:rPr>
        <w:t>]</w:t>
      </w:r>
    </w:p>
    <w:p w14:paraId="006FA0DD" w14:textId="1072747A" w:rsidR="00732616" w:rsidRPr="00BB31AE" w:rsidRDefault="00732616" w:rsidP="00143423">
      <w:pPr>
        <w:spacing w:line="256" w:lineRule="auto"/>
        <w:rPr>
          <w:rFonts w:ascii="Times New Roman" w:eastAsia="Aptos" w:hAnsi="Times New Roman" w:cs="Times New Roman"/>
          <w:kern w:val="2"/>
          <w14:ligatures w14:val="standardContextual"/>
        </w:rPr>
      </w:pPr>
      <w:r w:rsidRPr="00BB31AE">
        <w:rPr>
          <w:rFonts w:ascii="Times New Roman" w:eastAsia="Aptos" w:hAnsi="Times New Roman" w:cs="Times New Roman"/>
          <w:kern w:val="2"/>
          <w14:ligatures w14:val="standardContextual"/>
        </w:rPr>
        <w:t>Furthermore, there is usually a latent period (the time delay between the radiation exposure and the appearance of a disease) for acute radiation exposure the latent period is usually between two and 10 days however</w:t>
      </w:r>
      <w:r w:rsidR="006863B8" w:rsidRPr="00BB31AE">
        <w:rPr>
          <w:rFonts w:ascii="Times New Roman" w:eastAsia="Aptos" w:hAnsi="Times New Roman" w:cs="Times New Roman"/>
          <w:kern w:val="2"/>
          <w14:ligatures w14:val="standardContextual"/>
        </w:rPr>
        <w:t xml:space="preserve"> </w:t>
      </w:r>
      <w:r w:rsidR="009F3955" w:rsidRPr="00BB31AE">
        <w:rPr>
          <w:rFonts w:ascii="Times New Roman" w:eastAsia="Aptos" w:hAnsi="Times New Roman" w:cs="Times New Roman"/>
          <w:kern w:val="2"/>
          <w14:ligatures w14:val="standardContextual"/>
        </w:rPr>
        <w:t xml:space="preserve">the latent period is dependent on the severity of the absorbed dose. </w:t>
      </w:r>
      <w:r w:rsidR="00A74FEB" w:rsidRPr="00BB31AE">
        <w:rPr>
          <w:rFonts w:ascii="Times New Roman" w:eastAsia="Aptos" w:hAnsi="Times New Roman" w:cs="Times New Roman"/>
          <w:kern w:val="2"/>
          <w14:ligatures w14:val="standardContextual"/>
        </w:rPr>
        <w:t>However,</w:t>
      </w:r>
      <w:r w:rsidR="009F3955" w:rsidRPr="00BB31AE">
        <w:rPr>
          <w:rFonts w:ascii="Times New Roman" w:eastAsia="Aptos" w:hAnsi="Times New Roman" w:cs="Times New Roman"/>
          <w:kern w:val="2"/>
          <w14:ligatures w14:val="standardContextual"/>
        </w:rPr>
        <w:t xml:space="preserve"> with the operators absorbed dose being approximately 0.062Gy it is unlikely that they will present with any side effects. </w:t>
      </w:r>
    </w:p>
    <w:p w14:paraId="24D88FD6" w14:textId="77777777" w:rsidR="00732616" w:rsidRPr="00BB31AE" w:rsidRDefault="00732616" w:rsidP="00143423">
      <w:pPr>
        <w:spacing w:line="256" w:lineRule="auto"/>
        <w:rPr>
          <w:rFonts w:ascii="Times New Roman" w:eastAsia="Aptos" w:hAnsi="Times New Roman" w:cs="Times New Roman"/>
          <w:kern w:val="2"/>
          <w14:ligatures w14:val="standardContextual"/>
        </w:rPr>
      </w:pPr>
    </w:p>
    <w:p w14:paraId="45BF8EDC" w14:textId="77777777" w:rsidR="00143423" w:rsidRPr="00BB31AE" w:rsidRDefault="00143423" w:rsidP="00BE7CD6">
      <w:pPr>
        <w:spacing w:line="256" w:lineRule="auto"/>
        <w:rPr>
          <w:rFonts w:ascii="Times New Roman" w:eastAsia="Aptos" w:hAnsi="Times New Roman" w:cs="Times New Roman"/>
          <w:kern w:val="2"/>
          <w14:ligatures w14:val="standardContextual"/>
        </w:rPr>
      </w:pPr>
    </w:p>
    <w:p w14:paraId="6BB4F71E" w14:textId="18F29ACD" w:rsidR="00143423" w:rsidRPr="00BB31AE" w:rsidRDefault="00143423" w:rsidP="006361DF">
      <w:pPr>
        <w:pStyle w:val="Heading3"/>
        <w:rPr>
          <w:rFonts w:ascii="Times New Roman" w:eastAsia="Aptos" w:hAnsi="Times New Roman" w:cs="Times New Roman"/>
        </w:rPr>
      </w:pPr>
      <w:r w:rsidRPr="00BB31AE">
        <w:rPr>
          <w:rFonts w:ascii="Times New Roman" w:eastAsia="Aptos" w:hAnsi="Times New Roman" w:cs="Times New Roman"/>
        </w:rPr>
        <w:t xml:space="preserve"> </w:t>
      </w:r>
      <w:bookmarkStart w:id="7" w:name="_Toc240031056"/>
      <w:r w:rsidR="00105621" w:rsidRPr="00BB31AE">
        <w:rPr>
          <w:rFonts w:ascii="Times New Roman" w:eastAsia="Aptos" w:hAnsi="Times New Roman" w:cs="Times New Roman"/>
        </w:rPr>
        <w:t xml:space="preserve">Stochastic effects </w:t>
      </w:r>
      <w:r w:rsidRPr="00BB31AE">
        <w:rPr>
          <w:rFonts w:ascii="Times New Roman" w:eastAsia="Aptos" w:hAnsi="Times New Roman" w:cs="Times New Roman"/>
        </w:rPr>
        <w:t>(</w:t>
      </w:r>
      <w:r w:rsidR="00105621" w:rsidRPr="00BB31AE">
        <w:rPr>
          <w:rFonts w:ascii="Times New Roman" w:eastAsia="Aptos" w:hAnsi="Times New Roman" w:cs="Times New Roman"/>
        </w:rPr>
        <w:t>Long-Term Effects</w:t>
      </w:r>
      <w:r w:rsidRPr="00BB31AE">
        <w:rPr>
          <w:rFonts w:ascii="Times New Roman" w:eastAsia="Aptos" w:hAnsi="Times New Roman" w:cs="Times New Roman"/>
        </w:rPr>
        <w:t>)</w:t>
      </w:r>
      <w:bookmarkEnd w:id="7"/>
    </w:p>
    <w:p w14:paraId="54B9BE06" w14:textId="64AB0856" w:rsidR="00BE7CD6" w:rsidRPr="00BB31AE" w:rsidRDefault="00BE7CD6" w:rsidP="00BE7CD6">
      <w:pPr>
        <w:spacing w:line="256" w:lineRule="auto"/>
        <w:rPr>
          <w:rFonts w:ascii="Times New Roman" w:eastAsia="Aptos" w:hAnsi="Times New Roman" w:cs="Times New Roman"/>
          <w:kern w:val="2"/>
          <w:sz w:val="24"/>
          <w:szCs w:val="24"/>
          <w14:ligatures w14:val="standardContextual"/>
        </w:rPr>
      </w:pPr>
    </w:p>
    <w:p w14:paraId="1D1F8065" w14:textId="77777777" w:rsidR="00C01351" w:rsidRPr="00BB31AE" w:rsidRDefault="00C01351" w:rsidP="00BE7CD6">
      <w:pPr>
        <w:spacing w:line="256" w:lineRule="auto"/>
        <w:rPr>
          <w:rFonts w:ascii="Times New Roman" w:eastAsia="Aptos" w:hAnsi="Times New Roman" w:cs="Times New Roman"/>
          <w:kern w:val="2"/>
          <w14:ligatures w14:val="standardContextual"/>
        </w:rPr>
      </w:pPr>
    </w:p>
    <w:p w14:paraId="3EBF19DF" w14:textId="39F6D335" w:rsidR="00C01351" w:rsidRPr="00BB31AE" w:rsidRDefault="00C01351" w:rsidP="00BE7CD6">
      <w:pPr>
        <w:spacing w:line="256" w:lineRule="auto"/>
        <w:rPr>
          <w:rFonts w:ascii="Times New Roman" w:eastAsia="Aptos" w:hAnsi="Times New Roman" w:cs="Times New Roman"/>
          <w:kern w:val="2"/>
          <w14:ligatures w14:val="standardContextual"/>
        </w:rPr>
      </w:pPr>
      <w:r w:rsidRPr="00BB31AE">
        <w:rPr>
          <w:rFonts w:ascii="Times New Roman" w:eastAsia="Aptos" w:hAnsi="Times New Roman" w:cs="Times New Roman"/>
          <w:kern w:val="2"/>
          <w14:ligatures w14:val="standardContextual"/>
        </w:rPr>
        <w:t>Stochastic effects may occur following either an acute dose or a chronic dose. There are two well recognized types of stochastic effects, the induction of cancer in exposed individuals, and hereditary disorders in the kin of those exposed.</w:t>
      </w:r>
    </w:p>
    <w:p w14:paraId="5700859B" w14:textId="70965C0A" w:rsidR="00482C5D" w:rsidRPr="00BB31AE" w:rsidRDefault="00C01351" w:rsidP="00482C5D">
      <w:pPr>
        <w:spacing w:line="256" w:lineRule="auto"/>
        <w:rPr>
          <w:rFonts w:ascii="Times New Roman" w:hAnsi="Times New Roman" w:cs="Times New Roman"/>
          <w:shd w:val="clear" w:color="auto" w:fill="FFFFFF"/>
        </w:rPr>
      </w:pPr>
      <w:r w:rsidRPr="00BB31AE">
        <w:rPr>
          <w:rFonts w:ascii="Times New Roman" w:eastAsia="Aptos" w:hAnsi="Times New Roman" w:cs="Times New Roman"/>
          <w:kern w:val="2"/>
          <w14:ligatures w14:val="standardContextual"/>
        </w:rPr>
        <w:t>The ICRP uses the Linear No-Threshold (LNT) model [</w:t>
      </w:r>
      <w:hyperlink r:id="rId12" w:history="1">
        <w:r w:rsidR="000310D6">
          <w:rPr>
            <w:rStyle w:val="Hyperlink"/>
            <w:rFonts w:ascii="Times New Roman" w:eastAsia="Aptos" w:hAnsi="Times New Roman" w:cs="Times New Roman"/>
            <w:kern w:val="2"/>
            <w14:ligatures w14:val="standardContextual"/>
          </w:rPr>
          <w:t>11</w:t>
        </w:r>
      </w:hyperlink>
      <w:r w:rsidRPr="00BB31AE">
        <w:rPr>
          <w:rFonts w:ascii="Times New Roman" w:eastAsia="Aptos" w:hAnsi="Times New Roman" w:cs="Times New Roman"/>
          <w:kern w:val="2"/>
          <w14:ligatures w14:val="standardContextual"/>
        </w:rPr>
        <w:t xml:space="preserve">], which theorizes that any exposure to radiation will increase the probability of stochastic effects, usually in the form of cancers from radiation exposure. When combining this model with the ICRP 60 excess lifetime fatal cancer risk coefficient of 4.1% per sievert, which is usually rounded to 4% per sievert for workers (5.5% or 5% for the general </w:t>
      </w:r>
      <w:r w:rsidRPr="00BB31AE">
        <w:rPr>
          <w:rFonts w:ascii="Times New Roman" w:eastAsia="Aptos" w:hAnsi="Times New Roman" w:cs="Times New Roman"/>
          <w:kern w:val="2"/>
          <w14:ligatures w14:val="standardContextual"/>
        </w:rPr>
        <w:lastRenderedPageBreak/>
        <w:t>population), the operator's exposure causes a 0.26% increased lifetime risk of developing fatal cancer. This puts a quantifiable number to the long-term health risk associated with the operator's exposure.</w:t>
      </w:r>
    </w:p>
    <w:p w14:paraId="6D1D12D3" w14:textId="266DA285" w:rsidR="00BE7CD6" w:rsidRPr="00BB31AE" w:rsidRDefault="003E62C6" w:rsidP="00482C5D">
      <w:pPr>
        <w:pStyle w:val="Heading2"/>
        <w:rPr>
          <w:rFonts w:eastAsia="Aptos"/>
          <w:kern w:val="2"/>
          <w14:ligatures w14:val="standardContextual"/>
        </w:rPr>
      </w:pPr>
      <w:bookmarkStart w:id="8" w:name="_Toc240031057"/>
      <w:r w:rsidRPr="00BB31AE">
        <w:rPr>
          <w:shd w:val="clear" w:color="auto" w:fill="FFFFFF"/>
        </w:rPr>
        <w:t>Ionising Radiations Regulations 2017</w:t>
      </w:r>
      <w:bookmarkEnd w:id="8"/>
    </w:p>
    <w:p w14:paraId="761C0A4F" w14:textId="16FBDC25" w:rsidR="006A2A89" w:rsidRPr="00BB31AE" w:rsidRDefault="00964716" w:rsidP="00964716">
      <w:pPr>
        <w:pStyle w:val="Heading3"/>
        <w:rPr>
          <w:rFonts w:ascii="Times New Roman" w:hAnsi="Times New Roman" w:cs="Times New Roman"/>
        </w:rPr>
      </w:pPr>
      <w:bookmarkStart w:id="9" w:name="_Toc240031058"/>
      <w:r w:rsidRPr="00BB31AE">
        <w:rPr>
          <w:rFonts w:ascii="Times New Roman" w:hAnsi="Times New Roman" w:cs="Times New Roman"/>
        </w:rPr>
        <w:t>Regulation 8 Radiation risk assessments</w:t>
      </w:r>
      <w:bookmarkEnd w:id="9"/>
      <w:r w:rsidRPr="00BB31AE">
        <w:rPr>
          <w:rFonts w:ascii="Times New Roman" w:hAnsi="Times New Roman" w:cs="Times New Roman"/>
        </w:rPr>
        <w:t xml:space="preserve"> </w:t>
      </w:r>
    </w:p>
    <w:p w14:paraId="70C8C50E" w14:textId="20CEB140" w:rsidR="00964716" w:rsidRPr="00BB31AE" w:rsidRDefault="00964716" w:rsidP="006A2A89">
      <w:pPr>
        <w:rPr>
          <w:rFonts w:ascii="Times New Roman" w:hAnsi="Times New Roman" w:cs="Times New Roman"/>
          <w:sz w:val="24"/>
          <w:szCs w:val="24"/>
        </w:rPr>
      </w:pPr>
    </w:p>
    <w:p w14:paraId="357B5CD0" w14:textId="603401AB" w:rsidR="00BB0228" w:rsidRPr="00A74FEB" w:rsidRDefault="00BB0228" w:rsidP="00BB0228">
      <w:pPr>
        <w:rPr>
          <w:rFonts w:ascii="Times New Roman" w:hAnsi="Times New Roman" w:cs="Times New Roman"/>
          <w:color w:val="D86DCB" w:themeColor="accent5" w:themeTint="99"/>
        </w:rPr>
      </w:pPr>
      <w:r w:rsidRPr="00BB31AE">
        <w:rPr>
          <w:rFonts w:ascii="Times New Roman" w:hAnsi="Times New Roman" w:cs="Times New Roman"/>
        </w:rPr>
        <w:t>Regulation 8, focusing on worker protection, requires that “an employer before commencing a new activity involving work with ionising radiation” “must make a suitable and sufficient assessment of the risk to any employee” for the purpose of “identifying the measures the employer needs to take to restrict the exposure of that employee” to ionising radiation</w:t>
      </w:r>
      <w:r w:rsidRPr="00BB31AE">
        <w:rPr>
          <w:rFonts w:ascii="Times New Roman" w:hAnsi="Times New Roman" w:cs="Times New Roman"/>
          <w:color w:val="D86DCB" w:themeColor="accent5" w:themeTint="99"/>
        </w:rPr>
        <w:t>.</w:t>
      </w:r>
      <w:r w:rsidRPr="00BB31AE">
        <w:rPr>
          <w:rFonts w:ascii="Times New Roman" w:hAnsi="Times New Roman" w:cs="Times New Roman"/>
        </w:rPr>
        <w:t xml:space="preserve"> [</w:t>
      </w:r>
      <w:hyperlink r:id="rId13" w:anchor="page=27&amp;zoom=100,0,0" w:history="1">
        <w:r w:rsidR="000310D6">
          <w:rPr>
            <w:rStyle w:val="Hyperlink"/>
            <w:rFonts w:ascii="Times New Roman" w:hAnsi="Times New Roman" w:cs="Times New Roman"/>
          </w:rPr>
          <w:t>12</w:t>
        </w:r>
      </w:hyperlink>
      <w:r w:rsidRPr="00BB31AE">
        <w:rPr>
          <w:rFonts w:ascii="Times New Roman" w:hAnsi="Times New Roman" w:cs="Times New Roman"/>
        </w:rPr>
        <w:t>]</w:t>
      </w:r>
    </w:p>
    <w:p w14:paraId="76AB5193" w14:textId="70FEADA6" w:rsidR="00A74FEB" w:rsidRPr="00A74FEB" w:rsidRDefault="00A74FEB" w:rsidP="00A74FEB">
      <w:pPr>
        <w:rPr>
          <w:rFonts w:ascii="Times New Roman" w:hAnsi="Times New Roman" w:cs="Times New Roman"/>
        </w:rPr>
      </w:pPr>
      <w:r w:rsidRPr="00A74FEB">
        <w:rPr>
          <w:rFonts w:ascii="Times New Roman" w:hAnsi="Times New Roman" w:cs="Times New Roman"/>
        </w:rPr>
        <w:t>Within the report, intermittent faults with the drawer-position sensor had been reported; however, no formal intervention or maintenance was undertaken. This could suggest that the risk of sensor failure, and the consequent possibility of exposing a worker to ionising radiation, had been identified within the risk assessment. The fact that these faults were reported indicates that a process may have existed for identifying and communicating hazards. However, if this risk had not been identified within the assessment, it could instead demonstrate a failure to reasonably foresee and assess the potential hazard associated with the sensor fault.</w:t>
      </w:r>
    </w:p>
    <w:p w14:paraId="37982BFB" w14:textId="2565732F" w:rsidR="00964716" w:rsidRPr="00BB31AE" w:rsidRDefault="00A74FEB" w:rsidP="00A74FEB">
      <w:pPr>
        <w:rPr>
          <w:rFonts w:ascii="Times New Roman" w:hAnsi="Times New Roman" w:cs="Times New Roman"/>
          <w:sz w:val="24"/>
          <w:szCs w:val="24"/>
        </w:rPr>
      </w:pPr>
      <w:r w:rsidRPr="00A74FEB">
        <w:rPr>
          <w:rFonts w:ascii="Times New Roman" w:hAnsi="Times New Roman" w:cs="Times New Roman"/>
        </w:rPr>
        <w:t>Furthermore, the absence of follow-up action suggests that any hazard identified through the risk assessment did not have adequate controls or mitigation measures applied after the faults were reported. Consequently, the employer failed to take reasonably practicable measures to adequately restrict employee exposure, indicating that the risk assessment was not sufficiently effective in controlling and mitigating the identified risks.</w:t>
      </w:r>
    </w:p>
    <w:p w14:paraId="0F89E95D" w14:textId="05354DEB" w:rsidR="00FA6802" w:rsidRPr="00BB31AE" w:rsidRDefault="00FA6802" w:rsidP="00FA6802">
      <w:pPr>
        <w:pStyle w:val="Heading3"/>
        <w:rPr>
          <w:rFonts w:ascii="Times New Roman" w:hAnsi="Times New Roman" w:cs="Times New Roman"/>
        </w:rPr>
      </w:pPr>
      <w:bookmarkStart w:id="10" w:name="_Toc240031059"/>
      <w:r w:rsidRPr="00BB31AE">
        <w:rPr>
          <w:rFonts w:ascii="Times New Roman" w:hAnsi="Times New Roman" w:cs="Times New Roman"/>
        </w:rPr>
        <w:t>Regulation 9 Restriction of exposure</w:t>
      </w:r>
      <w:bookmarkEnd w:id="10"/>
    </w:p>
    <w:p w14:paraId="24411F0C" w14:textId="5783DDC5" w:rsidR="00FA6802" w:rsidRPr="00BB31AE" w:rsidRDefault="00FA6802" w:rsidP="00FA6802">
      <w:pPr>
        <w:rPr>
          <w:rFonts w:ascii="Times New Roman" w:hAnsi="Times New Roman" w:cs="Times New Roman"/>
        </w:rPr>
      </w:pPr>
    </w:p>
    <w:p w14:paraId="2F19EC9F" w14:textId="79DE2364" w:rsidR="00482C5D" w:rsidRPr="00BB31AE" w:rsidRDefault="00482C5D" w:rsidP="00482C5D">
      <w:pPr>
        <w:rPr>
          <w:rFonts w:ascii="Times New Roman" w:hAnsi="Times New Roman" w:cs="Times New Roman"/>
        </w:rPr>
      </w:pPr>
      <w:r w:rsidRPr="00BB31AE">
        <w:rPr>
          <w:rFonts w:ascii="Times New Roman" w:hAnsi="Times New Roman" w:cs="Times New Roman"/>
        </w:rPr>
        <w:t xml:space="preserve">Regulation 9 requires that exposure be kept As Low </w:t>
      </w:r>
      <w:proofErr w:type="gramStart"/>
      <w:r w:rsidRPr="00BB31AE">
        <w:rPr>
          <w:rFonts w:ascii="Times New Roman" w:hAnsi="Times New Roman" w:cs="Times New Roman"/>
        </w:rPr>
        <w:t>As</w:t>
      </w:r>
      <w:proofErr w:type="gramEnd"/>
      <w:r w:rsidRPr="00BB31AE">
        <w:rPr>
          <w:rFonts w:ascii="Times New Roman" w:hAnsi="Times New Roman" w:cs="Times New Roman"/>
        </w:rPr>
        <w:t xml:space="preserve"> Reasonably Practicable (ALARP). The normalized practice of operators "cycling the drawer" to clear faults, rather than reporting the equipment as unfit for use and requiring repair, demonstrates that the employer failed to limit exposure to ALARP and failed to communicate the potential consequences of radiation exposure clearly enough for operators to recognize the risk in their own workaround.</w:t>
      </w:r>
    </w:p>
    <w:p w14:paraId="6161AC58" w14:textId="77777777" w:rsidR="00FA6802" w:rsidRPr="00BB31AE" w:rsidRDefault="00FA6802" w:rsidP="00FA6802">
      <w:pPr>
        <w:rPr>
          <w:rFonts w:ascii="Times New Roman" w:hAnsi="Times New Roman" w:cs="Times New Roman"/>
        </w:rPr>
      </w:pPr>
    </w:p>
    <w:p w14:paraId="72C39D15" w14:textId="1536AC60" w:rsidR="00993133" w:rsidRPr="00BB31AE" w:rsidRDefault="00993133" w:rsidP="00993133">
      <w:pPr>
        <w:pStyle w:val="Heading3"/>
        <w:rPr>
          <w:rFonts w:ascii="Times New Roman" w:hAnsi="Times New Roman" w:cs="Times New Roman"/>
        </w:rPr>
      </w:pPr>
      <w:bookmarkStart w:id="11" w:name="_Toc240031060"/>
      <w:r w:rsidRPr="00BB31AE">
        <w:rPr>
          <w:rFonts w:ascii="Times New Roman" w:hAnsi="Times New Roman" w:cs="Times New Roman"/>
        </w:rPr>
        <w:t>Regulation 1</w:t>
      </w:r>
      <w:r w:rsidR="00402AFA" w:rsidRPr="00BB31AE">
        <w:rPr>
          <w:rFonts w:ascii="Times New Roman" w:hAnsi="Times New Roman" w:cs="Times New Roman"/>
        </w:rPr>
        <w:t xml:space="preserve">1 </w:t>
      </w:r>
      <w:r w:rsidRPr="00BB31AE">
        <w:rPr>
          <w:rFonts w:ascii="Times New Roman" w:hAnsi="Times New Roman" w:cs="Times New Roman"/>
        </w:rPr>
        <w:t>Maintenance and examination of engineering controls etc and personal protective equipment</w:t>
      </w:r>
      <w:bookmarkEnd w:id="11"/>
    </w:p>
    <w:p w14:paraId="063CE11D" w14:textId="77777777" w:rsidR="00993133" w:rsidRPr="00BB31AE" w:rsidRDefault="00993133" w:rsidP="00993133">
      <w:pPr>
        <w:rPr>
          <w:rFonts w:ascii="Times New Roman" w:hAnsi="Times New Roman" w:cs="Times New Roman"/>
        </w:rPr>
      </w:pPr>
    </w:p>
    <w:p w14:paraId="14970137" w14:textId="2BA4E570" w:rsidR="00C97EBF" w:rsidRPr="00BB31AE" w:rsidRDefault="00402AFA" w:rsidP="00C97EBF">
      <w:pPr>
        <w:rPr>
          <w:rFonts w:ascii="Times New Roman" w:hAnsi="Times New Roman" w:cs="Times New Roman"/>
        </w:rPr>
      </w:pPr>
      <w:r w:rsidRPr="00BB31AE">
        <w:rPr>
          <w:rFonts w:ascii="Times New Roman" w:hAnsi="Times New Roman" w:cs="Times New Roman"/>
        </w:rPr>
        <w:t xml:space="preserve">During the routine checks on the equipment degradation of the secondary shutter return spring had </w:t>
      </w:r>
      <w:r w:rsidR="00C97EBF" w:rsidRPr="00BB31AE">
        <w:rPr>
          <w:rFonts w:ascii="Times New Roman" w:hAnsi="Times New Roman" w:cs="Times New Roman"/>
        </w:rPr>
        <w:t>not</w:t>
      </w:r>
      <w:r w:rsidRPr="00BB31AE">
        <w:rPr>
          <w:rFonts w:ascii="Times New Roman" w:hAnsi="Times New Roman" w:cs="Times New Roman"/>
        </w:rPr>
        <w:t xml:space="preserve"> been identified this demonstrates that the current in place </w:t>
      </w:r>
      <w:r w:rsidR="00C97EBF" w:rsidRPr="00BB31AE">
        <w:rPr>
          <w:rFonts w:ascii="Times New Roman" w:hAnsi="Times New Roman" w:cs="Times New Roman"/>
        </w:rPr>
        <w:t xml:space="preserve">systematic </w:t>
      </w:r>
      <w:r w:rsidRPr="00BB31AE">
        <w:rPr>
          <w:rFonts w:ascii="Times New Roman" w:hAnsi="Times New Roman" w:cs="Times New Roman"/>
        </w:rPr>
        <w:t>inspection of the equipment was inadequate</w:t>
      </w:r>
      <w:r w:rsidR="00C97EBF" w:rsidRPr="00BB31AE">
        <w:rPr>
          <w:rFonts w:ascii="Times New Roman" w:hAnsi="Times New Roman" w:cs="Times New Roman"/>
        </w:rPr>
        <w:t xml:space="preserve"> thus demonstrating their failure to have appropriate maintenance schedule Aswell as systematic inspections.</w:t>
      </w:r>
    </w:p>
    <w:p w14:paraId="61323044" w14:textId="77777777" w:rsidR="00402AFA" w:rsidRPr="00BB31AE" w:rsidRDefault="00402AFA" w:rsidP="00402AFA">
      <w:pPr>
        <w:rPr>
          <w:rFonts w:ascii="Times New Roman" w:hAnsi="Times New Roman" w:cs="Times New Roman"/>
        </w:rPr>
      </w:pPr>
    </w:p>
    <w:p w14:paraId="46A2A997" w14:textId="28EBE875" w:rsidR="006A030B" w:rsidRPr="00BB31AE" w:rsidRDefault="006A030B" w:rsidP="006A030B">
      <w:pPr>
        <w:pStyle w:val="Heading3"/>
        <w:rPr>
          <w:rFonts w:ascii="Times New Roman" w:hAnsi="Times New Roman" w:cs="Times New Roman"/>
        </w:rPr>
      </w:pPr>
      <w:bookmarkStart w:id="12" w:name="_Toc240031061"/>
      <w:r w:rsidRPr="00BB31AE">
        <w:rPr>
          <w:rFonts w:ascii="Times New Roman" w:hAnsi="Times New Roman" w:cs="Times New Roman"/>
        </w:rPr>
        <w:lastRenderedPageBreak/>
        <w:t>Regulation 12 Do</w:t>
      </w:r>
      <w:r w:rsidR="00C97EBF" w:rsidRPr="00BB31AE">
        <w:rPr>
          <w:rFonts w:ascii="Times New Roman" w:hAnsi="Times New Roman" w:cs="Times New Roman"/>
        </w:rPr>
        <w:t>se</w:t>
      </w:r>
      <w:r w:rsidRPr="00BB31AE">
        <w:rPr>
          <w:rFonts w:ascii="Times New Roman" w:hAnsi="Times New Roman" w:cs="Times New Roman"/>
        </w:rPr>
        <w:t xml:space="preserve"> limitation</w:t>
      </w:r>
      <w:bookmarkEnd w:id="12"/>
      <w:r w:rsidRPr="00BB31AE">
        <w:rPr>
          <w:rFonts w:ascii="Times New Roman" w:hAnsi="Times New Roman" w:cs="Times New Roman"/>
        </w:rPr>
        <w:t xml:space="preserve"> </w:t>
      </w:r>
    </w:p>
    <w:p w14:paraId="0A9D2F16" w14:textId="4E44D5B6" w:rsidR="00BB31AE" w:rsidRPr="00BB31AE" w:rsidRDefault="00BB31AE" w:rsidP="006A030B">
      <w:pPr>
        <w:rPr>
          <w:rFonts w:ascii="Times New Roman" w:hAnsi="Times New Roman" w:cs="Times New Roman"/>
        </w:rPr>
      </w:pPr>
      <w:r w:rsidRPr="00BB31AE">
        <w:rPr>
          <w:rFonts w:ascii="Times New Roman" w:hAnsi="Times New Roman" w:cs="Times New Roman"/>
        </w:rPr>
        <w:t>The legal dose limit for an adult worker is 20 mSv per calendar year. However, a dose of up to 50 mSv may be permitted in a single year under authorised circumstances, provided the worker’s dose over the previous five years, including the current year, does not exceed 100 mSv. The report does not state that such authorisation applied to the operator. Furthermore, the operator received 63.5 mSv from a single event, exceeding the standard annual limit and is an illegal overexposure.</w:t>
      </w:r>
    </w:p>
    <w:p w14:paraId="407B2790" w14:textId="77777777" w:rsidR="00BB31AE" w:rsidRPr="00BB31AE" w:rsidRDefault="00BB31AE" w:rsidP="006A030B">
      <w:pPr>
        <w:rPr>
          <w:rFonts w:ascii="Times New Roman" w:hAnsi="Times New Roman" w:cs="Times New Roman"/>
          <w:highlight w:val="yellow"/>
        </w:rPr>
      </w:pPr>
    </w:p>
    <w:p w14:paraId="35A7DE65" w14:textId="77777777" w:rsidR="00BB31AE" w:rsidRPr="00BB31AE" w:rsidRDefault="00BB31AE" w:rsidP="006A030B">
      <w:pPr>
        <w:rPr>
          <w:rFonts w:ascii="Times New Roman" w:hAnsi="Times New Roman" w:cs="Times New Roman"/>
          <w:highlight w:val="yellow"/>
        </w:rPr>
      </w:pPr>
    </w:p>
    <w:p w14:paraId="0DCDE169" w14:textId="77777777" w:rsidR="00402AFA" w:rsidRPr="00BB31AE" w:rsidRDefault="00402AFA" w:rsidP="00402AFA">
      <w:pPr>
        <w:rPr>
          <w:rFonts w:ascii="Times New Roman" w:hAnsi="Times New Roman" w:cs="Times New Roman"/>
        </w:rPr>
      </w:pPr>
    </w:p>
    <w:p w14:paraId="435BA816" w14:textId="3150AB48" w:rsidR="006A030B" w:rsidRPr="00BB31AE" w:rsidRDefault="006A030B" w:rsidP="006A030B">
      <w:pPr>
        <w:pStyle w:val="Heading3"/>
        <w:rPr>
          <w:rFonts w:ascii="Times New Roman" w:hAnsi="Times New Roman" w:cs="Times New Roman"/>
        </w:rPr>
      </w:pPr>
      <w:bookmarkStart w:id="13" w:name="_Toc240031062"/>
      <w:r w:rsidRPr="00BB31AE">
        <w:rPr>
          <w:rFonts w:ascii="Times New Roman" w:hAnsi="Times New Roman" w:cs="Times New Roman"/>
        </w:rPr>
        <w:t>Regulation 1</w:t>
      </w:r>
      <w:r w:rsidR="008E63CC" w:rsidRPr="00BB31AE">
        <w:rPr>
          <w:rFonts w:ascii="Times New Roman" w:hAnsi="Times New Roman" w:cs="Times New Roman"/>
        </w:rPr>
        <w:t>4</w:t>
      </w:r>
      <w:r w:rsidRPr="00BB31AE">
        <w:rPr>
          <w:rFonts w:ascii="Times New Roman" w:hAnsi="Times New Roman" w:cs="Times New Roman"/>
        </w:rPr>
        <w:t xml:space="preserve"> </w:t>
      </w:r>
      <w:r w:rsidR="008E63CC" w:rsidRPr="00BB31AE">
        <w:rPr>
          <w:rFonts w:ascii="Times New Roman" w:hAnsi="Times New Roman" w:cs="Times New Roman"/>
        </w:rPr>
        <w:t>Radiation protection adviser (RPA)</w:t>
      </w:r>
      <w:bookmarkEnd w:id="13"/>
    </w:p>
    <w:p w14:paraId="409DC4BE" w14:textId="77777777" w:rsidR="009322FE" w:rsidRPr="00BB31AE" w:rsidRDefault="009322FE" w:rsidP="006A030B">
      <w:pPr>
        <w:rPr>
          <w:rFonts w:ascii="Times New Roman" w:hAnsi="Times New Roman" w:cs="Times New Roman"/>
        </w:rPr>
      </w:pPr>
    </w:p>
    <w:p w14:paraId="0808B4B0" w14:textId="77777777" w:rsidR="00BB31AE" w:rsidRPr="00BB31AE" w:rsidRDefault="00BB31AE" w:rsidP="00BB31AE">
      <w:pPr>
        <w:rPr>
          <w:rFonts w:ascii="Times New Roman" w:hAnsi="Times New Roman" w:cs="Times New Roman"/>
        </w:rPr>
      </w:pPr>
      <w:r w:rsidRPr="00BB31AE">
        <w:rPr>
          <w:rFonts w:ascii="Times New Roman" w:hAnsi="Times New Roman" w:cs="Times New Roman"/>
        </w:rPr>
        <w:t>Based on the report, the employer demonstrates partial compliance with Regulation 14. The existence of Local Rules requiring the use of an EPD indicates that an RPA was consulted regarding appropriate radiation monitoring instrumentation.</w:t>
      </w:r>
    </w:p>
    <w:p w14:paraId="4E9CB3CA" w14:textId="77777777" w:rsidR="00BB31AE" w:rsidRPr="00BB31AE" w:rsidRDefault="00BB31AE" w:rsidP="00BB31AE">
      <w:pPr>
        <w:rPr>
          <w:rFonts w:ascii="Times New Roman" w:hAnsi="Times New Roman" w:cs="Times New Roman"/>
        </w:rPr>
      </w:pPr>
      <w:r w:rsidRPr="00BB31AE">
        <w:rPr>
          <w:rFonts w:ascii="Times New Roman" w:hAnsi="Times New Roman" w:cs="Times New Roman"/>
        </w:rPr>
        <w:t xml:space="preserve">However, the lack of preventative controls suggests that full compliance may not have been achieved. The RPA should also advise on arrangements for preventing accidents and incidents. It was reasonably foreseeable that an operator could forget their EPD, as occurred during the incident. Additional safety barriers should therefore have been considered using EKP.3 Defence in Depth, rather than relying solely on operator behaviour. </w:t>
      </w:r>
    </w:p>
    <w:p w14:paraId="4F41184A" w14:textId="30D74C73" w:rsidR="0054257E" w:rsidRPr="00BB31AE" w:rsidRDefault="00BB31AE" w:rsidP="00BB31AE">
      <w:pPr>
        <w:rPr>
          <w:rFonts w:ascii="Times New Roman" w:hAnsi="Times New Roman" w:cs="Times New Roman"/>
        </w:rPr>
      </w:pPr>
      <w:r w:rsidRPr="00BB31AE">
        <w:rPr>
          <w:rFonts w:ascii="Times New Roman" w:hAnsi="Times New Roman" w:cs="Times New Roman"/>
        </w:rPr>
        <w:t>One improvement could be an engineered interlock requiring the operator's EPD to be present before the irradiator can operate. An RFID or similar identification system could achieve this. However, the radiation tolerance of the electronic components would need to be assessed to ensure reliable operation. This would provide an additional layer of protection and reduce reliance on operator memory.</w:t>
      </w:r>
    </w:p>
    <w:p w14:paraId="634FF8B2" w14:textId="77777777" w:rsidR="001C6B96" w:rsidRPr="00BB31AE" w:rsidRDefault="001C6B96" w:rsidP="0054257E">
      <w:pPr>
        <w:pStyle w:val="Heading3"/>
        <w:rPr>
          <w:rFonts w:ascii="Times New Roman" w:hAnsi="Times New Roman" w:cs="Times New Roman"/>
        </w:rPr>
      </w:pPr>
      <w:bookmarkStart w:id="14" w:name="_Toc240031063"/>
      <w:r w:rsidRPr="00BB31AE">
        <w:rPr>
          <w:rFonts w:ascii="Times New Roman" w:hAnsi="Times New Roman" w:cs="Times New Roman"/>
        </w:rPr>
        <w:t>Regulation 18: Local Rules and Radiation Protection Supervisors (RPS)</w:t>
      </w:r>
      <w:bookmarkEnd w:id="14"/>
    </w:p>
    <w:p w14:paraId="1DEA45D5" w14:textId="77777777" w:rsidR="00BB31AE" w:rsidRPr="00BB31AE" w:rsidRDefault="00BB31AE" w:rsidP="00720A7F">
      <w:pPr>
        <w:rPr>
          <w:rFonts w:ascii="Times New Roman" w:hAnsi="Times New Roman" w:cs="Times New Roman"/>
        </w:rPr>
      </w:pPr>
    </w:p>
    <w:p w14:paraId="2797CD3E" w14:textId="41C7829B" w:rsidR="00720A7F" w:rsidRPr="00BB31AE" w:rsidRDefault="00720A7F" w:rsidP="00720A7F">
      <w:pPr>
        <w:rPr>
          <w:rFonts w:ascii="Times New Roman" w:hAnsi="Times New Roman" w:cs="Times New Roman"/>
        </w:rPr>
      </w:pPr>
      <w:r w:rsidRPr="00BB31AE">
        <w:rPr>
          <w:rFonts w:ascii="Times New Roman" w:hAnsi="Times New Roman" w:cs="Times New Roman"/>
        </w:rPr>
        <w:t>Following on from Regulation 14, Regulation 18 mandates the establishment of written Local Rules and the appointment of an RPS to ensure adherence to them. The incident reveals significant failures in two respects:</w:t>
      </w:r>
    </w:p>
    <w:p w14:paraId="05A986AA" w14:textId="77777777" w:rsidR="00720A7F" w:rsidRPr="00BB31AE" w:rsidRDefault="00720A7F" w:rsidP="00720A7F">
      <w:pPr>
        <w:numPr>
          <w:ilvl w:val="0"/>
          <w:numId w:val="18"/>
        </w:numPr>
        <w:rPr>
          <w:rFonts w:ascii="Times New Roman" w:hAnsi="Times New Roman" w:cs="Times New Roman"/>
        </w:rPr>
      </w:pPr>
      <w:r w:rsidRPr="00BB31AE">
        <w:rPr>
          <w:rFonts w:ascii="Times New Roman" w:hAnsi="Times New Roman" w:cs="Times New Roman"/>
        </w:rPr>
        <w:t>The operator did not comply with the Local Rules, initially approaching the irradiator and opening the drawer without wearing the required EPD.</w:t>
      </w:r>
    </w:p>
    <w:p w14:paraId="539FD1A4" w14:textId="77777777" w:rsidR="00720A7F" w:rsidRPr="00BB31AE" w:rsidRDefault="00720A7F" w:rsidP="00720A7F">
      <w:pPr>
        <w:numPr>
          <w:ilvl w:val="0"/>
          <w:numId w:val="18"/>
        </w:numPr>
        <w:rPr>
          <w:rFonts w:ascii="Times New Roman" w:hAnsi="Times New Roman" w:cs="Times New Roman"/>
        </w:rPr>
      </w:pPr>
      <w:r w:rsidRPr="00BB31AE">
        <w:rPr>
          <w:rFonts w:ascii="Times New Roman" w:hAnsi="Times New Roman" w:cs="Times New Roman"/>
        </w:rPr>
        <w:t>The RPS failed to effectively supervise the controlled area. As a result, the preceding weeks had a dangerous, non-approved workaround, manually cycling the drawer to clear faults was readily accepted and normalised. The RPS's failure to intervene and halt activity until the equipment was properly maintained shows a severe breakdown in safety management and a failure of the safety culture in the workplace.</w:t>
      </w:r>
    </w:p>
    <w:p w14:paraId="7E8AAAD8" w14:textId="586D87B1" w:rsidR="006A030B" w:rsidRPr="00BB31AE" w:rsidRDefault="006A030B" w:rsidP="006A030B">
      <w:pPr>
        <w:rPr>
          <w:rFonts w:ascii="Times New Roman" w:hAnsi="Times New Roman" w:cs="Times New Roman"/>
        </w:rPr>
      </w:pPr>
    </w:p>
    <w:p w14:paraId="143C4E5D" w14:textId="77777777" w:rsidR="0084621B" w:rsidRPr="00BB31AE" w:rsidRDefault="0084621B" w:rsidP="006A030B">
      <w:pPr>
        <w:rPr>
          <w:rFonts w:ascii="Times New Roman" w:hAnsi="Times New Roman" w:cs="Times New Roman"/>
        </w:rPr>
      </w:pPr>
    </w:p>
    <w:p w14:paraId="2D48DCCB" w14:textId="77777777" w:rsidR="006A030B" w:rsidRPr="00BB31AE" w:rsidRDefault="006A030B" w:rsidP="006A030B">
      <w:pPr>
        <w:rPr>
          <w:rFonts w:ascii="Times New Roman" w:hAnsi="Times New Roman" w:cs="Times New Roman"/>
        </w:rPr>
      </w:pPr>
    </w:p>
    <w:p w14:paraId="2E4C1B8D" w14:textId="72B59948" w:rsidR="006A030B" w:rsidRDefault="006A030B" w:rsidP="006A030B">
      <w:pPr>
        <w:pStyle w:val="Heading3"/>
        <w:rPr>
          <w:rFonts w:ascii="Times New Roman" w:hAnsi="Times New Roman" w:cs="Times New Roman"/>
        </w:rPr>
      </w:pPr>
      <w:bookmarkStart w:id="15" w:name="_Toc240031064"/>
      <w:r w:rsidRPr="00BB31AE">
        <w:rPr>
          <w:rFonts w:ascii="Times New Roman" w:hAnsi="Times New Roman" w:cs="Times New Roman"/>
        </w:rPr>
        <w:t>Regulation</w:t>
      </w:r>
      <w:r w:rsidR="0054257E" w:rsidRPr="00BB31AE">
        <w:rPr>
          <w:rFonts w:ascii="Times New Roman" w:hAnsi="Times New Roman" w:cs="Times New Roman"/>
        </w:rPr>
        <w:t xml:space="preserve"> </w:t>
      </w:r>
      <w:r w:rsidR="006728CB" w:rsidRPr="00BB31AE">
        <w:rPr>
          <w:rFonts w:ascii="Times New Roman" w:hAnsi="Times New Roman" w:cs="Times New Roman"/>
        </w:rPr>
        <w:t xml:space="preserve">24 Dosimetry for accidents etc </w:t>
      </w:r>
      <w:r w:rsidR="00BB31AE">
        <w:rPr>
          <w:rFonts w:ascii="Times New Roman" w:hAnsi="Times New Roman" w:cs="Times New Roman"/>
        </w:rPr>
        <w:t xml:space="preserve">&amp; </w:t>
      </w:r>
      <w:r w:rsidR="00CD1DD4" w:rsidRPr="00BB31AE">
        <w:rPr>
          <w:rFonts w:ascii="Times New Roman" w:hAnsi="Times New Roman" w:cs="Times New Roman"/>
        </w:rPr>
        <w:t>26</w:t>
      </w:r>
      <w:r w:rsidRPr="00BB31AE">
        <w:rPr>
          <w:rFonts w:ascii="Times New Roman" w:hAnsi="Times New Roman" w:cs="Times New Roman"/>
        </w:rPr>
        <w:t xml:space="preserve"> </w:t>
      </w:r>
      <w:r w:rsidR="00D027BD" w:rsidRPr="00BB31AE">
        <w:rPr>
          <w:rFonts w:ascii="Times New Roman" w:hAnsi="Times New Roman" w:cs="Times New Roman"/>
        </w:rPr>
        <w:t>Investigation and notification of overexposure</w:t>
      </w:r>
      <w:bookmarkEnd w:id="15"/>
    </w:p>
    <w:p w14:paraId="70A84150" w14:textId="77777777" w:rsidR="00BB31AE" w:rsidRPr="00BB31AE" w:rsidRDefault="00BB31AE" w:rsidP="00BB31AE"/>
    <w:p w14:paraId="785EE66E" w14:textId="67BD912A" w:rsidR="006728CB" w:rsidRPr="00BB31AE" w:rsidRDefault="006728CB" w:rsidP="00FA6802">
      <w:pPr>
        <w:rPr>
          <w:rFonts w:ascii="Times New Roman" w:hAnsi="Times New Roman" w:cs="Times New Roman"/>
        </w:rPr>
      </w:pPr>
      <w:r w:rsidRPr="00BB31AE">
        <w:rPr>
          <w:rFonts w:ascii="Times New Roman" w:hAnsi="Times New Roman" w:cs="Times New Roman"/>
        </w:rPr>
        <w:t xml:space="preserve">Starting with regulation 26 </w:t>
      </w:r>
      <w:r w:rsidR="00CD1DD4" w:rsidRPr="00BB31AE">
        <w:rPr>
          <w:rFonts w:ascii="Times New Roman" w:hAnsi="Times New Roman" w:cs="Times New Roman"/>
        </w:rPr>
        <w:t xml:space="preserve">As </w:t>
      </w:r>
      <w:r w:rsidR="0054257E" w:rsidRPr="00BB31AE">
        <w:rPr>
          <w:rFonts w:ascii="Times New Roman" w:hAnsi="Times New Roman" w:cs="Times New Roman"/>
        </w:rPr>
        <w:t xml:space="preserve">the </w:t>
      </w:r>
      <w:r w:rsidRPr="00BB31AE">
        <w:rPr>
          <w:rFonts w:ascii="Times New Roman" w:hAnsi="Times New Roman" w:cs="Times New Roman"/>
        </w:rPr>
        <w:t xml:space="preserve">effective </w:t>
      </w:r>
      <w:r w:rsidR="0054257E" w:rsidRPr="00BB31AE">
        <w:rPr>
          <w:rFonts w:ascii="Times New Roman" w:hAnsi="Times New Roman" w:cs="Times New Roman"/>
        </w:rPr>
        <w:t>dose exceeded 20 mSv the Approved Dosimetry Service</w:t>
      </w:r>
      <w:r w:rsidR="00CD1DD4" w:rsidRPr="00BB31AE">
        <w:rPr>
          <w:rFonts w:ascii="Times New Roman" w:hAnsi="Times New Roman" w:cs="Times New Roman"/>
        </w:rPr>
        <w:t xml:space="preserve"> and the employer</w:t>
      </w:r>
      <w:r w:rsidR="0054257E" w:rsidRPr="00BB31AE">
        <w:rPr>
          <w:rFonts w:ascii="Times New Roman" w:hAnsi="Times New Roman" w:cs="Times New Roman"/>
        </w:rPr>
        <w:t xml:space="preserve"> </w:t>
      </w:r>
      <w:r w:rsidR="003755CF" w:rsidRPr="00BB31AE">
        <w:rPr>
          <w:rFonts w:ascii="Times New Roman" w:hAnsi="Times New Roman" w:cs="Times New Roman"/>
        </w:rPr>
        <w:t>might have</w:t>
      </w:r>
      <w:r w:rsidR="0054257E" w:rsidRPr="00BB31AE">
        <w:rPr>
          <w:rFonts w:ascii="Times New Roman" w:hAnsi="Times New Roman" w:cs="Times New Roman"/>
        </w:rPr>
        <w:t xml:space="preserve"> executed their obligation </w:t>
      </w:r>
      <w:r w:rsidR="00CD1DD4" w:rsidRPr="00BB31AE">
        <w:rPr>
          <w:rFonts w:ascii="Times New Roman" w:hAnsi="Times New Roman" w:cs="Times New Roman"/>
        </w:rPr>
        <w:t>as the report states that’s that they</w:t>
      </w:r>
      <w:r w:rsidR="0054257E" w:rsidRPr="00BB31AE">
        <w:rPr>
          <w:rFonts w:ascii="Times New Roman" w:hAnsi="Times New Roman" w:cs="Times New Roman"/>
        </w:rPr>
        <w:t xml:space="preserve"> </w:t>
      </w:r>
      <w:r w:rsidR="00CD1DD4" w:rsidRPr="00BB31AE">
        <w:rPr>
          <w:rFonts w:ascii="Times New Roman" w:hAnsi="Times New Roman" w:cs="Times New Roman"/>
        </w:rPr>
        <w:t>notified</w:t>
      </w:r>
      <w:r w:rsidR="0054257E" w:rsidRPr="00BB31AE">
        <w:rPr>
          <w:rFonts w:ascii="Times New Roman" w:hAnsi="Times New Roman" w:cs="Times New Roman"/>
        </w:rPr>
        <w:t xml:space="preserve"> the Health and Safety Executive (HSE)</w:t>
      </w:r>
      <w:r w:rsidR="00CD1DD4" w:rsidRPr="00BB31AE">
        <w:rPr>
          <w:rFonts w:ascii="Times New Roman" w:hAnsi="Times New Roman" w:cs="Times New Roman"/>
        </w:rPr>
        <w:t xml:space="preserve"> however within regulation 26 </w:t>
      </w:r>
      <w:r w:rsidRPr="00BB31AE">
        <w:rPr>
          <w:rFonts w:ascii="Times New Roman" w:hAnsi="Times New Roman" w:cs="Times New Roman"/>
        </w:rPr>
        <w:t xml:space="preserve">it states that “as soon as practicable notify the suspected overexposure to; the appropriate authority” the regulation also defines who the appropriate authority is this being “in relation to overexposure as a result of work carried out on nuclear premises, the ONR” it specifically sates it’s the Executive otherwise </w:t>
      </w:r>
      <w:r w:rsidR="003755CF" w:rsidRPr="00BB31AE">
        <w:rPr>
          <w:rFonts w:ascii="Times New Roman" w:hAnsi="Times New Roman" w:cs="Times New Roman"/>
        </w:rPr>
        <w:t xml:space="preserve">as the location of the site is a university it is possible for a part of the campus to be </w:t>
      </w:r>
      <w:r w:rsidR="00A536B7" w:rsidRPr="00BB31AE">
        <w:rPr>
          <w:rFonts w:ascii="Times New Roman" w:hAnsi="Times New Roman" w:cs="Times New Roman"/>
        </w:rPr>
        <w:t xml:space="preserve">a </w:t>
      </w:r>
      <w:r w:rsidR="003755CF" w:rsidRPr="00BB31AE">
        <w:rPr>
          <w:rFonts w:ascii="Times New Roman" w:hAnsi="Times New Roman" w:cs="Times New Roman"/>
        </w:rPr>
        <w:t>licensed nuclear site like how the imperial collage London was [</w:t>
      </w:r>
      <w:hyperlink r:id="rId14" w:history="1">
        <w:r w:rsidR="000310D6">
          <w:rPr>
            <w:rStyle w:val="Hyperlink"/>
            <w:rFonts w:ascii="Times New Roman" w:hAnsi="Times New Roman" w:cs="Times New Roman"/>
          </w:rPr>
          <w:t>13</w:t>
        </w:r>
      </w:hyperlink>
      <w:r w:rsidR="003755CF" w:rsidRPr="00BB31AE">
        <w:rPr>
          <w:rFonts w:ascii="Times New Roman" w:hAnsi="Times New Roman" w:cs="Times New Roman"/>
        </w:rPr>
        <w:t xml:space="preserve">] however </w:t>
      </w:r>
      <w:r w:rsidR="00D027BD" w:rsidRPr="00BB31AE">
        <w:rPr>
          <w:rFonts w:ascii="Times New Roman" w:hAnsi="Times New Roman" w:cs="Times New Roman"/>
        </w:rPr>
        <w:t xml:space="preserve">as there are currently no University’s with a nuclear site licence it is likely that they fulfilled their obligation by notifying their appropriate authority and would be assumed that they would </w:t>
      </w:r>
      <w:r w:rsidR="00A536B7" w:rsidRPr="00BB31AE">
        <w:rPr>
          <w:rFonts w:ascii="Times New Roman" w:hAnsi="Times New Roman" w:cs="Times New Roman"/>
        </w:rPr>
        <w:t xml:space="preserve">further comply with their </w:t>
      </w:r>
      <w:r w:rsidR="00D027BD" w:rsidRPr="00BB31AE">
        <w:rPr>
          <w:rFonts w:ascii="Times New Roman" w:hAnsi="Times New Roman" w:cs="Times New Roman"/>
        </w:rPr>
        <w:t>regulatory obligation to further notify the appropriate authority of the result of the dose assessment as soon as possible, as they had already started that process</w:t>
      </w:r>
      <w:r w:rsidR="00F80376" w:rsidRPr="00BB31AE">
        <w:rPr>
          <w:rFonts w:ascii="Times New Roman" w:hAnsi="Times New Roman" w:cs="Times New Roman"/>
        </w:rPr>
        <w:t xml:space="preserve"> appropriately</w:t>
      </w:r>
      <w:r w:rsidR="00D027BD" w:rsidRPr="00BB31AE">
        <w:rPr>
          <w:rFonts w:ascii="Times New Roman" w:hAnsi="Times New Roman" w:cs="Times New Roman"/>
        </w:rPr>
        <w:t>.</w:t>
      </w:r>
    </w:p>
    <w:p w14:paraId="05B412E5" w14:textId="77777777" w:rsidR="00FA6802" w:rsidRPr="00BB31AE" w:rsidRDefault="00FA6802" w:rsidP="00FA6802">
      <w:pPr>
        <w:rPr>
          <w:rFonts w:ascii="Times New Roman" w:hAnsi="Times New Roman" w:cs="Times New Roman"/>
        </w:rPr>
      </w:pPr>
    </w:p>
    <w:p w14:paraId="08873749" w14:textId="77777777" w:rsidR="005541C8" w:rsidRPr="00BB31AE" w:rsidRDefault="005541C8" w:rsidP="00660B00">
      <w:pPr>
        <w:spacing w:line="256" w:lineRule="auto"/>
        <w:rPr>
          <w:rStyle w:val="normaltextrun"/>
          <w:rFonts w:ascii="Times New Roman" w:hAnsi="Times New Roman" w:cs="Times New Roman"/>
          <w:color w:val="196B24"/>
          <w:shd w:val="clear" w:color="auto" w:fill="FFFFFF"/>
        </w:rPr>
      </w:pPr>
    </w:p>
    <w:p w14:paraId="1BA7A19C" w14:textId="11FB806E" w:rsidR="005541C8" w:rsidRPr="00BB31AE" w:rsidRDefault="00662D26" w:rsidP="00662D26">
      <w:pPr>
        <w:pStyle w:val="Heading2"/>
        <w:rPr>
          <w:rFonts w:ascii="Times New Roman" w:eastAsia="Aptos" w:hAnsi="Times New Roman" w:cs="Times New Roman"/>
        </w:rPr>
      </w:pPr>
      <w:bookmarkStart w:id="16" w:name="_Toc240031065"/>
      <w:r w:rsidRPr="00BB31AE">
        <w:rPr>
          <w:rFonts w:ascii="Times New Roman" w:eastAsia="Aptos" w:hAnsi="Times New Roman" w:cs="Times New Roman"/>
        </w:rPr>
        <w:t>ONR safety assessment principles (SAPs)</w:t>
      </w:r>
      <w:bookmarkEnd w:id="16"/>
    </w:p>
    <w:p w14:paraId="24D828D1" w14:textId="77777777" w:rsidR="00662D26" w:rsidRPr="00BB31AE" w:rsidRDefault="00662D26" w:rsidP="00660B00">
      <w:pPr>
        <w:rPr>
          <w:rStyle w:val="eop"/>
          <w:rFonts w:ascii="Times New Roman" w:hAnsi="Times New Roman" w:cs="Times New Roman"/>
          <w:color w:val="196B24"/>
          <w:bdr w:val="none" w:sz="0" w:space="0" w:color="auto" w:frame="1"/>
          <w:shd w:val="clear" w:color="auto" w:fill="606060"/>
        </w:rPr>
      </w:pPr>
    </w:p>
    <w:p w14:paraId="30F87842" w14:textId="4C03BD1D" w:rsidR="00660B00" w:rsidRPr="00BB31AE" w:rsidRDefault="00662D26" w:rsidP="00662D26">
      <w:pPr>
        <w:pStyle w:val="Heading3"/>
        <w:rPr>
          <w:rFonts w:ascii="Times New Roman" w:hAnsi="Times New Roman" w:cs="Times New Roman"/>
        </w:rPr>
      </w:pPr>
      <w:bookmarkStart w:id="17" w:name="_Toc240031066"/>
      <w:r w:rsidRPr="00BB31AE">
        <w:rPr>
          <w:rFonts w:ascii="Times New Roman" w:hAnsi="Times New Roman" w:cs="Times New Roman"/>
        </w:rPr>
        <w:t>EKP.3 Defence in depth</w:t>
      </w:r>
      <w:bookmarkEnd w:id="17"/>
      <w:r w:rsidR="002E4A27" w:rsidRPr="00BB31AE">
        <w:rPr>
          <w:rFonts w:ascii="Times New Roman" w:hAnsi="Times New Roman" w:cs="Times New Roman"/>
        </w:rPr>
        <w:t xml:space="preserve"> </w:t>
      </w:r>
    </w:p>
    <w:p w14:paraId="2B670D76" w14:textId="77777777" w:rsidR="002E4A27" w:rsidRPr="00BB31AE" w:rsidRDefault="002E4A27" w:rsidP="002E4A27">
      <w:pPr>
        <w:rPr>
          <w:rFonts w:ascii="Times New Roman" w:hAnsi="Times New Roman" w:cs="Times New Roman"/>
        </w:rPr>
      </w:pPr>
    </w:p>
    <w:p w14:paraId="5562576C" w14:textId="3F1D5DB4" w:rsidR="002E4A27" w:rsidRPr="00BB31AE" w:rsidRDefault="002E4A27" w:rsidP="002E4A27">
      <w:pPr>
        <w:rPr>
          <w:rFonts w:ascii="Times New Roman" w:hAnsi="Times New Roman" w:cs="Times New Roman"/>
        </w:rPr>
      </w:pPr>
      <w:r w:rsidRPr="00BB31AE">
        <w:rPr>
          <w:rFonts w:ascii="Times New Roman" w:hAnsi="Times New Roman" w:cs="Times New Roman"/>
        </w:rPr>
        <w:t xml:space="preserve">ONR's defence-in-depth approach expects several levels of protection so that a single fault does not directly result in a significant consequence </w:t>
      </w:r>
      <w:proofErr w:type="gramStart"/>
      <w:r w:rsidRPr="00BB31AE">
        <w:rPr>
          <w:rFonts w:ascii="Times New Roman" w:hAnsi="Times New Roman" w:cs="Times New Roman"/>
        </w:rPr>
        <w:t>similar to</w:t>
      </w:r>
      <w:proofErr w:type="gramEnd"/>
      <w:r w:rsidRPr="00BB31AE">
        <w:rPr>
          <w:rFonts w:ascii="Times New Roman" w:hAnsi="Times New Roman" w:cs="Times New Roman"/>
        </w:rPr>
        <w:t xml:space="preserve"> the Swiss cheese model </w:t>
      </w:r>
      <w:r w:rsidR="000310D6" w:rsidRPr="00BB31AE">
        <w:rPr>
          <w:rFonts w:ascii="Times New Roman" w:hAnsi="Times New Roman" w:cs="Times New Roman"/>
        </w:rPr>
        <w:t>[</w:t>
      </w:r>
      <w:hyperlink r:id="rId15" w:history="1">
        <w:r w:rsidR="000310D6">
          <w:rPr>
            <w:rStyle w:val="Hyperlink"/>
            <w:rFonts w:ascii="Times New Roman" w:hAnsi="Times New Roman" w:cs="Times New Roman"/>
          </w:rPr>
          <w:t>14</w:t>
        </w:r>
      </w:hyperlink>
      <w:r w:rsidR="000310D6" w:rsidRPr="00BB31AE">
        <w:rPr>
          <w:rFonts w:ascii="Times New Roman" w:hAnsi="Times New Roman" w:cs="Times New Roman"/>
        </w:rPr>
        <w:t xml:space="preserve">] </w:t>
      </w:r>
      <w:r w:rsidRPr="00BB31AE">
        <w:rPr>
          <w:rFonts w:ascii="Times New Roman" w:hAnsi="Times New Roman" w:cs="Times New Roman"/>
        </w:rPr>
        <w:t>[</w:t>
      </w:r>
      <w:hyperlink r:id="rId16" w:history="1">
        <w:r w:rsidR="000310D6">
          <w:rPr>
            <w:rStyle w:val="Hyperlink"/>
            <w:rFonts w:ascii="Times New Roman" w:hAnsi="Times New Roman" w:cs="Times New Roman"/>
          </w:rPr>
          <w:t>15</w:t>
        </w:r>
      </w:hyperlink>
      <w:r w:rsidR="00A536B7" w:rsidRPr="00BB31AE">
        <w:rPr>
          <w:rFonts w:ascii="Times New Roman" w:hAnsi="Times New Roman" w:cs="Times New Roman"/>
        </w:rPr>
        <w:t>]</w:t>
      </w:r>
    </w:p>
    <w:p w14:paraId="64422E11" w14:textId="2B06B253" w:rsidR="00471630" w:rsidRPr="00BB31AE" w:rsidRDefault="005E045F" w:rsidP="00471630">
      <w:pPr>
        <w:rPr>
          <w:rFonts w:ascii="Times New Roman" w:hAnsi="Times New Roman" w:cs="Times New Roman"/>
        </w:rPr>
      </w:pPr>
      <w:r w:rsidRPr="00BB31AE">
        <w:rPr>
          <w:rFonts w:ascii="Times New Roman" w:hAnsi="Times New Roman" w:cs="Times New Roman"/>
        </w:rPr>
        <w:t>It could be seen that</w:t>
      </w:r>
      <w:r w:rsidR="00471630" w:rsidRPr="00BB31AE">
        <w:rPr>
          <w:rFonts w:ascii="Times New Roman" w:hAnsi="Times New Roman" w:cs="Times New Roman"/>
        </w:rPr>
        <w:t xml:space="preserve"> irradiator initially appears to possess defence in depth through having:</w:t>
      </w:r>
    </w:p>
    <w:p w14:paraId="59EE2E39" w14:textId="77777777" w:rsidR="00471630" w:rsidRPr="00BB31AE" w:rsidRDefault="00471630" w:rsidP="00471630">
      <w:pPr>
        <w:rPr>
          <w:rFonts w:ascii="Times New Roman" w:hAnsi="Times New Roman" w:cs="Times New Roman"/>
        </w:rPr>
      </w:pPr>
    </w:p>
    <w:p w14:paraId="217017B3" w14:textId="1F7EC29B" w:rsidR="00471630" w:rsidRPr="00BB31AE" w:rsidRDefault="005E045F" w:rsidP="00471630">
      <w:pPr>
        <w:pStyle w:val="ListParagraph"/>
        <w:numPr>
          <w:ilvl w:val="0"/>
          <w:numId w:val="12"/>
        </w:numPr>
        <w:rPr>
          <w:rFonts w:ascii="Times New Roman" w:hAnsi="Times New Roman" w:cs="Times New Roman"/>
        </w:rPr>
      </w:pPr>
      <w:r w:rsidRPr="00BB31AE">
        <w:rPr>
          <w:rFonts w:ascii="Times New Roman" w:hAnsi="Times New Roman" w:cs="Times New Roman"/>
        </w:rPr>
        <w:t>T</w:t>
      </w:r>
      <w:r w:rsidR="00471630" w:rsidRPr="00BB31AE">
        <w:rPr>
          <w:rFonts w:ascii="Times New Roman" w:hAnsi="Times New Roman" w:cs="Times New Roman"/>
        </w:rPr>
        <w:t>he shielded irradiator body</w:t>
      </w:r>
    </w:p>
    <w:p w14:paraId="644A0372" w14:textId="7C4CB265" w:rsidR="00471630" w:rsidRPr="00BB31AE" w:rsidRDefault="005E045F" w:rsidP="00471630">
      <w:pPr>
        <w:pStyle w:val="ListParagraph"/>
        <w:numPr>
          <w:ilvl w:val="0"/>
          <w:numId w:val="12"/>
        </w:numPr>
        <w:rPr>
          <w:rFonts w:ascii="Times New Roman" w:hAnsi="Times New Roman" w:cs="Times New Roman"/>
        </w:rPr>
      </w:pPr>
      <w:r w:rsidRPr="00BB31AE">
        <w:rPr>
          <w:rFonts w:ascii="Times New Roman" w:hAnsi="Times New Roman" w:cs="Times New Roman"/>
        </w:rPr>
        <w:t>T</w:t>
      </w:r>
      <w:r w:rsidR="00471630" w:rsidRPr="00BB31AE">
        <w:rPr>
          <w:rFonts w:ascii="Times New Roman" w:hAnsi="Times New Roman" w:cs="Times New Roman"/>
        </w:rPr>
        <w:t>he rotor indexing system</w:t>
      </w:r>
    </w:p>
    <w:p w14:paraId="067308F4" w14:textId="050ADCCB" w:rsidR="00471630" w:rsidRPr="00BB31AE" w:rsidRDefault="005E045F" w:rsidP="00471630">
      <w:pPr>
        <w:pStyle w:val="ListParagraph"/>
        <w:numPr>
          <w:ilvl w:val="0"/>
          <w:numId w:val="12"/>
        </w:numPr>
        <w:rPr>
          <w:rFonts w:ascii="Times New Roman" w:hAnsi="Times New Roman" w:cs="Times New Roman"/>
        </w:rPr>
      </w:pPr>
      <w:r w:rsidRPr="00BB31AE">
        <w:rPr>
          <w:rFonts w:ascii="Times New Roman" w:hAnsi="Times New Roman" w:cs="Times New Roman"/>
        </w:rPr>
        <w:t>T</w:t>
      </w:r>
      <w:r w:rsidR="00471630" w:rsidRPr="00BB31AE">
        <w:rPr>
          <w:rFonts w:ascii="Times New Roman" w:hAnsi="Times New Roman" w:cs="Times New Roman"/>
        </w:rPr>
        <w:t xml:space="preserve">he </w:t>
      </w:r>
      <w:r w:rsidRPr="00BB31AE">
        <w:rPr>
          <w:rFonts w:ascii="Times New Roman" w:hAnsi="Times New Roman" w:cs="Times New Roman"/>
        </w:rPr>
        <w:t>pneumatically actuated sample drawer</w:t>
      </w:r>
    </w:p>
    <w:p w14:paraId="062B38A2" w14:textId="27B637B3" w:rsidR="00471630" w:rsidRPr="00BB31AE" w:rsidRDefault="005E045F" w:rsidP="00471630">
      <w:pPr>
        <w:pStyle w:val="ListParagraph"/>
        <w:numPr>
          <w:ilvl w:val="0"/>
          <w:numId w:val="12"/>
        </w:numPr>
        <w:rPr>
          <w:rFonts w:ascii="Times New Roman" w:hAnsi="Times New Roman" w:cs="Times New Roman"/>
        </w:rPr>
      </w:pPr>
      <w:r w:rsidRPr="00BB31AE">
        <w:rPr>
          <w:rFonts w:ascii="Times New Roman" w:hAnsi="Times New Roman" w:cs="Times New Roman"/>
        </w:rPr>
        <w:t>T</w:t>
      </w:r>
      <w:r w:rsidR="00471630" w:rsidRPr="00BB31AE">
        <w:rPr>
          <w:rFonts w:ascii="Times New Roman" w:hAnsi="Times New Roman" w:cs="Times New Roman"/>
        </w:rPr>
        <w:t>he secondary tungsten shutter</w:t>
      </w:r>
    </w:p>
    <w:p w14:paraId="432856F9" w14:textId="29455246" w:rsidR="00471630" w:rsidRPr="00BB31AE" w:rsidRDefault="005E045F" w:rsidP="00471630">
      <w:pPr>
        <w:pStyle w:val="ListParagraph"/>
        <w:numPr>
          <w:ilvl w:val="0"/>
          <w:numId w:val="12"/>
        </w:numPr>
        <w:rPr>
          <w:rFonts w:ascii="Times New Roman" w:hAnsi="Times New Roman" w:cs="Times New Roman"/>
        </w:rPr>
      </w:pPr>
      <w:r w:rsidRPr="00BB31AE">
        <w:rPr>
          <w:rFonts w:ascii="Times New Roman" w:hAnsi="Times New Roman" w:cs="Times New Roman"/>
        </w:rPr>
        <w:t>R</w:t>
      </w:r>
      <w:r w:rsidR="00471630" w:rsidRPr="00BB31AE">
        <w:rPr>
          <w:rFonts w:ascii="Times New Roman" w:hAnsi="Times New Roman" w:cs="Times New Roman"/>
        </w:rPr>
        <w:t xml:space="preserve">adiation monitoring </w:t>
      </w:r>
      <w:r w:rsidRPr="00BB31AE">
        <w:rPr>
          <w:rFonts w:ascii="Times New Roman" w:hAnsi="Times New Roman" w:cs="Times New Roman"/>
        </w:rPr>
        <w:t xml:space="preserve">(EPD) </w:t>
      </w:r>
      <w:r w:rsidR="00471630" w:rsidRPr="00BB31AE">
        <w:rPr>
          <w:rFonts w:ascii="Times New Roman" w:hAnsi="Times New Roman" w:cs="Times New Roman"/>
        </w:rPr>
        <w:t>and operator awareness</w:t>
      </w:r>
      <w:r w:rsidRPr="00BB31AE">
        <w:rPr>
          <w:rFonts w:ascii="Times New Roman" w:hAnsi="Times New Roman" w:cs="Times New Roman"/>
        </w:rPr>
        <w:t xml:space="preserve"> (Training)</w:t>
      </w:r>
    </w:p>
    <w:p w14:paraId="7D9D6A2A" w14:textId="062E1640" w:rsidR="00471630" w:rsidRPr="00BB31AE" w:rsidRDefault="005E045F" w:rsidP="00471630">
      <w:pPr>
        <w:pStyle w:val="ListParagraph"/>
        <w:numPr>
          <w:ilvl w:val="0"/>
          <w:numId w:val="12"/>
        </w:numPr>
        <w:rPr>
          <w:rFonts w:ascii="Times New Roman" w:hAnsi="Times New Roman" w:cs="Times New Roman"/>
        </w:rPr>
      </w:pPr>
      <w:r w:rsidRPr="00BB31AE">
        <w:rPr>
          <w:rFonts w:ascii="Times New Roman" w:hAnsi="Times New Roman" w:cs="Times New Roman"/>
        </w:rPr>
        <w:t>L</w:t>
      </w:r>
      <w:r w:rsidR="00471630" w:rsidRPr="00BB31AE">
        <w:rPr>
          <w:rFonts w:ascii="Times New Roman" w:hAnsi="Times New Roman" w:cs="Times New Roman"/>
        </w:rPr>
        <w:t xml:space="preserve">ocal </w:t>
      </w:r>
      <w:r w:rsidRPr="00BB31AE">
        <w:rPr>
          <w:rFonts w:ascii="Times New Roman" w:hAnsi="Times New Roman" w:cs="Times New Roman"/>
        </w:rPr>
        <w:t>rules and arrangements</w:t>
      </w:r>
    </w:p>
    <w:p w14:paraId="1AFEDA0D" w14:textId="77777777" w:rsidR="00471630" w:rsidRPr="00BB31AE" w:rsidRDefault="00471630" w:rsidP="00471630">
      <w:pPr>
        <w:rPr>
          <w:rFonts w:ascii="Times New Roman" w:hAnsi="Times New Roman" w:cs="Times New Roman"/>
        </w:rPr>
      </w:pPr>
    </w:p>
    <w:p w14:paraId="66487ADC" w14:textId="757B287C" w:rsidR="00471630" w:rsidRPr="00BB31AE" w:rsidRDefault="00471630" w:rsidP="00471630">
      <w:pPr>
        <w:rPr>
          <w:rFonts w:ascii="Times New Roman" w:hAnsi="Times New Roman" w:cs="Times New Roman"/>
        </w:rPr>
      </w:pPr>
      <w:r w:rsidRPr="00BB31AE">
        <w:rPr>
          <w:rFonts w:ascii="Times New Roman" w:hAnsi="Times New Roman" w:cs="Times New Roman"/>
        </w:rPr>
        <w:t xml:space="preserve">However, the incident demonstrates </w:t>
      </w:r>
      <w:r w:rsidR="005E045F" w:rsidRPr="00BB31AE">
        <w:rPr>
          <w:rFonts w:ascii="Times New Roman" w:hAnsi="Times New Roman" w:cs="Times New Roman"/>
        </w:rPr>
        <w:t>the systematic flaws</w:t>
      </w:r>
      <w:r w:rsidRPr="00BB31AE">
        <w:rPr>
          <w:rFonts w:ascii="Times New Roman" w:hAnsi="Times New Roman" w:cs="Times New Roman"/>
        </w:rPr>
        <w:t xml:space="preserve"> between these </w:t>
      </w:r>
      <w:r w:rsidR="005E045F" w:rsidRPr="00BB31AE">
        <w:rPr>
          <w:rFonts w:ascii="Times New Roman" w:hAnsi="Times New Roman" w:cs="Times New Roman"/>
        </w:rPr>
        <w:t>defences</w:t>
      </w:r>
      <w:r w:rsidRPr="00BB31AE">
        <w:rPr>
          <w:rFonts w:ascii="Times New Roman" w:hAnsi="Times New Roman" w:cs="Times New Roman"/>
        </w:rPr>
        <w:t>.</w:t>
      </w:r>
      <w:r w:rsidR="00BB31AE">
        <w:rPr>
          <w:rFonts w:ascii="Times New Roman" w:hAnsi="Times New Roman" w:cs="Times New Roman"/>
        </w:rPr>
        <w:t xml:space="preserve"> </w:t>
      </w:r>
      <w:r w:rsidRPr="00BB31AE">
        <w:rPr>
          <w:rFonts w:ascii="Times New Roman" w:hAnsi="Times New Roman" w:cs="Times New Roman"/>
        </w:rPr>
        <w:t>The report states that the drawer sensor had become unreliable. The shutter return spring had degraded and the rotor had not fully reached its safe position. all these faults occurred however most significantly, the control system indicated that the system was safe to open when this was not the case.</w:t>
      </w:r>
    </w:p>
    <w:p w14:paraId="201392E6" w14:textId="58F4F0CA" w:rsidR="00471630" w:rsidRPr="00BB31AE" w:rsidRDefault="00471630" w:rsidP="00471630">
      <w:pPr>
        <w:rPr>
          <w:rFonts w:ascii="Times New Roman" w:hAnsi="Times New Roman" w:cs="Times New Roman"/>
        </w:rPr>
      </w:pPr>
      <w:r w:rsidRPr="00BB31AE">
        <w:rPr>
          <w:rFonts w:ascii="Times New Roman" w:hAnsi="Times New Roman" w:cs="Times New Roman"/>
        </w:rPr>
        <w:lastRenderedPageBreak/>
        <w:t xml:space="preserve">This incident </w:t>
      </w:r>
      <w:r w:rsidR="005E045F" w:rsidRPr="00BB31AE">
        <w:rPr>
          <w:rFonts w:ascii="Times New Roman" w:hAnsi="Times New Roman" w:cs="Times New Roman"/>
        </w:rPr>
        <w:t>shows</w:t>
      </w:r>
      <w:r w:rsidRPr="00BB31AE">
        <w:rPr>
          <w:rFonts w:ascii="Times New Roman" w:hAnsi="Times New Roman" w:cs="Times New Roman"/>
        </w:rPr>
        <w:t xml:space="preserve"> that protections and barriers in place were not sufficiently independent </w:t>
      </w:r>
      <w:r w:rsidR="00BB31AE" w:rsidRPr="00BB31AE">
        <w:rPr>
          <w:rFonts w:ascii="Times New Roman" w:hAnsi="Times New Roman" w:cs="Times New Roman"/>
        </w:rPr>
        <w:t>in the</w:t>
      </w:r>
      <w:r w:rsidRPr="00BB31AE">
        <w:rPr>
          <w:rFonts w:ascii="Times New Roman" w:hAnsi="Times New Roman" w:cs="Times New Roman"/>
        </w:rPr>
        <w:t xml:space="preserve"> system. As a single unreliable sensor could contribute to the defeat of an interlock</w:t>
      </w:r>
      <w:r w:rsidR="005E045F" w:rsidRPr="00BB31AE">
        <w:rPr>
          <w:rFonts w:ascii="Times New Roman" w:hAnsi="Times New Roman" w:cs="Times New Roman"/>
        </w:rPr>
        <w:t xml:space="preserve"> of the sample drawer</w:t>
      </w:r>
      <w:r w:rsidRPr="00BB31AE">
        <w:rPr>
          <w:rFonts w:ascii="Times New Roman" w:hAnsi="Times New Roman" w:cs="Times New Roman"/>
        </w:rPr>
        <w:t xml:space="preserve">, while a degraded shutter could simultaneously </w:t>
      </w:r>
      <w:r w:rsidR="005E045F" w:rsidRPr="00BB31AE">
        <w:rPr>
          <w:rFonts w:ascii="Times New Roman" w:hAnsi="Times New Roman" w:cs="Times New Roman"/>
        </w:rPr>
        <w:t>reduce</w:t>
      </w:r>
      <w:r w:rsidRPr="00BB31AE">
        <w:rPr>
          <w:rFonts w:ascii="Times New Roman" w:hAnsi="Times New Roman" w:cs="Times New Roman"/>
        </w:rPr>
        <w:t xml:space="preserve"> the physical barrier to contain the radiation. The resulting faults </w:t>
      </w:r>
      <w:r w:rsidR="00F9488D" w:rsidRPr="00F9488D">
        <w:rPr>
          <w:rFonts w:ascii="Times New Roman" w:hAnsi="Times New Roman" w:cs="Times New Roman"/>
        </w:rPr>
        <w:t>culminated</w:t>
      </w:r>
      <w:r w:rsidR="00F9488D">
        <w:rPr>
          <w:rFonts w:ascii="Times New Roman" w:hAnsi="Times New Roman" w:cs="Times New Roman"/>
        </w:rPr>
        <w:t xml:space="preserve"> </w:t>
      </w:r>
      <w:r w:rsidRPr="00BB31AE">
        <w:rPr>
          <w:rFonts w:ascii="Times New Roman" w:hAnsi="Times New Roman" w:cs="Times New Roman"/>
        </w:rPr>
        <w:t xml:space="preserve">in the operator </w:t>
      </w:r>
      <w:r w:rsidR="005E045F" w:rsidRPr="00BB31AE">
        <w:rPr>
          <w:rFonts w:ascii="Times New Roman" w:hAnsi="Times New Roman" w:cs="Times New Roman"/>
        </w:rPr>
        <w:t xml:space="preserve">who also was not wearing the correct Radiation monitoring equipment </w:t>
      </w:r>
      <w:r w:rsidRPr="00BB31AE">
        <w:rPr>
          <w:rFonts w:ascii="Times New Roman" w:hAnsi="Times New Roman" w:cs="Times New Roman"/>
        </w:rPr>
        <w:t>to get unknowingly exposed</w:t>
      </w:r>
      <w:r w:rsidR="009625E0" w:rsidRPr="00BB31AE">
        <w:rPr>
          <w:rFonts w:ascii="Times New Roman" w:hAnsi="Times New Roman" w:cs="Times New Roman"/>
        </w:rPr>
        <w:t xml:space="preserve"> to the Caesium-137.Moreover</w:t>
      </w:r>
      <w:r w:rsidRPr="00BB31AE">
        <w:rPr>
          <w:rFonts w:ascii="Times New Roman" w:hAnsi="Times New Roman" w:cs="Times New Roman"/>
        </w:rPr>
        <w:t xml:space="preserve">, the </w:t>
      </w:r>
      <w:r w:rsidR="00F80376" w:rsidRPr="00BB31AE">
        <w:rPr>
          <w:rFonts w:ascii="Times New Roman" w:hAnsi="Times New Roman" w:cs="Times New Roman"/>
        </w:rPr>
        <w:t>incident</w:t>
      </w:r>
      <w:r w:rsidRPr="00BB31AE">
        <w:rPr>
          <w:rFonts w:ascii="Times New Roman" w:hAnsi="Times New Roman" w:cs="Times New Roman"/>
        </w:rPr>
        <w:t xml:space="preserve"> represents a significant </w:t>
      </w:r>
      <w:r w:rsidR="00F80376" w:rsidRPr="00BB31AE">
        <w:rPr>
          <w:rFonts w:ascii="Times New Roman" w:hAnsi="Times New Roman" w:cs="Times New Roman"/>
        </w:rPr>
        <w:t>failing of the</w:t>
      </w:r>
      <w:r w:rsidRPr="00BB31AE">
        <w:rPr>
          <w:rFonts w:ascii="Times New Roman" w:hAnsi="Times New Roman" w:cs="Times New Roman"/>
        </w:rPr>
        <w:t xml:space="preserve"> objective of defence in depth.</w:t>
      </w:r>
    </w:p>
    <w:p w14:paraId="4864F61A" w14:textId="77777777" w:rsidR="00471630" w:rsidRPr="00BB31AE" w:rsidRDefault="00471630" w:rsidP="002E4A27">
      <w:pPr>
        <w:rPr>
          <w:rFonts w:ascii="Times New Roman" w:hAnsi="Times New Roman" w:cs="Times New Roman"/>
        </w:rPr>
      </w:pPr>
    </w:p>
    <w:p w14:paraId="16BD9AD2" w14:textId="77777777" w:rsidR="00471630" w:rsidRPr="00BB31AE" w:rsidRDefault="00471630" w:rsidP="002E4A27">
      <w:pPr>
        <w:rPr>
          <w:rFonts w:ascii="Times New Roman" w:hAnsi="Times New Roman" w:cs="Times New Roman"/>
        </w:rPr>
      </w:pPr>
    </w:p>
    <w:p w14:paraId="24359E84" w14:textId="77777777" w:rsidR="00E75986" w:rsidRPr="00BB31AE" w:rsidRDefault="00E75986" w:rsidP="00E75986">
      <w:pPr>
        <w:pStyle w:val="Heading3"/>
        <w:rPr>
          <w:rFonts w:ascii="Times New Roman" w:hAnsi="Times New Roman" w:cs="Times New Roman"/>
        </w:rPr>
      </w:pPr>
      <w:bookmarkStart w:id="18" w:name="_Toc240031067"/>
      <w:r w:rsidRPr="00BB31AE">
        <w:rPr>
          <w:rFonts w:ascii="Times New Roman" w:hAnsi="Times New Roman" w:cs="Times New Roman"/>
        </w:rPr>
        <w:t>EMT.2: Maintenance, Inspection, and Testing</w:t>
      </w:r>
      <w:bookmarkEnd w:id="18"/>
    </w:p>
    <w:p w14:paraId="380EF4FC" w14:textId="77777777" w:rsidR="00E75986" w:rsidRPr="00BB31AE" w:rsidRDefault="00E75986" w:rsidP="00E75986">
      <w:pPr>
        <w:rPr>
          <w:rFonts w:ascii="Times New Roman" w:hAnsi="Times New Roman" w:cs="Times New Roman"/>
        </w:rPr>
      </w:pPr>
      <w:r w:rsidRPr="00BB31AE">
        <w:rPr>
          <w:rFonts w:ascii="Times New Roman" w:hAnsi="Times New Roman" w:cs="Times New Roman"/>
        </w:rPr>
        <w:t>“Structures, systems and components should receive regular and systematic examination, inspection, maintenance and testing as defined in the safety case.”</w:t>
      </w:r>
    </w:p>
    <w:p w14:paraId="089091AA" w14:textId="48C91E0F" w:rsidR="009625E0" w:rsidRPr="00BB31AE" w:rsidRDefault="009625E0" w:rsidP="00E75986">
      <w:pPr>
        <w:rPr>
          <w:rFonts w:ascii="Times New Roman" w:hAnsi="Times New Roman" w:cs="Times New Roman"/>
        </w:rPr>
      </w:pPr>
      <w:r w:rsidRPr="00BB31AE">
        <w:rPr>
          <w:rFonts w:ascii="Times New Roman" w:hAnsi="Times New Roman" w:cs="Times New Roman"/>
        </w:rPr>
        <w:t>EMT.2 Not met:</w:t>
      </w:r>
    </w:p>
    <w:p w14:paraId="30D948E1" w14:textId="7BDA80EA" w:rsidR="00E75986" w:rsidRPr="00BB31AE" w:rsidRDefault="00E75986" w:rsidP="009625E0">
      <w:pPr>
        <w:pStyle w:val="ListParagraph"/>
        <w:numPr>
          <w:ilvl w:val="0"/>
          <w:numId w:val="14"/>
        </w:numPr>
        <w:rPr>
          <w:rFonts w:ascii="Times New Roman" w:hAnsi="Times New Roman" w:cs="Times New Roman"/>
        </w:rPr>
      </w:pPr>
      <w:r w:rsidRPr="00BB31AE">
        <w:rPr>
          <w:rFonts w:ascii="Times New Roman" w:hAnsi="Times New Roman" w:cs="Times New Roman"/>
        </w:rPr>
        <w:t xml:space="preserve">The "intermittent faults" reported in the weeks prior were </w:t>
      </w:r>
      <w:r w:rsidR="009625E0" w:rsidRPr="00BB31AE">
        <w:rPr>
          <w:rFonts w:ascii="Times New Roman" w:hAnsi="Times New Roman" w:cs="Times New Roman"/>
        </w:rPr>
        <w:t>not actioned</w:t>
      </w:r>
      <w:r w:rsidRPr="00BB31AE">
        <w:rPr>
          <w:rFonts w:ascii="Times New Roman" w:hAnsi="Times New Roman" w:cs="Times New Roman"/>
        </w:rPr>
        <w:t>, and no formal maintenance was undertaken. The mechanical degradation of the shutter spring should have been identified as a fault though systematic scheduled testing, inspections and maintenance as this degradation would have happened over time allowing for multiple opportunities to address the issue.</w:t>
      </w:r>
    </w:p>
    <w:p w14:paraId="67D5ED70" w14:textId="77777777" w:rsidR="00E75986" w:rsidRPr="00BB31AE" w:rsidRDefault="00E75986" w:rsidP="00E75986">
      <w:pPr>
        <w:rPr>
          <w:rFonts w:ascii="Times New Roman" w:hAnsi="Times New Roman" w:cs="Times New Roman"/>
        </w:rPr>
      </w:pPr>
    </w:p>
    <w:p w14:paraId="4B5F58E8" w14:textId="77777777" w:rsidR="001B46E5" w:rsidRPr="00BB31AE" w:rsidRDefault="001B46E5" w:rsidP="001B46E5">
      <w:pPr>
        <w:pStyle w:val="Heading3"/>
        <w:rPr>
          <w:rFonts w:ascii="Times New Roman" w:hAnsi="Times New Roman" w:cs="Times New Roman"/>
        </w:rPr>
      </w:pPr>
      <w:bookmarkStart w:id="19" w:name="_Toc240031068"/>
      <w:r w:rsidRPr="00BB31AE">
        <w:rPr>
          <w:rFonts w:ascii="Times New Roman" w:hAnsi="Times New Roman" w:cs="Times New Roman"/>
        </w:rPr>
        <w:t>RP.2 – Radiation Protection in Accident Conditions</w:t>
      </w:r>
      <w:bookmarkEnd w:id="19"/>
    </w:p>
    <w:p w14:paraId="23E29287" w14:textId="2320A5CA" w:rsidR="001B46E5" w:rsidRPr="00BB31AE" w:rsidRDefault="001B46E5" w:rsidP="001B46E5">
      <w:pPr>
        <w:rPr>
          <w:rFonts w:ascii="Times New Roman" w:hAnsi="Times New Roman" w:cs="Times New Roman"/>
        </w:rPr>
      </w:pPr>
      <w:r w:rsidRPr="00BB31AE">
        <w:rPr>
          <w:rFonts w:ascii="Times New Roman" w:hAnsi="Times New Roman" w:cs="Times New Roman"/>
        </w:rPr>
        <w:t>“Adequate protection against exposure to radiation and radioactive contamination should be provided in those parts of the facility that will need to be accessed during faults or as part of accident management. This should include prevention or mitigation of accident consequences.”</w:t>
      </w:r>
    </w:p>
    <w:p w14:paraId="252E983A" w14:textId="4853323D" w:rsidR="00E75986" w:rsidRPr="00BB31AE" w:rsidRDefault="009625E0" w:rsidP="00E75986">
      <w:pPr>
        <w:rPr>
          <w:rFonts w:ascii="Times New Roman" w:hAnsi="Times New Roman" w:cs="Times New Roman"/>
        </w:rPr>
      </w:pPr>
      <w:r w:rsidRPr="00BB31AE">
        <w:rPr>
          <w:rFonts w:ascii="Times New Roman" w:hAnsi="Times New Roman" w:cs="Times New Roman"/>
        </w:rPr>
        <w:t>RP.2 Not met:</w:t>
      </w:r>
    </w:p>
    <w:p w14:paraId="43F9BBF2" w14:textId="4D2FDA85" w:rsidR="00471630" w:rsidRPr="00BB31AE" w:rsidRDefault="009625E0" w:rsidP="009625E0">
      <w:pPr>
        <w:pStyle w:val="ListParagraph"/>
        <w:numPr>
          <w:ilvl w:val="0"/>
          <w:numId w:val="13"/>
        </w:numPr>
        <w:rPr>
          <w:rFonts w:ascii="Times New Roman" w:hAnsi="Times New Roman" w:cs="Times New Roman"/>
        </w:rPr>
      </w:pPr>
      <w:r w:rsidRPr="00BB31AE">
        <w:rPr>
          <w:rFonts w:ascii="Times New Roman" w:hAnsi="Times New Roman" w:cs="Times New Roman"/>
        </w:rPr>
        <w:t>The incident demonstrates that the university was negligent in preparing for the foreseeable equipment fault, as well as the human error of forgetting to wear an EPD, which resulted in overexposure of the operator. The operator was unaware that they were being exposed to the unsafe conditions they were working in, and if it had not been for them realising that they were not wearing an EPD, they would have received an even greater dose of radiation. Physical barriers of protection should have prevented personnel from entering the room without the appropriate equipment. This would have limited the exposure, mitigating the consequences of prolonged exposure.</w:t>
      </w:r>
    </w:p>
    <w:p w14:paraId="3A61B61D" w14:textId="77777777" w:rsidR="00795DF0" w:rsidRPr="00BB31AE" w:rsidRDefault="00795DF0" w:rsidP="00795DF0">
      <w:pPr>
        <w:rPr>
          <w:rFonts w:ascii="Times New Roman" w:hAnsi="Times New Roman" w:cs="Times New Roman"/>
        </w:rPr>
      </w:pPr>
    </w:p>
    <w:p w14:paraId="4B4DDAD4" w14:textId="33FAEAF8" w:rsidR="00C769BE" w:rsidRPr="00BB31AE" w:rsidRDefault="00C769BE">
      <w:pPr>
        <w:rPr>
          <w:rFonts w:ascii="Times New Roman" w:eastAsiaTheme="majorEastAsia" w:hAnsi="Times New Roman" w:cs="Times New Roman"/>
          <w:color w:val="0F4761" w:themeColor="accent1" w:themeShade="BF"/>
          <w:sz w:val="32"/>
          <w:szCs w:val="32"/>
        </w:rPr>
      </w:pPr>
    </w:p>
    <w:p w14:paraId="3BF13788" w14:textId="77777777" w:rsidR="00C61903" w:rsidRPr="00BB31AE" w:rsidRDefault="00C61903">
      <w:pPr>
        <w:rPr>
          <w:rFonts w:ascii="Times New Roman" w:eastAsiaTheme="majorEastAsia" w:hAnsi="Times New Roman" w:cs="Times New Roman"/>
          <w:color w:val="0F4761" w:themeColor="accent1" w:themeShade="BF"/>
          <w:sz w:val="32"/>
          <w:szCs w:val="32"/>
        </w:rPr>
      </w:pPr>
      <w:r w:rsidRPr="00BB31AE">
        <w:rPr>
          <w:rFonts w:ascii="Times New Roman" w:hAnsi="Times New Roman" w:cs="Times New Roman"/>
        </w:rPr>
        <w:br w:type="page"/>
      </w:r>
    </w:p>
    <w:p w14:paraId="60BD63B1" w14:textId="3ABB3BC8" w:rsidR="00795DF0" w:rsidRPr="00BB31AE" w:rsidRDefault="00795DF0" w:rsidP="00795DF0">
      <w:pPr>
        <w:pStyle w:val="Heading2"/>
        <w:rPr>
          <w:rFonts w:ascii="Times New Roman" w:hAnsi="Times New Roman" w:cs="Times New Roman"/>
        </w:rPr>
      </w:pPr>
      <w:bookmarkStart w:id="20" w:name="_Toc240031069"/>
      <w:r w:rsidRPr="00BB31AE">
        <w:rPr>
          <w:rFonts w:ascii="Times New Roman" w:hAnsi="Times New Roman" w:cs="Times New Roman"/>
        </w:rPr>
        <w:lastRenderedPageBreak/>
        <w:t>ALARP Improvements</w:t>
      </w:r>
      <w:bookmarkEnd w:id="20"/>
      <w:r w:rsidRPr="00BB31AE">
        <w:rPr>
          <w:rFonts w:ascii="Times New Roman" w:hAnsi="Times New Roman" w:cs="Times New Roman"/>
        </w:rPr>
        <w:t xml:space="preserve"> </w:t>
      </w:r>
    </w:p>
    <w:p w14:paraId="39CAF767" w14:textId="77777777" w:rsidR="00795DF0" w:rsidRPr="00BB31AE" w:rsidRDefault="00795DF0" w:rsidP="00795DF0">
      <w:pPr>
        <w:rPr>
          <w:rFonts w:ascii="Times New Roman" w:hAnsi="Times New Roman" w:cs="Times New Roman"/>
        </w:rPr>
      </w:pPr>
    </w:p>
    <w:p w14:paraId="3F67A88F" w14:textId="095D7359" w:rsidR="00042590" w:rsidRPr="00BB31AE" w:rsidRDefault="00042590" w:rsidP="00042590">
      <w:pPr>
        <w:rPr>
          <w:rFonts w:ascii="Times New Roman" w:hAnsi="Times New Roman" w:cs="Times New Roman"/>
        </w:rPr>
      </w:pPr>
      <w:r w:rsidRPr="00BB31AE">
        <w:rPr>
          <w:rFonts w:ascii="Times New Roman" w:hAnsi="Times New Roman" w:cs="Times New Roman"/>
        </w:rPr>
        <w:t>The Bowtie diagram illustrates a formal fault analysis and risk assessment process (FA.1 &amp; FA.2) by identifying the threats that cause the event, the preventive controls designed to reduce the likelihood of the event occurring (EKP.3 &amp; EMT.2), the mitigations deployed to reduce the impact of the incident (AM.1 &amp; LC 11), and the final outcome of the event, ensuring that the hierarchy of control has been appropriately implemented (EKP.5).</w:t>
      </w:r>
    </w:p>
    <w:p w14:paraId="39AB61F9" w14:textId="77777777" w:rsidR="001F54BB" w:rsidRPr="00BB31AE" w:rsidRDefault="001F54BB" w:rsidP="00795DF0">
      <w:pPr>
        <w:rPr>
          <w:rFonts w:ascii="Times New Roman" w:hAnsi="Times New Roman" w:cs="Times New Roman"/>
        </w:rPr>
      </w:pPr>
    </w:p>
    <w:p w14:paraId="6EBB927B" w14:textId="3867046D" w:rsidR="001F54BB" w:rsidRPr="00BB31AE" w:rsidRDefault="001F54BB" w:rsidP="001F54BB">
      <w:pPr>
        <w:keepNext/>
        <w:jc w:val="center"/>
        <w:rPr>
          <w:rFonts w:ascii="Times New Roman" w:hAnsi="Times New Roman" w:cs="Times New Roman"/>
        </w:rPr>
      </w:pPr>
      <w:r w:rsidRPr="00BB31AE">
        <w:rPr>
          <w:rFonts w:ascii="Times New Roman" w:hAnsi="Times New Roman" w:cs="Times New Roman"/>
          <w:noProof/>
        </w:rPr>
        <w:drawing>
          <wp:inline distT="0" distB="0" distL="0" distR="0" wp14:anchorId="5906DEAD" wp14:editId="6504DD76">
            <wp:extent cx="5006958" cy="2816414"/>
            <wp:effectExtent l="0" t="0" r="3810" b="3175"/>
            <wp:docPr id="189960450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lipboardAsImag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016209" cy="2821618"/>
                    </a:xfrm>
                    <a:prstGeom prst="rect">
                      <a:avLst/>
                    </a:prstGeom>
                    <a:noFill/>
                    <a:ln>
                      <a:noFill/>
                    </a:ln>
                  </pic:spPr>
                </pic:pic>
              </a:graphicData>
            </a:graphic>
          </wp:inline>
        </w:drawing>
      </w:r>
    </w:p>
    <w:p w14:paraId="1AE4E9DB" w14:textId="67796D67" w:rsidR="001F54BB" w:rsidRPr="00BB31AE" w:rsidRDefault="001F54BB" w:rsidP="001F54BB">
      <w:pPr>
        <w:pStyle w:val="Caption"/>
        <w:jc w:val="center"/>
        <w:rPr>
          <w:rFonts w:ascii="Times New Roman" w:hAnsi="Times New Roman" w:cs="Times New Roman"/>
        </w:rPr>
      </w:pPr>
      <w:r w:rsidRPr="00BB31AE">
        <w:rPr>
          <w:rFonts w:ascii="Times New Roman" w:hAnsi="Times New Roman" w:cs="Times New Roman"/>
        </w:rPr>
        <w:t xml:space="preserve">Figure </w:t>
      </w:r>
      <w:r w:rsidRPr="00BB31AE">
        <w:rPr>
          <w:rFonts w:ascii="Times New Roman" w:hAnsi="Times New Roman" w:cs="Times New Roman"/>
        </w:rPr>
        <w:fldChar w:fldCharType="begin"/>
      </w:r>
      <w:r w:rsidRPr="00BB31AE">
        <w:rPr>
          <w:rFonts w:ascii="Times New Roman" w:hAnsi="Times New Roman" w:cs="Times New Roman"/>
        </w:rPr>
        <w:instrText xml:space="preserve"> SEQ Figure \* ARABIC </w:instrText>
      </w:r>
      <w:r w:rsidRPr="00BB31AE">
        <w:rPr>
          <w:rFonts w:ascii="Times New Roman" w:hAnsi="Times New Roman" w:cs="Times New Roman"/>
        </w:rPr>
        <w:fldChar w:fldCharType="separate"/>
      </w:r>
      <w:r w:rsidRPr="00BB31AE">
        <w:rPr>
          <w:rFonts w:ascii="Times New Roman" w:hAnsi="Times New Roman" w:cs="Times New Roman"/>
        </w:rPr>
        <w:t>1</w:t>
      </w:r>
      <w:r w:rsidRPr="00BB31AE">
        <w:rPr>
          <w:rFonts w:ascii="Times New Roman" w:hAnsi="Times New Roman" w:cs="Times New Roman"/>
        </w:rPr>
        <w:fldChar w:fldCharType="end"/>
      </w:r>
      <w:r w:rsidRPr="00BB31AE">
        <w:rPr>
          <w:rFonts w:ascii="Times New Roman" w:hAnsi="Times New Roman" w:cs="Times New Roman"/>
        </w:rPr>
        <w:t xml:space="preserve"> Bowtie Diagram</w:t>
      </w:r>
    </w:p>
    <w:p w14:paraId="4312F749" w14:textId="5F0770CF" w:rsidR="00F45801" w:rsidRPr="00BB31AE" w:rsidRDefault="00F45801" w:rsidP="0097325F">
      <w:pPr>
        <w:pStyle w:val="Heading3"/>
        <w:rPr>
          <w:rFonts w:ascii="Times New Roman" w:hAnsi="Times New Roman" w:cs="Times New Roman"/>
        </w:rPr>
      </w:pPr>
      <w:bookmarkStart w:id="21" w:name="_Toc240031070"/>
      <w:r w:rsidRPr="00BB31AE">
        <w:rPr>
          <w:rFonts w:ascii="Times New Roman" w:hAnsi="Times New Roman" w:cs="Times New Roman"/>
        </w:rPr>
        <w:t>Controls (Reducing Likelihood)</w:t>
      </w:r>
      <w:bookmarkEnd w:id="21"/>
    </w:p>
    <w:p w14:paraId="447AB7D6" w14:textId="7709EDF7" w:rsidR="00E50749" w:rsidRPr="00BB31AE" w:rsidRDefault="00E50749" w:rsidP="00E50749">
      <w:pPr>
        <w:rPr>
          <w:rFonts w:ascii="Times New Roman" w:hAnsi="Times New Roman" w:cs="Times New Roman"/>
        </w:rPr>
      </w:pPr>
      <w:r w:rsidRPr="00BB31AE">
        <w:rPr>
          <w:rFonts w:ascii="Times New Roman" w:hAnsi="Times New Roman" w:cs="Times New Roman"/>
        </w:rPr>
        <w:t>Preventative Maintenance Schedule (EMT): Implement a required, systematic examination, inspection and testing regime for the irradiator's structures, systems and components (SSCs), in line with the Maintenance, Inspection and Testing principles (EMT.1–EMT.8). As retrospectively, the secondary tungsten shutter return spring and the drawer position sensor should have been replaced with communication with the manufacturer to gain insight into manufacture recommended maintenance intervals, rather than it working to the point of failure and to prevent the latent mechanical degradation identified a contributing factor to the incident.</w:t>
      </w:r>
    </w:p>
    <w:p w14:paraId="7693F019" w14:textId="71A03269" w:rsidR="00E50749" w:rsidRPr="00BB31AE" w:rsidRDefault="00E50749" w:rsidP="00E50749">
      <w:pPr>
        <w:rPr>
          <w:rFonts w:ascii="Times New Roman" w:hAnsi="Times New Roman" w:cs="Times New Roman"/>
        </w:rPr>
      </w:pPr>
      <w:r w:rsidRPr="00BB31AE">
        <w:rPr>
          <w:rFonts w:ascii="Times New Roman" w:hAnsi="Times New Roman" w:cs="Times New Roman"/>
        </w:rPr>
        <w:t>Engineered EPD Interlock (EKP.5 &amp; EKP.3): Install a barcode scanner linked to the Irradiator pneumatic logic controller. The irradiator drawer must remain physically locked and unpowered until an EPD is scanned. This would be classified as an automatically initiated active engineered safety measure (EKP.5(b)) that enforces a fail-safe state without reliance on the operator’s memory or judgement. It provides an additional, independent barrier consistent with the defence-in-depth requirement (EKP.3) that no single failure mechanical or person should be sufficient to allow drawer access while the source is exposed.</w:t>
      </w:r>
    </w:p>
    <w:p w14:paraId="1A518AD7" w14:textId="77777777" w:rsidR="001F54BB" w:rsidRPr="00BB31AE" w:rsidRDefault="001F54BB" w:rsidP="001F54BB">
      <w:pPr>
        <w:rPr>
          <w:rFonts w:ascii="Times New Roman" w:hAnsi="Times New Roman" w:cs="Times New Roman"/>
        </w:rPr>
      </w:pPr>
    </w:p>
    <w:p w14:paraId="0265D32F" w14:textId="6629766E" w:rsidR="001B6B17" w:rsidRPr="00BB31AE" w:rsidRDefault="001B6B17" w:rsidP="0097325F">
      <w:pPr>
        <w:pStyle w:val="Heading3"/>
        <w:rPr>
          <w:rFonts w:ascii="Times New Roman" w:hAnsi="Times New Roman" w:cs="Times New Roman"/>
        </w:rPr>
      </w:pPr>
      <w:bookmarkStart w:id="22" w:name="_Toc240031071"/>
      <w:r w:rsidRPr="00BB31AE">
        <w:rPr>
          <w:rFonts w:ascii="Times New Roman" w:hAnsi="Times New Roman" w:cs="Times New Roman"/>
        </w:rPr>
        <w:lastRenderedPageBreak/>
        <w:t>Mitigations (Reducing Consequence)</w:t>
      </w:r>
      <w:bookmarkEnd w:id="22"/>
    </w:p>
    <w:p w14:paraId="124DAB1B" w14:textId="77777777" w:rsidR="001B6B17" w:rsidRPr="00BB31AE" w:rsidRDefault="001B6B17" w:rsidP="001F54BB">
      <w:pPr>
        <w:rPr>
          <w:rFonts w:ascii="Times New Roman" w:hAnsi="Times New Roman" w:cs="Times New Roman"/>
        </w:rPr>
      </w:pPr>
    </w:p>
    <w:p w14:paraId="5F8C91EF" w14:textId="77777777" w:rsidR="001B6B17" w:rsidRPr="00BB31AE" w:rsidRDefault="001B6B17" w:rsidP="001B6B17">
      <w:pPr>
        <w:rPr>
          <w:rFonts w:ascii="Times New Roman" w:hAnsi="Times New Roman" w:cs="Times New Roman"/>
        </w:rPr>
      </w:pPr>
      <w:r w:rsidRPr="00BB31AE">
        <w:rPr>
          <w:rFonts w:ascii="Times New Roman" w:hAnsi="Times New Roman" w:cs="Times New Roman"/>
        </w:rPr>
        <w:t>Active Room Radiation Monitor (EKP.3): Install an alarmed ambient gamma monitor inside the room. Rather than preventing the fault itself, this measure acts once an unsafe hazardous event has occurred, providing immediate, un-by passable auditory feedback of the hazard and prompting instant operator evacuation. This directly reduces exposure duration and consequently the dose, this would be independent of the operator's own awareness or EPD status as a redundancy, consistent with the mitigation objective within the defence in depth hierarchy.</w:t>
      </w:r>
    </w:p>
    <w:p w14:paraId="3B703DC6" w14:textId="77777777" w:rsidR="001B6B17" w:rsidRPr="00BB31AE" w:rsidRDefault="001B6B17" w:rsidP="001F54BB">
      <w:pPr>
        <w:rPr>
          <w:rFonts w:ascii="Times New Roman" w:hAnsi="Times New Roman" w:cs="Times New Roman"/>
        </w:rPr>
      </w:pPr>
    </w:p>
    <w:p w14:paraId="0F45EBA5" w14:textId="77777777" w:rsidR="00C769BE" w:rsidRPr="00BB31AE" w:rsidRDefault="00C769BE" w:rsidP="00C769BE">
      <w:pPr>
        <w:rPr>
          <w:rFonts w:ascii="Times New Roman" w:hAnsi="Times New Roman" w:cs="Times New Roman"/>
        </w:rPr>
      </w:pPr>
      <w:r w:rsidRPr="00BB31AE">
        <w:rPr>
          <w:rFonts w:ascii="Times New Roman" w:hAnsi="Times New Roman" w:cs="Times New Roman"/>
        </w:rPr>
        <w:t>Robust Emergency Arrangements (LC 11 / AM.1): Establish and rehearse clear accident management procedures. In line with Licence Condition 11's requirement that the licensee make and implement adequate arrangements for dealing with any accident or emergency arising on site (LC 11), and consistent with the accident management and emergency preparedness principle (AM.1), the facility must ensure rapid isolation of the affected area and immediate consultation with the RPA and Appointed Doctor once an incident has occurred, to mitigate further acute or stochastic risks.</w:t>
      </w:r>
    </w:p>
    <w:p w14:paraId="607495FC" w14:textId="77777777" w:rsidR="0097325F" w:rsidRPr="00BB31AE" w:rsidRDefault="0097325F" w:rsidP="0097325F">
      <w:pPr>
        <w:pStyle w:val="Heading3"/>
        <w:rPr>
          <w:rFonts w:ascii="Times New Roman" w:hAnsi="Times New Roman" w:cs="Times New Roman"/>
        </w:rPr>
      </w:pPr>
      <w:bookmarkStart w:id="23" w:name="_Toc240031072"/>
      <w:r w:rsidRPr="00BB31AE">
        <w:rPr>
          <w:rFonts w:ascii="Times New Roman" w:hAnsi="Times New Roman" w:cs="Times New Roman"/>
        </w:rPr>
        <w:t>ALARP Cost-Benefit Analysis</w:t>
      </w:r>
      <w:bookmarkEnd w:id="23"/>
    </w:p>
    <w:p w14:paraId="22A91528" w14:textId="77777777" w:rsidR="00BB31AE" w:rsidRDefault="00BB31AE" w:rsidP="0097325F">
      <w:pPr>
        <w:rPr>
          <w:rFonts w:ascii="Times New Roman" w:hAnsi="Times New Roman" w:cs="Times New Roman"/>
        </w:rPr>
      </w:pPr>
    </w:p>
    <w:p w14:paraId="73AACB1F" w14:textId="0499FDC5" w:rsidR="0097325F" w:rsidRPr="00BB31AE" w:rsidRDefault="0097325F" w:rsidP="0097325F">
      <w:pPr>
        <w:rPr>
          <w:rFonts w:ascii="Times New Roman" w:hAnsi="Times New Roman" w:cs="Times New Roman"/>
        </w:rPr>
      </w:pPr>
      <w:r w:rsidRPr="00BB31AE">
        <w:rPr>
          <w:rFonts w:ascii="Times New Roman" w:hAnsi="Times New Roman" w:cs="Times New Roman"/>
        </w:rPr>
        <w:t xml:space="preserve">Under Regulation 9 of IRR17, a risk must be reduced unless the cost in money, time, or </w:t>
      </w:r>
      <w:r w:rsidR="00BB31AE" w:rsidRPr="00BB31AE">
        <w:rPr>
          <w:rFonts w:ascii="Times New Roman" w:hAnsi="Times New Roman" w:cs="Times New Roman"/>
        </w:rPr>
        <w:t>effort is</w:t>
      </w:r>
      <w:r w:rsidRPr="00BB31AE">
        <w:rPr>
          <w:rFonts w:ascii="Times New Roman" w:hAnsi="Times New Roman" w:cs="Times New Roman"/>
        </w:rPr>
        <w:t xml:space="preserve"> grossly disproportionate to the safety benefit gained.</w:t>
      </w:r>
    </w:p>
    <w:p w14:paraId="7A3F57A6" w14:textId="77777777" w:rsidR="0097325F" w:rsidRPr="00BB31AE" w:rsidRDefault="0097325F" w:rsidP="0097325F">
      <w:pPr>
        <w:numPr>
          <w:ilvl w:val="0"/>
          <w:numId w:val="15"/>
        </w:numPr>
        <w:rPr>
          <w:rFonts w:ascii="Times New Roman" w:hAnsi="Times New Roman" w:cs="Times New Roman"/>
        </w:rPr>
      </w:pPr>
      <w:r w:rsidRPr="00BB31AE">
        <w:rPr>
          <w:rFonts w:ascii="Times New Roman" w:hAnsi="Times New Roman" w:cs="Times New Roman"/>
        </w:rPr>
        <w:t>The Risk: The systemic failure of the original setup resulted in an illegal 63.5 mSv occupational exposure, a 0.26% increased lifetime risk of fatal cancer to the operator, and noncompliance with IRR17.</w:t>
      </w:r>
    </w:p>
    <w:p w14:paraId="6B127104" w14:textId="55EEFBC8" w:rsidR="0097325F" w:rsidRPr="00BB31AE" w:rsidRDefault="0097325F" w:rsidP="0097325F">
      <w:pPr>
        <w:numPr>
          <w:ilvl w:val="0"/>
          <w:numId w:val="15"/>
        </w:numPr>
        <w:rPr>
          <w:rFonts w:ascii="Times New Roman" w:hAnsi="Times New Roman" w:cs="Times New Roman"/>
        </w:rPr>
      </w:pPr>
      <w:r w:rsidRPr="00BB31AE">
        <w:rPr>
          <w:rFonts w:ascii="Times New Roman" w:hAnsi="Times New Roman" w:cs="Times New Roman"/>
        </w:rPr>
        <w:t xml:space="preserve">The Cost: The EKP.5(b)-aligned EPD interlock and gamma monitor are low-cost, off-the-shelf components, the EMT aligned maintenance schedule adds only routine servicing already required in operating the equipment, and the LC11&amp;AM.1 emergency arrangements are required and just procedural. Against the cost of operating a 119 </w:t>
      </w:r>
      <w:proofErr w:type="spellStart"/>
      <w:r w:rsidRPr="00BB31AE">
        <w:rPr>
          <w:rFonts w:ascii="Times New Roman" w:hAnsi="Times New Roman" w:cs="Times New Roman"/>
        </w:rPr>
        <w:t>TBq</w:t>
      </w:r>
      <w:proofErr w:type="spellEnd"/>
      <w:r w:rsidRPr="00BB31AE">
        <w:rPr>
          <w:rFonts w:ascii="Times New Roman" w:hAnsi="Times New Roman" w:cs="Times New Roman"/>
        </w:rPr>
        <w:t xml:space="preserve"> Class 1 source and the cost of an illegal overexposure event, including regulatory action and reputational harm the implementation costs are negligible. [</w:t>
      </w:r>
      <w:hyperlink r:id="rId18" w:history="1">
        <w:r w:rsidR="000310D6">
          <w:rPr>
            <w:rStyle w:val="Hyperlink"/>
            <w:rFonts w:ascii="Times New Roman" w:hAnsi="Times New Roman" w:cs="Times New Roman"/>
          </w:rPr>
          <w:t>16</w:t>
        </w:r>
      </w:hyperlink>
      <w:r w:rsidRPr="00BB31AE">
        <w:rPr>
          <w:rFonts w:ascii="Times New Roman" w:hAnsi="Times New Roman" w:cs="Times New Roman"/>
        </w:rPr>
        <w:t>]</w:t>
      </w:r>
    </w:p>
    <w:p w14:paraId="1693BD4A" w14:textId="77777777" w:rsidR="00C61903" w:rsidRPr="00BB31AE" w:rsidRDefault="00C61903" w:rsidP="00C61903">
      <w:pPr>
        <w:ind w:left="360"/>
      </w:pPr>
    </w:p>
    <w:p w14:paraId="4CCB0407" w14:textId="2325879A" w:rsidR="00482C5D" w:rsidRPr="00BB31AE" w:rsidRDefault="00482C5D" w:rsidP="00482C5D">
      <w:pPr>
        <w:pStyle w:val="Heading1"/>
      </w:pPr>
      <w:bookmarkStart w:id="24" w:name="_Toc240031073"/>
      <w:r w:rsidRPr="00BB31AE">
        <w:t>Conclusion</w:t>
      </w:r>
      <w:bookmarkEnd w:id="24"/>
      <w:r w:rsidRPr="00BB31AE">
        <w:t xml:space="preserve"> </w:t>
      </w:r>
    </w:p>
    <w:p w14:paraId="54B4E5BC" w14:textId="77777777" w:rsidR="00482C5D" w:rsidRPr="00BB31AE" w:rsidRDefault="00482C5D" w:rsidP="00C61903">
      <w:pPr>
        <w:ind w:left="360"/>
      </w:pPr>
    </w:p>
    <w:p w14:paraId="0A1CD5EB" w14:textId="7C52AE32" w:rsidR="00C61903" w:rsidRPr="00BB31AE" w:rsidRDefault="00C61903" w:rsidP="00C61903">
      <w:pPr>
        <w:ind w:left="360"/>
      </w:pPr>
      <w:r w:rsidRPr="00BB31AE">
        <w:t xml:space="preserve">This incident </w:t>
      </w:r>
      <w:r w:rsidR="00482C5D" w:rsidRPr="00BB31AE">
        <w:t>started</w:t>
      </w:r>
      <w:r w:rsidRPr="00BB31AE">
        <w:t xml:space="preserve"> from a systemic breakdown across multiple barriers sensor, shutter, and false "safe" indication compounded by human error, resulting in an illegal ≈62 mSv exposure and breaches of IRR17 Regulations 8, 9, 11, 12, 14, and 18. To conclude, the implementation cost required is grossly disproportionate in the other direction relative to the severity of a radiation overexposure. Appropriately reimplementing the EKP.5 hierarchy of safety measures and the EKP.3 </w:t>
      </w:r>
      <w:r w:rsidR="00BB31AE" w:rsidRPr="00BB31AE">
        <w:t>defence</w:t>
      </w:r>
      <w:r w:rsidRPr="00BB31AE">
        <w:t xml:space="preserve"> in depth these controls support, alongside AM.1</w:t>
      </w:r>
      <w:r w:rsidR="00482C5D" w:rsidRPr="00BB31AE">
        <w:t>&amp;</w:t>
      </w:r>
      <w:r w:rsidRPr="00BB31AE">
        <w:t>LC 11 mitigation, is not only reasonably practicable but also legally required to achieve a compliant ALARP state.</w:t>
      </w:r>
    </w:p>
    <w:p w14:paraId="47EE20E9" w14:textId="77777777" w:rsidR="00C61903" w:rsidRPr="00BB31AE" w:rsidRDefault="00C61903" w:rsidP="0097325F">
      <w:pPr>
        <w:ind w:left="360"/>
        <w:rPr>
          <w:rFonts w:ascii="Times New Roman" w:hAnsi="Times New Roman" w:cs="Times New Roman"/>
        </w:rPr>
      </w:pPr>
    </w:p>
    <w:p w14:paraId="3B1A2FDB" w14:textId="25A7379D" w:rsidR="00C61903" w:rsidRPr="00BB31AE" w:rsidRDefault="00BB31AE" w:rsidP="00BB31AE">
      <w:pPr>
        <w:pStyle w:val="Heading1"/>
      </w:pPr>
      <w:bookmarkStart w:id="25" w:name="_Toc240031074"/>
      <w:r w:rsidRPr="00BB31AE">
        <w:rPr>
          <w:rStyle w:val="normaltextrun"/>
        </w:rPr>
        <w:t>References</w:t>
      </w:r>
      <w:bookmarkEnd w:id="25"/>
    </w:p>
    <w:p w14:paraId="3FF95515" w14:textId="77777777" w:rsidR="009C3250" w:rsidRPr="009C3250" w:rsidRDefault="009C3250" w:rsidP="009C3250">
      <w:pPr>
        <w:rPr>
          <w:rFonts w:ascii="Times New Roman" w:hAnsi="Times New Roman" w:cs="Times New Roman"/>
          <w:lang w:val="en-US"/>
        </w:rPr>
      </w:pPr>
      <w:r w:rsidRPr="009C3250">
        <w:rPr>
          <w:rFonts w:ascii="Times New Roman" w:hAnsi="Times New Roman" w:cs="Times New Roman"/>
          <w:lang w:val="en-US"/>
        </w:rPr>
        <w:t xml:space="preserve">[1] U.S. Environmental Protection Agency (2026) Radionuclide Basics: Cesium-137. Available at: </w:t>
      </w:r>
      <w:hyperlink r:id="rId19" w:history="1">
        <w:r w:rsidRPr="009C3250">
          <w:rPr>
            <w:rStyle w:val="Hyperlink"/>
            <w:rFonts w:ascii="Times New Roman" w:hAnsi="Times New Roman" w:cs="Times New Roman"/>
            <w:lang w:val="en-US"/>
          </w:rPr>
          <w:t>https://www.epa.gov/radiation/radionuclide-basics-cesium-137</w:t>
        </w:r>
      </w:hyperlink>
      <w:r w:rsidRPr="009C3250">
        <w:rPr>
          <w:rFonts w:ascii="Times New Roman" w:hAnsi="Times New Roman" w:cs="Times New Roman"/>
          <w:lang w:val="en-US"/>
        </w:rPr>
        <w:t xml:space="preserve"> (Accessed: 11 September 2026).</w:t>
      </w:r>
    </w:p>
    <w:p w14:paraId="54C55904" w14:textId="77777777" w:rsidR="00AC5C28" w:rsidRPr="00AC5C28" w:rsidRDefault="009C3250" w:rsidP="00AC5C28">
      <w:pPr>
        <w:rPr>
          <w:rFonts w:ascii="Times New Roman" w:hAnsi="Times New Roman" w:cs="Times New Roman"/>
          <w:lang w:val="en-US"/>
        </w:rPr>
      </w:pPr>
      <w:r w:rsidRPr="009C3250">
        <w:rPr>
          <w:rFonts w:ascii="Times New Roman" w:hAnsi="Times New Roman" w:cs="Times New Roman"/>
          <w:lang w:val="en-US"/>
        </w:rPr>
        <w:t xml:space="preserve">[2] </w:t>
      </w:r>
      <w:r w:rsidR="00AC5C28" w:rsidRPr="00AC5C28">
        <w:rPr>
          <w:rFonts w:ascii="Times New Roman" w:hAnsi="Times New Roman" w:cs="Times New Roman"/>
          <w:lang w:val="en-US"/>
        </w:rPr>
        <w:t>National Academies of Sciences, Engineering, and Medicine, Division on Earth and Life</w:t>
      </w:r>
    </w:p>
    <w:p w14:paraId="31F4C346" w14:textId="77777777" w:rsidR="00AC5C28" w:rsidRPr="00AC5C28" w:rsidRDefault="00AC5C28" w:rsidP="00AC5C28">
      <w:pPr>
        <w:rPr>
          <w:rFonts w:ascii="Times New Roman" w:hAnsi="Times New Roman" w:cs="Times New Roman"/>
          <w:lang w:val="en-US"/>
        </w:rPr>
      </w:pPr>
      <w:r w:rsidRPr="00AC5C28">
        <w:rPr>
          <w:rFonts w:ascii="Times New Roman" w:hAnsi="Times New Roman" w:cs="Times New Roman"/>
          <w:lang w:val="en-US"/>
        </w:rPr>
        <w:t>Studies, Nuclear and Radiation Studies Board and Committee on Radioactive Sources:</w:t>
      </w:r>
    </w:p>
    <w:p w14:paraId="15F41F96" w14:textId="77777777" w:rsidR="00AC5C28" w:rsidRPr="00AC5C28" w:rsidRDefault="00AC5C28" w:rsidP="00AC5C28">
      <w:pPr>
        <w:rPr>
          <w:rFonts w:ascii="Times New Roman" w:hAnsi="Times New Roman" w:cs="Times New Roman"/>
          <w:lang w:val="en-US"/>
        </w:rPr>
      </w:pPr>
      <w:r w:rsidRPr="00AC5C28">
        <w:rPr>
          <w:rFonts w:ascii="Times New Roman" w:hAnsi="Times New Roman" w:cs="Times New Roman"/>
          <w:lang w:val="en-US"/>
        </w:rPr>
        <w:t>Applications and Alternative Technologies (2021). Radiation Sources and Alternative</w:t>
      </w:r>
    </w:p>
    <w:p w14:paraId="516C7816" w14:textId="77777777" w:rsidR="00AC5C28" w:rsidRPr="00AC5C28" w:rsidRDefault="00AC5C28" w:rsidP="00AC5C28">
      <w:pPr>
        <w:rPr>
          <w:rFonts w:ascii="Times New Roman" w:hAnsi="Times New Roman" w:cs="Times New Roman"/>
          <w:lang w:val="en-US"/>
        </w:rPr>
      </w:pPr>
      <w:r w:rsidRPr="00AC5C28">
        <w:rPr>
          <w:rFonts w:ascii="Times New Roman" w:hAnsi="Times New Roman" w:cs="Times New Roman"/>
          <w:lang w:val="en-US"/>
        </w:rPr>
        <w:t>Technologies in Medicine and Research. [online] www.ncbi.nlm.nih.gov. Available at:</w:t>
      </w:r>
    </w:p>
    <w:p w14:paraId="5B41CF02" w14:textId="6089A334" w:rsidR="009C3250" w:rsidRPr="009C3250" w:rsidRDefault="00AC5C28" w:rsidP="00AC5C28">
      <w:pPr>
        <w:rPr>
          <w:rFonts w:ascii="Times New Roman" w:hAnsi="Times New Roman" w:cs="Times New Roman"/>
          <w:lang w:val="en-US"/>
        </w:rPr>
      </w:pPr>
      <w:r w:rsidRPr="00AC5C28">
        <w:rPr>
          <w:rFonts w:ascii="Times New Roman" w:hAnsi="Times New Roman" w:cs="Times New Roman"/>
          <w:lang w:val="en-US"/>
        </w:rPr>
        <w:t>https://www.ncbi.nlm.nih.gov/books/NBK573887/ [Accessed 11 Sept. 2026].</w:t>
      </w:r>
      <w:r>
        <w:rPr>
          <w:rFonts w:ascii="Times New Roman" w:hAnsi="Times New Roman" w:cs="Times New Roman"/>
          <w:lang w:val="en-US"/>
        </w:rPr>
        <w:t xml:space="preserve"> </w:t>
      </w:r>
    </w:p>
    <w:p w14:paraId="06AF6B67" w14:textId="77777777" w:rsidR="009C3250" w:rsidRPr="009C3250" w:rsidRDefault="009C3250" w:rsidP="009C3250">
      <w:pPr>
        <w:rPr>
          <w:rFonts w:ascii="Times New Roman" w:hAnsi="Times New Roman" w:cs="Times New Roman"/>
          <w:lang w:val="en-US"/>
        </w:rPr>
      </w:pPr>
      <w:r w:rsidRPr="009C3250">
        <w:rPr>
          <w:rFonts w:ascii="Times New Roman" w:hAnsi="Times New Roman" w:cs="Times New Roman"/>
          <w:lang w:val="en-US"/>
        </w:rPr>
        <w:t xml:space="preserve">[3] </w:t>
      </w:r>
      <w:proofErr w:type="spellStart"/>
      <w:r w:rsidRPr="009C3250">
        <w:rPr>
          <w:rFonts w:ascii="Times New Roman" w:hAnsi="Times New Roman" w:cs="Times New Roman"/>
          <w:lang w:val="en-US"/>
        </w:rPr>
        <w:t>Radiacode</w:t>
      </w:r>
      <w:proofErr w:type="spellEnd"/>
      <w:r w:rsidRPr="009C3250">
        <w:rPr>
          <w:rFonts w:ascii="Times New Roman" w:hAnsi="Times New Roman" w:cs="Times New Roman"/>
          <w:lang w:val="en-US"/>
        </w:rPr>
        <w:t xml:space="preserve"> (n.d.) Cesium-137 (Cs-137). Available at: </w:t>
      </w:r>
      <w:hyperlink r:id="rId20" w:history="1">
        <w:r w:rsidRPr="009C3250">
          <w:rPr>
            <w:rStyle w:val="Hyperlink"/>
            <w:rFonts w:ascii="Times New Roman" w:hAnsi="Times New Roman" w:cs="Times New Roman"/>
            <w:lang w:val="en-US"/>
          </w:rPr>
          <w:t>https://radiacode.com/isotope/cs-137</w:t>
        </w:r>
      </w:hyperlink>
      <w:r w:rsidRPr="009C3250">
        <w:rPr>
          <w:rFonts w:ascii="Times New Roman" w:hAnsi="Times New Roman" w:cs="Times New Roman"/>
          <w:lang w:val="en-US"/>
        </w:rPr>
        <w:t xml:space="preserve"> (Accessed: 11 September 2026).</w:t>
      </w:r>
    </w:p>
    <w:p w14:paraId="12B80292" w14:textId="77777777" w:rsidR="009C3250" w:rsidRPr="009C3250" w:rsidRDefault="009C3250" w:rsidP="009C3250">
      <w:pPr>
        <w:rPr>
          <w:rFonts w:ascii="Times New Roman" w:hAnsi="Times New Roman" w:cs="Times New Roman"/>
          <w:lang w:val="en-US"/>
        </w:rPr>
      </w:pPr>
      <w:r w:rsidRPr="009C3250">
        <w:rPr>
          <w:rFonts w:ascii="Times New Roman" w:hAnsi="Times New Roman" w:cs="Times New Roman"/>
          <w:lang w:val="en-US"/>
        </w:rPr>
        <w:t xml:space="preserve">[4] </w:t>
      </w:r>
      <w:proofErr w:type="spellStart"/>
      <w:r w:rsidRPr="009C3250">
        <w:rPr>
          <w:rFonts w:ascii="Times New Roman" w:hAnsi="Times New Roman" w:cs="Times New Roman"/>
          <w:lang w:val="en-US"/>
        </w:rPr>
        <w:t>Ionactive</w:t>
      </w:r>
      <w:proofErr w:type="spellEnd"/>
      <w:r w:rsidRPr="009C3250">
        <w:rPr>
          <w:rFonts w:ascii="Times New Roman" w:hAnsi="Times New Roman" w:cs="Times New Roman"/>
          <w:lang w:val="en-US"/>
        </w:rPr>
        <w:t xml:space="preserve"> (2023) Cs-137 (Caesium-137) Radiation Safety Data. Available at: </w:t>
      </w:r>
      <w:hyperlink r:id="rId21" w:history="1">
        <w:r w:rsidRPr="009C3250">
          <w:rPr>
            <w:rStyle w:val="Hyperlink"/>
            <w:rFonts w:ascii="Times New Roman" w:hAnsi="Times New Roman" w:cs="Times New Roman"/>
            <w:lang w:val="en-US"/>
          </w:rPr>
          <w:t>https://ionactive.co.uk/resource-hub/guidance/cs-137-caesium-137-radiation-safety-data</w:t>
        </w:r>
      </w:hyperlink>
      <w:r w:rsidRPr="009C3250">
        <w:rPr>
          <w:rFonts w:ascii="Times New Roman" w:hAnsi="Times New Roman" w:cs="Times New Roman"/>
          <w:lang w:val="en-US"/>
        </w:rPr>
        <w:t xml:space="preserve"> (Accessed: 11 September 2026).</w:t>
      </w:r>
    </w:p>
    <w:p w14:paraId="3B2B3506" w14:textId="77777777" w:rsidR="00B573F2" w:rsidRPr="00B573F2" w:rsidRDefault="009C3250" w:rsidP="00B573F2">
      <w:pPr>
        <w:rPr>
          <w:rFonts w:ascii="Times New Roman" w:hAnsi="Times New Roman" w:cs="Times New Roman"/>
          <w:lang w:val="en-US"/>
        </w:rPr>
      </w:pPr>
      <w:r w:rsidRPr="009C3250">
        <w:rPr>
          <w:rFonts w:ascii="Times New Roman" w:hAnsi="Times New Roman" w:cs="Times New Roman"/>
          <w:lang w:val="en-US"/>
        </w:rPr>
        <w:t xml:space="preserve">[5] </w:t>
      </w:r>
      <w:r w:rsidR="00B573F2" w:rsidRPr="00B573F2">
        <w:rPr>
          <w:rFonts w:ascii="Times New Roman" w:hAnsi="Times New Roman" w:cs="Times New Roman"/>
          <w:lang w:val="en-US"/>
        </w:rPr>
        <w:t>King, R.C., Stansfield, W.D. and Mulligan, P.K. (2007). A Dictionary of Genetics. [online]</w:t>
      </w:r>
    </w:p>
    <w:p w14:paraId="039DFE7A" w14:textId="77777777" w:rsidR="00B573F2" w:rsidRPr="00B573F2" w:rsidRDefault="00B573F2" w:rsidP="00B573F2">
      <w:pPr>
        <w:rPr>
          <w:rFonts w:ascii="Times New Roman" w:hAnsi="Times New Roman" w:cs="Times New Roman"/>
          <w:lang w:val="en-US"/>
        </w:rPr>
      </w:pPr>
      <w:r w:rsidRPr="00B573F2">
        <w:rPr>
          <w:rFonts w:ascii="Times New Roman" w:hAnsi="Times New Roman" w:cs="Times New Roman"/>
          <w:lang w:val="en-US"/>
        </w:rPr>
        <w:t>Oxford University Press. Available at:</w:t>
      </w:r>
    </w:p>
    <w:p w14:paraId="5F3832E2" w14:textId="77777777" w:rsidR="00B573F2" w:rsidRPr="00B573F2" w:rsidRDefault="00B573F2" w:rsidP="00B573F2">
      <w:pPr>
        <w:rPr>
          <w:rFonts w:ascii="Times New Roman" w:hAnsi="Times New Roman" w:cs="Times New Roman"/>
          <w:lang w:val="en-US"/>
        </w:rPr>
      </w:pPr>
      <w:r w:rsidRPr="00B573F2">
        <w:rPr>
          <w:rFonts w:ascii="Times New Roman" w:hAnsi="Times New Roman" w:cs="Times New Roman"/>
          <w:lang w:val="en-US"/>
        </w:rPr>
        <w:t>https://www.oxfordreference.com/display/10.1093/acref/9780195307610.001.0001/acref-</w:t>
      </w:r>
    </w:p>
    <w:p w14:paraId="38475EB3" w14:textId="0A04FA85" w:rsidR="009C3250" w:rsidRPr="009C3250" w:rsidRDefault="00B573F2" w:rsidP="00B573F2">
      <w:pPr>
        <w:rPr>
          <w:rFonts w:ascii="Times New Roman" w:hAnsi="Times New Roman" w:cs="Times New Roman"/>
          <w:lang w:val="en-US"/>
        </w:rPr>
      </w:pPr>
      <w:r w:rsidRPr="00B573F2">
        <w:rPr>
          <w:rFonts w:ascii="Times New Roman" w:hAnsi="Times New Roman" w:cs="Times New Roman"/>
          <w:lang w:val="en-US"/>
        </w:rPr>
        <w:t>9780195307610-e-4085 [Accessed 11 Sept. 2026].</w:t>
      </w:r>
    </w:p>
    <w:p w14:paraId="631C4F62" w14:textId="316629C6" w:rsidR="00B573F2" w:rsidRPr="00B573F2" w:rsidRDefault="009C3250" w:rsidP="00B573F2">
      <w:pPr>
        <w:rPr>
          <w:rFonts w:ascii="Times New Roman" w:hAnsi="Times New Roman" w:cs="Times New Roman"/>
          <w:lang w:val="en-US"/>
        </w:rPr>
      </w:pPr>
      <w:r w:rsidRPr="009C3250">
        <w:rPr>
          <w:rFonts w:ascii="Times New Roman" w:hAnsi="Times New Roman" w:cs="Times New Roman"/>
          <w:lang w:val="en-US"/>
        </w:rPr>
        <w:t xml:space="preserve">[6] </w:t>
      </w:r>
      <w:r w:rsidR="00B573F2" w:rsidRPr="00B573F2">
        <w:rPr>
          <w:rFonts w:ascii="Times New Roman" w:hAnsi="Times New Roman" w:cs="Times New Roman"/>
          <w:lang w:val="en-US"/>
        </w:rPr>
        <w:t>Moradi-</w:t>
      </w:r>
      <w:proofErr w:type="spellStart"/>
      <w:r w:rsidR="00B573F2" w:rsidRPr="00B573F2">
        <w:rPr>
          <w:rFonts w:ascii="Times New Roman" w:hAnsi="Times New Roman" w:cs="Times New Roman"/>
          <w:lang w:val="en-US"/>
        </w:rPr>
        <w:t>Kurdestany</w:t>
      </w:r>
      <w:proofErr w:type="spellEnd"/>
      <w:r w:rsidR="00B573F2" w:rsidRPr="00B573F2">
        <w:rPr>
          <w:rFonts w:ascii="Times New Roman" w:hAnsi="Times New Roman" w:cs="Times New Roman"/>
          <w:lang w:val="en-US"/>
        </w:rPr>
        <w:t xml:space="preserve">, J., Bartkoski, D.A., Tailor, R., </w:t>
      </w:r>
      <w:proofErr w:type="gramStart"/>
      <w:r w:rsidR="00B573F2" w:rsidRPr="00B573F2">
        <w:rPr>
          <w:rFonts w:ascii="Times New Roman" w:hAnsi="Times New Roman" w:cs="Times New Roman"/>
          <w:lang w:val="en-US"/>
        </w:rPr>
        <w:t>Mirkovic</w:t>
      </w:r>
      <w:proofErr w:type="gramEnd"/>
      <w:r w:rsidR="00B573F2" w:rsidRPr="00B573F2">
        <w:rPr>
          <w:rFonts w:ascii="Times New Roman" w:hAnsi="Times New Roman" w:cs="Times New Roman"/>
          <w:lang w:val="en-US"/>
        </w:rPr>
        <w:t>, D., Harel, Z., Bar-David, A.,</w:t>
      </w:r>
    </w:p>
    <w:p w14:paraId="501E511F" w14:textId="77777777" w:rsidR="00B573F2" w:rsidRPr="00B573F2" w:rsidRDefault="00B573F2" w:rsidP="00B573F2">
      <w:pPr>
        <w:rPr>
          <w:rFonts w:ascii="Times New Roman" w:hAnsi="Times New Roman" w:cs="Times New Roman"/>
          <w:lang w:val="en-US"/>
        </w:rPr>
      </w:pPr>
      <w:r w:rsidRPr="00B573F2">
        <w:rPr>
          <w:rFonts w:ascii="Times New Roman" w:hAnsi="Times New Roman" w:cs="Times New Roman"/>
          <w:lang w:val="en-US"/>
        </w:rPr>
        <w:t xml:space="preserve">Kleckner, M., </w:t>
      </w:r>
      <w:proofErr w:type="spellStart"/>
      <w:r w:rsidRPr="00B573F2">
        <w:rPr>
          <w:rFonts w:ascii="Times New Roman" w:hAnsi="Times New Roman" w:cs="Times New Roman"/>
          <w:lang w:val="en-US"/>
        </w:rPr>
        <w:t>Borukhin</w:t>
      </w:r>
      <w:proofErr w:type="spellEnd"/>
      <w:r w:rsidRPr="00B573F2">
        <w:rPr>
          <w:rFonts w:ascii="Times New Roman" w:hAnsi="Times New Roman" w:cs="Times New Roman"/>
          <w:lang w:val="en-US"/>
        </w:rPr>
        <w:t xml:space="preserve">, S. and </w:t>
      </w:r>
      <w:proofErr w:type="spellStart"/>
      <w:r w:rsidRPr="00B573F2">
        <w:rPr>
          <w:rFonts w:ascii="Times New Roman" w:hAnsi="Times New Roman" w:cs="Times New Roman"/>
          <w:lang w:val="en-US"/>
        </w:rPr>
        <w:t>Salehpour</w:t>
      </w:r>
      <w:proofErr w:type="spellEnd"/>
      <w:r w:rsidRPr="00B573F2">
        <w:rPr>
          <w:rFonts w:ascii="Times New Roman" w:hAnsi="Times New Roman" w:cs="Times New Roman"/>
          <w:lang w:val="en-US"/>
        </w:rPr>
        <w:t>, M. (2022). Dosimetry of a novel focused</w:t>
      </w:r>
    </w:p>
    <w:p w14:paraId="361AE908" w14:textId="77777777" w:rsidR="00B573F2" w:rsidRPr="00B573F2" w:rsidRDefault="00B573F2" w:rsidP="00B573F2">
      <w:pPr>
        <w:rPr>
          <w:rFonts w:ascii="Times New Roman" w:hAnsi="Times New Roman" w:cs="Times New Roman"/>
          <w:lang w:val="en-US"/>
        </w:rPr>
      </w:pPr>
      <w:r w:rsidRPr="00B573F2">
        <w:rPr>
          <w:rFonts w:ascii="Times New Roman" w:hAnsi="Times New Roman" w:cs="Times New Roman"/>
          <w:lang w:val="en-US"/>
        </w:rPr>
        <w:t>monoenergetic beam for radiotherapy. Physics in medicine and biology, [online] 67(7),</w:t>
      </w:r>
    </w:p>
    <w:p w14:paraId="2508D3B1" w14:textId="416A986B" w:rsidR="009C3250" w:rsidRPr="009C3250" w:rsidRDefault="00B573F2" w:rsidP="00B573F2">
      <w:pPr>
        <w:rPr>
          <w:rFonts w:ascii="Times New Roman" w:hAnsi="Times New Roman" w:cs="Times New Roman"/>
          <w:lang w:val="en-US"/>
        </w:rPr>
      </w:pPr>
      <w:r w:rsidRPr="00B573F2">
        <w:rPr>
          <w:rFonts w:ascii="Times New Roman" w:hAnsi="Times New Roman" w:cs="Times New Roman"/>
          <w:lang w:val="en-US"/>
        </w:rPr>
        <w:t>p.07NT01. doi:10.1088/1361-6560/ac5c8f.</w:t>
      </w:r>
    </w:p>
    <w:p w14:paraId="5EADFEE5" w14:textId="77777777" w:rsidR="009C3250" w:rsidRPr="009C3250" w:rsidRDefault="009C3250" w:rsidP="009C3250">
      <w:pPr>
        <w:rPr>
          <w:rFonts w:ascii="Times New Roman" w:hAnsi="Times New Roman" w:cs="Times New Roman"/>
          <w:lang w:val="en-US"/>
        </w:rPr>
      </w:pPr>
      <w:r w:rsidRPr="009C3250">
        <w:rPr>
          <w:rFonts w:ascii="Times New Roman" w:hAnsi="Times New Roman" w:cs="Times New Roman"/>
          <w:lang w:val="en-US"/>
        </w:rPr>
        <w:t xml:space="preserve">[7] Isotope.by (n.d.) Safe extension of service life of sealed radioactive sources. Available at: </w:t>
      </w:r>
      <w:hyperlink r:id="rId22" w:history="1">
        <w:r w:rsidRPr="009C3250">
          <w:rPr>
            <w:rStyle w:val="Hyperlink"/>
            <w:rFonts w:ascii="Times New Roman" w:hAnsi="Times New Roman" w:cs="Times New Roman"/>
            <w:lang w:val="en-US"/>
          </w:rPr>
          <w:t>https://isotope.by/eng/novosty/bezopasnoe-prodlenie-sroka-sluzhby-zakrytykh-istoc/</w:t>
        </w:r>
      </w:hyperlink>
      <w:r w:rsidRPr="009C3250">
        <w:rPr>
          <w:rFonts w:ascii="Times New Roman" w:hAnsi="Times New Roman" w:cs="Times New Roman"/>
          <w:lang w:val="en-US"/>
        </w:rPr>
        <w:t xml:space="preserve"> (Accessed: 11 September 2026).</w:t>
      </w:r>
    </w:p>
    <w:p w14:paraId="54188FFA" w14:textId="7D02CB98" w:rsidR="009C3250" w:rsidRPr="009C3250" w:rsidRDefault="009C3250" w:rsidP="009C3250">
      <w:pPr>
        <w:rPr>
          <w:rFonts w:ascii="Times New Roman" w:hAnsi="Times New Roman" w:cs="Times New Roman"/>
          <w:lang w:val="en-US"/>
        </w:rPr>
      </w:pPr>
      <w:r w:rsidRPr="009C3250">
        <w:rPr>
          <w:rFonts w:ascii="Times New Roman" w:hAnsi="Times New Roman" w:cs="Times New Roman"/>
          <w:lang w:val="en-US"/>
        </w:rPr>
        <w:t>[8] Nordion (</w:t>
      </w:r>
      <w:r w:rsidR="00677B3A">
        <w:rPr>
          <w:rFonts w:ascii="Times New Roman" w:hAnsi="Times New Roman" w:cs="Times New Roman"/>
          <w:lang w:val="en-US"/>
        </w:rPr>
        <w:t>2026</w:t>
      </w:r>
      <w:r w:rsidRPr="009C3250">
        <w:rPr>
          <w:rFonts w:ascii="Times New Roman" w:hAnsi="Times New Roman" w:cs="Times New Roman"/>
          <w:lang w:val="en-US"/>
        </w:rPr>
        <w:t xml:space="preserve">) C-188 Cobalt-60 Sources. Available at: </w:t>
      </w:r>
      <w:hyperlink r:id="rId23" w:history="1">
        <w:r w:rsidRPr="009C3250">
          <w:rPr>
            <w:rStyle w:val="Hyperlink"/>
            <w:rFonts w:ascii="Times New Roman" w:hAnsi="Times New Roman" w:cs="Times New Roman"/>
            <w:lang w:val="en-US"/>
          </w:rPr>
          <w:t>https://www.nordion.com/products/c-188-cobalt-60-sources/</w:t>
        </w:r>
      </w:hyperlink>
      <w:r w:rsidRPr="009C3250">
        <w:rPr>
          <w:rFonts w:ascii="Times New Roman" w:hAnsi="Times New Roman" w:cs="Times New Roman"/>
          <w:lang w:val="en-US"/>
        </w:rPr>
        <w:t xml:space="preserve"> (Accessed: 11 September 2026).</w:t>
      </w:r>
    </w:p>
    <w:p w14:paraId="3B886D1A" w14:textId="77777777" w:rsidR="00677B3A" w:rsidRPr="00677B3A" w:rsidRDefault="009C3250" w:rsidP="00677B3A">
      <w:pPr>
        <w:rPr>
          <w:rFonts w:ascii="Times New Roman" w:hAnsi="Times New Roman" w:cs="Times New Roman"/>
          <w:lang w:val="en-US"/>
        </w:rPr>
      </w:pPr>
      <w:r w:rsidRPr="009C3250">
        <w:rPr>
          <w:rFonts w:ascii="Times New Roman" w:hAnsi="Times New Roman" w:cs="Times New Roman"/>
          <w:lang w:val="en-US"/>
        </w:rPr>
        <w:t xml:space="preserve">[9] </w:t>
      </w:r>
      <w:r w:rsidR="00677B3A" w:rsidRPr="00677B3A">
        <w:rPr>
          <w:rFonts w:ascii="Times New Roman" w:hAnsi="Times New Roman" w:cs="Times New Roman"/>
          <w:lang w:val="en-US"/>
        </w:rPr>
        <w:t>International Atomic Energy Agency (2026). Erythema and skin injuries. [online]</w:t>
      </w:r>
    </w:p>
    <w:p w14:paraId="7BCE4F24" w14:textId="77777777" w:rsidR="00677B3A" w:rsidRPr="00677B3A" w:rsidRDefault="00677B3A" w:rsidP="00677B3A">
      <w:pPr>
        <w:rPr>
          <w:rFonts w:ascii="Times New Roman" w:hAnsi="Times New Roman" w:cs="Times New Roman"/>
          <w:lang w:val="en-US"/>
        </w:rPr>
      </w:pPr>
      <w:r w:rsidRPr="00677B3A">
        <w:rPr>
          <w:rFonts w:ascii="Times New Roman" w:hAnsi="Times New Roman" w:cs="Times New Roman"/>
          <w:lang w:val="en-US"/>
        </w:rPr>
        <w:t>www.iaea.org. Available at: https://www.iaea.org/resources/rpop/health-</w:t>
      </w:r>
    </w:p>
    <w:p w14:paraId="4D583C2B" w14:textId="34BF09F8" w:rsidR="009C3250" w:rsidRPr="009C3250" w:rsidRDefault="00677B3A" w:rsidP="00677B3A">
      <w:pPr>
        <w:rPr>
          <w:rFonts w:ascii="Times New Roman" w:hAnsi="Times New Roman" w:cs="Times New Roman"/>
          <w:lang w:val="en-US"/>
        </w:rPr>
      </w:pPr>
      <w:r w:rsidRPr="00677B3A">
        <w:rPr>
          <w:rFonts w:ascii="Times New Roman" w:hAnsi="Times New Roman" w:cs="Times New Roman"/>
          <w:lang w:val="en-US"/>
        </w:rPr>
        <w:t>professionals/radiology/erythema [Accessed 11 Sept. 2026].</w:t>
      </w:r>
    </w:p>
    <w:p w14:paraId="4D090900" w14:textId="77777777" w:rsidR="009C3250" w:rsidRPr="009C3250" w:rsidRDefault="009C3250" w:rsidP="009C3250">
      <w:pPr>
        <w:rPr>
          <w:rFonts w:ascii="Times New Roman" w:hAnsi="Times New Roman" w:cs="Times New Roman"/>
          <w:lang w:val="en-US"/>
        </w:rPr>
      </w:pPr>
      <w:r w:rsidRPr="009C3250">
        <w:rPr>
          <w:rFonts w:ascii="Times New Roman" w:hAnsi="Times New Roman" w:cs="Times New Roman"/>
          <w:lang w:val="en-US"/>
        </w:rPr>
        <w:t>[10] NSEDA (2026) WEAPON Module 2 – Radiation Hazards and Protection. Course material.</w:t>
      </w:r>
    </w:p>
    <w:p w14:paraId="6EAB147F" w14:textId="77777777" w:rsidR="009C3250" w:rsidRPr="009C3250" w:rsidRDefault="009C3250" w:rsidP="009C3250">
      <w:pPr>
        <w:rPr>
          <w:rFonts w:ascii="Times New Roman" w:hAnsi="Times New Roman" w:cs="Times New Roman"/>
          <w:lang w:val="en-US"/>
        </w:rPr>
      </w:pPr>
      <w:r w:rsidRPr="009C3250">
        <w:rPr>
          <w:rFonts w:ascii="Times New Roman" w:hAnsi="Times New Roman" w:cs="Times New Roman"/>
          <w:lang w:val="en-US"/>
        </w:rPr>
        <w:lastRenderedPageBreak/>
        <w:t xml:space="preserve">[11] European Nuclear Installations Safety Standards Initiative (ENISS) (2026) Position Paper on the LNT Hypothesis. Available at: </w:t>
      </w:r>
      <w:hyperlink r:id="rId24" w:history="1">
        <w:r w:rsidRPr="009C3250">
          <w:rPr>
            <w:rStyle w:val="Hyperlink"/>
            <w:rFonts w:ascii="Times New Roman" w:hAnsi="Times New Roman" w:cs="Times New Roman"/>
            <w:lang w:val="en-US"/>
          </w:rPr>
          <w:t>https://nucleus.iaea.org/sites/committees/RASSC%20Documents/R.9.1%20ENISS%20Position%20Paper%20on%20LNT%20Hypothesis%20March%202026%20-%20FINAL.pdf</w:t>
        </w:r>
      </w:hyperlink>
      <w:r w:rsidRPr="009C3250">
        <w:rPr>
          <w:rFonts w:ascii="Times New Roman" w:hAnsi="Times New Roman" w:cs="Times New Roman"/>
          <w:lang w:val="en-US"/>
        </w:rPr>
        <w:t xml:space="preserve"> (Accessed: 11 September 2026).</w:t>
      </w:r>
    </w:p>
    <w:p w14:paraId="343E41A0" w14:textId="77777777" w:rsidR="009C3250" w:rsidRPr="009C3250" w:rsidRDefault="009C3250" w:rsidP="009C3250">
      <w:pPr>
        <w:rPr>
          <w:rFonts w:ascii="Times New Roman" w:hAnsi="Times New Roman" w:cs="Times New Roman"/>
          <w:lang w:val="en-US"/>
        </w:rPr>
      </w:pPr>
      <w:r w:rsidRPr="009C3250">
        <w:rPr>
          <w:rFonts w:ascii="Times New Roman" w:hAnsi="Times New Roman" w:cs="Times New Roman"/>
          <w:lang w:val="en-US"/>
        </w:rPr>
        <w:t xml:space="preserve">[12] Health and Safety Executive (2018) Working with </w:t>
      </w:r>
      <w:proofErr w:type="spellStart"/>
      <w:r w:rsidRPr="009C3250">
        <w:rPr>
          <w:rFonts w:ascii="Times New Roman" w:hAnsi="Times New Roman" w:cs="Times New Roman"/>
          <w:lang w:val="en-US"/>
        </w:rPr>
        <w:t>ionising</w:t>
      </w:r>
      <w:proofErr w:type="spellEnd"/>
      <w:r w:rsidRPr="009C3250">
        <w:rPr>
          <w:rFonts w:ascii="Times New Roman" w:hAnsi="Times New Roman" w:cs="Times New Roman"/>
          <w:lang w:val="en-US"/>
        </w:rPr>
        <w:t xml:space="preserve"> radiation. </w:t>
      </w:r>
      <w:proofErr w:type="spellStart"/>
      <w:r w:rsidRPr="009C3250">
        <w:rPr>
          <w:rFonts w:ascii="Times New Roman" w:hAnsi="Times New Roman" w:cs="Times New Roman"/>
          <w:lang w:val="en-US"/>
        </w:rPr>
        <w:t>Ionising</w:t>
      </w:r>
      <w:proofErr w:type="spellEnd"/>
      <w:r w:rsidRPr="009C3250">
        <w:rPr>
          <w:rFonts w:ascii="Times New Roman" w:hAnsi="Times New Roman" w:cs="Times New Roman"/>
          <w:lang w:val="en-US"/>
        </w:rPr>
        <w:t xml:space="preserve"> Radiations Regulations 2017. Approved Code of Practice and guidance. L121, Second edition. Available at: </w:t>
      </w:r>
      <w:hyperlink r:id="rId25" w:history="1">
        <w:r w:rsidRPr="009C3250">
          <w:rPr>
            <w:rStyle w:val="Hyperlink"/>
            <w:rFonts w:ascii="Times New Roman" w:hAnsi="Times New Roman" w:cs="Times New Roman"/>
            <w:lang w:val="en-US"/>
          </w:rPr>
          <w:t>https://www.hse.gov.uk/pubns/books/l121.htm</w:t>
        </w:r>
      </w:hyperlink>
      <w:r w:rsidRPr="009C3250">
        <w:rPr>
          <w:rFonts w:ascii="Times New Roman" w:hAnsi="Times New Roman" w:cs="Times New Roman"/>
          <w:lang w:val="en-US"/>
        </w:rPr>
        <w:t xml:space="preserve"> (Accessed: 11 September 2026).</w:t>
      </w:r>
    </w:p>
    <w:p w14:paraId="536869C5" w14:textId="77777777" w:rsidR="009C3250" w:rsidRPr="009C3250" w:rsidRDefault="009C3250" w:rsidP="009C3250">
      <w:pPr>
        <w:rPr>
          <w:rFonts w:ascii="Times New Roman" w:hAnsi="Times New Roman" w:cs="Times New Roman"/>
          <w:lang w:val="en-US"/>
        </w:rPr>
      </w:pPr>
      <w:r w:rsidRPr="009C3250">
        <w:rPr>
          <w:rFonts w:ascii="Times New Roman" w:hAnsi="Times New Roman" w:cs="Times New Roman"/>
          <w:lang w:val="en-US"/>
        </w:rPr>
        <w:t xml:space="preserve">[13] Office for Nuclear Regulation (2022) Delicensing of the Imperial College Consort Reactor Site. Available at: </w:t>
      </w:r>
      <w:hyperlink r:id="rId26" w:history="1">
        <w:r w:rsidRPr="009C3250">
          <w:rPr>
            <w:rStyle w:val="Hyperlink"/>
            <w:rFonts w:ascii="Times New Roman" w:hAnsi="Times New Roman" w:cs="Times New Roman"/>
            <w:lang w:val="en-US"/>
          </w:rPr>
          <w:t>https://www.onr.org.uk/our-work/how-we-regulate/nuclear-site-licensing/delicensing</w:t>
        </w:r>
      </w:hyperlink>
      <w:r w:rsidRPr="009C3250">
        <w:rPr>
          <w:rFonts w:ascii="Times New Roman" w:hAnsi="Times New Roman" w:cs="Times New Roman"/>
          <w:lang w:val="en-US"/>
        </w:rPr>
        <w:t xml:space="preserve"> (Accessed: 11 September 2026).</w:t>
      </w:r>
    </w:p>
    <w:p w14:paraId="67AE91D1" w14:textId="77777777" w:rsidR="009C3250" w:rsidRPr="009C3250" w:rsidRDefault="009C3250" w:rsidP="009C3250">
      <w:pPr>
        <w:rPr>
          <w:rFonts w:ascii="Times New Roman" w:hAnsi="Times New Roman" w:cs="Times New Roman"/>
          <w:lang w:val="en-US"/>
        </w:rPr>
      </w:pPr>
      <w:r w:rsidRPr="009C3250">
        <w:rPr>
          <w:rFonts w:ascii="Times New Roman" w:hAnsi="Times New Roman" w:cs="Times New Roman"/>
          <w:lang w:val="en-US"/>
        </w:rPr>
        <w:t xml:space="preserve">[14] Office for Nuclear Regulation (n.d.) ONR Safety Assessment Principles for Nuclear Facilities. Available at: </w:t>
      </w:r>
      <w:hyperlink r:id="rId27" w:history="1">
        <w:r w:rsidRPr="009C3250">
          <w:rPr>
            <w:rStyle w:val="Hyperlink"/>
            <w:rFonts w:ascii="Times New Roman" w:hAnsi="Times New Roman" w:cs="Times New Roman"/>
            <w:lang w:val="en-US"/>
          </w:rPr>
          <w:t>https://www.onr.org.uk/media/wjmfh2gv/ro-ukhpr1000-0058.pdf</w:t>
        </w:r>
      </w:hyperlink>
      <w:r w:rsidRPr="009C3250">
        <w:rPr>
          <w:rFonts w:ascii="Times New Roman" w:hAnsi="Times New Roman" w:cs="Times New Roman"/>
          <w:lang w:val="en-US"/>
        </w:rPr>
        <w:t xml:space="preserve"> (Accessed: 11 September 2026).</w:t>
      </w:r>
    </w:p>
    <w:p w14:paraId="2F1CE44E" w14:textId="77777777" w:rsidR="009C3250" w:rsidRPr="009C3250" w:rsidRDefault="009C3250" w:rsidP="009C3250">
      <w:pPr>
        <w:rPr>
          <w:rFonts w:ascii="Times New Roman" w:hAnsi="Times New Roman" w:cs="Times New Roman"/>
          <w:lang w:val="en-US"/>
        </w:rPr>
      </w:pPr>
      <w:r w:rsidRPr="009C3250">
        <w:rPr>
          <w:rFonts w:ascii="Times New Roman" w:hAnsi="Times New Roman" w:cs="Times New Roman"/>
          <w:lang w:val="en-US"/>
        </w:rPr>
        <w:t xml:space="preserve">[15] Reason, J. (1997) Managing the Risks of Organizational Accidents. Aldershot: Ashgate. Available at: </w:t>
      </w:r>
      <w:hyperlink r:id="rId28" w:history="1">
        <w:r w:rsidRPr="009C3250">
          <w:rPr>
            <w:rStyle w:val="Hyperlink"/>
            <w:rFonts w:ascii="Times New Roman" w:hAnsi="Times New Roman" w:cs="Times New Roman"/>
            <w:lang w:val="en-US"/>
          </w:rPr>
          <w:t>https://doi.org/10.1017/CBO9781139062367</w:t>
        </w:r>
      </w:hyperlink>
      <w:r w:rsidRPr="009C3250">
        <w:rPr>
          <w:rFonts w:ascii="Times New Roman" w:hAnsi="Times New Roman" w:cs="Times New Roman"/>
          <w:lang w:val="en-US"/>
        </w:rPr>
        <w:t xml:space="preserve"> (Accessed: 11 September 2026).</w:t>
      </w:r>
    </w:p>
    <w:p w14:paraId="026F54F6" w14:textId="77777777" w:rsidR="009C3250" w:rsidRPr="009C3250" w:rsidRDefault="009C3250" w:rsidP="009C3250">
      <w:pPr>
        <w:rPr>
          <w:rFonts w:ascii="Times New Roman" w:hAnsi="Times New Roman" w:cs="Times New Roman"/>
          <w:lang w:val="en-US"/>
        </w:rPr>
      </w:pPr>
      <w:r w:rsidRPr="009C3250">
        <w:rPr>
          <w:rFonts w:ascii="Times New Roman" w:hAnsi="Times New Roman" w:cs="Times New Roman"/>
          <w:lang w:val="en-US"/>
        </w:rPr>
        <w:t xml:space="preserve">[16] UK Government, Export Control Joint Unit (2025) Controls on radioactive sources. Available at: </w:t>
      </w:r>
      <w:hyperlink r:id="rId29" w:history="1">
        <w:r w:rsidRPr="009C3250">
          <w:rPr>
            <w:rStyle w:val="Hyperlink"/>
            <w:rFonts w:ascii="Times New Roman" w:hAnsi="Times New Roman" w:cs="Times New Roman"/>
            <w:lang w:val="en-US"/>
          </w:rPr>
          <w:t>https://www.gov.uk/guidance/controls-on-radioactive-sources</w:t>
        </w:r>
      </w:hyperlink>
      <w:r w:rsidRPr="009C3250">
        <w:rPr>
          <w:rFonts w:ascii="Times New Roman" w:hAnsi="Times New Roman" w:cs="Times New Roman"/>
          <w:lang w:val="en-US"/>
        </w:rPr>
        <w:t xml:space="preserve"> (Accessed: 11 September 2026).</w:t>
      </w:r>
    </w:p>
    <w:p w14:paraId="74EBA5D6" w14:textId="77777777" w:rsidR="00C769BE" w:rsidRDefault="00C769BE" w:rsidP="001F54BB">
      <w:pPr>
        <w:rPr>
          <w:rFonts w:ascii="Times New Roman" w:hAnsi="Times New Roman" w:cs="Times New Roman"/>
          <w:lang w:val="en-US"/>
        </w:rPr>
      </w:pPr>
    </w:p>
    <w:p w14:paraId="03E51983" w14:textId="4C2AD391" w:rsidR="00F35064" w:rsidRDefault="00F35064">
      <w:pPr>
        <w:rPr>
          <w:rFonts w:ascii="Times New Roman" w:hAnsi="Times New Roman" w:cs="Times New Roman"/>
          <w:lang w:val="en-US"/>
        </w:rPr>
      </w:pPr>
      <w:r>
        <w:rPr>
          <w:rFonts w:ascii="Times New Roman" w:hAnsi="Times New Roman" w:cs="Times New Roman"/>
          <w:lang w:val="en-US"/>
        </w:rPr>
        <w:br w:type="page"/>
      </w:r>
    </w:p>
    <w:p w14:paraId="220336F2" w14:textId="77777777" w:rsidR="0016110F" w:rsidRDefault="0016110F" w:rsidP="001F54BB">
      <w:pPr>
        <w:rPr>
          <w:rFonts w:ascii="Times New Roman" w:hAnsi="Times New Roman" w:cs="Times New Roman"/>
          <w:lang w:val="en-US"/>
        </w:rPr>
      </w:pPr>
    </w:p>
    <w:p w14:paraId="1B1287BD" w14:textId="77777777" w:rsidR="0016110F" w:rsidRDefault="0016110F" w:rsidP="001F54BB">
      <w:pPr>
        <w:rPr>
          <w:rFonts w:ascii="Times New Roman" w:hAnsi="Times New Roman" w:cs="Times New Roman"/>
          <w:lang w:val="en-US"/>
        </w:rPr>
      </w:pPr>
    </w:p>
    <w:p w14:paraId="3B307990" w14:textId="20E8B970" w:rsidR="0016110F" w:rsidRDefault="0016110F" w:rsidP="0016110F">
      <w:pPr>
        <w:pStyle w:val="Heading1"/>
        <w:rPr>
          <w:lang w:val="en-US"/>
        </w:rPr>
      </w:pPr>
      <w:bookmarkStart w:id="26" w:name="_Toc240031075"/>
      <w:r>
        <w:rPr>
          <w:lang w:val="en-US"/>
        </w:rPr>
        <w:t>Annex A</w:t>
      </w:r>
      <w:bookmarkEnd w:id="26"/>
    </w:p>
    <w:p w14:paraId="04E3D9E6" w14:textId="77777777" w:rsidR="0016110F" w:rsidRDefault="0016110F" w:rsidP="001F54BB">
      <w:pPr>
        <w:rPr>
          <w:rFonts w:ascii="Times New Roman" w:hAnsi="Times New Roman" w:cs="Times New Roman"/>
          <w:lang w:val="en-US"/>
        </w:rPr>
      </w:pPr>
    </w:p>
    <w:p w14:paraId="7DD329BD" w14:textId="77777777" w:rsidR="0016110F" w:rsidRPr="00BB31AE" w:rsidRDefault="0016110F" w:rsidP="0016110F">
      <w:pPr>
        <w:pStyle w:val="Heading2"/>
      </w:pPr>
      <w:bookmarkStart w:id="27" w:name="_Toc240031076"/>
      <w:r w:rsidRPr="00BB31AE">
        <w:t>Dosimetry Calculations</w:t>
      </w:r>
      <w:bookmarkEnd w:id="27"/>
      <w:r w:rsidRPr="00BB31AE">
        <w:t> </w:t>
      </w:r>
    </w:p>
    <w:p w14:paraId="28F5395D" w14:textId="77777777" w:rsidR="0016110F" w:rsidRPr="00BB31AE" w:rsidRDefault="0016110F" w:rsidP="0016110F">
      <w:pPr>
        <w:pStyle w:val="paragraph"/>
        <w:spacing w:before="0" w:beforeAutospacing="0" w:after="0" w:afterAutospacing="0"/>
        <w:textAlignment w:val="baseline"/>
        <w:rPr>
          <w:rStyle w:val="normaltextrun"/>
          <w:sz w:val="22"/>
          <w:szCs w:val="22"/>
          <w:highlight w:val="yellow"/>
          <w:lang w:val="en-GB"/>
        </w:rPr>
      </w:pPr>
    </w:p>
    <w:p w14:paraId="62A66872" w14:textId="77777777" w:rsidR="0016110F" w:rsidRPr="00BB31AE" w:rsidRDefault="0016110F" w:rsidP="0016110F">
      <w:pPr>
        <w:pStyle w:val="paragraph"/>
        <w:spacing w:before="0" w:beforeAutospacing="0" w:after="0" w:afterAutospacing="0"/>
        <w:jc w:val="center"/>
        <w:textAlignment w:val="baseline"/>
        <w:rPr>
          <w:sz w:val="22"/>
          <w:szCs w:val="22"/>
          <w:lang w:val="en-GB"/>
        </w:rPr>
      </w:pPr>
      <w:r w:rsidRPr="00BB31AE">
        <w:rPr>
          <w:rStyle w:val="normaltextrun"/>
          <w:sz w:val="22"/>
          <w:szCs w:val="22"/>
          <w:lang w:val="en-GB"/>
        </w:rPr>
        <w:t>Original Activity: Cs</w:t>
      </w:r>
      <w:r w:rsidRPr="00BB31AE">
        <w:rPr>
          <w:rStyle w:val="nobreakhyphenblob"/>
          <w:sz w:val="22"/>
          <w:szCs w:val="22"/>
          <w:lang w:val="en-GB"/>
        </w:rPr>
        <w:noBreakHyphen/>
      </w:r>
      <w:r w:rsidRPr="00BB31AE">
        <w:rPr>
          <w:rStyle w:val="normaltextrun"/>
          <w:sz w:val="22"/>
          <w:szCs w:val="22"/>
          <w:lang w:val="en-GB"/>
        </w:rPr>
        <w:t xml:space="preserve">137 ≈240 </w:t>
      </w:r>
      <w:proofErr w:type="spellStart"/>
      <w:r w:rsidRPr="00BB31AE">
        <w:rPr>
          <w:rStyle w:val="normaltextrun"/>
          <w:sz w:val="22"/>
          <w:szCs w:val="22"/>
          <w:lang w:val="en-GB"/>
        </w:rPr>
        <w:t>TBq</w:t>
      </w:r>
      <w:proofErr w:type="spellEnd"/>
      <w:r w:rsidRPr="00BB31AE">
        <w:rPr>
          <w:rStyle w:val="normaltextrun"/>
          <w:sz w:val="22"/>
          <w:szCs w:val="22"/>
          <w:lang w:val="en-GB"/>
        </w:rPr>
        <w:t xml:space="preserve"> certified on 12 May 1994</w:t>
      </w:r>
    </w:p>
    <w:p w14:paraId="2501B814" w14:textId="77777777" w:rsidR="0016110F" w:rsidRPr="00BB31AE" w:rsidRDefault="0016110F" w:rsidP="0016110F">
      <w:pPr>
        <w:pStyle w:val="paragraph"/>
        <w:spacing w:before="0" w:beforeAutospacing="0" w:after="0" w:afterAutospacing="0"/>
        <w:jc w:val="center"/>
        <w:textAlignment w:val="baseline"/>
        <w:rPr>
          <w:rStyle w:val="normaltextrun"/>
          <w:sz w:val="22"/>
          <w:szCs w:val="22"/>
          <w:lang w:val="en-GB"/>
        </w:rPr>
      </w:pPr>
    </w:p>
    <w:p w14:paraId="4DFFA8DD" w14:textId="77777777" w:rsidR="0016110F" w:rsidRPr="00BB31AE" w:rsidRDefault="0016110F" w:rsidP="0016110F">
      <w:pPr>
        <w:pStyle w:val="paragraph"/>
        <w:spacing w:before="0" w:beforeAutospacing="0" w:after="0" w:afterAutospacing="0"/>
        <w:jc w:val="center"/>
        <w:textAlignment w:val="baseline"/>
        <w:rPr>
          <w:sz w:val="18"/>
          <w:szCs w:val="18"/>
          <w:lang w:val="en-GB"/>
        </w:rPr>
      </w:pPr>
      <w:r w:rsidRPr="00BB31AE">
        <w:rPr>
          <w:rStyle w:val="normaltextrun"/>
          <w:sz w:val="22"/>
          <w:szCs w:val="22"/>
          <w:lang w:val="en-GB"/>
        </w:rPr>
        <w:t>Half-life of 137Cs = 30.17 years</w:t>
      </w:r>
    </w:p>
    <w:p w14:paraId="63FDF8B4" w14:textId="77777777" w:rsidR="0016110F" w:rsidRPr="00BB31AE" w:rsidRDefault="0016110F" w:rsidP="0016110F">
      <w:pPr>
        <w:pStyle w:val="paragraph"/>
        <w:spacing w:before="0" w:beforeAutospacing="0" w:after="0" w:afterAutospacing="0"/>
        <w:jc w:val="center"/>
        <w:textAlignment w:val="baseline"/>
        <w:rPr>
          <w:sz w:val="22"/>
          <w:szCs w:val="22"/>
          <w:lang w:val="en-GB"/>
        </w:rPr>
      </w:pPr>
      <w:r w:rsidRPr="00BB31AE">
        <w:rPr>
          <w:rStyle w:val="normaltextrun"/>
          <w:sz w:val="22"/>
          <w:szCs w:val="22"/>
          <w:lang w:val="en-GB"/>
        </w:rPr>
        <w:t xml:space="preserve">Reduction in 137Cs for one year is = </w:t>
      </w:r>
      <m:oMath>
        <m:sSup>
          <m:sSupPr>
            <m:ctrlPr>
              <w:rPr>
                <w:rStyle w:val="normaltextrun"/>
                <w:rFonts w:ascii="Cambria Math" w:hAnsi="Cambria Math"/>
                <w:sz w:val="22"/>
                <w:szCs w:val="22"/>
                <w:lang w:val="en-GB"/>
              </w:rPr>
            </m:ctrlPr>
          </m:sSupPr>
          <m:e>
            <m:d>
              <m:dPr>
                <m:ctrlPr>
                  <w:rPr>
                    <w:rStyle w:val="normaltextrun"/>
                    <w:rFonts w:ascii="Cambria Math" w:hAnsi="Cambria Math"/>
                    <w:sz w:val="22"/>
                    <w:szCs w:val="22"/>
                    <w:lang w:val="en-GB"/>
                  </w:rPr>
                </m:ctrlPr>
              </m:dPr>
              <m:e>
                <m:r>
                  <m:rPr>
                    <m:sty m:val="p"/>
                  </m:rPr>
                  <w:rPr>
                    <w:rStyle w:val="normaltextrun"/>
                    <w:rFonts w:ascii="Cambria Math" w:hAnsi="Cambria Math"/>
                    <w:sz w:val="22"/>
                    <w:szCs w:val="22"/>
                    <w:lang w:val="en-GB"/>
                  </w:rPr>
                  <m:t>0.5</m:t>
                </m:r>
              </m:e>
            </m:d>
            <m:ctrlPr>
              <w:rPr>
                <w:rStyle w:val="normaltextrun"/>
                <w:rFonts w:ascii="Cambria Math" w:hAnsi="Cambria Math"/>
                <w:i/>
                <w:sz w:val="22"/>
                <w:szCs w:val="22"/>
                <w:lang w:val="en-GB"/>
              </w:rPr>
            </m:ctrlPr>
          </m:e>
          <m:sup>
            <m:r>
              <w:rPr>
                <w:rStyle w:val="normaltextrun"/>
                <w:rFonts w:ascii="Cambria Math" w:hAnsi="Cambria Math"/>
                <w:sz w:val="22"/>
                <w:szCs w:val="22"/>
                <w:lang w:val="en-GB"/>
              </w:rPr>
              <m:t>(</m:t>
            </m:r>
            <m:f>
              <m:fPr>
                <m:ctrlPr>
                  <w:rPr>
                    <w:rStyle w:val="normaltextrun"/>
                    <w:rFonts w:ascii="Cambria Math" w:hAnsi="Cambria Math"/>
                    <w:sz w:val="22"/>
                    <w:szCs w:val="22"/>
                    <w:lang w:val="en-GB"/>
                  </w:rPr>
                </m:ctrlPr>
              </m:fPr>
              <m:num>
                <m:r>
                  <m:rPr>
                    <m:sty m:val="p"/>
                  </m:rPr>
                  <w:rPr>
                    <w:rStyle w:val="normaltextrun"/>
                    <w:rFonts w:ascii="Cambria Math" w:hAnsi="Cambria Math"/>
                    <w:sz w:val="22"/>
                    <w:szCs w:val="22"/>
                    <w:lang w:val="en-GB"/>
                  </w:rPr>
                  <m:t>1</m:t>
                </m:r>
              </m:num>
              <m:den>
                <m:r>
                  <m:rPr>
                    <m:sty m:val="p"/>
                  </m:rPr>
                  <w:rPr>
                    <w:rStyle w:val="normaltextrun"/>
                    <w:rFonts w:ascii="Cambria Math" w:hAnsi="Cambria Math"/>
                    <w:sz w:val="22"/>
                    <w:szCs w:val="22"/>
                    <w:lang w:val="en-GB"/>
                  </w:rPr>
                  <m:t>30.17</m:t>
                </m:r>
              </m:den>
            </m:f>
            <m:r>
              <w:rPr>
                <w:rStyle w:val="normaltextrun"/>
                <w:rFonts w:ascii="Cambria Math" w:hAnsi="Cambria Math"/>
                <w:sz w:val="22"/>
                <w:szCs w:val="22"/>
                <w:lang w:val="en-GB"/>
              </w:rPr>
              <m:t>)</m:t>
            </m:r>
          </m:sup>
        </m:sSup>
      </m:oMath>
      <w:r w:rsidRPr="00BB31AE">
        <w:rPr>
          <w:rStyle w:val="normaltextrun"/>
          <w:sz w:val="22"/>
          <w:szCs w:val="22"/>
          <w:lang w:val="en-GB"/>
        </w:rPr>
        <w:t xml:space="preserve"> = 0.977 or 97.7% ≈ 2.3% decay each year</w:t>
      </w:r>
    </w:p>
    <w:p w14:paraId="213B0A1A" w14:textId="77777777" w:rsidR="0016110F" w:rsidRPr="00BB31AE" w:rsidRDefault="0016110F" w:rsidP="0016110F">
      <w:pPr>
        <w:pStyle w:val="paragraph"/>
        <w:spacing w:before="0" w:beforeAutospacing="0" w:after="0" w:afterAutospacing="0"/>
        <w:jc w:val="center"/>
        <w:textAlignment w:val="baseline"/>
        <w:rPr>
          <w:sz w:val="18"/>
          <w:szCs w:val="18"/>
          <w:lang w:val="en-GB"/>
        </w:rPr>
      </w:pPr>
    </w:p>
    <w:p w14:paraId="70FF52D2" w14:textId="77777777" w:rsidR="0016110F" w:rsidRPr="00BB31AE" w:rsidRDefault="0016110F" w:rsidP="0016110F">
      <w:pPr>
        <w:pStyle w:val="paragraph"/>
        <w:spacing w:before="0" w:beforeAutospacing="0" w:after="0" w:afterAutospacing="0"/>
        <w:jc w:val="center"/>
        <w:textAlignment w:val="baseline"/>
        <w:rPr>
          <w:sz w:val="18"/>
          <w:szCs w:val="18"/>
          <w:lang w:val="en-GB"/>
        </w:rPr>
      </w:pPr>
      <w:r w:rsidRPr="00BB31AE">
        <w:rPr>
          <w:rStyle w:val="normaltextrun"/>
          <w:sz w:val="22"/>
          <w:szCs w:val="22"/>
          <w:lang w:val="en-GB"/>
        </w:rPr>
        <w:t>There are 30 years, 5 months, and 22 days between 12 May 1994 and 3 November 2024</w:t>
      </w:r>
    </w:p>
    <w:p w14:paraId="0E193828" w14:textId="77777777" w:rsidR="0016110F" w:rsidRPr="00BB31AE" w:rsidRDefault="0016110F" w:rsidP="0016110F">
      <w:pPr>
        <w:pStyle w:val="paragraph"/>
        <w:spacing w:before="0" w:beforeAutospacing="0" w:after="0" w:afterAutospacing="0"/>
        <w:jc w:val="center"/>
        <w:textAlignment w:val="baseline"/>
        <w:rPr>
          <w:sz w:val="18"/>
          <w:szCs w:val="18"/>
          <w:lang w:val="en-GB"/>
        </w:rPr>
      </w:pPr>
      <w:r w:rsidRPr="00BB31AE">
        <w:rPr>
          <w:rStyle w:val="normaltextrun"/>
          <w:sz w:val="22"/>
          <w:szCs w:val="22"/>
          <w:lang w:val="en-GB"/>
        </w:rPr>
        <w:t>137Cs as a % after decay= (1/</w:t>
      </w:r>
      <w:proofErr w:type="gramStart"/>
      <w:r w:rsidRPr="00BB31AE">
        <w:rPr>
          <w:rStyle w:val="normaltextrun"/>
          <w:sz w:val="22"/>
          <w:szCs w:val="22"/>
          <w:lang w:val="en-GB"/>
        </w:rPr>
        <w:t>2)^</w:t>
      </w:r>
      <w:proofErr w:type="gramEnd"/>
      <w:r w:rsidRPr="00BB31AE">
        <w:rPr>
          <w:rStyle w:val="normaltextrun"/>
          <w:sz w:val="22"/>
          <w:szCs w:val="22"/>
          <w:lang w:val="en-GB"/>
        </w:rPr>
        <w:t>t/^t1/2 = (1/</w:t>
      </w:r>
      <w:proofErr w:type="gramStart"/>
      <w:r w:rsidRPr="00BB31AE">
        <w:rPr>
          <w:rStyle w:val="normaltextrun"/>
          <w:sz w:val="22"/>
          <w:szCs w:val="22"/>
          <w:lang w:val="en-GB"/>
        </w:rPr>
        <w:t>2)^</w:t>
      </w:r>
      <w:proofErr w:type="gramEnd"/>
      <w:r w:rsidRPr="00BB31AE">
        <w:rPr>
          <w:rStyle w:val="normaltextrun"/>
          <w:sz w:val="22"/>
          <w:szCs w:val="22"/>
          <w:lang w:val="en-GB"/>
        </w:rPr>
        <w:t>(30.48/30.17) = 0.4965 = 49.6% left</w:t>
      </w:r>
    </w:p>
    <w:p w14:paraId="788BFF5D" w14:textId="77777777" w:rsidR="0016110F" w:rsidRPr="00BB31AE" w:rsidRDefault="0016110F" w:rsidP="0016110F">
      <w:pPr>
        <w:jc w:val="center"/>
        <w:rPr>
          <w:rFonts w:ascii="Times New Roman" w:hAnsi="Times New Roman" w:cs="Times New Roman"/>
        </w:rPr>
      </w:pPr>
    </w:p>
    <w:p w14:paraId="2DD092C4" w14:textId="77777777" w:rsidR="0016110F" w:rsidRPr="00BB31AE" w:rsidRDefault="0016110F" w:rsidP="0016110F">
      <w:pPr>
        <w:jc w:val="center"/>
        <w:rPr>
          <w:rFonts w:ascii="Times New Roman" w:hAnsi="Times New Roman" w:cs="Times New Roman"/>
        </w:rPr>
      </w:pPr>
      <w:r w:rsidRPr="00BB31AE">
        <w:rPr>
          <w:rFonts w:ascii="Times New Roman" w:hAnsi="Times New Roman" w:cs="Times New Roman"/>
        </w:rPr>
        <w:t xml:space="preserve">Current Activity: 119.16 </w:t>
      </w:r>
      <w:proofErr w:type="spellStart"/>
      <w:r w:rsidRPr="00BB31AE">
        <w:rPr>
          <w:rFonts w:ascii="Times New Roman" w:hAnsi="Times New Roman" w:cs="Times New Roman"/>
        </w:rPr>
        <w:t>TBq</w:t>
      </w:r>
      <w:proofErr w:type="spellEnd"/>
      <w:r w:rsidRPr="00BB31AE">
        <w:rPr>
          <w:rFonts w:ascii="Times New Roman" w:hAnsi="Times New Roman" w:cs="Times New Roman"/>
        </w:rPr>
        <w:t xml:space="preserve"> (119160 </w:t>
      </w:r>
      <w:proofErr w:type="spellStart"/>
      <w:r w:rsidRPr="00BB31AE">
        <w:rPr>
          <w:rFonts w:ascii="Times New Roman" w:hAnsi="Times New Roman" w:cs="Times New Roman"/>
        </w:rPr>
        <w:t>GBq</w:t>
      </w:r>
      <w:proofErr w:type="spellEnd"/>
      <w:r w:rsidRPr="00BB31AE">
        <w:rPr>
          <w:rFonts w:ascii="Times New Roman" w:hAnsi="Times New Roman" w:cs="Times New Roman"/>
        </w:rPr>
        <w:t>)</w:t>
      </w:r>
    </w:p>
    <w:p w14:paraId="359B25F9" w14:textId="77777777" w:rsidR="0016110F" w:rsidRPr="00BB31AE" w:rsidRDefault="0016110F" w:rsidP="0016110F">
      <w:pPr>
        <w:rPr>
          <w:rFonts w:ascii="Times New Roman" w:hAnsi="Times New Roman" w:cs="Times New Roman"/>
        </w:rPr>
      </w:pPr>
    </w:p>
    <w:p w14:paraId="1C0C80D9" w14:textId="77777777" w:rsidR="0016110F" w:rsidRPr="00BB31AE" w:rsidRDefault="0016110F" w:rsidP="0016110F">
      <w:pPr>
        <w:jc w:val="center"/>
        <w:rPr>
          <w:rFonts w:ascii="Times New Roman" w:eastAsiaTheme="minorEastAsia" w:hAnsi="Times New Roman" w:cs="Times New Roman"/>
        </w:rPr>
      </w:pPr>
      <w:r w:rsidRPr="00BB31AE">
        <w:rPr>
          <w:rFonts w:ascii="Times New Roman" w:hAnsi="Times New Roman" w:cs="Times New Roman"/>
        </w:rPr>
        <w:t>Dose rate ≈ Γ</w:t>
      </w:r>
      <m:oMath>
        <m:r>
          <w:rPr>
            <w:rFonts w:ascii="Cambria Math" w:hAnsi="Cambria Math" w:cs="Times New Roman"/>
          </w:rPr>
          <m:t xml:space="preserve"> ×</m:t>
        </m:r>
        <m:f>
          <m:fPr>
            <m:ctrlPr>
              <w:rPr>
                <w:rFonts w:ascii="Cambria Math" w:hAnsi="Cambria Math" w:cs="Times New Roman"/>
                <w:i/>
              </w:rPr>
            </m:ctrlPr>
          </m:fPr>
          <m:num>
            <m:r>
              <w:rPr>
                <w:rFonts w:ascii="Cambria Math" w:hAnsi="Cambria Math" w:cs="Times New Roman"/>
              </w:rPr>
              <m:t>A</m:t>
            </m:r>
          </m:num>
          <m:den>
            <m:sSup>
              <m:sSupPr>
                <m:ctrlPr>
                  <w:rPr>
                    <w:rFonts w:ascii="Cambria Math" w:hAnsi="Cambria Math" w:cs="Times New Roman"/>
                    <w:i/>
                  </w:rPr>
                </m:ctrlPr>
              </m:sSupPr>
              <m:e>
                <m:r>
                  <w:rPr>
                    <w:rFonts w:ascii="Cambria Math" w:hAnsi="Cambria Math" w:cs="Times New Roman"/>
                  </w:rPr>
                  <m:t>r</m:t>
                </m:r>
              </m:e>
              <m:sup>
                <m:r>
                  <w:rPr>
                    <w:rFonts w:ascii="Cambria Math" w:hAnsi="Cambria Math" w:cs="Times New Roman"/>
                  </w:rPr>
                  <m:t>2</m:t>
                </m:r>
              </m:sup>
            </m:sSup>
          </m:den>
        </m:f>
      </m:oMath>
    </w:p>
    <w:p w14:paraId="26B7D1EF" w14:textId="77777777" w:rsidR="0016110F" w:rsidRPr="00BB31AE" w:rsidRDefault="0016110F" w:rsidP="0016110F">
      <w:pPr>
        <w:jc w:val="center"/>
        <w:rPr>
          <w:rFonts w:ascii="Times New Roman" w:eastAsiaTheme="minorEastAsia" w:hAnsi="Times New Roman" w:cs="Times New Roman"/>
        </w:rPr>
      </w:pPr>
    </w:p>
    <w:p w14:paraId="74FD9424" w14:textId="77777777" w:rsidR="0016110F" w:rsidRPr="00BB31AE" w:rsidRDefault="0016110F" w:rsidP="0016110F">
      <w:pPr>
        <w:rPr>
          <w:rFonts w:ascii="Times New Roman" w:hAnsi="Times New Roman" w:cs="Times New Roman"/>
        </w:rPr>
      </w:pPr>
      <w:r w:rsidRPr="00BB31AE">
        <w:rPr>
          <w:rFonts w:ascii="Times New Roman" w:hAnsi="Times New Roman" w:cs="Times New Roman"/>
        </w:rPr>
        <w:t>Where: </w:t>
      </w:r>
    </w:p>
    <w:p w14:paraId="3F290C82" w14:textId="77777777" w:rsidR="0016110F" w:rsidRPr="00BB31AE" w:rsidRDefault="0016110F" w:rsidP="0016110F">
      <w:pPr>
        <w:rPr>
          <w:rFonts w:ascii="Times New Roman" w:hAnsi="Times New Roman" w:cs="Times New Roman"/>
        </w:rPr>
      </w:pPr>
      <w:r w:rsidRPr="00BB31AE">
        <w:rPr>
          <w:rFonts w:ascii="Times New Roman" w:hAnsi="Times New Roman" w:cs="Times New Roman"/>
        </w:rPr>
        <w:t>Γ = gamma constant for the isotope (mSv·m² / (</w:t>
      </w:r>
      <w:proofErr w:type="spellStart"/>
      <w:r w:rsidRPr="00BB31AE">
        <w:rPr>
          <w:rFonts w:ascii="Times New Roman" w:hAnsi="Times New Roman" w:cs="Times New Roman"/>
        </w:rPr>
        <w:t>GBq·h</w:t>
      </w:r>
      <w:proofErr w:type="spellEnd"/>
      <w:r w:rsidRPr="00BB31AE">
        <w:rPr>
          <w:rFonts w:ascii="Times New Roman" w:hAnsi="Times New Roman" w:cs="Times New Roman"/>
        </w:rPr>
        <w:t>)) </w:t>
      </w:r>
    </w:p>
    <w:p w14:paraId="24D1B291" w14:textId="77777777" w:rsidR="0016110F" w:rsidRPr="00BB31AE" w:rsidRDefault="0016110F" w:rsidP="0016110F">
      <w:pPr>
        <w:rPr>
          <w:rFonts w:ascii="Times New Roman" w:hAnsi="Times New Roman" w:cs="Times New Roman"/>
        </w:rPr>
      </w:pPr>
      <w:r w:rsidRPr="00BB31AE">
        <w:rPr>
          <w:rFonts w:ascii="Times New Roman" w:hAnsi="Times New Roman" w:cs="Times New Roman"/>
        </w:rPr>
        <w:t>A = source activity (</w:t>
      </w:r>
      <w:proofErr w:type="spellStart"/>
      <w:r w:rsidRPr="00BB31AE">
        <w:rPr>
          <w:rFonts w:ascii="Times New Roman" w:hAnsi="Times New Roman" w:cs="Times New Roman"/>
        </w:rPr>
        <w:t>GBq</w:t>
      </w:r>
      <w:proofErr w:type="spellEnd"/>
      <w:r w:rsidRPr="00BB31AE">
        <w:rPr>
          <w:rFonts w:ascii="Times New Roman" w:hAnsi="Times New Roman" w:cs="Times New Roman"/>
        </w:rPr>
        <w:t>) </w:t>
      </w:r>
    </w:p>
    <w:p w14:paraId="1BBC2843" w14:textId="77777777" w:rsidR="0016110F" w:rsidRPr="00BB31AE" w:rsidRDefault="0016110F" w:rsidP="0016110F">
      <w:pPr>
        <w:rPr>
          <w:rFonts w:ascii="Times New Roman" w:hAnsi="Times New Roman" w:cs="Times New Roman"/>
        </w:rPr>
      </w:pPr>
      <w:r w:rsidRPr="00BB31AE">
        <w:rPr>
          <w:rFonts w:ascii="Times New Roman" w:hAnsi="Times New Roman" w:cs="Times New Roman"/>
        </w:rPr>
        <w:t>r = distance from the source (m) </w:t>
      </w:r>
    </w:p>
    <w:p w14:paraId="1C61660A" w14:textId="77777777" w:rsidR="0016110F" w:rsidRPr="00BB31AE" w:rsidRDefault="0016110F" w:rsidP="0016110F">
      <w:pPr>
        <w:jc w:val="center"/>
        <w:rPr>
          <w:rFonts w:ascii="Times New Roman" w:hAnsi="Times New Roman" w:cs="Times New Roman"/>
        </w:rPr>
      </w:pPr>
    </w:p>
    <w:p w14:paraId="5F943CFC" w14:textId="77777777" w:rsidR="0016110F" w:rsidRPr="00A74FEB" w:rsidRDefault="0016110F" w:rsidP="0016110F">
      <w:pPr>
        <w:jc w:val="center"/>
        <w:rPr>
          <w:rFonts w:ascii="Times New Roman" w:hAnsi="Times New Roman" w:cs="Times New Roman"/>
        </w:rPr>
      </w:pPr>
      <w:r w:rsidRPr="00A74FEB">
        <w:rPr>
          <w:rFonts w:ascii="Times New Roman" w:hAnsi="Times New Roman" w:cs="Times New Roman"/>
        </w:rPr>
        <w:t xml:space="preserve">Dose rate ≈ </w:t>
      </w:r>
      <m:oMath>
        <m:r>
          <m:rPr>
            <m:sty m:val="p"/>
          </m:rPr>
          <w:rPr>
            <w:rFonts w:ascii="Cambria Math" w:hAnsi="Cambria Math" w:cs="Times New Roman"/>
          </w:rPr>
          <m:t>0.08 ×</m:t>
        </m:r>
        <m:f>
          <m:fPr>
            <m:ctrlPr>
              <w:rPr>
                <w:rFonts w:ascii="Cambria Math" w:hAnsi="Cambria Math" w:cs="Times New Roman"/>
              </w:rPr>
            </m:ctrlPr>
          </m:fPr>
          <m:num>
            <m:r>
              <m:rPr>
                <m:sty m:val="p"/>
              </m:rPr>
              <w:rPr>
                <w:rFonts w:ascii="Cambria Math" w:hAnsi="Cambria Math" w:cs="Times New Roman"/>
              </w:rPr>
              <m:t>119160</m:t>
            </m:r>
          </m:num>
          <m:den>
            <m:r>
              <m:rPr>
                <m:sty m:val="p"/>
              </m:rPr>
              <w:rPr>
                <w:rFonts w:ascii="Cambria Math" w:hAnsi="Cambria Math" w:cs="Times New Roman"/>
              </w:rPr>
              <m:t>(1²)</m:t>
            </m:r>
          </m:den>
        </m:f>
        <m:r>
          <m:rPr>
            <m:sty m:val="p"/>
          </m:rPr>
          <w:rPr>
            <w:rFonts w:ascii="Cambria Math" w:hAnsi="Cambria Math" w:cs="Times New Roman"/>
          </w:rPr>
          <m:t xml:space="preserve"> </m:t>
        </m:r>
      </m:oMath>
      <w:r w:rsidRPr="00A74FEB">
        <w:rPr>
          <w:rFonts w:ascii="Times New Roman" w:hAnsi="Times New Roman" w:cs="Times New Roman"/>
        </w:rPr>
        <w:t>= 9532.8 mSv/h or 9.5328 Sv / h</w:t>
      </w:r>
    </w:p>
    <w:p w14:paraId="54F487F5" w14:textId="77777777" w:rsidR="0016110F" w:rsidRPr="00A74FEB" w:rsidRDefault="0016110F" w:rsidP="0016110F">
      <w:pPr>
        <w:jc w:val="center"/>
        <w:rPr>
          <w:rStyle w:val="eop"/>
          <w:rFonts w:ascii="Times New Roman" w:hAnsi="Times New Roman" w:cs="Times New Roman"/>
          <w:bdr w:val="none" w:sz="0" w:space="0" w:color="auto" w:frame="1"/>
          <w:shd w:val="clear" w:color="auto" w:fill="606060"/>
        </w:rPr>
      </w:pPr>
      <w:r w:rsidRPr="00A74FEB">
        <w:rPr>
          <w:rStyle w:val="normaltextrun"/>
          <w:rFonts w:ascii="Times New Roman" w:hAnsi="Times New Roman" w:cs="Times New Roman"/>
          <w:shd w:val="clear" w:color="auto" w:fill="FFFFFF"/>
        </w:rPr>
        <w:t xml:space="preserve">There is a 12% reduction due to the absorption of the cage: Resulting in the effective unshielded does rate at 1m = 9.53 X (1 – 0.12) = 8.3864 Sv / h </w:t>
      </w:r>
      <w:proofErr w:type="gramStart"/>
      <w:r w:rsidRPr="00A74FEB">
        <w:rPr>
          <w:rFonts w:ascii="Times New Roman" w:hAnsi="Times New Roman" w:cs="Times New Roman"/>
        </w:rPr>
        <w:t xml:space="preserve">≈ </w:t>
      </w:r>
      <w:r w:rsidRPr="00A74FEB">
        <w:rPr>
          <w:rStyle w:val="normaltextrun"/>
          <w:rFonts w:ascii="Times New Roman" w:hAnsi="Times New Roman" w:cs="Times New Roman"/>
          <w:shd w:val="clear" w:color="auto" w:fill="FFFFFF"/>
        </w:rPr>
        <w:t xml:space="preserve"> 8.386</w:t>
      </w:r>
      <w:proofErr w:type="gramEnd"/>
      <w:r w:rsidRPr="00A74FEB">
        <w:rPr>
          <w:rStyle w:val="normaltextrun"/>
          <w:rFonts w:ascii="Times New Roman" w:hAnsi="Times New Roman" w:cs="Times New Roman"/>
          <w:shd w:val="clear" w:color="auto" w:fill="FFFFFF"/>
        </w:rPr>
        <w:t xml:space="preserve"> Sv / h</w:t>
      </w:r>
    </w:p>
    <w:p w14:paraId="441097DF" w14:textId="77777777" w:rsidR="0016110F" w:rsidRPr="00BB31AE" w:rsidRDefault="0016110F" w:rsidP="0016110F">
      <w:pPr>
        <w:rPr>
          <w:rStyle w:val="eop"/>
          <w:rFonts w:ascii="Times New Roman" w:hAnsi="Times New Roman" w:cs="Times New Roman"/>
          <w:color w:val="196B24"/>
          <w:bdr w:val="none" w:sz="0" w:space="0" w:color="auto" w:frame="1"/>
          <w:shd w:val="clear" w:color="auto" w:fill="606060"/>
        </w:rPr>
      </w:pPr>
    </w:p>
    <w:p w14:paraId="4B9F25FF" w14:textId="77777777" w:rsidR="0016110F" w:rsidRPr="00BB31AE" w:rsidRDefault="0016110F" w:rsidP="0016110F">
      <w:pPr>
        <w:rPr>
          <w:rStyle w:val="eop"/>
          <w:rFonts w:ascii="Times New Roman" w:hAnsi="Times New Roman" w:cs="Times New Roman"/>
          <w:color w:val="196B24"/>
          <w:bdr w:val="none" w:sz="0" w:space="0" w:color="auto" w:frame="1"/>
          <w:shd w:val="clear" w:color="auto" w:fill="606060"/>
        </w:rPr>
      </w:pPr>
    </w:p>
    <w:p w14:paraId="33817543" w14:textId="77777777" w:rsidR="0016110F" w:rsidRPr="00BB31AE" w:rsidRDefault="0016110F" w:rsidP="0016110F">
      <w:pPr>
        <w:pStyle w:val="Heading2"/>
        <w:rPr>
          <w:rStyle w:val="eop"/>
          <w:rFonts w:ascii="Times New Roman" w:hAnsi="Times New Roman" w:cs="Times New Roman"/>
          <w:color w:val="196B24"/>
          <w:bdr w:val="none" w:sz="0" w:space="0" w:color="auto" w:frame="1"/>
          <w:shd w:val="clear" w:color="auto" w:fill="606060"/>
        </w:rPr>
      </w:pPr>
      <w:bookmarkStart w:id="28" w:name="_Toc240031077"/>
      <w:r w:rsidRPr="00BB31AE">
        <w:rPr>
          <w:rFonts w:ascii="Times New Roman" w:hAnsi="Times New Roman" w:cs="Times New Roman"/>
        </w:rPr>
        <w:t>Initial Investigation</w:t>
      </w:r>
      <w:bookmarkEnd w:id="28"/>
    </w:p>
    <w:p w14:paraId="087C6C13" w14:textId="77777777" w:rsidR="0016110F" w:rsidRPr="00BB31AE" w:rsidRDefault="0016110F" w:rsidP="0016110F">
      <w:pPr>
        <w:rPr>
          <w:rStyle w:val="eop"/>
          <w:rFonts w:ascii="Times New Roman" w:hAnsi="Times New Roman" w:cs="Times New Roman"/>
          <w:color w:val="196B24"/>
          <w:bdr w:val="none" w:sz="0" w:space="0" w:color="auto" w:frame="1"/>
          <w:shd w:val="clear" w:color="auto" w:fill="606060"/>
        </w:rPr>
      </w:pPr>
    </w:p>
    <w:p w14:paraId="284ADB7D" w14:textId="77777777" w:rsidR="0016110F" w:rsidRPr="00BB31AE" w:rsidRDefault="0016110F" w:rsidP="0016110F">
      <w:pPr>
        <w:spacing w:line="256" w:lineRule="auto"/>
        <w:rPr>
          <w:rFonts w:ascii="Times New Roman" w:eastAsia="Aptos" w:hAnsi="Times New Roman" w:cs="Times New Roman"/>
          <w:kern w:val="2"/>
          <w:sz w:val="24"/>
          <w:szCs w:val="24"/>
          <w14:ligatures w14:val="standardContextual"/>
        </w:rPr>
      </w:pPr>
      <w:r w:rsidRPr="00BB31AE">
        <w:rPr>
          <w:rFonts w:ascii="Times New Roman" w:eastAsia="Aptos" w:hAnsi="Times New Roman" w:cs="Times New Roman"/>
          <w:kern w:val="2"/>
          <w:sz w:val="24"/>
          <w:szCs w:val="24"/>
          <w14:ligatures w14:val="standardContextual"/>
        </w:rPr>
        <w:t xml:space="preserve">The torso dose rate is estimated </w:t>
      </w:r>
      <w:proofErr w:type="spellStart"/>
      <w:r w:rsidRPr="00BB31AE">
        <w:rPr>
          <w:rFonts w:ascii="Times New Roman" w:eastAsia="Aptos" w:hAnsi="Times New Roman" w:cs="Times New Roman"/>
          <w:kern w:val="2"/>
          <w:sz w:val="24"/>
          <w:szCs w:val="24"/>
          <w14:ligatures w14:val="standardContextual"/>
        </w:rPr>
        <w:t>as</w:t>
      </w:r>
      <w:proofErr w:type="spellEnd"/>
      <w:r w:rsidRPr="00BB31AE">
        <w:rPr>
          <w:rFonts w:ascii="Times New Roman" w:eastAsia="Aptos" w:hAnsi="Times New Roman" w:cs="Times New Roman"/>
          <w:kern w:val="2"/>
          <w:sz w:val="24"/>
          <w:szCs w:val="24"/>
          <w14:ligatures w14:val="standardContextual"/>
        </w:rPr>
        <w:t xml:space="preserve"> approximately 10–25% of the nominal unshielded field at that distance</w:t>
      </w:r>
    </w:p>
    <w:p w14:paraId="5AD301EE" w14:textId="77777777" w:rsidR="0016110F" w:rsidRPr="00BB31AE" w:rsidRDefault="0016110F" w:rsidP="0016110F">
      <w:pPr>
        <w:spacing w:line="256" w:lineRule="auto"/>
        <w:rPr>
          <w:rFonts w:ascii="Times New Roman" w:eastAsia="Aptos" w:hAnsi="Times New Roman" w:cs="Times New Roman"/>
          <w:kern w:val="2"/>
          <w:sz w:val="24"/>
          <w:szCs w:val="24"/>
          <w14:ligatures w14:val="standardContextual"/>
        </w:rPr>
      </w:pPr>
    </w:p>
    <w:p w14:paraId="6BFDF827" w14:textId="77777777" w:rsidR="0016110F" w:rsidRPr="00A74FEB" w:rsidRDefault="0016110F" w:rsidP="0016110F">
      <w:pPr>
        <w:spacing w:line="256" w:lineRule="auto"/>
        <w:jc w:val="center"/>
        <w:rPr>
          <w:rStyle w:val="normaltextrun"/>
          <w:rFonts w:ascii="Times New Roman" w:hAnsi="Times New Roman" w:cs="Times New Roman"/>
          <w:shd w:val="clear" w:color="auto" w:fill="FFFFFF"/>
        </w:rPr>
      </w:pPr>
      <w:r w:rsidRPr="00A74FEB">
        <w:rPr>
          <w:rFonts w:ascii="Times New Roman" w:eastAsia="Aptos" w:hAnsi="Times New Roman" w:cs="Times New Roman"/>
          <w:kern w:val="2"/>
          <w:sz w:val="24"/>
          <w:szCs w:val="24"/>
          <w14:ligatures w14:val="standardContextual"/>
        </w:rPr>
        <w:t>Does rate ranges = 10% of</w:t>
      </w:r>
      <w:r w:rsidRPr="00A74FEB">
        <w:rPr>
          <w:rStyle w:val="normaltextrun"/>
          <w:rFonts w:ascii="Times New Roman" w:hAnsi="Times New Roman" w:cs="Times New Roman"/>
          <w:shd w:val="clear" w:color="auto" w:fill="FFFFFF"/>
        </w:rPr>
        <w:t xml:space="preserve"> 8.386 Sv / h = 0.839 Sv / h</w:t>
      </w:r>
    </w:p>
    <w:p w14:paraId="0925D134" w14:textId="77777777" w:rsidR="0016110F" w:rsidRPr="00A74FEB" w:rsidRDefault="0016110F" w:rsidP="0016110F">
      <w:pPr>
        <w:spacing w:line="256" w:lineRule="auto"/>
        <w:jc w:val="center"/>
        <w:rPr>
          <w:rStyle w:val="normaltextrun"/>
          <w:rFonts w:ascii="Times New Roman" w:hAnsi="Times New Roman" w:cs="Times New Roman"/>
          <w:shd w:val="clear" w:color="auto" w:fill="FFFFFF"/>
        </w:rPr>
      </w:pPr>
      <w:r w:rsidRPr="00A74FEB">
        <w:rPr>
          <w:rFonts w:ascii="Times New Roman" w:eastAsia="Aptos" w:hAnsi="Times New Roman" w:cs="Times New Roman"/>
          <w:kern w:val="2"/>
          <w:sz w:val="24"/>
          <w:szCs w:val="24"/>
          <w14:ligatures w14:val="standardContextual"/>
        </w:rPr>
        <w:t xml:space="preserve">Does rate ranges = 25% of </w:t>
      </w:r>
      <w:r w:rsidRPr="00A74FEB">
        <w:rPr>
          <w:rStyle w:val="normaltextrun"/>
          <w:rFonts w:ascii="Times New Roman" w:hAnsi="Times New Roman" w:cs="Times New Roman"/>
          <w:shd w:val="clear" w:color="auto" w:fill="FFFFFF"/>
        </w:rPr>
        <w:t xml:space="preserve">8.386 Sv / h = </w:t>
      </w:r>
      <w:r w:rsidRPr="00A74FEB">
        <w:rPr>
          <w:rFonts w:ascii="Times New Roman" w:hAnsi="Times New Roman" w:cs="Times New Roman"/>
          <w:shd w:val="clear" w:color="auto" w:fill="FFFFFF"/>
        </w:rPr>
        <w:t xml:space="preserve">2.0965 </w:t>
      </w:r>
      <w:r w:rsidRPr="00A74FEB">
        <w:rPr>
          <w:rStyle w:val="normaltextrun"/>
          <w:rFonts w:ascii="Times New Roman" w:hAnsi="Times New Roman" w:cs="Times New Roman"/>
          <w:shd w:val="clear" w:color="auto" w:fill="FFFFFF"/>
        </w:rPr>
        <w:t xml:space="preserve">Sv / h </w:t>
      </w:r>
      <w:r w:rsidRPr="00A74FEB">
        <w:rPr>
          <w:rFonts w:ascii="Times New Roman" w:hAnsi="Times New Roman" w:cs="Times New Roman"/>
        </w:rPr>
        <w:t>≈ 2.097</w:t>
      </w:r>
      <w:r w:rsidRPr="00A74FEB">
        <w:rPr>
          <w:rStyle w:val="normaltextrun"/>
          <w:rFonts w:ascii="Times New Roman" w:hAnsi="Times New Roman" w:cs="Times New Roman"/>
          <w:shd w:val="clear" w:color="auto" w:fill="FFFFFF"/>
        </w:rPr>
        <w:t xml:space="preserve"> Sv / h</w:t>
      </w:r>
    </w:p>
    <w:p w14:paraId="0AD77410" w14:textId="77777777" w:rsidR="0016110F" w:rsidRPr="00A74FEB" w:rsidRDefault="0016110F" w:rsidP="0016110F">
      <w:pPr>
        <w:spacing w:line="256" w:lineRule="auto"/>
        <w:jc w:val="center"/>
        <w:rPr>
          <w:rFonts w:ascii="Times New Roman" w:eastAsia="Aptos" w:hAnsi="Times New Roman" w:cs="Times New Roman"/>
          <w:kern w:val="2"/>
          <w:sz w:val="24"/>
          <w:szCs w:val="24"/>
          <w14:ligatures w14:val="standardContextual"/>
        </w:rPr>
      </w:pPr>
      <w:r w:rsidRPr="00A74FEB">
        <w:rPr>
          <w:rFonts w:ascii="Times New Roman" w:eastAsia="Aptos" w:hAnsi="Times New Roman" w:cs="Times New Roman"/>
          <w:kern w:val="2"/>
          <w:sz w:val="24"/>
          <w:szCs w:val="24"/>
          <w14:ligatures w14:val="standardContextual"/>
        </w:rPr>
        <w:t xml:space="preserve">Does rate ranges averaged 17.5% of </w:t>
      </w:r>
      <w:r w:rsidRPr="00A74FEB">
        <w:rPr>
          <w:rStyle w:val="normaltextrun"/>
          <w:rFonts w:ascii="Times New Roman" w:hAnsi="Times New Roman" w:cs="Times New Roman"/>
          <w:shd w:val="clear" w:color="auto" w:fill="FFFFFF"/>
        </w:rPr>
        <w:t xml:space="preserve">8.386 Sv / h = </w:t>
      </w:r>
      <w:r w:rsidRPr="00A74FEB">
        <w:rPr>
          <w:rFonts w:ascii="Times New Roman" w:hAnsi="Times New Roman" w:cs="Times New Roman"/>
          <w:shd w:val="clear" w:color="auto" w:fill="FFFFFF"/>
        </w:rPr>
        <w:t xml:space="preserve">1.468 </w:t>
      </w:r>
      <w:r w:rsidRPr="00A74FEB">
        <w:rPr>
          <w:rStyle w:val="normaltextrun"/>
          <w:rFonts w:ascii="Times New Roman" w:hAnsi="Times New Roman" w:cs="Times New Roman"/>
          <w:shd w:val="clear" w:color="auto" w:fill="FFFFFF"/>
        </w:rPr>
        <w:t>Sv / h</w:t>
      </w:r>
    </w:p>
    <w:p w14:paraId="068C37D3" w14:textId="77777777" w:rsidR="0016110F" w:rsidRPr="00BB31AE" w:rsidRDefault="0016110F" w:rsidP="0016110F">
      <w:pPr>
        <w:spacing w:line="256" w:lineRule="auto"/>
        <w:rPr>
          <w:rFonts w:ascii="Times New Roman" w:eastAsia="Aptos" w:hAnsi="Times New Roman" w:cs="Times New Roman"/>
          <w:kern w:val="2"/>
          <w:sz w:val="24"/>
          <w:szCs w:val="24"/>
          <w14:ligatures w14:val="standardContextual"/>
        </w:rPr>
      </w:pPr>
    </w:p>
    <w:p w14:paraId="4C463AFF" w14:textId="77777777" w:rsidR="0016110F" w:rsidRPr="00BB31AE" w:rsidRDefault="0016110F" w:rsidP="0016110F">
      <w:pPr>
        <w:spacing w:line="256" w:lineRule="auto"/>
        <w:rPr>
          <w:rFonts w:ascii="Times New Roman" w:eastAsia="Aptos" w:hAnsi="Times New Roman" w:cs="Times New Roman"/>
          <w:kern w:val="2"/>
          <w:sz w:val="24"/>
          <w:szCs w:val="24"/>
          <w14:ligatures w14:val="standardContextual"/>
        </w:rPr>
      </w:pPr>
      <w:r w:rsidRPr="00BB31AE">
        <w:rPr>
          <w:rFonts w:ascii="Times New Roman" w:eastAsia="Aptos" w:hAnsi="Times New Roman" w:cs="Times New Roman"/>
          <w:kern w:val="2"/>
          <w:sz w:val="24"/>
          <w:szCs w:val="24"/>
          <w14:ligatures w14:val="standardContextual"/>
        </w:rPr>
        <w:t xml:space="preserve">Duration ranges = </w:t>
      </w:r>
    </w:p>
    <w:p w14:paraId="3D521BF5" w14:textId="77777777" w:rsidR="0016110F" w:rsidRPr="00A74FEB" w:rsidRDefault="0016110F" w:rsidP="0016110F">
      <w:pPr>
        <w:spacing w:line="256" w:lineRule="auto"/>
        <w:rPr>
          <w:rFonts w:ascii="Times New Roman" w:eastAsia="Aptos" w:hAnsi="Times New Roman" w:cs="Times New Roman"/>
          <w:kern w:val="2"/>
          <w:sz w:val="24"/>
          <w:szCs w:val="24"/>
          <w14:ligatures w14:val="standardContextual"/>
        </w:rPr>
      </w:pPr>
      <w:r w:rsidRPr="00A74FEB">
        <w:rPr>
          <w:rFonts w:ascii="Times New Roman" w:eastAsia="Aptos" w:hAnsi="Times New Roman" w:cs="Times New Roman"/>
          <w:kern w:val="2"/>
          <w:sz w:val="24"/>
          <w:szCs w:val="24"/>
          <w14:ligatures w14:val="standardContextual"/>
        </w:rPr>
        <w:t>Given time rages</w:t>
      </w:r>
    </w:p>
    <w:p w14:paraId="12075F3F" w14:textId="77777777" w:rsidR="0016110F" w:rsidRPr="00A74FEB" w:rsidRDefault="0016110F" w:rsidP="0016110F">
      <w:pPr>
        <w:pStyle w:val="ListParagraph"/>
        <w:numPr>
          <w:ilvl w:val="0"/>
          <w:numId w:val="9"/>
        </w:numPr>
        <w:spacing w:line="256" w:lineRule="auto"/>
        <w:rPr>
          <w:rFonts w:ascii="Times New Roman" w:eastAsia="Aptos" w:hAnsi="Times New Roman" w:cs="Times New Roman"/>
          <w:kern w:val="2"/>
          <w:sz w:val="24"/>
          <w:szCs w:val="24"/>
          <w14:ligatures w14:val="standardContextual"/>
        </w:rPr>
      </w:pPr>
      <w:r w:rsidRPr="00A74FEB">
        <w:rPr>
          <w:rFonts w:ascii="Times New Roman" w:eastAsia="Aptos" w:hAnsi="Times New Roman" w:cs="Times New Roman"/>
          <w:kern w:val="2"/>
          <w:sz w:val="24"/>
          <w:szCs w:val="24"/>
          <w14:ligatures w14:val="standardContextual"/>
        </w:rPr>
        <w:t>60 seconds = 1 min = 0.0166666 hours  </w:t>
      </w:r>
    </w:p>
    <w:p w14:paraId="3FDDB42D" w14:textId="77777777" w:rsidR="0016110F" w:rsidRPr="00A74FEB" w:rsidRDefault="0016110F" w:rsidP="0016110F">
      <w:pPr>
        <w:pStyle w:val="ListParagraph"/>
        <w:numPr>
          <w:ilvl w:val="0"/>
          <w:numId w:val="9"/>
        </w:numPr>
        <w:spacing w:line="256" w:lineRule="auto"/>
        <w:rPr>
          <w:rFonts w:ascii="Times New Roman" w:eastAsia="Aptos" w:hAnsi="Times New Roman" w:cs="Times New Roman"/>
          <w:kern w:val="2"/>
          <w:sz w:val="24"/>
          <w:szCs w:val="24"/>
          <w14:ligatures w14:val="standardContextual"/>
        </w:rPr>
      </w:pPr>
      <w:r w:rsidRPr="00A74FEB">
        <w:rPr>
          <w:rFonts w:ascii="Times New Roman" w:eastAsia="Aptos" w:hAnsi="Times New Roman" w:cs="Times New Roman"/>
          <w:kern w:val="2"/>
          <w:sz w:val="24"/>
          <w:szCs w:val="24"/>
          <w14:ligatures w14:val="standardContextual"/>
        </w:rPr>
        <w:t>90 seconds = 1.5 mins 0.025 hours  </w:t>
      </w:r>
    </w:p>
    <w:p w14:paraId="3755F658" w14:textId="77777777" w:rsidR="0016110F" w:rsidRPr="00A74FEB" w:rsidRDefault="0016110F" w:rsidP="0016110F">
      <w:pPr>
        <w:spacing w:line="256" w:lineRule="auto"/>
        <w:rPr>
          <w:rFonts w:ascii="Times New Roman" w:eastAsia="Aptos" w:hAnsi="Times New Roman" w:cs="Times New Roman"/>
          <w:kern w:val="2"/>
          <w:sz w:val="24"/>
          <w:szCs w:val="24"/>
          <w14:ligatures w14:val="standardContextual"/>
        </w:rPr>
      </w:pPr>
      <w:r w:rsidRPr="00A74FEB">
        <w:rPr>
          <w:rFonts w:ascii="Times New Roman" w:eastAsia="Aptos" w:hAnsi="Times New Roman" w:cs="Times New Roman"/>
          <w:kern w:val="2"/>
          <w:sz w:val="24"/>
          <w:szCs w:val="24"/>
          <w14:ligatures w14:val="standardContextual"/>
        </w:rPr>
        <w:t>Average</w:t>
      </w:r>
    </w:p>
    <w:p w14:paraId="77D85932" w14:textId="77777777" w:rsidR="0016110F" w:rsidRPr="00A74FEB" w:rsidRDefault="0016110F" w:rsidP="0016110F">
      <w:pPr>
        <w:pStyle w:val="ListParagraph"/>
        <w:numPr>
          <w:ilvl w:val="0"/>
          <w:numId w:val="10"/>
        </w:numPr>
        <w:spacing w:line="256" w:lineRule="auto"/>
        <w:rPr>
          <w:rFonts w:ascii="Times New Roman" w:eastAsia="Aptos" w:hAnsi="Times New Roman" w:cs="Times New Roman"/>
          <w:kern w:val="2"/>
          <w:sz w:val="24"/>
          <w:szCs w:val="24"/>
          <w14:ligatures w14:val="standardContextual"/>
        </w:rPr>
      </w:pPr>
      <w:r w:rsidRPr="00A74FEB">
        <w:rPr>
          <w:rFonts w:ascii="Times New Roman" w:eastAsia="Aptos" w:hAnsi="Times New Roman" w:cs="Times New Roman"/>
          <w:kern w:val="2"/>
          <w:sz w:val="24"/>
          <w:szCs w:val="24"/>
          <w14:ligatures w14:val="standardContextual"/>
        </w:rPr>
        <w:t>75 seconds = 1.25 mins 0.0208 hours </w:t>
      </w:r>
    </w:p>
    <w:p w14:paraId="41E2BB17" w14:textId="77777777" w:rsidR="0016110F" w:rsidRPr="00A74FEB" w:rsidRDefault="0016110F" w:rsidP="0016110F">
      <w:pPr>
        <w:spacing w:line="256" w:lineRule="auto"/>
        <w:rPr>
          <w:rFonts w:ascii="Times New Roman" w:eastAsia="Aptos" w:hAnsi="Times New Roman" w:cs="Times New Roman"/>
          <w:kern w:val="2"/>
          <w:sz w:val="24"/>
          <w:szCs w:val="24"/>
          <w14:ligatures w14:val="standardContextual"/>
        </w:rPr>
      </w:pPr>
    </w:p>
    <w:p w14:paraId="323038CC" w14:textId="77777777" w:rsidR="0016110F" w:rsidRPr="00A74FEB" w:rsidRDefault="0016110F" w:rsidP="0016110F">
      <w:pPr>
        <w:spacing w:line="256" w:lineRule="auto"/>
        <w:rPr>
          <w:rFonts w:ascii="Times New Roman" w:eastAsia="Aptos" w:hAnsi="Times New Roman" w:cs="Times New Roman"/>
          <w:kern w:val="2"/>
          <w:sz w:val="24"/>
          <w:szCs w:val="24"/>
          <w14:ligatures w14:val="standardContextual"/>
        </w:rPr>
      </w:pPr>
      <w:r w:rsidRPr="00A74FEB">
        <w:rPr>
          <w:rFonts w:ascii="Times New Roman" w:eastAsia="Aptos" w:hAnsi="Times New Roman" w:cs="Times New Roman"/>
          <w:kern w:val="2"/>
          <w:sz w:val="24"/>
          <w:szCs w:val="24"/>
          <w14:ligatures w14:val="standardContextual"/>
        </w:rPr>
        <w:t>So</w:t>
      </w:r>
    </w:p>
    <w:p w14:paraId="7EFFC2F9" w14:textId="77777777" w:rsidR="0016110F" w:rsidRPr="00A74FEB" w:rsidRDefault="0016110F" w:rsidP="0016110F">
      <w:pPr>
        <w:spacing w:line="256" w:lineRule="auto"/>
        <w:jc w:val="center"/>
        <w:rPr>
          <w:rFonts w:ascii="Times New Roman" w:eastAsia="Aptos" w:hAnsi="Times New Roman" w:cs="Times New Roman"/>
          <w:kern w:val="2"/>
          <w:sz w:val="24"/>
          <w:szCs w:val="24"/>
          <w14:ligatures w14:val="standardContextual"/>
        </w:rPr>
      </w:pPr>
      <w:r w:rsidRPr="00A74FEB">
        <w:rPr>
          <w:rFonts w:ascii="Times New Roman" w:eastAsia="Aptos" w:hAnsi="Times New Roman" w:cs="Times New Roman"/>
          <w:kern w:val="2"/>
          <w:sz w:val="24"/>
          <w:szCs w:val="24"/>
          <w14:ligatures w14:val="standardContextual"/>
        </w:rPr>
        <w:t xml:space="preserve">Dose Calculation (Minimum) = </w:t>
      </w:r>
      <w:r w:rsidRPr="00A74FEB">
        <w:rPr>
          <w:rStyle w:val="normaltextrun"/>
          <w:rFonts w:ascii="Times New Roman" w:hAnsi="Times New Roman" w:cs="Times New Roman"/>
          <w:shd w:val="clear" w:color="auto" w:fill="FFFFFF"/>
        </w:rPr>
        <w:t xml:space="preserve">0.839 Sv / h X </w:t>
      </w:r>
      <w:r w:rsidRPr="00A74FEB">
        <w:rPr>
          <w:rFonts w:ascii="Times New Roman" w:eastAsia="Aptos" w:hAnsi="Times New Roman" w:cs="Times New Roman"/>
          <w:kern w:val="2"/>
          <w:sz w:val="24"/>
          <w:szCs w:val="24"/>
          <w14:ligatures w14:val="standardContextual"/>
        </w:rPr>
        <w:t>0.0167 = 0.0140113 = 14mSv</w:t>
      </w:r>
    </w:p>
    <w:p w14:paraId="34E7B4A2" w14:textId="77777777" w:rsidR="0016110F" w:rsidRPr="00A74FEB" w:rsidRDefault="0016110F" w:rsidP="0016110F">
      <w:pPr>
        <w:spacing w:line="256" w:lineRule="auto"/>
        <w:jc w:val="center"/>
        <w:rPr>
          <w:rFonts w:ascii="Times New Roman" w:eastAsia="Aptos" w:hAnsi="Times New Roman" w:cs="Times New Roman"/>
          <w:kern w:val="2"/>
          <w:sz w:val="24"/>
          <w:szCs w:val="24"/>
          <w14:ligatures w14:val="standardContextual"/>
        </w:rPr>
      </w:pPr>
      <w:r w:rsidRPr="00A74FEB">
        <w:rPr>
          <w:rFonts w:ascii="Times New Roman" w:eastAsia="Aptos" w:hAnsi="Times New Roman" w:cs="Times New Roman"/>
          <w:kern w:val="2"/>
          <w:sz w:val="24"/>
          <w:szCs w:val="24"/>
          <w14:ligatures w14:val="standardContextual"/>
        </w:rPr>
        <w:t xml:space="preserve">Dose Calculation (Maximum) = </w:t>
      </w:r>
      <w:r w:rsidRPr="00A74FEB">
        <w:rPr>
          <w:rFonts w:ascii="Times New Roman" w:hAnsi="Times New Roman" w:cs="Times New Roman"/>
          <w:shd w:val="clear" w:color="auto" w:fill="FFFFFF"/>
        </w:rPr>
        <w:t>2.097</w:t>
      </w:r>
      <w:r w:rsidRPr="00A74FEB">
        <w:rPr>
          <w:rStyle w:val="normaltextrun"/>
          <w:rFonts w:ascii="Times New Roman" w:hAnsi="Times New Roman" w:cs="Times New Roman"/>
          <w:shd w:val="clear" w:color="auto" w:fill="FFFFFF"/>
        </w:rPr>
        <w:t xml:space="preserve"> Sv / h X </w:t>
      </w:r>
      <w:r w:rsidRPr="00A74FEB">
        <w:rPr>
          <w:rFonts w:ascii="Times New Roman" w:eastAsia="Aptos" w:hAnsi="Times New Roman" w:cs="Times New Roman"/>
          <w:kern w:val="2"/>
          <w:sz w:val="24"/>
          <w:szCs w:val="24"/>
          <w14:ligatures w14:val="standardContextual"/>
        </w:rPr>
        <w:t>0.025 = 0.052425 = 52 mSv</w:t>
      </w:r>
    </w:p>
    <w:p w14:paraId="38096D2A" w14:textId="77777777" w:rsidR="0016110F" w:rsidRPr="00A74FEB" w:rsidRDefault="0016110F" w:rsidP="0016110F">
      <w:pPr>
        <w:spacing w:line="256" w:lineRule="auto"/>
        <w:jc w:val="center"/>
        <w:rPr>
          <w:rFonts w:ascii="Times New Roman" w:eastAsia="Aptos" w:hAnsi="Times New Roman" w:cs="Times New Roman"/>
          <w:kern w:val="2"/>
          <w:sz w:val="24"/>
          <w:szCs w:val="24"/>
          <w14:ligatures w14:val="standardContextual"/>
        </w:rPr>
      </w:pPr>
      <w:r w:rsidRPr="00A74FEB">
        <w:rPr>
          <w:rFonts w:ascii="Times New Roman" w:eastAsia="Aptos" w:hAnsi="Times New Roman" w:cs="Times New Roman"/>
          <w:kern w:val="2"/>
          <w:sz w:val="24"/>
          <w:szCs w:val="24"/>
          <w14:ligatures w14:val="standardContextual"/>
        </w:rPr>
        <w:t>Dose Calculation (Average) = 1.468</w:t>
      </w:r>
      <w:r w:rsidRPr="00A74FEB">
        <w:rPr>
          <w:rFonts w:ascii="Times New Roman" w:hAnsi="Times New Roman" w:cs="Times New Roman"/>
          <w:shd w:val="clear" w:color="auto" w:fill="FFFFFF"/>
        </w:rPr>
        <w:t xml:space="preserve"> </w:t>
      </w:r>
      <w:r w:rsidRPr="00A74FEB">
        <w:rPr>
          <w:rStyle w:val="normaltextrun"/>
          <w:rFonts w:ascii="Times New Roman" w:hAnsi="Times New Roman" w:cs="Times New Roman"/>
          <w:shd w:val="clear" w:color="auto" w:fill="FFFFFF"/>
        </w:rPr>
        <w:t xml:space="preserve">Sv / h X </w:t>
      </w:r>
      <w:r w:rsidRPr="00A74FEB">
        <w:rPr>
          <w:rFonts w:ascii="Times New Roman" w:eastAsia="Aptos" w:hAnsi="Times New Roman" w:cs="Times New Roman"/>
          <w:kern w:val="2"/>
          <w:sz w:val="24"/>
          <w:szCs w:val="24"/>
          <w14:ligatures w14:val="standardContextual"/>
        </w:rPr>
        <w:t>0.0208 = 0.0305344 = 31 mSv</w:t>
      </w:r>
    </w:p>
    <w:p w14:paraId="5CADB494" w14:textId="77777777" w:rsidR="0016110F" w:rsidRPr="00BB31AE" w:rsidRDefault="0016110F" w:rsidP="0016110F">
      <w:pPr>
        <w:spacing w:line="256" w:lineRule="auto"/>
        <w:rPr>
          <w:rFonts w:ascii="Times New Roman" w:eastAsia="Aptos" w:hAnsi="Times New Roman" w:cs="Times New Roman"/>
          <w:kern w:val="2"/>
          <w:sz w:val="24"/>
          <w:szCs w:val="24"/>
          <w14:ligatures w14:val="standardContextual"/>
        </w:rPr>
      </w:pPr>
    </w:p>
    <w:p w14:paraId="0EF5872E" w14:textId="77777777" w:rsidR="0016110F" w:rsidRPr="00BB31AE" w:rsidRDefault="0016110F" w:rsidP="0016110F">
      <w:pPr>
        <w:spacing w:line="256" w:lineRule="auto"/>
        <w:jc w:val="center"/>
        <w:rPr>
          <w:rFonts w:ascii="Times New Roman" w:eastAsia="Aptos" w:hAnsi="Times New Roman" w:cs="Times New Roman"/>
          <w:kern w:val="2"/>
          <w:sz w:val="24"/>
          <w:szCs w:val="24"/>
          <w14:ligatures w14:val="standardContextual"/>
        </w:rPr>
      </w:pPr>
      <w:r w:rsidRPr="00BB31AE">
        <w:rPr>
          <w:rFonts w:ascii="Times New Roman" w:eastAsia="Aptos" w:hAnsi="Times New Roman" w:cs="Times New Roman"/>
          <w:kern w:val="2"/>
          <w:sz w:val="24"/>
          <w:szCs w:val="24"/>
          <w14:ligatures w14:val="standardContextual"/>
        </w:rPr>
        <w:t xml:space="preserve">Dose average </w:t>
      </w:r>
      <w:r w:rsidRPr="00BB31AE">
        <w:rPr>
          <w:rFonts w:ascii="Times New Roman" w:hAnsi="Times New Roman" w:cs="Times New Roman"/>
        </w:rPr>
        <w:t xml:space="preserve">≈ </w:t>
      </w:r>
      <w:r w:rsidRPr="00BB31AE">
        <w:rPr>
          <w:rFonts w:ascii="Times New Roman" w:eastAsia="Aptos" w:hAnsi="Times New Roman" w:cs="Times New Roman"/>
          <w:kern w:val="2"/>
          <w:sz w:val="24"/>
          <w:szCs w:val="24"/>
          <w14:ligatures w14:val="standardContextual"/>
        </w:rPr>
        <w:t>31 – 33 mSv</w:t>
      </w:r>
    </w:p>
    <w:p w14:paraId="7C4FBB63" w14:textId="77777777" w:rsidR="0016110F" w:rsidRPr="00BB31AE" w:rsidRDefault="0016110F" w:rsidP="0016110F">
      <w:pPr>
        <w:pStyle w:val="Heading2"/>
        <w:rPr>
          <w:rFonts w:ascii="Times New Roman" w:eastAsia="Aptos" w:hAnsi="Times New Roman" w:cs="Times New Roman"/>
        </w:rPr>
      </w:pPr>
    </w:p>
    <w:p w14:paraId="19D4B057" w14:textId="77777777" w:rsidR="0016110F" w:rsidRPr="00BB31AE" w:rsidRDefault="0016110F" w:rsidP="0016110F">
      <w:pPr>
        <w:pStyle w:val="Heading2"/>
        <w:rPr>
          <w:rFonts w:ascii="Times New Roman" w:eastAsia="Aptos" w:hAnsi="Times New Roman" w:cs="Times New Roman"/>
        </w:rPr>
      </w:pPr>
      <w:bookmarkStart w:id="29" w:name="_Toc240031078"/>
      <w:r w:rsidRPr="00BB31AE">
        <w:rPr>
          <w:rFonts w:ascii="Times New Roman" w:eastAsia="Aptos" w:hAnsi="Times New Roman" w:cs="Times New Roman"/>
        </w:rPr>
        <w:t>Direct Inspection</w:t>
      </w:r>
      <w:bookmarkEnd w:id="29"/>
    </w:p>
    <w:p w14:paraId="0F7DB853" w14:textId="77777777" w:rsidR="0016110F" w:rsidRPr="00BB31AE" w:rsidRDefault="0016110F" w:rsidP="0016110F">
      <w:pPr>
        <w:spacing w:line="256" w:lineRule="auto"/>
        <w:rPr>
          <w:rFonts w:ascii="Times New Roman" w:eastAsia="Aptos" w:hAnsi="Times New Roman" w:cs="Times New Roman"/>
          <w:kern w:val="2"/>
          <w:sz w:val="24"/>
          <w:szCs w:val="24"/>
          <w14:ligatures w14:val="standardContextual"/>
        </w:rPr>
      </w:pPr>
    </w:p>
    <w:p w14:paraId="6514FCE6" w14:textId="77777777" w:rsidR="0016110F" w:rsidRPr="00BB31AE" w:rsidRDefault="0016110F" w:rsidP="0016110F">
      <w:pPr>
        <w:spacing w:line="256" w:lineRule="auto"/>
        <w:rPr>
          <w:rFonts w:ascii="Times New Roman" w:eastAsia="Aptos" w:hAnsi="Times New Roman" w:cs="Times New Roman"/>
          <w:kern w:val="2"/>
          <w:sz w:val="24"/>
          <w:szCs w:val="24"/>
          <w14:ligatures w14:val="standardContextual"/>
        </w:rPr>
      </w:pPr>
      <w:r w:rsidRPr="00BB31AE">
        <w:rPr>
          <w:rFonts w:ascii="Times New Roman" w:eastAsia="Aptos" w:hAnsi="Times New Roman" w:cs="Times New Roman"/>
          <w:kern w:val="2"/>
          <w:sz w:val="24"/>
          <w:szCs w:val="24"/>
          <w14:ligatures w14:val="standardContextual"/>
        </w:rPr>
        <w:t>They are now 0.6 meters for 10 to 20 seconds with the operator leaning across the line of site with a 25–40% of the nominal unshielded field at that distance.</w:t>
      </w:r>
    </w:p>
    <w:p w14:paraId="7136FEF5" w14:textId="77777777" w:rsidR="0016110F" w:rsidRPr="00BB31AE" w:rsidRDefault="0016110F" w:rsidP="0016110F">
      <w:pPr>
        <w:spacing w:line="256" w:lineRule="auto"/>
        <w:rPr>
          <w:rFonts w:ascii="Times New Roman" w:eastAsia="Aptos" w:hAnsi="Times New Roman" w:cs="Times New Roman"/>
          <w:kern w:val="2"/>
          <w:sz w:val="24"/>
          <w:szCs w:val="24"/>
          <w14:ligatures w14:val="standardContextual"/>
        </w:rPr>
      </w:pPr>
    </w:p>
    <w:p w14:paraId="65E0036C" w14:textId="77777777" w:rsidR="0016110F" w:rsidRPr="00A74FEB" w:rsidRDefault="0016110F" w:rsidP="0016110F">
      <w:pPr>
        <w:spacing w:line="256" w:lineRule="auto"/>
        <w:jc w:val="center"/>
        <w:rPr>
          <w:rFonts w:ascii="Times New Roman" w:eastAsia="Aptos" w:hAnsi="Times New Roman" w:cs="Times New Roman"/>
          <w:kern w:val="2"/>
          <w:sz w:val="24"/>
          <w:szCs w:val="24"/>
          <w14:ligatures w14:val="standardContextual"/>
        </w:rPr>
      </w:pPr>
      <w:r w:rsidRPr="00A74FEB">
        <w:rPr>
          <w:rFonts w:ascii="Times New Roman" w:eastAsia="Aptos" w:hAnsi="Times New Roman" w:cs="Times New Roman"/>
          <w:kern w:val="2"/>
          <w:sz w:val="24"/>
          <w:szCs w:val="24"/>
          <w14:ligatures w14:val="standardContextual"/>
        </w:rPr>
        <w:t xml:space="preserve">Initial Unshielded Rate at 0.6 m = </w:t>
      </w:r>
      <m:oMath>
        <m:r>
          <m:rPr>
            <m:sty m:val="p"/>
          </m:rPr>
          <w:rPr>
            <w:rStyle w:val="normaltextrun"/>
            <w:rFonts w:ascii="Cambria Math" w:hAnsi="Cambria Math" w:cs="Times New Roman"/>
            <w:shd w:val="clear" w:color="auto" w:fill="FFFFFF"/>
          </w:rPr>
          <m:t xml:space="preserve"> 8.386/</m:t>
        </m:r>
        <m:sSup>
          <m:sSupPr>
            <m:ctrlPr>
              <w:rPr>
                <w:rStyle w:val="normaltextrun"/>
                <w:rFonts w:ascii="Cambria Math" w:hAnsi="Cambria Math" w:cs="Times New Roman"/>
                <w:shd w:val="clear" w:color="auto" w:fill="FFFFFF"/>
              </w:rPr>
            </m:ctrlPr>
          </m:sSupPr>
          <m:e>
            <m:r>
              <m:rPr>
                <m:sty m:val="p"/>
              </m:rPr>
              <w:rPr>
                <w:rStyle w:val="normaltextrun"/>
                <w:rFonts w:ascii="Cambria Math" w:hAnsi="Cambria Math" w:cs="Times New Roman"/>
                <w:shd w:val="clear" w:color="auto" w:fill="FFFFFF"/>
              </w:rPr>
              <m:t>0.6</m:t>
            </m:r>
          </m:e>
          <m:sup>
            <m:r>
              <m:rPr>
                <m:sty m:val="p"/>
              </m:rPr>
              <w:rPr>
                <w:rStyle w:val="normaltextrun"/>
                <w:rFonts w:ascii="Cambria Math" w:hAnsi="Cambria Math" w:cs="Times New Roman"/>
                <w:shd w:val="clear" w:color="auto" w:fill="FFFFFF"/>
              </w:rPr>
              <m:t>2</m:t>
            </m:r>
          </m:sup>
        </m:sSup>
      </m:oMath>
      <w:r w:rsidRPr="00A74FEB">
        <w:rPr>
          <w:rStyle w:val="normaltextrun"/>
          <w:rFonts w:ascii="Times New Roman" w:eastAsia="Aptos" w:hAnsi="Times New Roman" w:cs="Times New Roman"/>
          <w:shd w:val="clear" w:color="auto" w:fill="FFFFFF"/>
        </w:rPr>
        <w:t xml:space="preserve"> = </w:t>
      </w:r>
      <m:oMath>
        <m:f>
          <m:fPr>
            <m:ctrlPr>
              <w:rPr>
                <w:rStyle w:val="normaltextrun"/>
                <w:rFonts w:ascii="Cambria Math" w:hAnsi="Cambria Math" w:cs="Times New Roman"/>
                <w:shd w:val="clear" w:color="auto" w:fill="FFFFFF"/>
              </w:rPr>
            </m:ctrlPr>
          </m:fPr>
          <m:num>
            <m:r>
              <m:rPr>
                <m:sty m:val="p"/>
              </m:rPr>
              <w:rPr>
                <w:rStyle w:val="normaltextrun"/>
                <w:rFonts w:ascii="Cambria Math" w:hAnsi="Cambria Math" w:cs="Times New Roman"/>
                <w:shd w:val="clear" w:color="auto" w:fill="FFFFFF"/>
              </w:rPr>
              <m:t>8.386</m:t>
            </m:r>
          </m:num>
          <m:den>
            <m:r>
              <m:rPr>
                <m:sty m:val="p"/>
              </m:rPr>
              <w:rPr>
                <w:rStyle w:val="normaltextrun"/>
                <w:rFonts w:ascii="Cambria Math" w:hAnsi="Cambria Math" w:cs="Times New Roman"/>
                <w:shd w:val="clear" w:color="auto" w:fill="FFFFFF"/>
              </w:rPr>
              <m:t>0.36</m:t>
            </m:r>
          </m:den>
        </m:f>
      </m:oMath>
      <w:r w:rsidRPr="00A74FEB">
        <w:rPr>
          <w:rStyle w:val="normaltextrun"/>
          <w:rFonts w:ascii="Times New Roman" w:eastAsia="Aptos" w:hAnsi="Times New Roman" w:cs="Times New Roman"/>
          <w:shd w:val="clear" w:color="auto" w:fill="FFFFFF"/>
        </w:rPr>
        <w:t xml:space="preserve"> = 23.294 Sv/h</w:t>
      </w:r>
    </w:p>
    <w:p w14:paraId="5DF04157" w14:textId="77777777" w:rsidR="0016110F" w:rsidRPr="00A74FEB" w:rsidRDefault="0016110F" w:rsidP="0016110F">
      <w:pPr>
        <w:jc w:val="center"/>
        <w:rPr>
          <w:rFonts w:ascii="Times New Roman" w:hAnsi="Times New Roman" w:cs="Times New Roman"/>
        </w:rPr>
      </w:pPr>
      <w:r w:rsidRPr="00A74FEB">
        <w:rPr>
          <w:rFonts w:ascii="Times New Roman" w:eastAsia="Aptos" w:hAnsi="Times New Roman" w:cs="Times New Roman"/>
          <w:kern w:val="2"/>
          <w:sz w:val="24"/>
          <w:szCs w:val="24"/>
          <w14:ligatures w14:val="standardContextual"/>
        </w:rPr>
        <w:t xml:space="preserve">Where </w:t>
      </w:r>
      <w:r w:rsidRPr="00A74FEB">
        <w:rPr>
          <w:rStyle w:val="normaltextrun"/>
          <w:rFonts w:ascii="Times New Roman" w:hAnsi="Times New Roman" w:cs="Times New Roman"/>
          <w:shd w:val="clear" w:color="auto" w:fill="FFFFFF"/>
        </w:rPr>
        <w:t xml:space="preserve">8.386 is from the post cage 12% production and </w:t>
      </w:r>
      <m:oMath>
        <m:sSup>
          <m:sSupPr>
            <m:ctrlPr>
              <w:rPr>
                <w:rStyle w:val="normaltextrun"/>
                <w:rFonts w:ascii="Cambria Math" w:hAnsi="Cambria Math" w:cs="Times New Roman"/>
                <w:shd w:val="clear" w:color="auto" w:fill="FFFFFF"/>
              </w:rPr>
            </m:ctrlPr>
          </m:sSupPr>
          <m:e>
            <m:r>
              <m:rPr>
                <m:sty m:val="p"/>
              </m:rPr>
              <w:rPr>
                <w:rStyle w:val="normaltextrun"/>
                <w:rFonts w:ascii="Cambria Math" w:hAnsi="Cambria Math" w:cs="Times New Roman"/>
                <w:shd w:val="clear" w:color="auto" w:fill="FFFFFF"/>
              </w:rPr>
              <m:t>0.6</m:t>
            </m:r>
          </m:e>
          <m:sup>
            <m:r>
              <m:rPr>
                <m:sty m:val="p"/>
              </m:rPr>
              <w:rPr>
                <w:rStyle w:val="normaltextrun"/>
                <w:rFonts w:ascii="Cambria Math" w:hAnsi="Cambria Math" w:cs="Times New Roman"/>
                <w:shd w:val="clear" w:color="auto" w:fill="FFFFFF"/>
              </w:rPr>
              <m:t>2</m:t>
            </m:r>
          </m:sup>
        </m:sSup>
      </m:oMath>
      <w:r w:rsidRPr="00A74FEB">
        <w:rPr>
          <w:rStyle w:val="normaltextrun"/>
          <w:rFonts w:ascii="Times New Roman" w:eastAsiaTheme="minorEastAsia" w:hAnsi="Times New Roman" w:cs="Times New Roman"/>
          <w:shd w:val="clear" w:color="auto" w:fill="FFFFFF"/>
        </w:rPr>
        <w:t xml:space="preserve"> is from </w:t>
      </w:r>
      <w:r w:rsidRPr="00A74FEB">
        <w:rPr>
          <w:rFonts w:ascii="Times New Roman" w:hAnsi="Times New Roman" w:cs="Times New Roman"/>
        </w:rPr>
        <w:t>r² of the Dose rate ≈ Γ × A/r²</w:t>
      </w:r>
    </w:p>
    <w:p w14:paraId="65079127" w14:textId="77777777" w:rsidR="0016110F" w:rsidRPr="00A74FEB" w:rsidRDefault="0016110F" w:rsidP="0016110F">
      <w:pPr>
        <w:rPr>
          <w:rFonts w:ascii="Times New Roman" w:hAnsi="Times New Roman" w:cs="Times New Roman"/>
        </w:rPr>
      </w:pPr>
    </w:p>
    <w:p w14:paraId="6E586A3E" w14:textId="77777777" w:rsidR="0016110F" w:rsidRPr="00A74FEB" w:rsidRDefault="0016110F" w:rsidP="0016110F">
      <w:pPr>
        <w:jc w:val="center"/>
        <w:rPr>
          <w:rFonts w:ascii="Times New Roman" w:hAnsi="Times New Roman" w:cs="Times New Roman"/>
        </w:rPr>
      </w:pPr>
      <w:r w:rsidRPr="00A74FEB">
        <w:rPr>
          <w:rFonts w:ascii="Times New Roman" w:hAnsi="Times New Roman" w:cs="Times New Roman"/>
        </w:rPr>
        <w:t xml:space="preserve">Dose rate ranges </w:t>
      </w:r>
      <w:r w:rsidRPr="00A74FEB">
        <w:rPr>
          <w:rFonts w:ascii="Times New Roman" w:eastAsia="Aptos" w:hAnsi="Times New Roman" w:cs="Times New Roman"/>
          <w:kern w:val="2"/>
          <w:sz w:val="24"/>
          <w:szCs w:val="24"/>
          <w14:ligatures w14:val="standardContextual"/>
        </w:rPr>
        <w:t xml:space="preserve">(Minimum) </w:t>
      </w:r>
      <w:r w:rsidRPr="00A74FEB">
        <w:rPr>
          <w:rFonts w:ascii="Times New Roman" w:hAnsi="Times New Roman" w:cs="Times New Roman"/>
        </w:rPr>
        <w:t>= 25% of 23.294 = 5.8235</w:t>
      </w:r>
      <w:r w:rsidRPr="00A74FEB">
        <w:rPr>
          <w:rStyle w:val="normaltextrun"/>
          <w:rFonts w:ascii="Times New Roman" w:eastAsia="Aptos" w:hAnsi="Times New Roman" w:cs="Times New Roman"/>
          <w:shd w:val="clear" w:color="auto" w:fill="FFFFFF"/>
        </w:rPr>
        <w:t xml:space="preserve"> Sv/h</w:t>
      </w:r>
    </w:p>
    <w:p w14:paraId="50F0CE00" w14:textId="77777777" w:rsidR="0016110F" w:rsidRPr="00A74FEB" w:rsidRDefault="0016110F" w:rsidP="0016110F">
      <w:pPr>
        <w:spacing w:line="256" w:lineRule="auto"/>
        <w:jc w:val="center"/>
        <w:rPr>
          <w:rStyle w:val="normaltextrun"/>
          <w:rFonts w:ascii="Times New Roman" w:eastAsia="Aptos" w:hAnsi="Times New Roman" w:cs="Times New Roman"/>
          <w:shd w:val="clear" w:color="auto" w:fill="FFFFFF"/>
        </w:rPr>
      </w:pPr>
      <w:r w:rsidRPr="00A74FEB">
        <w:rPr>
          <w:rFonts w:ascii="Times New Roman" w:hAnsi="Times New Roman" w:cs="Times New Roman"/>
        </w:rPr>
        <w:t xml:space="preserve">Dose rate ranges </w:t>
      </w:r>
      <w:r w:rsidRPr="00A74FEB">
        <w:rPr>
          <w:rFonts w:ascii="Times New Roman" w:eastAsia="Aptos" w:hAnsi="Times New Roman" w:cs="Times New Roman"/>
          <w:kern w:val="2"/>
          <w:sz w:val="24"/>
          <w:szCs w:val="24"/>
          <w14:ligatures w14:val="standardContextual"/>
        </w:rPr>
        <w:t>(</w:t>
      </w:r>
      <w:proofErr w:type="gramStart"/>
      <w:r w:rsidRPr="00A74FEB">
        <w:rPr>
          <w:rFonts w:ascii="Times New Roman" w:eastAsia="Aptos" w:hAnsi="Times New Roman" w:cs="Times New Roman"/>
          <w:kern w:val="2"/>
          <w:sz w:val="24"/>
          <w:szCs w:val="24"/>
          <w14:ligatures w14:val="standardContextual"/>
        </w:rPr>
        <w:t xml:space="preserve">Maximum) </w:t>
      </w:r>
      <w:r w:rsidRPr="00A74FEB">
        <w:rPr>
          <w:rFonts w:ascii="Times New Roman" w:hAnsi="Times New Roman" w:cs="Times New Roman"/>
        </w:rPr>
        <w:t xml:space="preserve"> =</w:t>
      </w:r>
      <w:proofErr w:type="gramEnd"/>
      <w:r w:rsidRPr="00A74FEB">
        <w:rPr>
          <w:rFonts w:ascii="Times New Roman" w:hAnsi="Times New Roman" w:cs="Times New Roman"/>
        </w:rPr>
        <w:t xml:space="preserve"> 40% of 23.294 = 9.3176</w:t>
      </w:r>
      <w:r w:rsidRPr="00A74FEB">
        <w:rPr>
          <w:rStyle w:val="normaltextrun"/>
          <w:rFonts w:ascii="Times New Roman" w:eastAsia="Aptos" w:hAnsi="Times New Roman" w:cs="Times New Roman"/>
          <w:shd w:val="clear" w:color="auto" w:fill="FFFFFF"/>
        </w:rPr>
        <w:t xml:space="preserve"> Sv/h</w:t>
      </w:r>
    </w:p>
    <w:p w14:paraId="411BAB0B" w14:textId="77777777" w:rsidR="0016110F" w:rsidRPr="00A74FEB" w:rsidRDefault="0016110F" w:rsidP="0016110F">
      <w:pPr>
        <w:spacing w:line="256" w:lineRule="auto"/>
        <w:jc w:val="center"/>
        <w:rPr>
          <w:rStyle w:val="normaltextrun"/>
          <w:rFonts w:ascii="Times New Roman" w:eastAsia="Aptos" w:hAnsi="Times New Roman" w:cs="Times New Roman"/>
          <w:shd w:val="clear" w:color="auto" w:fill="FFFFFF"/>
        </w:rPr>
      </w:pPr>
      <w:r w:rsidRPr="00A74FEB">
        <w:rPr>
          <w:rFonts w:ascii="Times New Roman" w:hAnsi="Times New Roman" w:cs="Times New Roman"/>
        </w:rPr>
        <w:lastRenderedPageBreak/>
        <w:t xml:space="preserve">Dose rate ranges </w:t>
      </w:r>
      <w:r w:rsidRPr="00A74FEB">
        <w:rPr>
          <w:rFonts w:ascii="Times New Roman" w:eastAsia="Aptos" w:hAnsi="Times New Roman" w:cs="Times New Roman"/>
          <w:kern w:val="2"/>
          <w:sz w:val="24"/>
          <w:szCs w:val="24"/>
          <w14:ligatures w14:val="standardContextual"/>
        </w:rPr>
        <w:t xml:space="preserve">(Average) </w:t>
      </w:r>
      <w:r w:rsidRPr="00A74FEB">
        <w:rPr>
          <w:rFonts w:ascii="Times New Roman" w:hAnsi="Times New Roman" w:cs="Times New Roman"/>
        </w:rPr>
        <w:t>= 32.5% of 23.294 = 7.57055</w:t>
      </w:r>
      <w:r w:rsidRPr="00A74FEB">
        <w:rPr>
          <w:rStyle w:val="normaltextrun"/>
          <w:rFonts w:ascii="Times New Roman" w:eastAsia="Aptos" w:hAnsi="Times New Roman" w:cs="Times New Roman"/>
          <w:shd w:val="clear" w:color="auto" w:fill="FFFFFF"/>
        </w:rPr>
        <w:t xml:space="preserve"> Sv/h</w:t>
      </w:r>
    </w:p>
    <w:p w14:paraId="5D7DA50D" w14:textId="77777777" w:rsidR="0016110F" w:rsidRPr="00BB31AE" w:rsidRDefault="0016110F" w:rsidP="0016110F">
      <w:pPr>
        <w:spacing w:line="256" w:lineRule="auto"/>
        <w:rPr>
          <w:rFonts w:ascii="Times New Roman" w:hAnsi="Times New Roman" w:cs="Times New Roman"/>
          <w:color w:val="00B050"/>
          <w:shd w:val="clear" w:color="auto" w:fill="FFFFFF"/>
        </w:rPr>
      </w:pPr>
    </w:p>
    <w:p w14:paraId="3831DEAE" w14:textId="77777777" w:rsidR="0016110F" w:rsidRPr="00BB31AE" w:rsidRDefault="0016110F" w:rsidP="0016110F">
      <w:pPr>
        <w:spacing w:line="256" w:lineRule="auto"/>
        <w:rPr>
          <w:rFonts w:ascii="Times New Roman" w:hAnsi="Times New Roman" w:cs="Times New Roman"/>
          <w:color w:val="00B050"/>
          <w:shd w:val="clear" w:color="auto" w:fill="FFFFFF"/>
        </w:rPr>
      </w:pPr>
    </w:p>
    <w:p w14:paraId="6C3895D2" w14:textId="77777777" w:rsidR="0016110F" w:rsidRPr="00A74FEB" w:rsidRDefault="0016110F" w:rsidP="0016110F">
      <w:pPr>
        <w:spacing w:line="256" w:lineRule="auto"/>
        <w:rPr>
          <w:rFonts w:ascii="Times New Roman" w:eastAsia="Aptos" w:hAnsi="Times New Roman" w:cs="Times New Roman"/>
          <w:kern w:val="2"/>
          <w:sz w:val="24"/>
          <w:szCs w:val="24"/>
          <w14:ligatures w14:val="standardContextual"/>
        </w:rPr>
      </w:pPr>
      <w:r w:rsidRPr="00A74FEB">
        <w:rPr>
          <w:rFonts w:ascii="Times New Roman" w:hAnsi="Times New Roman" w:cs="Times New Roman"/>
          <w:shd w:val="clear" w:color="auto" w:fill="FFFFFF"/>
        </w:rPr>
        <w:t xml:space="preserve">Duration Range: </w:t>
      </w:r>
    </w:p>
    <w:p w14:paraId="51D8869C" w14:textId="77777777" w:rsidR="0016110F" w:rsidRPr="00A74FEB" w:rsidRDefault="0016110F" w:rsidP="0016110F">
      <w:pPr>
        <w:pStyle w:val="ListParagraph"/>
        <w:numPr>
          <w:ilvl w:val="0"/>
          <w:numId w:val="10"/>
        </w:numPr>
        <w:spacing w:line="256" w:lineRule="auto"/>
        <w:rPr>
          <w:rFonts w:ascii="Times New Roman" w:hAnsi="Times New Roman" w:cs="Times New Roman"/>
          <w:shd w:val="clear" w:color="auto" w:fill="FFFFFF"/>
        </w:rPr>
      </w:pPr>
      <w:r w:rsidRPr="00A74FEB">
        <w:rPr>
          <w:rFonts w:ascii="Times New Roman" w:eastAsia="Aptos" w:hAnsi="Times New Roman" w:cs="Times New Roman"/>
          <w:kern w:val="2"/>
          <w:sz w:val="24"/>
          <w:szCs w:val="24"/>
          <w14:ligatures w14:val="standardContextual"/>
        </w:rPr>
        <w:t xml:space="preserve">Minimum </w:t>
      </w:r>
      <w:r w:rsidRPr="00A74FEB">
        <w:rPr>
          <w:rFonts w:ascii="Times New Roman" w:hAnsi="Times New Roman" w:cs="Times New Roman"/>
          <w:shd w:val="clear" w:color="auto" w:fill="FFFFFF"/>
        </w:rPr>
        <w:t xml:space="preserve">0.0028 hours </w:t>
      </w:r>
    </w:p>
    <w:p w14:paraId="7AB0E91B" w14:textId="77777777" w:rsidR="0016110F" w:rsidRPr="00A74FEB" w:rsidRDefault="0016110F" w:rsidP="0016110F">
      <w:pPr>
        <w:pStyle w:val="ListParagraph"/>
        <w:numPr>
          <w:ilvl w:val="0"/>
          <w:numId w:val="10"/>
        </w:numPr>
        <w:spacing w:line="256" w:lineRule="auto"/>
        <w:rPr>
          <w:rFonts w:ascii="Times New Roman" w:hAnsi="Times New Roman" w:cs="Times New Roman"/>
          <w:shd w:val="clear" w:color="auto" w:fill="FFFFFF"/>
        </w:rPr>
      </w:pPr>
      <w:r w:rsidRPr="00A74FEB">
        <w:rPr>
          <w:rFonts w:ascii="Times New Roman" w:eastAsia="Aptos" w:hAnsi="Times New Roman" w:cs="Times New Roman"/>
          <w:kern w:val="2"/>
          <w:sz w:val="24"/>
          <w:szCs w:val="24"/>
          <w14:ligatures w14:val="standardContextual"/>
        </w:rPr>
        <w:t>Maximum</w:t>
      </w:r>
      <w:r w:rsidRPr="00A74FEB">
        <w:rPr>
          <w:rFonts w:ascii="Times New Roman" w:hAnsi="Times New Roman" w:cs="Times New Roman"/>
          <w:shd w:val="clear" w:color="auto" w:fill="FFFFFF"/>
        </w:rPr>
        <w:t xml:space="preserve"> 0.0056 hours </w:t>
      </w:r>
    </w:p>
    <w:p w14:paraId="6FEBBA39" w14:textId="77777777" w:rsidR="0016110F" w:rsidRPr="00A74FEB" w:rsidRDefault="0016110F" w:rsidP="0016110F">
      <w:pPr>
        <w:pStyle w:val="ListParagraph"/>
        <w:numPr>
          <w:ilvl w:val="0"/>
          <w:numId w:val="10"/>
        </w:numPr>
        <w:spacing w:line="256" w:lineRule="auto"/>
        <w:rPr>
          <w:rFonts w:ascii="Times New Roman" w:hAnsi="Times New Roman" w:cs="Times New Roman"/>
          <w:shd w:val="clear" w:color="auto" w:fill="FFFFFF"/>
        </w:rPr>
      </w:pPr>
      <w:r w:rsidRPr="00A74FEB">
        <w:rPr>
          <w:rFonts w:ascii="Times New Roman" w:hAnsi="Times New Roman" w:cs="Times New Roman"/>
          <w:shd w:val="clear" w:color="auto" w:fill="FFFFFF"/>
        </w:rPr>
        <w:t>Average = 0.00416 hours</w:t>
      </w:r>
    </w:p>
    <w:p w14:paraId="41542201" w14:textId="77777777" w:rsidR="0016110F" w:rsidRPr="00A74FEB" w:rsidRDefault="0016110F" w:rsidP="0016110F">
      <w:pPr>
        <w:spacing w:line="256" w:lineRule="auto"/>
        <w:rPr>
          <w:rFonts w:ascii="Times New Roman" w:eastAsia="Aptos" w:hAnsi="Times New Roman" w:cs="Times New Roman"/>
          <w:kern w:val="2"/>
          <w:sz w:val="24"/>
          <w:szCs w:val="24"/>
          <w14:ligatures w14:val="standardContextual"/>
        </w:rPr>
      </w:pPr>
    </w:p>
    <w:p w14:paraId="53A95F99" w14:textId="77777777" w:rsidR="0016110F" w:rsidRPr="00A74FEB" w:rsidRDefault="0016110F" w:rsidP="0016110F">
      <w:pPr>
        <w:spacing w:line="256" w:lineRule="auto"/>
        <w:jc w:val="center"/>
        <w:rPr>
          <w:rFonts w:ascii="Times New Roman" w:eastAsia="Aptos" w:hAnsi="Times New Roman" w:cs="Times New Roman"/>
          <w:kern w:val="2"/>
          <w:sz w:val="24"/>
          <w:szCs w:val="24"/>
          <w14:ligatures w14:val="standardContextual"/>
        </w:rPr>
      </w:pPr>
      <w:r w:rsidRPr="00A74FEB">
        <w:rPr>
          <w:rFonts w:ascii="Times New Roman" w:eastAsia="Aptos" w:hAnsi="Times New Roman" w:cs="Times New Roman"/>
          <w:kern w:val="2"/>
          <w:sz w:val="24"/>
          <w:szCs w:val="24"/>
          <w14:ligatures w14:val="standardContextual"/>
        </w:rPr>
        <w:t xml:space="preserve">Dose Calculation (Minimum) = </w:t>
      </w:r>
      <w:r w:rsidRPr="00A74FEB">
        <w:rPr>
          <w:rFonts w:ascii="Times New Roman" w:hAnsi="Times New Roman" w:cs="Times New Roman"/>
        </w:rPr>
        <w:t>5.8235</w:t>
      </w:r>
      <w:r w:rsidRPr="00A74FEB">
        <w:rPr>
          <w:rStyle w:val="normaltextrun"/>
          <w:rFonts w:ascii="Times New Roman" w:eastAsia="Aptos" w:hAnsi="Times New Roman" w:cs="Times New Roman"/>
          <w:shd w:val="clear" w:color="auto" w:fill="FFFFFF"/>
        </w:rPr>
        <w:t xml:space="preserve"> Sv/h X </w:t>
      </w:r>
      <w:r w:rsidRPr="00A74FEB">
        <w:rPr>
          <w:rFonts w:ascii="Times New Roman" w:hAnsi="Times New Roman" w:cs="Times New Roman"/>
          <w:shd w:val="clear" w:color="auto" w:fill="FFFFFF"/>
        </w:rPr>
        <w:t>0.0028 = 0.0163058 = 16 mSv</w:t>
      </w:r>
    </w:p>
    <w:p w14:paraId="23C54541" w14:textId="77777777" w:rsidR="0016110F" w:rsidRPr="00A74FEB" w:rsidRDefault="0016110F" w:rsidP="0016110F">
      <w:pPr>
        <w:spacing w:line="256" w:lineRule="auto"/>
        <w:jc w:val="center"/>
        <w:rPr>
          <w:rFonts w:ascii="Times New Roman" w:hAnsi="Times New Roman" w:cs="Times New Roman"/>
          <w:shd w:val="clear" w:color="auto" w:fill="FFFFFF"/>
        </w:rPr>
      </w:pPr>
      <w:r w:rsidRPr="00A74FEB">
        <w:rPr>
          <w:rFonts w:ascii="Times New Roman" w:eastAsia="Aptos" w:hAnsi="Times New Roman" w:cs="Times New Roman"/>
          <w:kern w:val="2"/>
          <w:sz w:val="24"/>
          <w:szCs w:val="24"/>
          <w14:ligatures w14:val="standardContextual"/>
        </w:rPr>
        <w:t xml:space="preserve">Dose Calculation (Maximum) = </w:t>
      </w:r>
      <w:r w:rsidRPr="00A74FEB">
        <w:rPr>
          <w:rFonts w:ascii="Times New Roman" w:hAnsi="Times New Roman" w:cs="Times New Roman"/>
        </w:rPr>
        <w:t>9.3176</w:t>
      </w:r>
      <w:r w:rsidRPr="00A74FEB">
        <w:rPr>
          <w:rStyle w:val="normaltextrun"/>
          <w:rFonts w:ascii="Times New Roman" w:eastAsia="Aptos" w:hAnsi="Times New Roman" w:cs="Times New Roman"/>
          <w:shd w:val="clear" w:color="auto" w:fill="FFFFFF"/>
        </w:rPr>
        <w:t xml:space="preserve"> Sv/h X </w:t>
      </w:r>
      <w:r w:rsidRPr="00A74FEB">
        <w:rPr>
          <w:rFonts w:ascii="Times New Roman" w:hAnsi="Times New Roman" w:cs="Times New Roman"/>
          <w:shd w:val="clear" w:color="auto" w:fill="FFFFFF"/>
        </w:rPr>
        <w:t>0.0056 = 0.05217856 = 52 mSv</w:t>
      </w:r>
    </w:p>
    <w:p w14:paraId="61FE8BD4" w14:textId="77777777" w:rsidR="0016110F" w:rsidRPr="00A74FEB" w:rsidRDefault="0016110F" w:rsidP="0016110F">
      <w:pPr>
        <w:spacing w:line="256" w:lineRule="auto"/>
        <w:jc w:val="center"/>
        <w:rPr>
          <w:rFonts w:ascii="Times New Roman" w:eastAsia="Aptos" w:hAnsi="Times New Roman" w:cs="Times New Roman"/>
          <w:kern w:val="2"/>
          <w:sz w:val="24"/>
          <w:szCs w:val="24"/>
          <w14:ligatures w14:val="standardContextual"/>
        </w:rPr>
      </w:pPr>
      <w:r w:rsidRPr="00A74FEB">
        <w:rPr>
          <w:rFonts w:ascii="Times New Roman" w:eastAsia="Aptos" w:hAnsi="Times New Roman" w:cs="Times New Roman"/>
          <w:kern w:val="2"/>
          <w:sz w:val="24"/>
          <w:szCs w:val="24"/>
          <w14:ligatures w14:val="standardContextual"/>
        </w:rPr>
        <w:t>Dose Calculation (Average) =</w:t>
      </w:r>
      <w:r w:rsidRPr="00A74FEB">
        <w:rPr>
          <w:rFonts w:ascii="Times New Roman" w:hAnsi="Times New Roman" w:cs="Times New Roman"/>
        </w:rPr>
        <w:t>7.57055</w:t>
      </w:r>
      <w:r w:rsidRPr="00A74FEB">
        <w:rPr>
          <w:rStyle w:val="normaltextrun"/>
          <w:rFonts w:ascii="Times New Roman" w:eastAsia="Aptos" w:hAnsi="Times New Roman" w:cs="Times New Roman"/>
          <w:shd w:val="clear" w:color="auto" w:fill="FFFFFF"/>
        </w:rPr>
        <w:t xml:space="preserve"> Sv/h X </w:t>
      </w:r>
      <w:r w:rsidRPr="00A74FEB">
        <w:rPr>
          <w:rFonts w:ascii="Times New Roman" w:hAnsi="Times New Roman" w:cs="Times New Roman"/>
          <w:shd w:val="clear" w:color="auto" w:fill="FFFFFF"/>
        </w:rPr>
        <w:t>0.00416 = 0.031493488 = 31 mSv</w:t>
      </w:r>
    </w:p>
    <w:p w14:paraId="7D472D36" w14:textId="77777777" w:rsidR="0016110F" w:rsidRPr="00A74FEB" w:rsidRDefault="0016110F" w:rsidP="0016110F">
      <w:pPr>
        <w:spacing w:line="256" w:lineRule="auto"/>
        <w:rPr>
          <w:rFonts w:ascii="Times New Roman" w:eastAsia="Aptos" w:hAnsi="Times New Roman" w:cs="Times New Roman"/>
          <w:kern w:val="2"/>
          <w:sz w:val="24"/>
          <w:szCs w:val="24"/>
          <w14:ligatures w14:val="standardContextual"/>
        </w:rPr>
      </w:pPr>
    </w:p>
    <w:p w14:paraId="2E9E71B8" w14:textId="77777777" w:rsidR="0016110F" w:rsidRPr="00A74FEB" w:rsidRDefault="0016110F" w:rsidP="0016110F">
      <w:pPr>
        <w:spacing w:line="256" w:lineRule="auto"/>
        <w:jc w:val="center"/>
        <w:rPr>
          <w:rFonts w:ascii="Times New Roman" w:eastAsia="Aptos" w:hAnsi="Times New Roman" w:cs="Times New Roman"/>
          <w:kern w:val="2"/>
          <w:sz w:val="24"/>
          <w:szCs w:val="24"/>
          <w14:ligatures w14:val="standardContextual"/>
        </w:rPr>
      </w:pPr>
      <w:r w:rsidRPr="00A74FEB">
        <w:rPr>
          <w:rFonts w:ascii="Times New Roman" w:eastAsia="Aptos" w:hAnsi="Times New Roman" w:cs="Times New Roman"/>
          <w:kern w:val="2"/>
          <w:sz w:val="24"/>
          <w:szCs w:val="24"/>
          <w14:ligatures w14:val="standardContextual"/>
        </w:rPr>
        <w:t>Dose average ≈ 31- 34 mSv</w:t>
      </w:r>
    </w:p>
    <w:p w14:paraId="0F7D787D" w14:textId="7696B4DC" w:rsidR="0016110F" w:rsidRPr="00BB31AE" w:rsidRDefault="0016110F" w:rsidP="0016110F">
      <w:pPr>
        <w:pStyle w:val="Heading2"/>
        <w:rPr>
          <w:rFonts w:ascii="Times New Roman" w:hAnsi="Times New Roman" w:cs="Times New Roman"/>
          <w:shd w:val="clear" w:color="auto" w:fill="FFFFFF"/>
        </w:rPr>
      </w:pPr>
      <w:bookmarkStart w:id="30" w:name="_Toc240031079"/>
      <w:r w:rsidRPr="00BB31AE">
        <w:rPr>
          <w:rFonts w:ascii="Times New Roman" w:hAnsi="Times New Roman" w:cs="Times New Roman"/>
          <w:shd w:val="clear" w:color="auto" w:fill="FFFFFF"/>
        </w:rPr>
        <w:t>Summ</w:t>
      </w:r>
      <w:r w:rsidR="002F424E">
        <w:rPr>
          <w:rFonts w:ascii="Times New Roman" w:hAnsi="Times New Roman" w:cs="Times New Roman"/>
          <w:shd w:val="clear" w:color="auto" w:fill="FFFFFF"/>
        </w:rPr>
        <w:t>a</w:t>
      </w:r>
      <w:r w:rsidRPr="00BB31AE">
        <w:rPr>
          <w:rFonts w:ascii="Times New Roman" w:hAnsi="Times New Roman" w:cs="Times New Roman"/>
          <w:shd w:val="clear" w:color="auto" w:fill="FFFFFF"/>
        </w:rPr>
        <w:t>ry</w:t>
      </w:r>
      <w:bookmarkEnd w:id="30"/>
      <w:r w:rsidRPr="00BB31AE">
        <w:rPr>
          <w:rFonts w:ascii="Times New Roman" w:hAnsi="Times New Roman" w:cs="Times New Roman"/>
          <w:shd w:val="clear" w:color="auto" w:fill="FFFFFF"/>
        </w:rPr>
        <w:t xml:space="preserve"> </w:t>
      </w:r>
    </w:p>
    <w:p w14:paraId="5B840250" w14:textId="77777777" w:rsidR="0016110F" w:rsidRPr="00A74FEB" w:rsidRDefault="0016110F" w:rsidP="0016110F">
      <w:pPr>
        <w:rPr>
          <w:rFonts w:ascii="Times New Roman" w:hAnsi="Times New Roman" w:cs="Times New Roman"/>
        </w:rPr>
      </w:pPr>
      <w:r w:rsidRPr="00A74FEB">
        <w:rPr>
          <w:rFonts w:ascii="Times New Roman" w:hAnsi="Times New Roman" w:cs="Times New Roman"/>
        </w:rPr>
        <w:t xml:space="preserve">Radiation does not affect all parts of the body equally this is because some parts of the body are more sensitive to radiation than others, because of this the ICRP created Tissue weighting factors </w:t>
      </w:r>
      <m:oMath>
        <m:d>
          <m:dPr>
            <m:ctrlPr>
              <w:rPr>
                <w:rFonts w:ascii="Cambria Math" w:hAnsi="Cambria Math" w:cs="Times New Roman"/>
                <w:i/>
              </w:rPr>
            </m:ctrlPr>
          </m:dPr>
          <m:e>
            <m:sSub>
              <m:sSubPr>
                <m:ctrlPr>
                  <w:rPr>
                    <w:rFonts w:ascii="Cambria Math" w:hAnsi="Cambria Math" w:cs="Times New Roman"/>
                    <w:i/>
                  </w:rPr>
                </m:ctrlPr>
              </m:sSubPr>
              <m:e>
                <m:r>
                  <w:rPr>
                    <w:rFonts w:ascii="Cambria Math" w:hAnsi="Cambria Math" w:cs="Times New Roman"/>
                  </w:rPr>
                  <m:t>w</m:t>
                </m:r>
              </m:e>
              <m:sub>
                <m:r>
                  <w:rPr>
                    <w:rFonts w:ascii="Cambria Math" w:hAnsi="Cambria Math" w:cs="Times New Roman"/>
                  </w:rPr>
                  <m:t>T</m:t>
                </m:r>
              </m:sub>
            </m:sSub>
          </m:e>
        </m:d>
      </m:oMath>
      <w:r w:rsidRPr="00A74FEB">
        <w:rPr>
          <w:rFonts w:ascii="Times New Roman" w:hAnsi="Times New Roman" w:cs="Times New Roman"/>
        </w:rPr>
        <w:t>that are assigned to each specific organ for example bone marrow which is more susceptible to developing radiation induced cancers has an Tissue weighting factor of 0.12 while skin which is much more resistant to radiation due to its evolutionary need to deal with the constant exposure to ultraviolet radiation has a tissue weighting factor of 0.01.</w:t>
      </w:r>
    </w:p>
    <w:p w14:paraId="7259AC06" w14:textId="77777777" w:rsidR="0016110F" w:rsidRPr="00A74FEB" w:rsidRDefault="0016110F" w:rsidP="0016110F">
      <w:pPr>
        <w:rPr>
          <w:rFonts w:ascii="Times New Roman" w:eastAsiaTheme="minorEastAsia" w:hAnsi="Times New Roman" w:cs="Times New Roman"/>
        </w:rPr>
      </w:pPr>
      <m:oMathPara>
        <m:oMath>
          <m:r>
            <w:rPr>
              <w:rFonts w:ascii="Cambria Math" w:hAnsi="Cambria Math" w:cs="Times New Roman"/>
            </w:rPr>
            <m:t xml:space="preserve"> </m:t>
          </m:r>
        </m:oMath>
      </m:oMathPara>
    </w:p>
    <w:p w14:paraId="752950C5" w14:textId="77777777" w:rsidR="0016110F" w:rsidRPr="00A74FEB" w:rsidRDefault="0016110F" w:rsidP="0016110F">
      <w:pPr>
        <w:rPr>
          <w:rFonts w:ascii="Times New Roman" w:eastAsiaTheme="minorEastAsia" w:hAnsi="Times New Roman" w:cs="Times New Roman"/>
        </w:rPr>
      </w:pPr>
      <m:oMathPara>
        <m:oMath>
          <m:r>
            <w:rPr>
              <w:rFonts w:ascii="Cambria Math" w:hAnsi="Cambria Math" w:cs="Times New Roman"/>
            </w:rPr>
            <m:t xml:space="preserve">E = </m:t>
          </m:r>
          <m:nary>
            <m:naryPr>
              <m:chr m:val="∑"/>
              <m:supHide m:val="1"/>
              <m:ctrlPr>
                <w:rPr>
                  <w:rFonts w:ascii="Cambria Math" w:hAnsi="Cambria Math" w:cs="Times New Roman"/>
                  <w:i/>
                </w:rPr>
              </m:ctrlPr>
            </m:naryPr>
            <m:sub>
              <m:r>
                <w:rPr>
                  <w:rFonts w:ascii="Cambria Math" w:hAnsi="Cambria Math" w:cs="Times New Roman"/>
                </w:rPr>
                <m:t>T</m:t>
              </m:r>
            </m:sub>
            <m:sup/>
            <m:e>
              <m:sSub>
                <m:sSubPr>
                  <m:ctrlPr>
                    <w:rPr>
                      <w:rFonts w:ascii="Cambria Math" w:hAnsi="Cambria Math" w:cs="Times New Roman"/>
                      <w:i/>
                    </w:rPr>
                  </m:ctrlPr>
                </m:sSubPr>
                <m:e>
                  <m:r>
                    <w:rPr>
                      <w:rFonts w:ascii="Cambria Math" w:hAnsi="Cambria Math" w:cs="Times New Roman"/>
                    </w:rPr>
                    <m:t>w</m:t>
                  </m:r>
                </m:e>
                <m:sub>
                  <m:r>
                    <w:rPr>
                      <w:rFonts w:ascii="Cambria Math" w:hAnsi="Cambria Math" w:cs="Times New Roman"/>
                    </w:rPr>
                    <m:t>T</m:t>
                  </m:r>
                </m:sub>
              </m:sSub>
              <m:sSub>
                <m:sSubPr>
                  <m:ctrlPr>
                    <w:rPr>
                      <w:rFonts w:ascii="Cambria Math" w:hAnsi="Cambria Math" w:cs="Times New Roman"/>
                      <w:i/>
                    </w:rPr>
                  </m:ctrlPr>
                </m:sSubPr>
                <m:e>
                  <m:r>
                    <w:rPr>
                      <w:rFonts w:ascii="Cambria Math" w:hAnsi="Cambria Math" w:cs="Times New Roman"/>
                    </w:rPr>
                    <m:t>H</m:t>
                  </m:r>
                </m:e>
                <m:sub>
                  <m:r>
                    <w:rPr>
                      <w:rFonts w:ascii="Cambria Math" w:hAnsi="Cambria Math" w:cs="Times New Roman"/>
                    </w:rPr>
                    <m:t>T</m:t>
                  </m:r>
                </m:sub>
              </m:sSub>
            </m:e>
          </m:nary>
        </m:oMath>
      </m:oMathPara>
    </w:p>
    <w:p w14:paraId="4D0C99AA" w14:textId="77777777" w:rsidR="0016110F" w:rsidRPr="00A74FEB" w:rsidRDefault="0016110F" w:rsidP="0016110F">
      <w:pPr>
        <w:rPr>
          <w:rFonts w:ascii="Times New Roman" w:eastAsiaTheme="minorEastAsia" w:hAnsi="Times New Roman" w:cs="Times New Roman"/>
        </w:rPr>
      </w:pPr>
      <w:proofErr w:type="gramStart"/>
      <w:r w:rsidRPr="00A74FEB">
        <w:rPr>
          <w:rFonts w:ascii="Times New Roman" w:eastAsiaTheme="minorEastAsia" w:hAnsi="Times New Roman" w:cs="Times New Roman"/>
        </w:rPr>
        <w:t>Where</w:t>
      </w:r>
      <w:proofErr w:type="gramEnd"/>
      <w:r w:rsidRPr="00A74FEB">
        <w:rPr>
          <w:rFonts w:ascii="Times New Roman" w:eastAsiaTheme="minorEastAsia" w:hAnsi="Times New Roman" w:cs="Times New Roman"/>
        </w:rPr>
        <w:t xml:space="preserve"> </w:t>
      </w:r>
    </w:p>
    <w:p w14:paraId="776FF196" w14:textId="77777777" w:rsidR="0016110F" w:rsidRPr="00A74FEB" w:rsidRDefault="0016110F" w:rsidP="0016110F">
      <w:pPr>
        <w:rPr>
          <w:rFonts w:ascii="Times New Roman" w:hAnsi="Times New Roman" w:cs="Times New Roman"/>
        </w:rPr>
      </w:pPr>
      <w:r w:rsidRPr="00A74FEB">
        <w:rPr>
          <w:rFonts w:ascii="Times New Roman" w:eastAsiaTheme="minorEastAsia" w:hAnsi="Times New Roman" w:cs="Times New Roman"/>
        </w:rPr>
        <w:t>E= Effective dose (measured in Sieverts, Sv)</w:t>
      </w:r>
    </w:p>
    <w:p w14:paraId="1C93F7BD" w14:textId="77777777" w:rsidR="0016110F" w:rsidRPr="00A74FEB" w:rsidRDefault="00000000" w:rsidP="0016110F">
      <w:pPr>
        <w:rPr>
          <w:rFonts w:ascii="Times New Roman" w:eastAsiaTheme="minorEastAsia" w:hAnsi="Times New Roman" w:cs="Times New Roman"/>
        </w:rPr>
      </w:pPr>
      <m:oMath>
        <m:sSub>
          <m:sSubPr>
            <m:ctrlPr>
              <w:rPr>
                <w:rFonts w:ascii="Cambria Math" w:hAnsi="Cambria Math" w:cs="Times New Roman"/>
                <w:i/>
              </w:rPr>
            </m:ctrlPr>
          </m:sSubPr>
          <m:e>
            <m:r>
              <w:rPr>
                <w:rFonts w:ascii="Cambria Math" w:hAnsi="Cambria Math" w:cs="Times New Roman"/>
              </w:rPr>
              <m:t>w</m:t>
            </m:r>
          </m:e>
          <m:sub>
            <m:r>
              <w:rPr>
                <w:rFonts w:ascii="Cambria Math" w:hAnsi="Cambria Math" w:cs="Times New Roman"/>
              </w:rPr>
              <m:t>T</m:t>
            </m:r>
          </m:sub>
        </m:sSub>
      </m:oMath>
      <w:r w:rsidR="0016110F" w:rsidRPr="00A74FEB">
        <w:rPr>
          <w:rFonts w:ascii="Times New Roman" w:eastAsiaTheme="minorEastAsia" w:hAnsi="Times New Roman" w:cs="Times New Roman"/>
        </w:rPr>
        <w:t>= Tissue weighting factor for tissue or organ</w:t>
      </w:r>
    </w:p>
    <w:p w14:paraId="7393C508" w14:textId="77777777" w:rsidR="0016110F" w:rsidRPr="00A74FEB" w:rsidRDefault="00000000" w:rsidP="0016110F">
      <w:pPr>
        <w:rPr>
          <w:rFonts w:ascii="Times New Roman" w:hAnsi="Times New Roman" w:cs="Times New Roman"/>
        </w:rPr>
      </w:pPr>
      <m:oMath>
        <m:sSub>
          <m:sSubPr>
            <m:ctrlPr>
              <w:rPr>
                <w:rFonts w:ascii="Cambria Math" w:hAnsi="Cambria Math" w:cs="Times New Roman"/>
                <w:i/>
              </w:rPr>
            </m:ctrlPr>
          </m:sSubPr>
          <m:e>
            <m:r>
              <w:rPr>
                <w:rFonts w:ascii="Cambria Math" w:hAnsi="Cambria Math" w:cs="Times New Roman"/>
              </w:rPr>
              <m:t>H</m:t>
            </m:r>
          </m:e>
          <m:sub>
            <m:r>
              <w:rPr>
                <w:rFonts w:ascii="Cambria Math" w:hAnsi="Cambria Math" w:cs="Times New Roman"/>
              </w:rPr>
              <m:t>T</m:t>
            </m:r>
          </m:sub>
        </m:sSub>
      </m:oMath>
      <w:r w:rsidR="0016110F" w:rsidRPr="00A74FEB">
        <w:rPr>
          <w:rFonts w:ascii="Times New Roman" w:eastAsiaTheme="minorEastAsia" w:hAnsi="Times New Roman" w:cs="Times New Roman"/>
        </w:rPr>
        <w:t>= Equivalent dose to tissue or organ</w:t>
      </w:r>
    </w:p>
    <w:p w14:paraId="06FAA6AA" w14:textId="77777777" w:rsidR="0016110F" w:rsidRPr="00A74FEB" w:rsidRDefault="0016110F" w:rsidP="0016110F">
      <w:pPr>
        <w:spacing w:line="256" w:lineRule="auto"/>
        <w:rPr>
          <w:rFonts w:ascii="Times New Roman" w:eastAsia="Aptos" w:hAnsi="Times New Roman" w:cs="Times New Roman"/>
          <w:kern w:val="2"/>
          <w:sz w:val="24"/>
          <w:szCs w:val="24"/>
          <w14:ligatures w14:val="standardContextual"/>
        </w:rPr>
      </w:pPr>
    </w:p>
    <w:p w14:paraId="58D88AD1" w14:textId="77777777" w:rsidR="0016110F" w:rsidRPr="00A74FEB" w:rsidRDefault="0016110F" w:rsidP="0016110F">
      <w:pPr>
        <w:spacing w:line="256" w:lineRule="auto"/>
        <w:rPr>
          <w:rFonts w:ascii="Times New Roman" w:eastAsia="Aptos" w:hAnsi="Times New Roman" w:cs="Times New Roman"/>
          <w:kern w:val="2"/>
          <w14:ligatures w14:val="standardContextual"/>
        </w:rPr>
      </w:pPr>
      <w:r w:rsidRPr="00A74FEB">
        <w:rPr>
          <w:rFonts w:ascii="Times New Roman" w:eastAsia="Aptos" w:hAnsi="Times New Roman" w:cs="Times New Roman"/>
          <w:kern w:val="2"/>
          <w14:ligatures w14:val="standardContextual"/>
        </w:rPr>
        <w:t>But when applying this to the irradiator incident, where the operator was standing directly in front of the machine there torso was exposed to the radiation and the torso contains a bulk of the highly weighted organs such as the breast, lungs, stomach,</w:t>
      </w:r>
      <w:r w:rsidRPr="00A74FEB">
        <w:rPr>
          <w:rFonts w:ascii="Times New Roman" w:hAnsi="Times New Roman" w:cs="Times New Roman"/>
        </w:rPr>
        <w:t xml:space="preserve"> </w:t>
      </w:r>
      <w:r w:rsidRPr="00A74FEB">
        <w:rPr>
          <w:rFonts w:ascii="Times New Roman" w:eastAsia="Aptos" w:hAnsi="Times New Roman" w:cs="Times New Roman"/>
          <w:kern w:val="2"/>
          <w14:ligatures w14:val="standardContextual"/>
        </w:rPr>
        <w:t xml:space="preserve">colon, etc. which means majority of these organs can be approximated to have had received the same dose we can instead use </w:t>
      </w:r>
      <m:oMath>
        <m:nary>
          <m:naryPr>
            <m:chr m:val="∑"/>
            <m:subHide m:val="1"/>
            <m:supHide m:val="1"/>
            <m:ctrlPr>
              <w:rPr>
                <w:rFonts w:ascii="Cambria Math" w:hAnsi="Cambria Math" w:cs="Times New Roman"/>
                <w:i/>
              </w:rPr>
            </m:ctrlPr>
          </m:naryPr>
          <m:sub/>
          <m:sup/>
          <m:e>
            <m:sSub>
              <m:sSubPr>
                <m:ctrlPr>
                  <w:rPr>
                    <w:rFonts w:ascii="Cambria Math" w:hAnsi="Cambria Math" w:cs="Times New Roman"/>
                    <w:i/>
                  </w:rPr>
                </m:ctrlPr>
              </m:sSubPr>
              <m:e>
                <m:r>
                  <w:rPr>
                    <w:rFonts w:ascii="Cambria Math" w:hAnsi="Cambria Math" w:cs="Times New Roman"/>
                  </w:rPr>
                  <m:t>w</m:t>
                </m:r>
              </m:e>
              <m:sub>
                <m:r>
                  <w:rPr>
                    <w:rFonts w:ascii="Cambria Math" w:hAnsi="Cambria Math" w:cs="Times New Roman"/>
                  </w:rPr>
                  <m:t>T</m:t>
                </m:r>
              </m:sub>
            </m:sSub>
          </m:e>
        </m:nary>
        <m:r>
          <m:rPr>
            <m:sty m:val="p"/>
          </m:rPr>
          <w:rPr>
            <w:rFonts w:ascii="Cambria Math" w:eastAsia="Aptos" w:hAnsi="Cambria Math" w:cs="Times New Roman"/>
            <w:kern w:val="2"/>
            <w14:ligatures w14:val="standardContextual"/>
          </w:rPr>
          <m:t>≈ 1</m:t>
        </m:r>
      </m:oMath>
      <w:r w:rsidRPr="00A74FEB">
        <w:rPr>
          <w:rFonts w:ascii="Times New Roman" w:eastAsia="Aptos" w:hAnsi="Times New Roman" w:cs="Times New Roman"/>
          <w:kern w:val="2"/>
          <w14:ligatures w14:val="standardContextual"/>
        </w:rPr>
        <w:t xml:space="preserve"> which means that the equivalent does measured to the toros is approximately equal to the whole body effective dose</w:t>
      </w:r>
      <w:r>
        <w:rPr>
          <w:rFonts w:ascii="Times New Roman" w:eastAsia="Aptos" w:hAnsi="Times New Roman" w:cs="Times New Roman"/>
          <w:kern w:val="2"/>
          <w14:ligatures w14:val="standardContextual"/>
        </w:rPr>
        <w:t>.</w:t>
      </w:r>
    </w:p>
    <w:p w14:paraId="6EC45A90" w14:textId="77777777" w:rsidR="0016110F" w:rsidRPr="0016110F" w:rsidRDefault="0016110F" w:rsidP="001F54BB">
      <w:pPr>
        <w:rPr>
          <w:rFonts w:ascii="Times New Roman" w:hAnsi="Times New Roman" w:cs="Times New Roman"/>
        </w:rPr>
      </w:pPr>
    </w:p>
    <w:sectPr w:rsidR="0016110F" w:rsidRPr="0016110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106B3"/>
    <w:multiLevelType w:val="multilevel"/>
    <w:tmpl w:val="887A24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ED3BFC"/>
    <w:multiLevelType w:val="multilevel"/>
    <w:tmpl w:val="C03EB3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FC4E4E"/>
    <w:multiLevelType w:val="multilevel"/>
    <w:tmpl w:val="9AB480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CE21C2"/>
    <w:multiLevelType w:val="hybridMultilevel"/>
    <w:tmpl w:val="0A0228D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0FF2770E"/>
    <w:multiLevelType w:val="multilevel"/>
    <w:tmpl w:val="680C1C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F322B6"/>
    <w:multiLevelType w:val="hybridMultilevel"/>
    <w:tmpl w:val="375E7E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86D39FB"/>
    <w:multiLevelType w:val="hybridMultilevel"/>
    <w:tmpl w:val="424EFFF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2B73232D"/>
    <w:multiLevelType w:val="hybridMultilevel"/>
    <w:tmpl w:val="4C523C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0C07825"/>
    <w:multiLevelType w:val="hybridMultilevel"/>
    <w:tmpl w:val="70305A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D5D5DCA"/>
    <w:multiLevelType w:val="multilevel"/>
    <w:tmpl w:val="ACEEC7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EB44661"/>
    <w:multiLevelType w:val="hybridMultilevel"/>
    <w:tmpl w:val="7C66D9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2526496"/>
    <w:multiLevelType w:val="multilevel"/>
    <w:tmpl w:val="481241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35B1B29"/>
    <w:multiLevelType w:val="multilevel"/>
    <w:tmpl w:val="62C6C6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A5E0253"/>
    <w:multiLevelType w:val="multilevel"/>
    <w:tmpl w:val="AFF27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83D415B"/>
    <w:multiLevelType w:val="multilevel"/>
    <w:tmpl w:val="03E24B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CFF4593"/>
    <w:multiLevelType w:val="hybridMultilevel"/>
    <w:tmpl w:val="C92E7CD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6" w15:restartNumberingAfterBreak="0">
    <w:nsid w:val="6D4840CE"/>
    <w:multiLevelType w:val="hybridMultilevel"/>
    <w:tmpl w:val="F1F868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B4151D0"/>
    <w:multiLevelType w:val="hybridMultilevel"/>
    <w:tmpl w:val="B7BEA3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69827700">
    <w:abstractNumId w:val="11"/>
  </w:num>
  <w:num w:numId="2" w16cid:durableId="803276975">
    <w:abstractNumId w:val="1"/>
  </w:num>
  <w:num w:numId="3" w16cid:durableId="633293871">
    <w:abstractNumId w:val="14"/>
  </w:num>
  <w:num w:numId="4" w16cid:durableId="2013599998">
    <w:abstractNumId w:val="2"/>
  </w:num>
  <w:num w:numId="5" w16cid:durableId="1713187994">
    <w:abstractNumId w:val="4"/>
  </w:num>
  <w:num w:numId="6" w16cid:durableId="790519563">
    <w:abstractNumId w:val="0"/>
  </w:num>
  <w:num w:numId="7" w16cid:durableId="599876708">
    <w:abstractNumId w:val="9"/>
  </w:num>
  <w:num w:numId="8" w16cid:durableId="21261909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575966963">
    <w:abstractNumId w:val="6"/>
  </w:num>
  <w:num w:numId="10" w16cid:durableId="279648981">
    <w:abstractNumId w:val="3"/>
  </w:num>
  <w:num w:numId="11" w16cid:durableId="270361182">
    <w:abstractNumId w:val="16"/>
  </w:num>
  <w:num w:numId="12" w16cid:durableId="1359962749">
    <w:abstractNumId w:val="7"/>
  </w:num>
  <w:num w:numId="13" w16cid:durableId="1395743012">
    <w:abstractNumId w:val="5"/>
  </w:num>
  <w:num w:numId="14" w16cid:durableId="1948466493">
    <w:abstractNumId w:val="17"/>
  </w:num>
  <w:num w:numId="15" w16cid:durableId="502858313">
    <w:abstractNumId w:val="13"/>
  </w:num>
  <w:num w:numId="16" w16cid:durableId="528688628">
    <w:abstractNumId w:val="10"/>
  </w:num>
  <w:num w:numId="17" w16cid:durableId="1253782552">
    <w:abstractNumId w:val="8"/>
  </w:num>
  <w:num w:numId="18" w16cid:durableId="17749364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033D"/>
    <w:rsid w:val="000139C7"/>
    <w:rsid w:val="000310D6"/>
    <w:rsid w:val="00042590"/>
    <w:rsid w:val="000663D4"/>
    <w:rsid w:val="0007605B"/>
    <w:rsid w:val="000E28DA"/>
    <w:rsid w:val="000F7E42"/>
    <w:rsid w:val="0010033D"/>
    <w:rsid w:val="00105621"/>
    <w:rsid w:val="00123F05"/>
    <w:rsid w:val="00143423"/>
    <w:rsid w:val="001512E0"/>
    <w:rsid w:val="0016110F"/>
    <w:rsid w:val="00166310"/>
    <w:rsid w:val="001B46E5"/>
    <w:rsid w:val="001B6B17"/>
    <w:rsid w:val="001C5B84"/>
    <w:rsid w:val="001C6B96"/>
    <w:rsid w:val="001F54BB"/>
    <w:rsid w:val="001F5FC5"/>
    <w:rsid w:val="002E4A27"/>
    <w:rsid w:val="002F424E"/>
    <w:rsid w:val="00321590"/>
    <w:rsid w:val="0035225C"/>
    <w:rsid w:val="003755CF"/>
    <w:rsid w:val="00376594"/>
    <w:rsid w:val="00377F2E"/>
    <w:rsid w:val="00381324"/>
    <w:rsid w:val="003B7F20"/>
    <w:rsid w:val="003E62C6"/>
    <w:rsid w:val="00400988"/>
    <w:rsid w:val="00402AFA"/>
    <w:rsid w:val="004151CE"/>
    <w:rsid w:val="0047072B"/>
    <w:rsid w:val="00471630"/>
    <w:rsid w:val="00482C5D"/>
    <w:rsid w:val="004C0D9B"/>
    <w:rsid w:val="004D72C3"/>
    <w:rsid w:val="004E33B3"/>
    <w:rsid w:val="004F2D57"/>
    <w:rsid w:val="004F4237"/>
    <w:rsid w:val="004F52A0"/>
    <w:rsid w:val="005150D5"/>
    <w:rsid w:val="0054257E"/>
    <w:rsid w:val="005541C8"/>
    <w:rsid w:val="005C6749"/>
    <w:rsid w:val="005E045F"/>
    <w:rsid w:val="005E5DA0"/>
    <w:rsid w:val="006361DF"/>
    <w:rsid w:val="00660B00"/>
    <w:rsid w:val="00662D26"/>
    <w:rsid w:val="006728CB"/>
    <w:rsid w:val="00677B3A"/>
    <w:rsid w:val="00680A04"/>
    <w:rsid w:val="00681C69"/>
    <w:rsid w:val="006863B8"/>
    <w:rsid w:val="0069587E"/>
    <w:rsid w:val="006A030B"/>
    <w:rsid w:val="006A2A89"/>
    <w:rsid w:val="0070752D"/>
    <w:rsid w:val="00720A7F"/>
    <w:rsid w:val="00732616"/>
    <w:rsid w:val="00760034"/>
    <w:rsid w:val="0076447D"/>
    <w:rsid w:val="00765252"/>
    <w:rsid w:val="00794682"/>
    <w:rsid w:val="00795DF0"/>
    <w:rsid w:val="007C1B2F"/>
    <w:rsid w:val="008028FA"/>
    <w:rsid w:val="0081209D"/>
    <w:rsid w:val="008146CE"/>
    <w:rsid w:val="0084621B"/>
    <w:rsid w:val="00864060"/>
    <w:rsid w:val="008A56C5"/>
    <w:rsid w:val="008E63CC"/>
    <w:rsid w:val="008E741F"/>
    <w:rsid w:val="009066CB"/>
    <w:rsid w:val="00921862"/>
    <w:rsid w:val="009322FE"/>
    <w:rsid w:val="009625E0"/>
    <w:rsid w:val="00964716"/>
    <w:rsid w:val="0097325F"/>
    <w:rsid w:val="00993133"/>
    <w:rsid w:val="009B023E"/>
    <w:rsid w:val="009C3250"/>
    <w:rsid w:val="009D2669"/>
    <w:rsid w:val="009E053F"/>
    <w:rsid w:val="009E4AAA"/>
    <w:rsid w:val="009F3955"/>
    <w:rsid w:val="00A324C6"/>
    <w:rsid w:val="00A536B7"/>
    <w:rsid w:val="00A74FEB"/>
    <w:rsid w:val="00A9520C"/>
    <w:rsid w:val="00AB3357"/>
    <w:rsid w:val="00AC5C28"/>
    <w:rsid w:val="00B1537E"/>
    <w:rsid w:val="00B573F2"/>
    <w:rsid w:val="00B63823"/>
    <w:rsid w:val="00B91996"/>
    <w:rsid w:val="00BA1574"/>
    <w:rsid w:val="00BB0228"/>
    <w:rsid w:val="00BB31AE"/>
    <w:rsid w:val="00BE7CD6"/>
    <w:rsid w:val="00C01351"/>
    <w:rsid w:val="00C61903"/>
    <w:rsid w:val="00C769BE"/>
    <w:rsid w:val="00C8143F"/>
    <w:rsid w:val="00C97EBF"/>
    <w:rsid w:val="00CB3825"/>
    <w:rsid w:val="00CC5FD7"/>
    <w:rsid w:val="00CD1DD4"/>
    <w:rsid w:val="00D027BD"/>
    <w:rsid w:val="00D24D60"/>
    <w:rsid w:val="00D37FEE"/>
    <w:rsid w:val="00D600C3"/>
    <w:rsid w:val="00E50749"/>
    <w:rsid w:val="00E70C85"/>
    <w:rsid w:val="00E75986"/>
    <w:rsid w:val="00E972DE"/>
    <w:rsid w:val="00EC3CEE"/>
    <w:rsid w:val="00ED36EC"/>
    <w:rsid w:val="00F35064"/>
    <w:rsid w:val="00F45801"/>
    <w:rsid w:val="00F56781"/>
    <w:rsid w:val="00F80376"/>
    <w:rsid w:val="00F9488D"/>
    <w:rsid w:val="00FA6802"/>
    <w:rsid w:val="00FB2A50"/>
    <w:rsid w:val="00FB413A"/>
    <w:rsid w:val="00FD0332"/>
    <w:rsid w:val="00FE67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C53A33"/>
  <w15:chartTrackingRefBased/>
  <w15:docId w15:val="{662B6FDE-8E75-4A77-8CF3-4C8D8C80AE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10033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0033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0033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0033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0033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0033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0033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0033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0033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033D"/>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rsid w:val="0010033D"/>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rsid w:val="0010033D"/>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10033D"/>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10033D"/>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10033D"/>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10033D"/>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10033D"/>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10033D"/>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10033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0033D"/>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10033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0033D"/>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10033D"/>
    <w:pPr>
      <w:spacing w:before="160"/>
      <w:jc w:val="center"/>
    </w:pPr>
    <w:rPr>
      <w:i/>
      <w:iCs/>
      <w:color w:val="404040" w:themeColor="text1" w:themeTint="BF"/>
    </w:rPr>
  </w:style>
  <w:style w:type="character" w:customStyle="1" w:styleId="QuoteChar">
    <w:name w:val="Quote Char"/>
    <w:basedOn w:val="DefaultParagraphFont"/>
    <w:link w:val="Quote"/>
    <w:uiPriority w:val="29"/>
    <w:rsid w:val="0010033D"/>
    <w:rPr>
      <w:i/>
      <w:iCs/>
      <w:color w:val="404040" w:themeColor="text1" w:themeTint="BF"/>
      <w:lang w:val="en-GB"/>
    </w:rPr>
  </w:style>
  <w:style w:type="paragraph" w:styleId="ListParagraph">
    <w:name w:val="List Paragraph"/>
    <w:basedOn w:val="Normal"/>
    <w:uiPriority w:val="34"/>
    <w:qFormat/>
    <w:rsid w:val="0010033D"/>
    <w:pPr>
      <w:ind w:left="720"/>
      <w:contextualSpacing/>
    </w:pPr>
  </w:style>
  <w:style w:type="character" w:styleId="IntenseEmphasis">
    <w:name w:val="Intense Emphasis"/>
    <w:basedOn w:val="DefaultParagraphFont"/>
    <w:uiPriority w:val="21"/>
    <w:qFormat/>
    <w:rsid w:val="0010033D"/>
    <w:rPr>
      <w:i/>
      <w:iCs/>
      <w:color w:val="0F4761" w:themeColor="accent1" w:themeShade="BF"/>
    </w:rPr>
  </w:style>
  <w:style w:type="paragraph" w:styleId="IntenseQuote">
    <w:name w:val="Intense Quote"/>
    <w:basedOn w:val="Normal"/>
    <w:next w:val="Normal"/>
    <w:link w:val="IntenseQuoteChar"/>
    <w:uiPriority w:val="30"/>
    <w:qFormat/>
    <w:rsid w:val="0010033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0033D"/>
    <w:rPr>
      <w:i/>
      <w:iCs/>
      <w:color w:val="0F4761" w:themeColor="accent1" w:themeShade="BF"/>
      <w:lang w:val="en-GB"/>
    </w:rPr>
  </w:style>
  <w:style w:type="character" w:styleId="IntenseReference">
    <w:name w:val="Intense Reference"/>
    <w:basedOn w:val="DefaultParagraphFont"/>
    <w:uiPriority w:val="32"/>
    <w:qFormat/>
    <w:rsid w:val="0010033D"/>
    <w:rPr>
      <w:b/>
      <w:bCs/>
      <w:smallCaps/>
      <w:color w:val="0F4761" w:themeColor="accent1" w:themeShade="BF"/>
      <w:spacing w:val="5"/>
    </w:rPr>
  </w:style>
  <w:style w:type="character" w:customStyle="1" w:styleId="normaltextrun">
    <w:name w:val="normaltextrun"/>
    <w:basedOn w:val="DefaultParagraphFont"/>
    <w:rsid w:val="00660B00"/>
  </w:style>
  <w:style w:type="character" w:customStyle="1" w:styleId="eop">
    <w:name w:val="eop"/>
    <w:basedOn w:val="DefaultParagraphFont"/>
    <w:rsid w:val="00660B00"/>
  </w:style>
  <w:style w:type="character" w:styleId="PlaceholderText">
    <w:name w:val="Placeholder Text"/>
    <w:basedOn w:val="DefaultParagraphFont"/>
    <w:uiPriority w:val="99"/>
    <w:semiHidden/>
    <w:rsid w:val="009E4AAA"/>
    <w:rPr>
      <w:color w:val="666666"/>
    </w:rPr>
  </w:style>
  <w:style w:type="table" w:styleId="TableGrid">
    <w:name w:val="Table Grid"/>
    <w:basedOn w:val="TableNormal"/>
    <w:uiPriority w:val="39"/>
    <w:rsid w:val="003813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361DF"/>
    <w:rPr>
      <w:color w:val="467886" w:themeColor="hyperlink"/>
      <w:u w:val="single"/>
    </w:rPr>
  </w:style>
  <w:style w:type="character" w:styleId="UnresolvedMention">
    <w:name w:val="Unresolved Mention"/>
    <w:basedOn w:val="DefaultParagraphFont"/>
    <w:uiPriority w:val="99"/>
    <w:semiHidden/>
    <w:unhideWhenUsed/>
    <w:rsid w:val="006361DF"/>
    <w:rPr>
      <w:color w:val="605E5C"/>
      <w:shd w:val="clear" w:color="auto" w:fill="E1DFDD"/>
    </w:rPr>
  </w:style>
  <w:style w:type="character" w:styleId="FollowedHyperlink">
    <w:name w:val="FollowedHyperlink"/>
    <w:basedOn w:val="DefaultParagraphFont"/>
    <w:uiPriority w:val="99"/>
    <w:semiHidden/>
    <w:unhideWhenUsed/>
    <w:rsid w:val="003E62C6"/>
    <w:rPr>
      <w:color w:val="96607D" w:themeColor="followedHyperlink"/>
      <w:u w:val="single"/>
    </w:rPr>
  </w:style>
  <w:style w:type="character" w:styleId="CommentReference">
    <w:name w:val="annotation reference"/>
    <w:basedOn w:val="DefaultParagraphFont"/>
    <w:uiPriority w:val="99"/>
    <w:semiHidden/>
    <w:unhideWhenUsed/>
    <w:rsid w:val="009322FE"/>
    <w:rPr>
      <w:sz w:val="16"/>
      <w:szCs w:val="16"/>
    </w:rPr>
  </w:style>
  <w:style w:type="paragraph" w:styleId="CommentText">
    <w:name w:val="annotation text"/>
    <w:basedOn w:val="Normal"/>
    <w:link w:val="CommentTextChar"/>
    <w:uiPriority w:val="99"/>
    <w:unhideWhenUsed/>
    <w:rsid w:val="009322FE"/>
    <w:pPr>
      <w:spacing w:line="240" w:lineRule="auto"/>
    </w:pPr>
    <w:rPr>
      <w:sz w:val="20"/>
      <w:szCs w:val="20"/>
    </w:rPr>
  </w:style>
  <w:style w:type="character" w:customStyle="1" w:styleId="CommentTextChar">
    <w:name w:val="Comment Text Char"/>
    <w:basedOn w:val="DefaultParagraphFont"/>
    <w:link w:val="CommentText"/>
    <w:uiPriority w:val="99"/>
    <w:rsid w:val="009322FE"/>
    <w:rPr>
      <w:sz w:val="20"/>
      <w:szCs w:val="20"/>
      <w:lang w:val="en-GB"/>
    </w:rPr>
  </w:style>
  <w:style w:type="paragraph" w:styleId="CommentSubject">
    <w:name w:val="annotation subject"/>
    <w:basedOn w:val="CommentText"/>
    <w:next w:val="CommentText"/>
    <w:link w:val="CommentSubjectChar"/>
    <w:uiPriority w:val="99"/>
    <w:semiHidden/>
    <w:unhideWhenUsed/>
    <w:rsid w:val="009322FE"/>
    <w:rPr>
      <w:b/>
      <w:bCs/>
    </w:rPr>
  </w:style>
  <w:style w:type="character" w:customStyle="1" w:styleId="CommentSubjectChar">
    <w:name w:val="Comment Subject Char"/>
    <w:basedOn w:val="CommentTextChar"/>
    <w:link w:val="CommentSubject"/>
    <w:uiPriority w:val="99"/>
    <w:semiHidden/>
    <w:rsid w:val="009322FE"/>
    <w:rPr>
      <w:b/>
      <w:bCs/>
      <w:sz w:val="20"/>
      <w:szCs w:val="20"/>
      <w:lang w:val="en-GB"/>
    </w:rPr>
  </w:style>
  <w:style w:type="paragraph" w:customStyle="1" w:styleId="paragraph">
    <w:name w:val="paragraph"/>
    <w:basedOn w:val="Normal"/>
    <w:rsid w:val="00321590"/>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nobreakhyphenblob">
    <w:name w:val="nobreakhyphenblob"/>
    <w:basedOn w:val="DefaultParagraphFont"/>
    <w:rsid w:val="00321590"/>
  </w:style>
  <w:style w:type="paragraph" w:styleId="Caption">
    <w:name w:val="caption"/>
    <w:basedOn w:val="Normal"/>
    <w:next w:val="Normal"/>
    <w:uiPriority w:val="35"/>
    <w:unhideWhenUsed/>
    <w:qFormat/>
    <w:rsid w:val="001F54BB"/>
    <w:pPr>
      <w:spacing w:after="200" w:line="240" w:lineRule="auto"/>
    </w:pPr>
    <w:rPr>
      <w:i/>
      <w:iCs/>
      <w:color w:val="0E2841" w:themeColor="text2"/>
      <w:sz w:val="18"/>
      <w:szCs w:val="18"/>
    </w:rPr>
  </w:style>
  <w:style w:type="paragraph" w:styleId="TOCHeading">
    <w:name w:val="TOC Heading"/>
    <w:basedOn w:val="Heading1"/>
    <w:next w:val="Normal"/>
    <w:uiPriority w:val="39"/>
    <w:unhideWhenUsed/>
    <w:qFormat/>
    <w:rsid w:val="004D72C3"/>
    <w:pPr>
      <w:spacing w:before="240" w:after="0"/>
      <w:outlineLvl w:val="9"/>
    </w:pPr>
    <w:rPr>
      <w:sz w:val="32"/>
      <w:szCs w:val="32"/>
      <w:lang w:val="en-US"/>
    </w:rPr>
  </w:style>
  <w:style w:type="paragraph" w:styleId="TOC1">
    <w:name w:val="toc 1"/>
    <w:basedOn w:val="Normal"/>
    <w:next w:val="Normal"/>
    <w:autoRedefine/>
    <w:uiPriority w:val="39"/>
    <w:unhideWhenUsed/>
    <w:rsid w:val="004D72C3"/>
    <w:pPr>
      <w:spacing w:after="100"/>
    </w:pPr>
  </w:style>
  <w:style w:type="paragraph" w:styleId="TOC2">
    <w:name w:val="toc 2"/>
    <w:basedOn w:val="Normal"/>
    <w:next w:val="Normal"/>
    <w:autoRedefine/>
    <w:uiPriority w:val="39"/>
    <w:unhideWhenUsed/>
    <w:rsid w:val="004D72C3"/>
    <w:pPr>
      <w:spacing w:after="100"/>
      <w:ind w:left="220"/>
    </w:pPr>
  </w:style>
  <w:style w:type="paragraph" w:styleId="TOC3">
    <w:name w:val="toc 3"/>
    <w:basedOn w:val="Normal"/>
    <w:next w:val="Normal"/>
    <w:autoRedefine/>
    <w:uiPriority w:val="39"/>
    <w:unhideWhenUsed/>
    <w:rsid w:val="004D72C3"/>
    <w:pPr>
      <w:spacing w:after="100"/>
      <w:ind w:left="440"/>
    </w:pPr>
  </w:style>
  <w:style w:type="paragraph" w:styleId="TableofFigures">
    <w:name w:val="table of figures"/>
    <w:basedOn w:val="Normal"/>
    <w:next w:val="Normal"/>
    <w:uiPriority w:val="99"/>
    <w:unhideWhenUsed/>
    <w:rsid w:val="005C6749"/>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mc.ncbi.nlm.nih.gov/articles/PMC9020448/" TargetMode="External"/><Relationship Id="rId13" Type="http://schemas.openxmlformats.org/officeDocument/2006/relationships/hyperlink" Target="https://www.hse.gov.uk/pubns/priced/l121.pdf" TargetMode="External"/><Relationship Id="rId18" Type="http://schemas.openxmlformats.org/officeDocument/2006/relationships/hyperlink" Target="https://www.gov.uk/guidance/controls-on-radioactive-sources" TargetMode="External"/><Relationship Id="rId26" Type="http://schemas.openxmlformats.org/officeDocument/2006/relationships/hyperlink" Target="https://www.onr.org.uk/our-work/how-we-regulate/nuclear-site-licensing/delicensing" TargetMode="External"/><Relationship Id="rId3" Type="http://schemas.openxmlformats.org/officeDocument/2006/relationships/styles" Target="styles.xml"/><Relationship Id="rId21" Type="http://schemas.openxmlformats.org/officeDocument/2006/relationships/hyperlink" Target="https://ionactive.co.uk/resource-hub/guidance/cs-137-caesium-137-radiation-safety-data" TargetMode="External"/><Relationship Id="rId7" Type="http://schemas.openxmlformats.org/officeDocument/2006/relationships/hyperlink" Target="https://www.oxfordreference.com/display/10.1093/oi/authority.20110803100206187?p=emailAOgK7MLsLAXuo&amp;d=/10.1093/oi/authority.20110803100206187" TargetMode="External"/><Relationship Id="rId12" Type="http://schemas.openxmlformats.org/officeDocument/2006/relationships/hyperlink" Target="https://nucleus.iaea.org/sites/committees/RASSC%20Documents/R.9.1%20ENISS%20Position%20Paper%20on%20LNT%20Hypothesis%20March%202026%20-%20FINAL.pdf" TargetMode="External"/><Relationship Id="rId17" Type="http://schemas.openxmlformats.org/officeDocument/2006/relationships/image" Target="media/image1.png"/><Relationship Id="rId25" Type="http://schemas.openxmlformats.org/officeDocument/2006/relationships/hyperlink" Target="https://www.hse.gov.uk/pubns/books/l121.htm" TargetMode="External"/><Relationship Id="rId2" Type="http://schemas.openxmlformats.org/officeDocument/2006/relationships/numbering" Target="numbering.xml"/><Relationship Id="rId16" Type="http://schemas.openxmlformats.org/officeDocument/2006/relationships/hyperlink" Target="https://doi.org/10.1017/CBO9781139062367" TargetMode="External"/><Relationship Id="rId20" Type="http://schemas.openxmlformats.org/officeDocument/2006/relationships/hyperlink" Target="https://radiacode.com/isotope/cs-137" TargetMode="External"/><Relationship Id="rId29" Type="http://schemas.openxmlformats.org/officeDocument/2006/relationships/hyperlink" Target="https://www.gov.uk/guidance/controls-on-radioactive-sources" TargetMode="External"/><Relationship Id="rId1" Type="http://schemas.openxmlformats.org/officeDocument/2006/relationships/customXml" Target="../customXml/item1.xml"/><Relationship Id="rId6" Type="http://schemas.openxmlformats.org/officeDocument/2006/relationships/hyperlink" Target="https://ionactive.co.uk/resource-hub/guidance/cs-137-caesium-137-radiation-safety-data" TargetMode="External"/><Relationship Id="rId11" Type="http://schemas.openxmlformats.org/officeDocument/2006/relationships/hyperlink" Target="https://www.iaea.org/resources/rpop/health-professionals/radiology/erythema" TargetMode="External"/><Relationship Id="rId24" Type="http://schemas.openxmlformats.org/officeDocument/2006/relationships/hyperlink" Target="https://nucleus.iaea.org/sites/committees/RASSC%20Documents/R.9.1%20ENISS%20Position%20Paper%20on%20LNT%20Hypothesis%20March%202026%20-%20FINAL.pdf" TargetMode="External"/><Relationship Id="rId5" Type="http://schemas.openxmlformats.org/officeDocument/2006/relationships/webSettings" Target="webSettings.xml"/><Relationship Id="rId15" Type="http://schemas.openxmlformats.org/officeDocument/2006/relationships/hyperlink" Target="https://www.onr.org.uk/media/wjmfh2gv/ro-ukhpr1000-0058.pdf" TargetMode="External"/><Relationship Id="rId23" Type="http://schemas.openxmlformats.org/officeDocument/2006/relationships/hyperlink" Target="https://www.nordion.com/products/c-188-cobalt-60-sources/" TargetMode="External"/><Relationship Id="rId28" Type="http://schemas.openxmlformats.org/officeDocument/2006/relationships/hyperlink" Target="https://doi.org/10.1017/CBO9781139062367" TargetMode="External"/><Relationship Id="rId10" Type="http://schemas.openxmlformats.org/officeDocument/2006/relationships/hyperlink" Target="https://www.nordion.com/products/c-188-cobalt-60-sources/" TargetMode="External"/><Relationship Id="rId19" Type="http://schemas.openxmlformats.org/officeDocument/2006/relationships/hyperlink" Target="https://www.epa.gov/radiation/radionuclide-basics-cesium-137"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isotope.by/eng/novosty/bezopasnoe-prodlenie-sroka-sluzhby-zakrytykh-istoc/" TargetMode="External"/><Relationship Id="rId14" Type="http://schemas.openxmlformats.org/officeDocument/2006/relationships/hyperlink" Target="https://www.onr.org.uk/news/all-news/2022/04/onr-delicenses-imperial-college-reactor-centre" TargetMode="External"/><Relationship Id="rId22" Type="http://schemas.openxmlformats.org/officeDocument/2006/relationships/hyperlink" Target="https://isotope.by/eng/novosty/bezopasnoe-prodlenie-sroka-sluzhby-zakrytykh-istoc/" TargetMode="External"/><Relationship Id="rId27" Type="http://schemas.openxmlformats.org/officeDocument/2006/relationships/hyperlink" Target="https://www.onr.org.uk/media/wjmfh2gv/ro-ukhpr1000-0058.pdf"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9AE63357-4429-4D57-87B4-5D39535D8D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17</Pages>
  <Words>5159</Words>
  <Characters>27860</Characters>
  <Application>Microsoft Office Word</Application>
  <DocSecurity>0</DocSecurity>
  <Lines>647</Lines>
  <Paragraphs>308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XGN_ARROWS_ROW_ MSG</dc:creator>
  <cp:keywords/>
  <dc:description/>
  <cp:lastModifiedBy>XGN_ARROWS_ROW_ MSG</cp:lastModifiedBy>
  <cp:revision>5</cp:revision>
  <cp:lastPrinted>2026-09-10T23:23:00Z</cp:lastPrinted>
  <dcterms:created xsi:type="dcterms:W3CDTF">2026-09-11T13:53:00Z</dcterms:created>
  <dcterms:modified xsi:type="dcterms:W3CDTF">2026-09-11T13:57:00Z</dcterms:modified>
</cp:coreProperties>
</file>