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2">
      <w:pPr>
        <w:spacing w:line="360" w:lineRule="auto"/>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292100</wp:posOffset>
            </wp:positionV>
            <wp:extent cx="1809750" cy="723900"/>
            <wp:effectExtent b="0" l="0" r="0" t="0"/>
            <wp:wrapSquare wrapText="bothSides" distB="0" distT="0" distL="114300" distR="114300"/>
            <wp:docPr descr="Discover University of Wales Trinity Saint David" id="5" name="image2.png"/>
            <a:graphic>
              <a:graphicData uri="http://schemas.openxmlformats.org/drawingml/2006/picture">
                <pic:pic>
                  <pic:nvPicPr>
                    <pic:cNvPr descr="Discover University of Wales Trinity Saint David" id="0" name="image2.png"/>
                    <pic:cNvPicPr preferRelativeResize="0"/>
                  </pic:nvPicPr>
                  <pic:blipFill>
                    <a:blip r:embed="rId7"/>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4">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5">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6">
      <w:pPr>
        <w:tabs>
          <w:tab w:val="left" w:leader="none" w:pos="6540"/>
        </w:tabs>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7">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name</w:t>
      </w:r>
      <w:r w:rsidDel="00000000" w:rsidR="00000000" w:rsidRPr="00000000">
        <w:rPr>
          <w:rFonts w:ascii="Arial" w:cs="Arial" w:eastAsia="Arial" w:hAnsi="Arial"/>
          <w:sz w:val="28"/>
          <w:szCs w:val="28"/>
          <w:rtl w:val="0"/>
        </w:rPr>
        <w:t xml:space="preserve">:Amina Mustapha</w:t>
      </w:r>
    </w:p>
    <w:p w:rsidR="00000000" w:rsidDel="00000000" w:rsidP="00000000" w:rsidRDefault="00000000" w:rsidRPr="00000000" w14:paraId="00000008">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ID</w:t>
      </w:r>
      <w:r w:rsidDel="00000000" w:rsidR="00000000" w:rsidRPr="00000000">
        <w:rPr>
          <w:rFonts w:ascii="Arial" w:cs="Arial" w:eastAsia="Arial" w:hAnsi="Arial"/>
          <w:sz w:val="28"/>
          <w:szCs w:val="28"/>
          <w:rtl w:val="0"/>
        </w:rPr>
        <w:t xml:space="preserve">:2418937</w:t>
      </w:r>
    </w:p>
    <w:p w:rsidR="00000000" w:rsidDel="00000000" w:rsidP="00000000" w:rsidRDefault="00000000" w:rsidRPr="00000000" w14:paraId="00000009">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Module name</w:t>
      </w:r>
      <w:r w:rsidDel="00000000" w:rsidR="00000000" w:rsidRPr="00000000">
        <w:rPr>
          <w:rFonts w:ascii="Arial" w:cs="Arial" w:eastAsia="Arial" w:hAnsi="Arial"/>
          <w:sz w:val="28"/>
          <w:szCs w:val="28"/>
          <w:rtl w:val="0"/>
        </w:rPr>
        <w:t xml:space="preserve">:Introduction to physiology</w:t>
      </w:r>
    </w:p>
    <w:p w:rsidR="00000000" w:rsidDel="00000000" w:rsidP="00000000" w:rsidRDefault="00000000" w:rsidRPr="00000000" w14:paraId="0000000A">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Module code</w:t>
      </w:r>
      <w:r w:rsidDel="00000000" w:rsidR="00000000" w:rsidRPr="00000000">
        <w:rPr>
          <w:rFonts w:ascii="Arial" w:cs="Arial" w:eastAsia="Arial" w:hAnsi="Arial"/>
          <w:sz w:val="28"/>
          <w:szCs w:val="28"/>
          <w:rtl w:val="0"/>
        </w:rPr>
        <w:t xml:space="preserve">:BMHP5023</w:t>
      </w:r>
    </w:p>
    <w:p w:rsidR="00000000" w:rsidDel="00000000" w:rsidP="00000000" w:rsidRDefault="00000000" w:rsidRPr="00000000" w14:paraId="0000000B">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Lecturer name</w:t>
      </w:r>
      <w:r w:rsidDel="00000000" w:rsidR="00000000" w:rsidRPr="00000000">
        <w:rPr>
          <w:rFonts w:ascii="Arial" w:cs="Arial" w:eastAsia="Arial" w:hAnsi="Arial"/>
          <w:sz w:val="28"/>
          <w:szCs w:val="28"/>
          <w:rtl w:val="0"/>
        </w:rPr>
        <w:t xml:space="preserve">:Dr Soban Sadiq</w:t>
      </w:r>
    </w:p>
    <w:p w:rsidR="00000000" w:rsidDel="00000000" w:rsidP="00000000" w:rsidRDefault="00000000" w:rsidRPr="00000000" w14:paraId="0000000C">
      <w:pPr>
        <w:tabs>
          <w:tab w:val="left" w:leader="none" w:pos="6540"/>
        </w:tabs>
        <w:spacing w:line="360" w:lineRule="auto"/>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D">
      <w:pPr>
        <w:tabs>
          <w:tab w:val="left" w:leader="none" w:pos="6540"/>
        </w:tabs>
        <w:spacing w:line="360" w:lineRule="auto"/>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E">
      <w:pPr>
        <w:pStyle w:val="Heading2"/>
        <w:keepNext w:val="0"/>
        <w:keepLines w:val="0"/>
        <w:tabs>
          <w:tab w:val="left" w:leader="none" w:pos="6540"/>
        </w:tabs>
        <w:spacing w:after="80" w:before="360" w:line="360" w:lineRule="auto"/>
        <w:rPr>
          <w:rFonts w:ascii="Times New Roman" w:cs="Times New Roman" w:eastAsia="Times New Roman" w:hAnsi="Times New Roman"/>
          <w:sz w:val="22"/>
          <w:szCs w:val="22"/>
        </w:rPr>
      </w:pPr>
      <w:bookmarkStart w:colFirst="0" w:colLast="0" w:name="_heading=h.ojavfasiieg1" w:id="0"/>
      <w:bookmarkEnd w:id="0"/>
      <w:r w:rsidDel="00000000" w:rsidR="00000000" w:rsidRPr="00000000">
        <w:rPr>
          <w:rtl w:val="0"/>
        </w:rPr>
      </w:r>
    </w:p>
    <w:p w:rsidR="00000000" w:rsidDel="00000000" w:rsidP="00000000" w:rsidRDefault="00000000" w:rsidRPr="00000000" w14:paraId="0000000F">
      <w:pPr>
        <w:tabs>
          <w:tab w:val="left" w:leader="none" w:pos="6540"/>
        </w:tabs>
        <w:rPr/>
      </w:pPr>
      <w:r w:rsidDel="00000000" w:rsidR="00000000" w:rsidRPr="00000000">
        <w:rPr>
          <w:rtl w:val="0"/>
        </w:rPr>
      </w:r>
    </w:p>
    <w:p w:rsidR="00000000" w:rsidDel="00000000" w:rsidP="00000000" w:rsidRDefault="00000000" w:rsidRPr="00000000" w14:paraId="00000010">
      <w:pPr>
        <w:tabs>
          <w:tab w:val="left" w:leader="none" w:pos="6540"/>
        </w:tabs>
        <w:rPr/>
      </w:pPr>
      <w:r w:rsidDel="00000000" w:rsidR="00000000" w:rsidRPr="00000000">
        <w:rPr>
          <w:rtl w:val="0"/>
        </w:rPr>
      </w:r>
    </w:p>
    <w:p w:rsidR="00000000" w:rsidDel="00000000" w:rsidP="00000000" w:rsidRDefault="00000000" w:rsidRPr="00000000" w14:paraId="00000011">
      <w:pPr>
        <w:tabs>
          <w:tab w:val="left" w:leader="none" w:pos="6540"/>
        </w:tabs>
        <w:rPr/>
      </w:pPr>
      <w:r w:rsidDel="00000000" w:rsidR="00000000" w:rsidRPr="00000000">
        <w:rPr>
          <w:rtl w:val="0"/>
        </w:rPr>
      </w:r>
    </w:p>
    <w:p w:rsidR="00000000" w:rsidDel="00000000" w:rsidP="00000000" w:rsidRDefault="00000000" w:rsidRPr="00000000" w14:paraId="00000012">
      <w:pPr>
        <w:tabs>
          <w:tab w:val="left" w:leader="none" w:pos="6540"/>
        </w:tabs>
        <w:rPr/>
      </w:pPr>
      <w:r w:rsidDel="00000000" w:rsidR="00000000" w:rsidRPr="00000000">
        <w:rPr>
          <w:rtl w:val="0"/>
        </w:rPr>
      </w:r>
    </w:p>
    <w:p w:rsidR="00000000" w:rsidDel="00000000" w:rsidP="00000000" w:rsidRDefault="00000000" w:rsidRPr="00000000" w14:paraId="00000013">
      <w:pPr>
        <w:tabs>
          <w:tab w:val="left" w:leader="none" w:pos="6540"/>
        </w:tabs>
        <w:rPr/>
      </w:pPr>
      <w:r w:rsidDel="00000000" w:rsidR="00000000" w:rsidRPr="00000000">
        <w:rPr>
          <w:rtl w:val="0"/>
        </w:rPr>
      </w:r>
    </w:p>
    <w:p w:rsidR="00000000" w:rsidDel="00000000" w:rsidP="00000000" w:rsidRDefault="00000000" w:rsidRPr="00000000" w14:paraId="00000014">
      <w:pPr>
        <w:tabs>
          <w:tab w:val="left" w:leader="none" w:pos="6540"/>
        </w:tabs>
        <w:rPr/>
      </w:pPr>
      <w:r w:rsidDel="00000000" w:rsidR="00000000" w:rsidRPr="00000000">
        <w:rPr>
          <w:rtl w:val="0"/>
        </w:rPr>
      </w:r>
    </w:p>
    <w:p w:rsidR="00000000" w:rsidDel="00000000" w:rsidP="00000000" w:rsidRDefault="00000000" w:rsidRPr="00000000" w14:paraId="00000015">
      <w:pPr>
        <w:tabs>
          <w:tab w:val="left" w:leader="none" w:pos="6540"/>
        </w:tabs>
        <w:rPr/>
      </w:pPr>
      <w:r w:rsidDel="00000000" w:rsidR="00000000" w:rsidRPr="00000000">
        <w:rPr>
          <w:rtl w:val="0"/>
        </w:rPr>
      </w:r>
    </w:p>
    <w:p w:rsidR="00000000" w:rsidDel="00000000" w:rsidP="00000000" w:rsidRDefault="00000000" w:rsidRPr="00000000" w14:paraId="00000016">
      <w:pPr>
        <w:tabs>
          <w:tab w:val="left" w:leader="none" w:pos="6540"/>
        </w:tabs>
        <w:rPr/>
      </w:pPr>
      <w:r w:rsidDel="00000000" w:rsidR="00000000" w:rsidRPr="00000000">
        <w:rPr>
          <w:rtl w:val="0"/>
        </w:rPr>
      </w:r>
    </w:p>
    <w:p w:rsidR="00000000" w:rsidDel="00000000" w:rsidP="00000000" w:rsidRDefault="00000000" w:rsidRPr="00000000" w14:paraId="00000017">
      <w:pPr>
        <w:tabs>
          <w:tab w:val="left" w:leader="none" w:pos="6540"/>
        </w:tabs>
        <w:rPr/>
      </w:pPr>
      <w:r w:rsidDel="00000000" w:rsidR="00000000" w:rsidRPr="00000000">
        <w:rPr>
          <w:rtl w:val="0"/>
        </w:rPr>
      </w:r>
    </w:p>
    <w:p w:rsidR="00000000" w:rsidDel="00000000" w:rsidP="00000000" w:rsidRDefault="00000000" w:rsidRPr="00000000" w14:paraId="00000018">
      <w:pPr>
        <w:tabs>
          <w:tab w:val="left" w:leader="none" w:pos="6540"/>
        </w:tabs>
        <w:rPr/>
      </w:pPr>
      <w:r w:rsidDel="00000000" w:rsidR="00000000" w:rsidRPr="00000000">
        <w:rPr>
          <w:rtl w:val="0"/>
        </w:rPr>
      </w:r>
    </w:p>
    <w:p w:rsidR="00000000" w:rsidDel="00000000" w:rsidP="00000000" w:rsidRDefault="00000000" w:rsidRPr="00000000" w14:paraId="00000019">
      <w:pPr>
        <w:tabs>
          <w:tab w:val="left" w:leader="none" w:pos="6540"/>
        </w:tabs>
        <w:rPr>
          <w:sz w:val="22"/>
          <w:szCs w:val="22"/>
        </w:rPr>
      </w:pPr>
      <w:r w:rsidDel="00000000" w:rsidR="00000000" w:rsidRPr="00000000">
        <w:rPr>
          <w:rtl w:val="0"/>
        </w:rPr>
      </w:r>
    </w:p>
    <w:p w:rsidR="00000000" w:rsidDel="00000000" w:rsidP="00000000" w:rsidRDefault="00000000" w:rsidRPr="00000000" w14:paraId="0000001A">
      <w:pPr>
        <w:tabs>
          <w:tab w:val="left" w:leader="none" w:pos="6540"/>
        </w:tabs>
        <w:rPr/>
      </w:pPr>
      <w:r w:rsidDel="00000000" w:rsidR="00000000" w:rsidRPr="00000000">
        <w:rPr>
          <w:rtl w:val="0"/>
        </w:rPr>
      </w:r>
    </w:p>
    <w:p w:rsidR="00000000" w:rsidDel="00000000" w:rsidP="00000000" w:rsidRDefault="00000000" w:rsidRPr="00000000" w14:paraId="0000001B">
      <w:pPr>
        <w:pStyle w:val="Heading1"/>
        <w:keepNext w:val="0"/>
        <w:keepLines w:val="0"/>
        <w:spacing w:after="120" w:before="480" w:line="360" w:lineRule="auto"/>
        <w:rPr>
          <w:sz w:val="22"/>
          <w:szCs w:val="22"/>
        </w:rPr>
      </w:pPr>
      <w:bookmarkStart w:colFirst="0" w:colLast="0" w:name="_heading=h.6p0jr71unldn" w:id="1"/>
      <w:bookmarkEnd w:id="1"/>
      <w:r w:rsidDel="00000000" w:rsidR="00000000" w:rsidRPr="00000000">
        <w:rPr>
          <w:sz w:val="22"/>
          <w:szCs w:val="22"/>
          <w:rtl w:val="0"/>
        </w:rPr>
        <w:t xml:space="preserve">Understanding Type 2 Diabetes: Supporting Patients in Managing Blood Glucose Levels</w:t>
      </w:r>
    </w:p>
    <w:p w:rsidR="00000000" w:rsidDel="00000000" w:rsidP="00000000" w:rsidRDefault="00000000" w:rsidRPr="00000000" w14:paraId="0000001C">
      <w:pPr>
        <w:pStyle w:val="Heading2"/>
        <w:keepNext w:val="0"/>
        <w:keepLines w:val="0"/>
        <w:spacing w:after="80" w:before="360" w:line="360" w:lineRule="auto"/>
        <w:rPr>
          <w:i w:val="0"/>
          <w:iCs w:val="0"/>
          <w:color w:val="000000"/>
          <w:sz w:val="22"/>
          <w:szCs w:val="22"/>
        </w:rPr>
      </w:pPr>
      <w:bookmarkStart w:colFirst="0" w:colLast="0" w:name="_heading=h.3gxlc5r168b3" w:id="2"/>
      <w:bookmarkEnd w:id="2"/>
      <w:r w:rsidDel="00000000" w:rsidR="00000000" w:rsidRPr="00000000">
        <w:rPr>
          <w:i w:val="0"/>
          <w:iCs w:val="0"/>
          <w:color w:val="000000"/>
          <w:sz w:val="22"/>
          <w:szCs w:val="22"/>
          <w:rtl w:val="0"/>
        </w:rPr>
        <w:t xml:space="preserve">Introduction</w:t>
      </w:r>
    </w:p>
    <w:p w:rsidR="00000000" w:rsidDel="00000000" w:rsidP="00000000" w:rsidRDefault="00000000" w:rsidRPr="00000000" w14:paraId="0000001D">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Diabetes mellitus is a long-term metabolic condition characterised by elevated blood glucose levels, resulting from the body’s inability to produce or effectively use insulin. Among its forms, Type 2 diabetes is the most prevalent and  increasingly connected with modern routine patterns. It happens when the body reacts or struggles to get insulin or when the pancreas refuses to produce enough insulin to keep normal glucose levels.</w:t>
      </w:r>
    </w:p>
    <w:p w:rsidR="00000000" w:rsidDel="00000000" w:rsidP="00000000" w:rsidRDefault="00000000" w:rsidRPr="00000000" w14:paraId="0000001E">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growing number of individuals diagnosed with Type 2 diabetes presents a significant challenge for healthcare professionals, particularly nurses working in primary care settings such as GP surgeries. Effective patient education is essential, as improved understanding enables individuals to take an active role in managing their condition and preventing complications.</w:t>
      </w:r>
    </w:p>
    <w:p w:rsidR="00000000" w:rsidDel="00000000" w:rsidP="00000000" w:rsidRDefault="00000000" w:rsidRPr="00000000" w14:paraId="0000001F">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Several risk factors contribute to the development of Type 2 diabetes. These include obesity, physical inactivity, poor dietary habits, genetic predisposition, and increasing age. Lifestyle factors are especially significant, as they are modifiable and therefore central to prevention and management strategies. Understanding these risks allows patients to make informed decisions about their health.</w:t>
      </w:r>
    </w:p>
    <w:p w:rsidR="00000000" w:rsidDel="00000000" w:rsidP="00000000" w:rsidRDefault="00000000" w:rsidRPr="00000000" w14:paraId="00000020">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report aims to provide a clear and accessible explanation of how blood glucose is regulated, how the body produces energy, and why monitoring blood sugar levels is crucial. It will also explore practical, evidence-based lifestyle changes that can support individuals in managing their condition effectively.</w:t>
      </w:r>
    </w:p>
    <w:p w:rsidR="00000000" w:rsidDel="00000000" w:rsidP="00000000" w:rsidRDefault="00000000" w:rsidRPr="00000000" w14:paraId="00000021">
      <w:pPr>
        <w:spacing w:after="240" w:before="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2">
      <w:pPr>
        <w:pStyle w:val="Heading2"/>
        <w:keepNext w:val="0"/>
        <w:keepLines w:val="0"/>
        <w:spacing w:after="80" w:before="360" w:line="360" w:lineRule="auto"/>
        <w:rPr>
          <w:i w:val="0"/>
          <w:iCs w:val="0"/>
          <w:color w:val="000000"/>
          <w:sz w:val="22"/>
          <w:szCs w:val="22"/>
        </w:rPr>
      </w:pPr>
      <w:bookmarkStart w:colFirst="0" w:colLast="0" w:name="_heading=h.fxx8996nno67" w:id="3"/>
      <w:bookmarkEnd w:id="3"/>
      <w:r w:rsidDel="00000000" w:rsidR="00000000" w:rsidRPr="00000000">
        <w:rPr>
          <w:i w:val="0"/>
          <w:iCs w:val="0"/>
          <w:color w:val="000000"/>
          <w:sz w:val="22"/>
          <w:szCs w:val="22"/>
          <w:rtl w:val="0"/>
        </w:rPr>
        <w:t xml:space="preserve">Maintaining Safe Blood Glucose Levels</w:t>
      </w:r>
    </w:p>
    <w:p w:rsidR="00000000" w:rsidDel="00000000" w:rsidP="00000000" w:rsidRDefault="00000000" w:rsidRPr="00000000" w14:paraId="00000023">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human body maintains blood glucose levels within a narrow range through a process known as homeostasis. This regulation is essential because both high (hyperglycaemia) and low (hypoglycaemia) blood sugar levels can have severe health outcomes.</w:t>
      </w:r>
    </w:p>
    <w:p w:rsidR="00000000" w:rsidDel="00000000" w:rsidP="00000000" w:rsidRDefault="00000000" w:rsidRPr="00000000" w14:paraId="00000024">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chemical messenger insulin plays a central involvement concerning this process. created by each pancreas, insulin allows glucose from the bloodstream to enter cells, where it can be utilised for energy. After eating, blood glucose levels rise, triggering the pancreas to release insulin. This ensures that glucose is absorbed by cells and reserved as glycogen in the liver and muscles.</w:t>
      </w:r>
    </w:p>
    <w:p w:rsidR="00000000" w:rsidDel="00000000" w:rsidP="00000000" w:rsidRDefault="00000000" w:rsidRPr="00000000" w14:paraId="00000025">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individuals with Type 2 diabetes, this structure does not function effectively. The cells develop into resistance to insulin, meaning glucose remains in the bloodstream rather than being absorbed. Over time, the pancreas may also produce less insulin. This leads to persistently high blood sugar levels, which can damage blood vessels, nerves, and organs.</w:t>
      </w:r>
    </w:p>
    <w:p w:rsidR="00000000" w:rsidDel="00000000" w:rsidP="00000000" w:rsidRDefault="00000000" w:rsidRPr="00000000" w14:paraId="00000026">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Maintaining safe blood glucose levels is therefore crucial. Effective management reduces the risk of complications such as cardiovascular disease, kidney failure, nerve damage, and vision problems. Nurses play a key role in helping patients understand this process in a way that is practical and relevant to their daily lives.</w:t>
      </w:r>
    </w:p>
    <w:p w:rsidR="00000000" w:rsidDel="00000000" w:rsidP="00000000" w:rsidRDefault="00000000" w:rsidRPr="00000000" w14:paraId="00000027">
      <w:pPr>
        <w:spacing w:after="240" w:before="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8">
      <w:pPr>
        <w:pStyle w:val="Heading2"/>
        <w:keepNext w:val="0"/>
        <w:keepLines w:val="0"/>
        <w:spacing w:after="80" w:before="360" w:line="360" w:lineRule="auto"/>
        <w:rPr>
          <w:i w:val="0"/>
          <w:iCs w:val="0"/>
          <w:color w:val="000000"/>
          <w:sz w:val="22"/>
          <w:szCs w:val="22"/>
        </w:rPr>
      </w:pPr>
      <w:bookmarkStart w:colFirst="0" w:colLast="0" w:name="_heading=h.xkgn1vqjc6cg" w:id="4"/>
      <w:bookmarkEnd w:id="4"/>
      <w:r w:rsidDel="00000000" w:rsidR="00000000" w:rsidRPr="00000000">
        <w:rPr>
          <w:i w:val="0"/>
          <w:iCs w:val="0"/>
          <w:color w:val="000000"/>
          <w:sz w:val="22"/>
          <w:szCs w:val="22"/>
          <w:rtl w:val="0"/>
        </w:rPr>
        <w:t xml:space="preserve">Energy Production and Cell Metabolism</w:t>
      </w:r>
    </w:p>
    <w:p w:rsidR="00000000" w:rsidDel="00000000" w:rsidP="00000000" w:rsidRDefault="00000000" w:rsidRPr="00000000" w14:paraId="00000029">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Glucose is the body’s primary source of energy. Once inside the cell, it is used in a process called cellular respiration to produce adenosine triphosphate (ATP), the molecule that provides energy for all cellular activities.</w:t>
      </w:r>
    </w:p>
    <w:p w:rsidR="00000000" w:rsidDel="00000000" w:rsidP="00000000" w:rsidRDefault="00000000" w:rsidRPr="00000000" w14:paraId="0000002A">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Cellular respiration occurs in three main stages: glycolysis, the Krebs cycle, and the electron transport chain. In simple terms, glucose is broken down in the presence of oxygen to release energy. This process takes place mainly in the mitochondria, often referred to as the “powerhouses” of the cell.</w:t>
      </w:r>
    </w:p>
    <w:p w:rsidR="00000000" w:rsidDel="00000000" w:rsidP="00000000" w:rsidRDefault="00000000" w:rsidRPr="00000000" w14:paraId="0000002B">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Oxygen is essential in this process because it allows for the complete breakdown of glucose, producing a large amount of ATP. Without sufficient oxygen, the body produces less energy and generates lactic acid as a by-product.</w:t>
      </w:r>
    </w:p>
    <w:p w:rsidR="00000000" w:rsidDel="00000000" w:rsidP="00000000" w:rsidRDefault="00000000" w:rsidRPr="00000000" w14:paraId="0000002C">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people with Type 2 diabetes, the inability of glucose to enter cells efficiently means that energy production is impaired. Despite having high levels of glucose in the blood, cells may effectively be “starved” of energy. This can lead to symptoms such as fatigue and weakness.</w:t>
      </w:r>
    </w:p>
    <w:p w:rsidR="00000000" w:rsidDel="00000000" w:rsidP="00000000" w:rsidRDefault="00000000" w:rsidRPr="00000000" w14:paraId="0000002D">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Understanding this link between glucose and energy can help patients appreciate why managing blood sugar levels is so important. It is not just about avoiding complications, but also about maintaining energy levels and overall wellbeing.</w:t>
      </w:r>
    </w:p>
    <w:p w:rsidR="00000000" w:rsidDel="00000000" w:rsidP="00000000" w:rsidRDefault="00000000" w:rsidRPr="00000000" w14:paraId="0000002E">
      <w:pPr>
        <w:spacing w:after="240" w:before="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pStyle w:val="Heading2"/>
        <w:keepNext w:val="0"/>
        <w:keepLines w:val="0"/>
        <w:spacing w:after="80" w:before="360" w:line="360" w:lineRule="auto"/>
        <w:rPr>
          <w:i w:val="0"/>
          <w:iCs w:val="0"/>
          <w:color w:val="000000"/>
          <w:sz w:val="22"/>
          <w:szCs w:val="22"/>
        </w:rPr>
      </w:pPr>
      <w:bookmarkStart w:colFirst="0" w:colLast="0" w:name="_heading=h.lc79wd16kyq9" w:id="5"/>
      <w:bookmarkEnd w:id="5"/>
      <w:r w:rsidDel="00000000" w:rsidR="00000000" w:rsidRPr="00000000">
        <w:rPr>
          <w:i w:val="0"/>
          <w:iCs w:val="0"/>
          <w:color w:val="000000"/>
          <w:sz w:val="22"/>
          <w:szCs w:val="22"/>
          <w:rtl w:val="0"/>
        </w:rPr>
        <w:t xml:space="preserve">Monitoring and Tracking Blood Glucose Levels</w:t>
      </w:r>
    </w:p>
    <w:p w:rsidR="00000000" w:rsidDel="00000000" w:rsidP="00000000" w:rsidRDefault="00000000" w:rsidRPr="00000000" w14:paraId="00000030">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Monitoring blood glucose levels is a fundamental aspect of diabetes management. It provides individuals with immediate feedback on how their body responds to food, physical activity, medication, and other factors such as stress or illness.</w:t>
      </w:r>
    </w:p>
    <w:p w:rsidR="00000000" w:rsidDel="00000000" w:rsidP="00000000" w:rsidRDefault="00000000" w:rsidRPr="00000000" w14:paraId="00000031">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Regular monitoring allows patients to identify patterns and make informed decisions about their lifestyle. For example, they may notice that certain foods cause a rapid increase in blood sugar, or that exercise helps to lower it. This knowledge empowers patients to take control of their condition.</w:t>
      </w:r>
    </w:p>
    <w:p w:rsidR="00000000" w:rsidDel="00000000" w:rsidP="00000000" w:rsidRDefault="00000000" w:rsidRPr="00000000" w14:paraId="00000032">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There are several methods available for monitoring blood glucose, including finger-prick testing and continuous glucose monitoring systems. These tools enable individuals to track their levels throughout the day and respond accordingly.</w:t>
      </w:r>
    </w:p>
    <w:p w:rsidR="00000000" w:rsidDel="00000000" w:rsidP="00000000" w:rsidRDefault="00000000" w:rsidRPr="00000000" w14:paraId="00000033">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people with Type 2 diabetes, consistent monitoring helps to prevent both hyperglycaemia and hypoglycaemia. It also supports healthcare professionals in assessing how well the condition is being managed and whether treatment plans need to be adjusted.</w:t>
      </w:r>
    </w:p>
    <w:p w:rsidR="00000000" w:rsidDel="00000000" w:rsidP="00000000" w:rsidRDefault="00000000" w:rsidRPr="00000000" w14:paraId="00000034">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Importantly, monitoring is not just about collecting data. It is about understanding what that data means and using it to make positive changes. Nurses play a critical role in educating patients on how to interpret their readings and respond safely.</w:t>
      </w:r>
    </w:p>
    <w:p w:rsidR="00000000" w:rsidDel="00000000" w:rsidP="00000000" w:rsidRDefault="00000000" w:rsidRPr="00000000" w14:paraId="00000035">
      <w:pPr>
        <w:spacing w:after="240" w:before="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6">
      <w:pPr>
        <w:pStyle w:val="Heading2"/>
        <w:keepNext w:val="0"/>
        <w:keepLines w:val="0"/>
        <w:spacing w:after="80" w:before="360" w:line="360" w:lineRule="auto"/>
        <w:rPr>
          <w:i w:val="0"/>
          <w:iCs w:val="0"/>
          <w:color w:val="000000"/>
          <w:sz w:val="22"/>
          <w:szCs w:val="22"/>
        </w:rPr>
      </w:pPr>
      <w:bookmarkStart w:colFirst="0" w:colLast="0" w:name="_heading=h.hi36vrv016re" w:id="6"/>
      <w:bookmarkEnd w:id="6"/>
      <w:r w:rsidDel="00000000" w:rsidR="00000000" w:rsidRPr="00000000">
        <w:rPr>
          <w:i w:val="0"/>
          <w:iCs w:val="0"/>
          <w:color w:val="000000"/>
          <w:sz w:val="22"/>
          <w:szCs w:val="22"/>
          <w:rtl w:val="0"/>
        </w:rPr>
        <w:t xml:space="preserve">Lifestyle Recommendations for Managing Type 2 Diabetes</w:t>
      </w:r>
    </w:p>
    <w:p w:rsidR="00000000" w:rsidDel="00000000" w:rsidP="00000000" w:rsidRDefault="00000000" w:rsidRPr="00000000" w14:paraId="00000037">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Lifestyle changes are at the core of managing Type 2 diabetes. Evidence shows that adopting healthier habits can significantly improve blood glucose control and, in some cases, even lead to remission.</w:t>
      </w:r>
    </w:p>
    <w:p w:rsidR="00000000" w:rsidDel="00000000" w:rsidP="00000000" w:rsidRDefault="00000000" w:rsidRPr="00000000" w14:paraId="00000038">
      <w:pPr>
        <w:pStyle w:val="Heading3"/>
        <w:spacing w:after="80" w:before="280" w:line="360" w:lineRule="auto"/>
        <w:rPr>
          <w:sz w:val="22"/>
          <w:szCs w:val="22"/>
        </w:rPr>
      </w:pPr>
      <w:bookmarkStart w:colFirst="0" w:colLast="0" w:name="_heading=h.qxi4mxaz3qlv" w:id="7"/>
      <w:bookmarkEnd w:id="7"/>
      <w:r w:rsidDel="00000000" w:rsidR="00000000" w:rsidRPr="00000000">
        <w:rPr>
          <w:sz w:val="22"/>
          <w:szCs w:val="22"/>
          <w:rtl w:val="0"/>
        </w:rPr>
        <w:t xml:space="preserve">Diet</w:t>
      </w:r>
    </w:p>
    <w:p w:rsidR="00000000" w:rsidDel="00000000" w:rsidP="00000000" w:rsidRDefault="00000000" w:rsidRPr="00000000" w14:paraId="00000039">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balanced diet is essential for managing blood sugar levels. Patients are encouraged to consume whole foods such as vegetables, fruits, whole grains, lean proteins, and healthy fats. Reducing the intake of refined sugars and processed foods is particularly important, as these can cause rapid spikes in blood glucose.</w:t>
      </w:r>
    </w:p>
    <w:p w:rsidR="00000000" w:rsidDel="00000000" w:rsidP="00000000" w:rsidRDefault="00000000" w:rsidRPr="00000000" w14:paraId="0000003A">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Portion control and regular meal timing also play a role in maintaining stable glucose levels. Educating patients about carbohydrate counting and the glycaemic index can further support informed dietary choices.</w:t>
      </w:r>
    </w:p>
    <w:p w:rsidR="00000000" w:rsidDel="00000000" w:rsidP="00000000" w:rsidRDefault="00000000" w:rsidRPr="00000000" w14:paraId="0000003B">
      <w:pPr>
        <w:pStyle w:val="Heading3"/>
        <w:spacing w:after="80" w:before="280" w:line="360" w:lineRule="auto"/>
        <w:rPr>
          <w:sz w:val="22"/>
          <w:szCs w:val="22"/>
        </w:rPr>
      </w:pPr>
      <w:bookmarkStart w:colFirst="0" w:colLast="0" w:name="_heading=h.xu4sim88ox8w" w:id="8"/>
      <w:bookmarkEnd w:id="8"/>
      <w:r w:rsidDel="00000000" w:rsidR="00000000" w:rsidRPr="00000000">
        <w:rPr>
          <w:sz w:val="22"/>
          <w:szCs w:val="22"/>
          <w:rtl w:val="0"/>
        </w:rPr>
        <w:t xml:space="preserve">Exercise</w:t>
      </w:r>
    </w:p>
    <w:p w:rsidR="00000000" w:rsidDel="00000000" w:rsidP="00000000" w:rsidRDefault="00000000" w:rsidRPr="00000000" w14:paraId="0000003C">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Physical activity improves insulin sensitivity, allowing cells to use glucose more effectively. Regular exercise, such as walking, cycling, or swimming, can help lower blood sugar levels and improve overall health.</w:t>
      </w:r>
    </w:p>
    <w:p w:rsidR="00000000" w:rsidDel="00000000" w:rsidP="00000000" w:rsidRDefault="00000000" w:rsidRPr="00000000" w14:paraId="0000003D">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Guidelines generally recommend at least 150 minutes of moderate-intensity exercise per week. Even small increases in activity can make a significant difference, particularly for individuals who were previously inactive.</w:t>
      </w:r>
    </w:p>
    <w:p w:rsidR="00000000" w:rsidDel="00000000" w:rsidP="00000000" w:rsidRDefault="00000000" w:rsidRPr="00000000" w14:paraId="0000003E">
      <w:pPr>
        <w:pStyle w:val="Heading3"/>
        <w:spacing w:after="80" w:before="280" w:line="360" w:lineRule="auto"/>
        <w:rPr>
          <w:sz w:val="22"/>
          <w:szCs w:val="22"/>
        </w:rPr>
      </w:pPr>
      <w:bookmarkStart w:colFirst="0" w:colLast="0" w:name="_heading=h.8zox80oyir37" w:id="9"/>
      <w:bookmarkEnd w:id="9"/>
      <w:r w:rsidDel="00000000" w:rsidR="00000000" w:rsidRPr="00000000">
        <w:rPr>
          <w:sz w:val="22"/>
          <w:szCs w:val="22"/>
          <w:rtl w:val="0"/>
        </w:rPr>
        <w:t xml:space="preserve">Weight Management</w:t>
      </w:r>
    </w:p>
    <w:p w:rsidR="00000000" w:rsidDel="00000000" w:rsidP="00000000" w:rsidRDefault="00000000" w:rsidRPr="00000000" w14:paraId="0000003F">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Excess body weight is a major risk factor for Type 2 diabetes. Losing even a small amount of weight can improve insulin sensitivity and reduce blood glucose levels. This highlights the importance of sustainable, long-term lifestyle changes rather than short-term diets.</w:t>
      </w:r>
    </w:p>
    <w:p w:rsidR="00000000" w:rsidDel="00000000" w:rsidP="00000000" w:rsidRDefault="00000000" w:rsidRPr="00000000" w14:paraId="00000040">
      <w:pPr>
        <w:pStyle w:val="Heading3"/>
        <w:spacing w:after="80" w:before="280" w:line="360" w:lineRule="auto"/>
        <w:rPr>
          <w:sz w:val="22"/>
          <w:szCs w:val="22"/>
        </w:rPr>
      </w:pPr>
      <w:bookmarkStart w:colFirst="0" w:colLast="0" w:name="_heading=h.u4zjjyokms7m" w:id="10"/>
      <w:bookmarkEnd w:id="10"/>
      <w:r w:rsidDel="00000000" w:rsidR="00000000" w:rsidRPr="00000000">
        <w:rPr>
          <w:sz w:val="22"/>
          <w:szCs w:val="22"/>
          <w:rtl w:val="0"/>
        </w:rPr>
        <w:t xml:space="preserve">Smoking</w:t>
      </w:r>
    </w:p>
    <w:p w:rsidR="00000000" w:rsidDel="00000000" w:rsidP="00000000" w:rsidRDefault="00000000" w:rsidRPr="00000000" w14:paraId="00000041">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Smoking increases the risk of complications associated with diabetes, including cardiovascular disease. Encouraging patients to quit smoking is therefore a key aspect of diabetes care. Support services and nicotine replacement therapies can be beneficial in this process.</w:t>
      </w:r>
    </w:p>
    <w:p w:rsidR="00000000" w:rsidDel="00000000" w:rsidP="00000000" w:rsidRDefault="00000000" w:rsidRPr="00000000" w14:paraId="00000042">
      <w:pPr>
        <w:pStyle w:val="Heading3"/>
        <w:spacing w:after="80" w:before="280" w:line="360" w:lineRule="auto"/>
        <w:rPr>
          <w:sz w:val="22"/>
          <w:szCs w:val="22"/>
        </w:rPr>
      </w:pPr>
      <w:bookmarkStart w:colFirst="0" w:colLast="0" w:name="_heading=h.n755n8un3s2y" w:id="11"/>
      <w:bookmarkEnd w:id="11"/>
      <w:r w:rsidDel="00000000" w:rsidR="00000000" w:rsidRPr="00000000">
        <w:rPr>
          <w:sz w:val="22"/>
          <w:szCs w:val="22"/>
          <w:rtl w:val="0"/>
        </w:rPr>
        <w:t xml:space="preserve">Education and Behavioural Support</w:t>
      </w:r>
    </w:p>
    <w:p w:rsidR="00000000" w:rsidDel="00000000" w:rsidP="00000000" w:rsidRDefault="00000000" w:rsidRPr="00000000" w14:paraId="00000043">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Lifestyle changes can be challenging to maintain. Ongoing education and support are essential to help patients stay motivated and overcome barriers. Nurses are well positioned to provide this support, building trusting relationships and tailoring advice to individual needs.</w:t>
      </w:r>
    </w:p>
    <w:p w:rsidR="00000000" w:rsidDel="00000000" w:rsidP="00000000" w:rsidRDefault="00000000" w:rsidRPr="00000000" w14:paraId="00000044">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0" w:line="335.99999999999994" w:lineRule="auto"/>
        <w:rPr>
          <w:i w:val="0"/>
          <w:iCs w:val="0"/>
          <w:color w:val="0d0d0d"/>
          <w:sz w:val="22"/>
          <w:szCs w:val="22"/>
        </w:rPr>
      </w:pPr>
      <w:bookmarkStart w:colFirst="0" w:colLast="0" w:name="_heading=h.8pothurq4tec" w:id="12"/>
      <w:bookmarkEnd w:id="12"/>
      <w:r w:rsidDel="00000000" w:rsidR="00000000" w:rsidRPr="00000000">
        <w:rPr>
          <w:i w:val="0"/>
          <w:iCs w:val="0"/>
          <w:color w:val="0d0d0d"/>
          <w:sz w:val="22"/>
          <w:szCs w:val="22"/>
          <w:rtl w:val="0"/>
        </w:rPr>
        <w:t xml:space="preserve">Reflective Statement</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spacing w:after="60" w:before="60" w:line="360" w:lineRule="auto"/>
        <w:rPr>
          <w:rFonts w:ascii="Arial" w:cs="Arial" w:eastAsia="Arial" w:hAnsi="Arial"/>
          <w:color w:val="0d0d0d"/>
        </w:rPr>
      </w:pPr>
      <w:r w:rsidDel="00000000" w:rsidR="00000000" w:rsidRPr="00000000">
        <w:rPr>
          <w:rFonts w:ascii="Arial" w:cs="Arial" w:eastAsia="Arial" w:hAnsi="Arial"/>
          <w:color w:val="0d0d0d"/>
          <w:rtl w:val="0"/>
        </w:rPr>
        <w:t xml:space="preserve">Writing this report on Type 2 diabetes has genuinely changed the way I understand both the condition itself and the role of a nurse in supporting patients. Before starting this assignment, I had a general idea that diabetes was linked to high blood sugar levels and lifestyle factors. However, as I began researching in more depth, I realised how complex the condition actually is, particularly in terms of how the body regulates glucose and produces energy.</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Fonts w:ascii="Arial" w:cs="Arial" w:eastAsia="Arial" w:hAnsi="Arial"/>
          <w:color w:val="0d0d0d"/>
          <w:rtl w:val="0"/>
        </w:rPr>
        <w:t xml:space="preserve">One of the biggest challenges for me was taking quite detailed scientific concepts, such as insulin function and cellular metabolism, and explaining them in a way that would make sense to a patient with no medical background. At first, I found myself using overly technical language, but as I refined my work, I became more aware that clarity is far more important than complexity. This process helped me understand that good nursing communication is not about how much you know, but how effectively you can share that knowledge in a way that empowers others.</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Fonts w:ascii="Arial" w:cs="Arial" w:eastAsia="Arial" w:hAnsi="Arial"/>
          <w:color w:val="0d0d0d"/>
          <w:rtl w:val="0"/>
        </w:rPr>
        <w:t xml:space="preserve">The section on blood glucose monitoring stood out to me the most. Initially, I saw it as a routine clinical task, but through this assignment I began to appreciate how important it is for patient independence. Monitoring is not just about recording numbers; it allows individuals to understand their own bodies, recognise patterns, and make informed decisions about their lifestyle. This shifted my thinking quite significantly, as I started to see patients as active participants in their care rather than passive recipients of medical advice.</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Fonts w:ascii="Arial" w:cs="Arial" w:eastAsia="Arial" w:hAnsi="Arial"/>
          <w:color w:val="0d0d0d"/>
          <w:rtl w:val="0"/>
        </w:rPr>
        <w:t xml:space="preserve">I also reflected a lot on the lifestyle changes involved in managing Type 2 diabetes. On paper, advice such as eating a balanced diet, exercising regularly, and stopping smoking can seem quite straightforward. However, thinking about it more deeply made me realise how difficult these changes can be for many people. Factors such as habits, environment, mental health, and even financial constraints can all act as barriers. This made me more aware of the importance of empathy in healthcare. As a nurse, it will not be enough to simply give advice — I will need to understand each patient’s situation and support them in a realistic and non-judgemental way.</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Fonts w:ascii="Arial" w:cs="Arial" w:eastAsia="Arial" w:hAnsi="Arial"/>
          <w:color w:val="0d0d0d"/>
          <w:rtl w:val="0"/>
        </w:rPr>
        <w:t xml:space="preserve">From an academic perspective, this assignment has helped me improve my ability to structure a report and develop a clear line of argument. I became more confident in linking scientific knowledge to real-life patient care, which I now see as essential in health-related writing. Using Harvard referencing also strengthened my ability to engage with reliable sources and reinforced the importance of evidence-based practice.</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Fonts w:ascii="Arial" w:cs="Arial" w:eastAsia="Arial" w:hAnsi="Arial"/>
          <w:color w:val="0d0d0d"/>
          <w:rtl w:val="0"/>
        </w:rPr>
        <w:t xml:space="preserve">Overall, this assignment has been more than just an academic exercise. It has helped me start thinking like a healthcare professional, particularly in terms of communication, empathy, and patient education. Moving forward, I will carry these lessons with me, aiming to not only understand health conditions but to explain them in a way that truly supports and empowers patients in managing their own health.</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tl w:val="0"/>
        </w:rPr>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tl w:val="0"/>
        </w:rPr>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tl w:val="0"/>
        </w:rPr>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tl w:val="0"/>
        </w:rPr>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tl w:val="0"/>
        </w:rPr>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tl w:val="0"/>
        </w:rPr>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tl w:val="0"/>
        </w:rPr>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tl w:val="0"/>
        </w:rPr>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tl w:val="0"/>
        </w:rPr>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tl w:val="0"/>
        </w:rPr>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tl w:val="0"/>
        </w:rPr>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tl w:val="0"/>
        </w:rPr>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tl w:val="0"/>
        </w:rPr>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tl w:val="0"/>
        </w:rPr>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tl w:val="0"/>
        </w:rPr>
      </w:r>
    </w:p>
    <w:p w:rsidR="00000000" w:rsidDel="00000000" w:rsidP="00000000" w:rsidRDefault="00000000" w:rsidRPr="00000000" w14:paraId="0000005A">
      <w:pPr>
        <w:spacing w:after="240" w:before="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B">
      <w:pPr>
        <w:spacing w:after="240" w:before="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C">
      <w:pPr>
        <w:pStyle w:val="Heading2"/>
        <w:keepNext w:val="0"/>
        <w:keepLines w:val="0"/>
        <w:spacing w:after="80" w:before="360" w:line="360" w:lineRule="auto"/>
        <w:rPr>
          <w:i w:val="0"/>
          <w:iCs w:val="0"/>
          <w:color w:val="000000"/>
          <w:sz w:val="22"/>
          <w:szCs w:val="22"/>
        </w:rPr>
      </w:pPr>
      <w:bookmarkStart w:colFirst="0" w:colLast="0" w:name="_heading=h.13q03vrefn2f" w:id="13"/>
      <w:bookmarkEnd w:id="13"/>
      <w:r w:rsidDel="00000000" w:rsidR="00000000" w:rsidRPr="00000000">
        <w:rPr>
          <w:i w:val="0"/>
          <w:iCs w:val="0"/>
          <w:color w:val="000000"/>
          <w:sz w:val="22"/>
          <w:szCs w:val="22"/>
          <w:rtl w:val="0"/>
        </w:rPr>
        <w:t xml:space="preserve">Conclusion</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Type 2 diabetes is a complex but manageable condition. Understanding how blood glucose is regulated, how the body produces energy, and why monitoring is important can empower patients to take control of their health.Effective management relies heavily on lifestyle  changes, including a balanced diet, regular physical activity, weight management, and smoking cessation. These interventions not only improve blood glucose control but also reduce the risk of long-term complications.</w:t>
      </w:r>
    </w:p>
    <w:p w:rsidR="00000000" w:rsidDel="00000000" w:rsidP="00000000" w:rsidRDefault="00000000" w:rsidRPr="00000000" w14:paraId="00000078">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As a nurse working in a GP surgery, providing clear, accessible, and evidence-based information is essential. By supporting patients in understanding their condition and making informed choices, healthcare professionals can significantly improve health outcomes and quality of life.</w:t>
      </w:r>
    </w:p>
    <w:p w:rsidR="00000000" w:rsidDel="00000000" w:rsidP="00000000" w:rsidRDefault="00000000" w:rsidRPr="00000000" w14:paraId="00000079">
      <w:pPr>
        <w:spacing w:after="240" w:before="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A">
      <w:pPr>
        <w:spacing w:after="240" w:before="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B">
      <w:pPr>
        <w:pStyle w:val="Heading2"/>
        <w:keepNext w:val="0"/>
        <w:keepLines w:val="0"/>
        <w:spacing w:after="80" w:before="360" w:line="360" w:lineRule="auto"/>
        <w:rPr>
          <w:i w:val="0"/>
          <w:iCs w:val="0"/>
          <w:color w:val="000000"/>
          <w:sz w:val="22"/>
          <w:szCs w:val="22"/>
        </w:rPr>
      </w:pPr>
      <w:bookmarkStart w:colFirst="0" w:colLast="0" w:name="_heading=h.w72g1ernqzk9" w:id="14"/>
      <w:bookmarkEnd w:id="14"/>
      <w:r w:rsidDel="00000000" w:rsidR="00000000" w:rsidRPr="00000000">
        <w:rPr>
          <w:i w:val="0"/>
          <w:iCs w:val="0"/>
          <w:color w:val="000000"/>
          <w:sz w:val="22"/>
          <w:szCs w:val="22"/>
          <w:rtl w:val="0"/>
        </w:rPr>
        <w:t xml:space="preserve">Reference </w:t>
      </w:r>
    </w:p>
    <w:p w:rsidR="00000000" w:rsidDel="00000000" w:rsidP="00000000" w:rsidRDefault="00000000" w:rsidRPr="00000000" w14:paraId="0000007C">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American Diabetes Association (2023) </w:t>
      </w:r>
      <w:r w:rsidDel="00000000" w:rsidR="00000000" w:rsidRPr="00000000">
        <w:rPr>
          <w:rFonts w:ascii="Arial" w:cs="Arial" w:eastAsia="Arial" w:hAnsi="Arial"/>
          <w:i w:val="1"/>
          <w:iCs w:val="1"/>
          <w:sz w:val="22"/>
          <w:szCs w:val="22"/>
          <w:rtl w:val="0"/>
        </w:rPr>
        <w:t xml:space="preserve">Standards of medical care in diabetes</w:t>
      </w:r>
      <w:r w:rsidDel="00000000" w:rsidR="00000000" w:rsidRPr="00000000">
        <w:rPr>
          <w:rFonts w:ascii="Arial" w:cs="Arial" w:eastAsia="Arial" w:hAnsi="Arial"/>
          <w:sz w:val="22"/>
          <w:szCs w:val="22"/>
          <w:rtl w:val="0"/>
        </w:rPr>
        <w:t xml:space="preserve">. Diabetes Care, 46(Supplement 1), pp. S1–S291.</w:t>
      </w:r>
    </w:p>
    <w:p w:rsidR="00000000" w:rsidDel="00000000" w:rsidP="00000000" w:rsidRDefault="00000000" w:rsidRPr="00000000" w14:paraId="0000007D">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Diabetes UK (2022) </w:t>
      </w:r>
      <w:r w:rsidDel="00000000" w:rsidR="00000000" w:rsidRPr="00000000">
        <w:rPr>
          <w:rFonts w:ascii="Arial" w:cs="Arial" w:eastAsia="Arial" w:hAnsi="Arial"/>
          <w:i w:val="1"/>
          <w:iCs w:val="1"/>
          <w:sz w:val="22"/>
          <w:szCs w:val="22"/>
          <w:rtl w:val="0"/>
        </w:rPr>
        <w:t xml:space="preserve">Type 2 diabetes</w:t>
      </w:r>
      <w:r w:rsidDel="00000000" w:rsidR="00000000" w:rsidRPr="00000000">
        <w:rPr>
          <w:rFonts w:ascii="Arial" w:cs="Arial" w:eastAsia="Arial" w:hAnsi="Arial"/>
          <w:sz w:val="22"/>
          <w:szCs w:val="22"/>
          <w:rtl w:val="0"/>
        </w:rPr>
        <w:t xml:space="preserve">. Available at: https://www.diabetes.org.uk (Accessed: 2 April 2026).</w:t>
      </w:r>
    </w:p>
    <w:p w:rsidR="00000000" w:rsidDel="00000000" w:rsidP="00000000" w:rsidRDefault="00000000" w:rsidRPr="00000000" w14:paraId="0000007E">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(2023) </w:t>
      </w:r>
      <w:r w:rsidDel="00000000" w:rsidR="00000000" w:rsidRPr="00000000">
        <w:rPr>
          <w:rFonts w:ascii="Arial" w:cs="Arial" w:eastAsia="Arial" w:hAnsi="Arial"/>
          <w:i w:val="1"/>
          <w:iCs w:val="1"/>
          <w:sz w:val="22"/>
          <w:szCs w:val="22"/>
          <w:rtl w:val="0"/>
        </w:rPr>
        <w:t xml:space="preserve">Type 2 diabetes</w:t>
      </w:r>
      <w:r w:rsidDel="00000000" w:rsidR="00000000" w:rsidRPr="00000000">
        <w:rPr>
          <w:rFonts w:ascii="Arial" w:cs="Arial" w:eastAsia="Arial" w:hAnsi="Arial"/>
          <w:sz w:val="22"/>
          <w:szCs w:val="22"/>
          <w:rtl w:val="0"/>
        </w:rPr>
        <w:t xml:space="preserve">. Available at: https://www.nhs.uk (Accessed: 2 April 2026).</w:t>
      </w:r>
    </w:p>
    <w:p w:rsidR="00000000" w:rsidDel="00000000" w:rsidP="00000000" w:rsidRDefault="00000000" w:rsidRPr="00000000" w14:paraId="0000007F">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World Health Organization (2023) </w:t>
      </w:r>
      <w:r w:rsidDel="00000000" w:rsidR="00000000" w:rsidRPr="00000000">
        <w:rPr>
          <w:rFonts w:ascii="Arial" w:cs="Arial" w:eastAsia="Arial" w:hAnsi="Arial"/>
          <w:i w:val="1"/>
          <w:iCs w:val="1"/>
          <w:sz w:val="22"/>
          <w:szCs w:val="22"/>
          <w:rtl w:val="0"/>
        </w:rPr>
        <w:t xml:space="preserve">Diabetes</w:t>
      </w:r>
      <w:r w:rsidDel="00000000" w:rsidR="00000000" w:rsidRPr="00000000">
        <w:rPr>
          <w:rFonts w:ascii="Arial" w:cs="Arial" w:eastAsia="Arial" w:hAnsi="Arial"/>
          <w:sz w:val="22"/>
          <w:szCs w:val="22"/>
          <w:rtl w:val="0"/>
        </w:rPr>
        <w:t xml:space="preserve">. Available at: https://www.who.int (Accessed: 2 April 2026).</w:t>
      </w:r>
    </w:p>
    <w:p w:rsidR="00000000" w:rsidDel="00000000" w:rsidP="00000000" w:rsidRDefault="00000000" w:rsidRPr="00000000" w14:paraId="00000080">
      <w:pPr>
        <w:spacing w:after="240" w:before="240" w:line="360" w:lineRule="auto"/>
        <w:rPr>
          <w:rFonts w:ascii="Arial" w:cs="Arial" w:eastAsia="Arial" w:hAnsi="Arial"/>
          <w:color w:val="0d0d0d"/>
        </w:rPr>
      </w:pPr>
      <w:r w:rsidDel="00000000" w:rsidR="00000000" w:rsidRPr="00000000">
        <w:rPr>
          <w:rFonts w:ascii="Arial" w:cs="Arial" w:eastAsia="Arial" w:hAnsi="Arial"/>
          <w:sz w:val="22"/>
          <w:szCs w:val="22"/>
          <w:rtl w:val="0"/>
        </w:rPr>
        <w:t xml:space="preserve">Hall, J.E. (2021) </w:t>
      </w:r>
      <w:r w:rsidDel="00000000" w:rsidR="00000000" w:rsidRPr="00000000">
        <w:rPr>
          <w:rFonts w:ascii="Arial" w:cs="Arial" w:eastAsia="Arial" w:hAnsi="Arial"/>
          <w:i w:val="1"/>
          <w:iCs w:val="1"/>
          <w:sz w:val="22"/>
          <w:szCs w:val="22"/>
          <w:rtl w:val="0"/>
        </w:rPr>
        <w:t xml:space="preserve">Guyton and Hall textbook of medical physiology</w:t>
      </w:r>
      <w:r w:rsidDel="00000000" w:rsidR="00000000" w:rsidRPr="00000000">
        <w:rPr>
          <w:rFonts w:ascii="Arial" w:cs="Arial" w:eastAsia="Arial" w:hAnsi="Arial"/>
          <w:sz w:val="22"/>
          <w:szCs w:val="22"/>
          <w:rtl w:val="0"/>
        </w:rPr>
        <w:t xml:space="preserve">. 14th edn. Elsevier.</w:t>
      </w:r>
      <w:r w:rsidDel="00000000" w:rsidR="00000000" w:rsidRPr="00000000">
        <w:rPr>
          <w:rtl w:val="0"/>
        </w:rPr>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Fonts w:ascii="Arial" w:cs="Arial" w:eastAsia="Arial" w:hAnsi="Arial"/>
          <w:color w:val="0d0d0d"/>
          <w:rtl w:val="0"/>
        </w:rPr>
        <w:t xml:space="preserve">Diabetes UK (2022) </w:t>
      </w:r>
      <w:r w:rsidDel="00000000" w:rsidR="00000000" w:rsidRPr="00000000">
        <w:rPr>
          <w:rFonts w:ascii="Arial" w:cs="Arial" w:eastAsia="Arial" w:hAnsi="Arial"/>
          <w:i w:val="1"/>
          <w:iCs w:val="1"/>
          <w:color w:val="0d0d0d"/>
          <w:rtl w:val="0"/>
        </w:rPr>
        <w:t xml:space="preserve">Type 2 diabetes</w:t>
      </w:r>
      <w:r w:rsidDel="00000000" w:rsidR="00000000" w:rsidRPr="00000000">
        <w:rPr>
          <w:rFonts w:ascii="Arial" w:cs="Arial" w:eastAsia="Arial" w:hAnsi="Arial"/>
          <w:color w:val="0d0d0d"/>
          <w:rtl w:val="0"/>
        </w:rPr>
        <w:t xml:space="preserve">. Available at: </w:t>
      </w:r>
      <w:r w:rsidDel="00000000" w:rsidR="00000000" w:rsidRPr="00000000">
        <w:rPr>
          <w:rFonts w:ascii="Arial" w:cs="Arial" w:eastAsia="Arial" w:hAnsi="Arial"/>
          <w:color w:val="0d0d0d"/>
          <w:u w:val="single"/>
          <w:rtl w:val="0"/>
        </w:rPr>
        <w:t xml:space="preserve">https://www.diabetes.org.uk</w:t>
      </w:r>
      <w:r w:rsidDel="00000000" w:rsidR="00000000" w:rsidRPr="00000000">
        <w:rPr>
          <w:rFonts w:ascii="Arial" w:cs="Arial" w:eastAsia="Arial" w:hAnsi="Arial"/>
          <w:color w:val="0d0d0d"/>
          <w:rtl w:val="0"/>
        </w:rPr>
        <w:t xml:space="preserve"> (Accessed: 2 April 2026).</w:t>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Fonts w:ascii="Arial" w:cs="Arial" w:eastAsia="Arial" w:hAnsi="Arial"/>
          <w:color w:val="0d0d0d"/>
          <w:rtl w:val="0"/>
        </w:rPr>
        <w:t xml:space="preserve">Hall, J.E. (2021) </w:t>
      </w:r>
      <w:r w:rsidDel="00000000" w:rsidR="00000000" w:rsidRPr="00000000">
        <w:rPr>
          <w:rFonts w:ascii="Arial" w:cs="Arial" w:eastAsia="Arial" w:hAnsi="Arial"/>
          <w:i w:val="1"/>
          <w:iCs w:val="1"/>
          <w:color w:val="0d0d0d"/>
          <w:rtl w:val="0"/>
        </w:rPr>
        <w:t xml:space="preserve">Guyton and Hall textbook of medical physiology</w:t>
      </w:r>
      <w:r w:rsidDel="00000000" w:rsidR="00000000" w:rsidRPr="00000000">
        <w:rPr>
          <w:rFonts w:ascii="Arial" w:cs="Arial" w:eastAsia="Arial" w:hAnsi="Arial"/>
          <w:color w:val="0d0d0d"/>
          <w:rtl w:val="0"/>
        </w:rPr>
        <w:t xml:space="preserve">. 14th edn. Elsevier.</w:t>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Fonts w:ascii="Arial" w:cs="Arial" w:eastAsia="Arial" w:hAnsi="Arial"/>
          <w:color w:val="0d0d0d"/>
          <w:rtl w:val="0"/>
        </w:rPr>
        <w:t xml:space="preserve">International Diabetes Federation (2021) </w:t>
      </w:r>
      <w:r w:rsidDel="00000000" w:rsidR="00000000" w:rsidRPr="00000000">
        <w:rPr>
          <w:rFonts w:ascii="Arial" w:cs="Arial" w:eastAsia="Arial" w:hAnsi="Arial"/>
          <w:i w:val="1"/>
          <w:iCs w:val="1"/>
          <w:color w:val="0d0d0d"/>
          <w:rtl w:val="0"/>
        </w:rPr>
        <w:t xml:space="preserve">IDF diabetes atlas</w:t>
      </w:r>
      <w:r w:rsidDel="00000000" w:rsidR="00000000" w:rsidRPr="00000000">
        <w:rPr>
          <w:rFonts w:ascii="Arial" w:cs="Arial" w:eastAsia="Arial" w:hAnsi="Arial"/>
          <w:color w:val="0d0d0d"/>
          <w:rtl w:val="0"/>
        </w:rPr>
        <w:t xml:space="preserve">. 10th edn. Brussels: IDF.</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Fonts w:ascii="Arial" w:cs="Arial" w:eastAsia="Arial" w:hAnsi="Arial"/>
          <w:color w:val="0d0d0d"/>
          <w:rtl w:val="0"/>
        </w:rPr>
        <w:t xml:space="preserve">National Institute for Health and Care Excellence (NICE) (2022) </w:t>
      </w:r>
      <w:r w:rsidDel="00000000" w:rsidR="00000000" w:rsidRPr="00000000">
        <w:rPr>
          <w:rFonts w:ascii="Arial" w:cs="Arial" w:eastAsia="Arial" w:hAnsi="Arial"/>
          <w:i w:val="1"/>
          <w:iCs w:val="1"/>
          <w:color w:val="0d0d0d"/>
          <w:rtl w:val="0"/>
        </w:rPr>
        <w:t xml:space="preserve">Type 2 diabetes in adults: management (NG28)</w:t>
      </w:r>
      <w:r w:rsidDel="00000000" w:rsidR="00000000" w:rsidRPr="00000000">
        <w:rPr>
          <w:rFonts w:ascii="Arial" w:cs="Arial" w:eastAsia="Arial" w:hAnsi="Arial"/>
          <w:color w:val="0d0d0d"/>
          <w:rtl w:val="0"/>
        </w:rPr>
        <w:t xml:space="preserve">. Available at: </w:t>
      </w:r>
      <w:r w:rsidDel="00000000" w:rsidR="00000000" w:rsidRPr="00000000">
        <w:rPr>
          <w:rFonts w:ascii="Arial" w:cs="Arial" w:eastAsia="Arial" w:hAnsi="Arial"/>
          <w:color w:val="0d0d0d"/>
          <w:u w:val="single"/>
          <w:rtl w:val="0"/>
        </w:rPr>
        <w:t xml:space="preserve">https://www.nice.org.uk</w:t>
      </w:r>
      <w:r w:rsidDel="00000000" w:rsidR="00000000" w:rsidRPr="00000000">
        <w:rPr>
          <w:rFonts w:ascii="Arial" w:cs="Arial" w:eastAsia="Arial" w:hAnsi="Arial"/>
          <w:color w:val="0d0d0d"/>
          <w:rtl w:val="0"/>
        </w:rPr>
        <w:t xml:space="preserve"> (Accessed: 2 April 2026).</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Fonts w:ascii="Arial" w:cs="Arial" w:eastAsia="Arial" w:hAnsi="Arial"/>
          <w:color w:val="0d0d0d"/>
          <w:rtl w:val="0"/>
        </w:rPr>
        <w:t xml:space="preserve">Hu, F.B. (2011) ‘Globalization of diabetes: the role of diet, lifestyle, and genes’, </w:t>
      </w:r>
      <w:r w:rsidDel="00000000" w:rsidR="00000000" w:rsidRPr="00000000">
        <w:rPr>
          <w:rFonts w:ascii="Arial" w:cs="Arial" w:eastAsia="Arial" w:hAnsi="Arial"/>
          <w:i w:val="1"/>
          <w:iCs w:val="1"/>
          <w:color w:val="0d0d0d"/>
          <w:rtl w:val="0"/>
        </w:rPr>
        <w:t xml:space="preserve">Diabetes Care</w:t>
      </w:r>
      <w:r w:rsidDel="00000000" w:rsidR="00000000" w:rsidRPr="00000000">
        <w:rPr>
          <w:rFonts w:ascii="Arial" w:cs="Arial" w:eastAsia="Arial" w:hAnsi="Arial"/>
          <w:color w:val="0d0d0d"/>
          <w:rtl w:val="0"/>
        </w:rPr>
        <w:t xml:space="preserve">, 34(6), pp. 1249–1257.</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Fonts w:ascii="Arial" w:cs="Arial" w:eastAsia="Arial" w:hAnsi="Arial"/>
          <w:color w:val="0d0d0d"/>
          <w:rtl w:val="0"/>
        </w:rPr>
        <w:t xml:space="preserve">Tuomilehto, J. et al. (2001) ‘Prevention of type 2 diabetes mellitus by changes in lifestyle among subjects with impaired glucose tolerance’, </w:t>
      </w:r>
      <w:r w:rsidDel="00000000" w:rsidR="00000000" w:rsidRPr="00000000">
        <w:rPr>
          <w:rFonts w:ascii="Arial" w:cs="Arial" w:eastAsia="Arial" w:hAnsi="Arial"/>
          <w:i w:val="1"/>
          <w:iCs w:val="1"/>
          <w:color w:val="0d0d0d"/>
          <w:rtl w:val="0"/>
        </w:rPr>
        <w:t xml:space="preserve">New England Journal of Medicine</w:t>
      </w:r>
      <w:r w:rsidDel="00000000" w:rsidR="00000000" w:rsidRPr="00000000">
        <w:rPr>
          <w:rFonts w:ascii="Arial" w:cs="Arial" w:eastAsia="Arial" w:hAnsi="Arial"/>
          <w:color w:val="0d0d0d"/>
          <w:rtl w:val="0"/>
        </w:rPr>
        <w:t xml:space="preserve">, 344(18), pp. 1343–1350.</w:t>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Fonts w:ascii="Arial" w:cs="Arial" w:eastAsia="Arial" w:hAnsi="Arial"/>
          <w:color w:val="0d0d0d"/>
          <w:rtl w:val="0"/>
        </w:rPr>
        <w:t xml:space="preserve">Knowler, W.C. et al. (2002) ‘Reduction in the incidence of type 2 diabetes with lifestyle intervention or metformin’, </w:t>
      </w:r>
      <w:r w:rsidDel="00000000" w:rsidR="00000000" w:rsidRPr="00000000">
        <w:rPr>
          <w:rFonts w:ascii="Arial" w:cs="Arial" w:eastAsia="Arial" w:hAnsi="Arial"/>
          <w:i w:val="1"/>
          <w:iCs w:val="1"/>
          <w:color w:val="0d0d0d"/>
          <w:rtl w:val="0"/>
        </w:rPr>
        <w:t xml:space="preserve">New England Journal of Medicine</w:t>
      </w:r>
      <w:r w:rsidDel="00000000" w:rsidR="00000000" w:rsidRPr="00000000">
        <w:rPr>
          <w:rFonts w:ascii="Arial" w:cs="Arial" w:eastAsia="Arial" w:hAnsi="Arial"/>
          <w:color w:val="0d0d0d"/>
          <w:rtl w:val="0"/>
        </w:rPr>
        <w:t xml:space="preserve">, 346(6), pp. 393–403.</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Fonts w:ascii="Arial" w:cs="Arial" w:eastAsia="Arial" w:hAnsi="Arial"/>
          <w:color w:val="0d0d0d"/>
          <w:rtl w:val="0"/>
        </w:rPr>
        <w:t xml:space="preserve">Colberg, S.R. et al. (2016) ‘Physical activity/exercise and diabetes: a position statement’, </w:t>
      </w:r>
      <w:r w:rsidDel="00000000" w:rsidR="00000000" w:rsidRPr="00000000">
        <w:rPr>
          <w:rFonts w:ascii="Arial" w:cs="Arial" w:eastAsia="Arial" w:hAnsi="Arial"/>
          <w:i w:val="1"/>
          <w:iCs w:val="1"/>
          <w:color w:val="0d0d0d"/>
          <w:rtl w:val="0"/>
        </w:rPr>
        <w:t xml:space="preserve">Diabetes Care</w:t>
      </w:r>
      <w:r w:rsidDel="00000000" w:rsidR="00000000" w:rsidRPr="00000000">
        <w:rPr>
          <w:rFonts w:ascii="Arial" w:cs="Arial" w:eastAsia="Arial" w:hAnsi="Arial"/>
          <w:color w:val="0d0d0d"/>
          <w:rtl w:val="0"/>
        </w:rPr>
        <w:t xml:space="preserve">, 39(11), pp. 2065–2079.</w:t>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360" w:lineRule="auto"/>
        <w:rPr>
          <w:rFonts w:ascii="Arial" w:cs="Arial" w:eastAsia="Arial" w:hAnsi="Arial"/>
          <w:color w:val="0d0d0d"/>
        </w:rPr>
      </w:pPr>
      <w:r w:rsidDel="00000000" w:rsidR="00000000" w:rsidRPr="00000000">
        <w:rPr>
          <w:rFonts w:ascii="Arial" w:cs="Arial" w:eastAsia="Arial" w:hAnsi="Arial"/>
          <w:color w:val="0d0d0d"/>
          <w:rtl w:val="0"/>
        </w:rPr>
        <w:t xml:space="preserve">Evert, A.B. et al. (2019) ‘Nutrition therapy for adults with diabetes’, </w:t>
      </w:r>
      <w:r w:rsidDel="00000000" w:rsidR="00000000" w:rsidRPr="00000000">
        <w:rPr>
          <w:rFonts w:ascii="Arial" w:cs="Arial" w:eastAsia="Arial" w:hAnsi="Arial"/>
          <w:i w:val="1"/>
          <w:iCs w:val="1"/>
          <w:color w:val="0d0d0d"/>
          <w:rtl w:val="0"/>
        </w:rPr>
        <w:t xml:space="preserve">Diabetes Care</w:t>
      </w:r>
      <w:r w:rsidDel="00000000" w:rsidR="00000000" w:rsidRPr="00000000">
        <w:rPr>
          <w:rFonts w:ascii="Arial" w:cs="Arial" w:eastAsia="Arial" w:hAnsi="Arial"/>
          <w:color w:val="0d0d0d"/>
          <w:rtl w:val="0"/>
        </w:rPr>
        <w:t xml:space="preserve">, 42(5), pp. 731–754.</w:t>
      </w:r>
    </w:p>
    <w:p w:rsidR="00000000" w:rsidDel="00000000" w:rsidP="00000000" w:rsidRDefault="00000000" w:rsidRPr="00000000" w14:paraId="0000008A">
      <w:pPr>
        <w:spacing w:after="240" w:before="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B">
      <w:pPr>
        <w:spacing w:after="240" w:before="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C">
      <w:pPr>
        <w:spacing w:after="240" w:before="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D">
      <w:pPr>
        <w:spacing w:after="240" w:before="240" w:line="360" w:lineRule="auto"/>
        <w:rPr>
          <w:rFonts w:ascii="Arial" w:cs="Arial" w:eastAsia="Arial" w:hAnsi="Arial"/>
        </w:rPr>
      </w:pPr>
      <w:r w:rsidDel="00000000" w:rsidR="00000000" w:rsidRPr="00000000">
        <w:rPr>
          <w:rtl w:val="0"/>
        </w:rPr>
      </w:r>
    </w:p>
    <w:sectPr>
      <w:headerReference r:id="rId8" w:type="default"/>
      <w:foot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857250</wp:posOffset>
          </wp:positionH>
          <wp:positionV relativeFrom="paragraph">
            <wp:posOffset>650585</wp:posOffset>
          </wp:positionV>
          <wp:extent cx="3076575" cy="2850346"/>
          <wp:effectExtent b="0" l="0" r="0" t="0"/>
          <wp:wrapSquare wrapText="bothSides" distB="114300" distT="114300" distL="114300" distR="114300"/>
          <wp:docPr id="6"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3076575" cy="2850346"/>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pStyle w:val="Heading1"/>
      <w:keepNext w:val="0"/>
      <w:keepLines w:val="0"/>
      <w:tabs>
        <w:tab w:val="left" w:leader="none" w:pos="6540"/>
      </w:tabs>
      <w:spacing w:after="120" w:before="480" w:lineRule="auto"/>
      <w:rPr>
        <w:b w:val="1"/>
        <w:bCs w:val="1"/>
      </w:rPr>
    </w:pPr>
    <w:bookmarkStart w:colFirst="0" w:colLast="0" w:name="_heading=h.1xc9xlhqne7g" w:id="15"/>
    <w:bookmarkEnd w:id="15"/>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Arial" w:cs="Arial" w:eastAsia="Arial" w:hAnsi="Arial"/>
      <w:b w:val="1"/>
      <w:bCs w:val="1"/>
      <w:sz w:val="32"/>
      <w:szCs w:val="32"/>
    </w:rPr>
  </w:style>
  <w:style w:type="paragraph" w:styleId="Heading2">
    <w:name w:val="heading 2"/>
    <w:basedOn w:val="Normal"/>
    <w:next w:val="Normal"/>
    <w:pPr>
      <w:keepNext w:val="1"/>
      <w:keepLines w:val="1"/>
      <w:spacing w:after="0" w:before="40" w:lineRule="auto"/>
    </w:pPr>
    <w:rPr>
      <w:rFonts w:ascii="Arial" w:cs="Arial" w:eastAsia="Arial" w:hAnsi="Arial"/>
      <w:b w:val="1"/>
      <w:bCs w:val="1"/>
      <w:i w:val="1"/>
      <w:iCs w:val="1"/>
      <w:color w:val="2f5496"/>
      <w:sz w:val="26"/>
      <w:szCs w:val="26"/>
    </w:rPr>
  </w:style>
  <w:style w:type="paragraph" w:styleId="Heading3">
    <w:name w:val="heading 3"/>
    <w:basedOn w:val="Normal"/>
    <w:next w:val="Normal"/>
    <w:pPr>
      <w:spacing w:line="240" w:lineRule="auto"/>
    </w:pPr>
    <w:rPr>
      <w:rFonts w:ascii="Arial" w:cs="Arial" w:eastAsia="Arial" w:hAnsi="Arial"/>
      <w:b w:val="1"/>
      <w:bCs w:val="1"/>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2C3965"/>
    <w:rPr>
      <w:rFonts w:ascii="Arial" w:hAnsi="Arial" w:cstheme="majorBidi" w:eastAsiaTheme="majorEastAsia"/>
      <w:b w:val="1"/>
      <w:sz w:val="32"/>
      <w:szCs w:val="32"/>
    </w:rPr>
  </w:style>
  <w:style w:type="character" w:styleId="Heading2Char" w:customStyle="1">
    <w:name w:val="Heading 2 Char"/>
    <w:basedOn w:val="DefaultParagraphFont"/>
    <w:link w:val="Heading2"/>
    <w:uiPriority w:val="9"/>
    <w:rsid w:val="00A035FD"/>
    <w:rPr>
      <w:rFonts w:ascii="Arial" w:hAnsi="Arial" w:cstheme="majorBidi" w:eastAsiaTheme="majorEastAsia"/>
      <w:b w:val="1"/>
      <w:i w:val="1"/>
      <w:color w:val="2f5496" w:themeColor="accent1" w:themeShade="0000BF"/>
      <w:sz w:val="26"/>
      <w:szCs w:val="26"/>
    </w:rPr>
  </w:style>
  <w:style w:type="character" w:styleId="Heading3Char" w:customStyle="1">
    <w:name w:val="Heading 3 Char"/>
    <w:basedOn w:val="DefaultParagraphFont"/>
    <w:link w:val="Heading3"/>
    <w:uiPriority w:val="9"/>
    <w:rsid w:val="002C3965"/>
    <w:rPr>
      <w:rFonts w:ascii="Arial" w:cs="Times New Roman" w:eastAsia="Times New Roman" w:hAnsi="Arial"/>
      <w:b w:val="1"/>
      <w:bCs w:val="1"/>
      <w:szCs w:val="27"/>
      <w:lang w:eastAsia="en-GB"/>
    </w:rPr>
  </w:style>
  <w:style w:type="table" w:styleId="TableGrid">
    <w:name w:val="Table Grid"/>
    <w:basedOn w:val="TableNormal"/>
    <w:uiPriority w:val="39"/>
    <w:rsid w:val="007E774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7E7745"/>
    <w:rPr>
      <w:color w:val="0563c1" w:themeColor="hyperlink"/>
      <w:u w:val="single"/>
    </w:rPr>
  </w:style>
  <w:style w:type="character" w:styleId="UnresolvedMention">
    <w:name w:val="Unresolved Mention"/>
    <w:basedOn w:val="DefaultParagraphFont"/>
    <w:uiPriority w:val="99"/>
    <w:semiHidden w:val="1"/>
    <w:unhideWhenUsed w:val="1"/>
    <w:rsid w:val="007E7745"/>
    <w:rPr>
      <w:color w:val="605e5c"/>
      <w:shd w:color="auto" w:fill="e1dfdd" w:val="clear"/>
    </w:rPr>
  </w:style>
  <w:style w:type="paragraph" w:styleId="Header">
    <w:name w:val="header"/>
    <w:basedOn w:val="Normal"/>
    <w:link w:val="HeaderChar"/>
    <w:uiPriority w:val="99"/>
    <w:unhideWhenUsed w:val="1"/>
    <w:rsid w:val="00C03A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03A91"/>
  </w:style>
  <w:style w:type="paragraph" w:styleId="Footer">
    <w:name w:val="footer"/>
    <w:basedOn w:val="Normal"/>
    <w:link w:val="FooterChar"/>
    <w:uiPriority w:val="99"/>
    <w:unhideWhenUsed w:val="1"/>
    <w:rsid w:val="00C03A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03A91"/>
  </w:style>
  <w:style w:type="paragraph" w:styleId="ListParagraph">
    <w:name w:val="List Paragraph"/>
    <w:basedOn w:val="Normal"/>
    <w:uiPriority w:val="34"/>
    <w:qFormat w:val="1"/>
    <w:rsid w:val="00FD7392"/>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mmfsU0MYeeSBGnxX8f5Y/ly1JQ==">CgMxLjAyDmgub2phdmZhc2lpZWcxMg5oLjZwMGpyNzF1bmxkbjIOaC4zZ3hsYzVyMTY4YjMyDmguZnh4ODk5Nm5ubzY3Mg5oLnhrZ24xdnFqYzZjZzIOaC5sYzc5d2QxNmt5cTkyDmguaGkzNnZydjAxNnJlMg5oLnF4aTRteGF6M3FsdjIOaC54dTRzaW04OG94OHcyDmguOHpveDgwb3lpcjM3Mg5oLnU0empqeW9rbXM3bTIOaC5uNzU1bjh1bjNzMnkyDmguOHBvdGh1cnE0dGVjMg5oLjEzcTAzdnJlZm4yZjIOaC53NzJnMWVybnF6azkyDmguMXhjOXhsaHFuZTdnOAByITFkYjZJUThQaEhrSGhwbkt6RnJTdDRCNDloYlgxVHNf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2025-11-07T12:24:00Z</dcterms:created>
  <dc:creator>Eleni Koutsogeorgou</dc:creator>
</cp:coreProperties>
</file>