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0F8F90CB"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bookmarkStart w:id="0" w:name="_Hlk95465006"/>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24B79320"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057B0C">
              <w:rPr>
                <w:rFonts w:ascii="Tahoma" w:hAnsi="Tahoma" w:cs="Tahoma"/>
                <w:b/>
                <w:sz w:val="20"/>
                <w:szCs w:val="20"/>
              </w:rPr>
              <w:t>Mohammad Khan</w:t>
            </w:r>
          </w:p>
          <w:p w14:paraId="498F0B10" w14:textId="77777777" w:rsidR="001B69C8" w:rsidRPr="003C3341" w:rsidRDefault="001B69C8">
            <w:pPr>
              <w:rPr>
                <w:rFonts w:ascii="Tahoma" w:hAnsi="Tahoma" w:cs="Tahoma"/>
                <w:b/>
                <w:sz w:val="20"/>
                <w:szCs w:val="20"/>
              </w:rPr>
            </w:pPr>
          </w:p>
          <w:p w14:paraId="69E1F0CF" w14:textId="0C43284D"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057B0C">
              <w:rPr>
                <w:rFonts w:ascii="Tahoma" w:hAnsi="Tahoma" w:cs="Tahoma"/>
                <w:b/>
                <w:sz w:val="20"/>
                <w:szCs w:val="20"/>
              </w:rPr>
              <w:t>2026011</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6604A7D3"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057B0C">
              <w:rPr>
                <w:rFonts w:ascii="Tahoma" w:hAnsi="Tahoma" w:cs="Tahoma"/>
                <w:b/>
                <w:sz w:val="20"/>
                <w:szCs w:val="20"/>
              </w:rPr>
              <w:t>BMIH4002</w:t>
            </w:r>
          </w:p>
          <w:p w14:paraId="2019D1B6" w14:textId="77777777" w:rsidR="00B21F2E" w:rsidRDefault="00B21F2E" w:rsidP="00B21F2E">
            <w:pPr>
              <w:rPr>
                <w:rFonts w:ascii="Tahoma" w:hAnsi="Tahoma" w:cs="Tahoma"/>
                <w:b/>
                <w:sz w:val="20"/>
                <w:szCs w:val="20"/>
              </w:rPr>
            </w:pPr>
          </w:p>
          <w:p w14:paraId="450FE136" w14:textId="627104E0"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057B0C">
              <w:rPr>
                <w:rFonts w:ascii="Tahoma" w:hAnsi="Tahoma" w:cs="Tahoma"/>
                <w:b/>
                <w:sz w:val="20"/>
                <w:szCs w:val="20"/>
              </w:rPr>
              <w:t>Lola Villard</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C6B4D04" w14:textId="77777777" w:rsidR="004C1D93" w:rsidRPr="009061F1" w:rsidRDefault="008F0D83" w:rsidP="004C1D93">
            <w:pPr>
              <w:pStyle w:val="NormalWeb"/>
              <w:rPr>
                <w:rFonts w:ascii="SymbolMT" w:hAnsi="SymbolMT"/>
              </w:rPr>
            </w:pPr>
            <w:r>
              <w:rPr>
                <w:rFonts w:ascii="Tahoma" w:hAnsi="Tahoma" w:cs="Tahoma"/>
                <w:b/>
                <w:sz w:val="20"/>
                <w:szCs w:val="20"/>
              </w:rPr>
              <w:t>Topic of choice:</w:t>
            </w:r>
            <w:r w:rsidR="00B60FDF">
              <w:rPr>
                <w:rFonts w:ascii="Tahoma" w:hAnsi="Tahoma" w:cs="Tahoma"/>
                <w:b/>
                <w:sz w:val="20"/>
                <w:szCs w:val="20"/>
              </w:rPr>
              <w:t xml:space="preserve"> </w:t>
            </w:r>
            <w:r w:rsidR="004C1D93">
              <w:rPr>
                <w:rFonts w:ascii="Calibri" w:hAnsi="Calibri" w:cs="Calibri"/>
              </w:rPr>
              <w:t xml:space="preserve">Allergies and Intolerances and the importance within the industry </w:t>
            </w:r>
          </w:p>
          <w:p w14:paraId="15299B24" w14:textId="5B76597C" w:rsidR="00B21F2E" w:rsidRPr="00946B23" w:rsidRDefault="00B21F2E" w:rsidP="00B21F2E">
            <w:pPr>
              <w:rPr>
                <w:rFonts w:ascii="Tahoma" w:hAnsi="Tahoma" w:cs="Tahoma"/>
                <w:b/>
                <w:sz w:val="20"/>
                <w:szCs w:val="20"/>
              </w:rPr>
            </w:pP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3A520F03" w14:textId="77777777" w:rsidR="005A2195" w:rsidRDefault="00AF7DBF" w:rsidP="00AF7DBF">
            <w:pPr>
              <w:spacing w:line="360" w:lineRule="auto"/>
              <w:jc w:val="both"/>
              <w:rPr>
                <w:rFonts w:asciiTheme="minorHAnsi" w:hAnsiTheme="minorHAnsi" w:cstheme="minorHAnsi"/>
              </w:rPr>
            </w:pPr>
            <w:r w:rsidRPr="00AF7DBF">
              <w:rPr>
                <w:rFonts w:asciiTheme="minorHAnsi" w:hAnsiTheme="minorHAnsi" w:cstheme="minorHAnsi"/>
              </w:rPr>
              <w:t xml:space="preserve">Alber Ellis stated that “: "Intense emotional reactions are perfect; this is the outbursts that get humans in difficulty." To summarize, overreaction could generate severe physical concerns, and in some situations, could even lead </w:t>
            </w:r>
            <w:r w:rsidR="00A03475">
              <w:rPr>
                <w:rFonts w:asciiTheme="minorHAnsi" w:hAnsiTheme="minorHAnsi" w:cstheme="minorHAnsi"/>
              </w:rPr>
              <w:t>to</w:t>
            </w:r>
            <w:r w:rsidRPr="00AF7DBF">
              <w:rPr>
                <w:rFonts w:asciiTheme="minorHAnsi" w:hAnsiTheme="minorHAnsi" w:cstheme="minorHAnsi"/>
              </w:rPr>
              <w:t xml:space="preserve"> demise. Food allergies could be formed by an imbalance of the innate immunity, for which our immune cells falsely interpret protein molecules shown in foods as hazardous if in truth these proteins remain healthy. Individuals might undergo burning of the body </w:t>
            </w:r>
            <w:r w:rsidR="00A03475">
              <w:rPr>
                <w:rFonts w:asciiTheme="minorHAnsi" w:hAnsiTheme="minorHAnsi" w:cstheme="minorHAnsi"/>
              </w:rPr>
              <w:t>to</w:t>
            </w:r>
            <w:r w:rsidRPr="00AF7DBF">
              <w:rPr>
                <w:rFonts w:asciiTheme="minorHAnsi" w:hAnsiTheme="minorHAnsi" w:cstheme="minorHAnsi"/>
              </w:rPr>
              <w:t xml:space="preserve"> a massive extent, bloating, pulse rate irregularities, sleepiness, puking, and fainting as a consequence of these events</w:t>
            </w:r>
            <w:r w:rsidR="00A03475">
              <w:rPr>
                <w:rFonts w:asciiTheme="minorHAnsi" w:hAnsiTheme="minorHAnsi" w:cstheme="minorHAnsi"/>
              </w:rPr>
              <w:t xml:space="preserve"> (</w:t>
            </w:r>
            <w:r w:rsidR="00A03475" w:rsidRPr="00A03475">
              <w:rPr>
                <w:rFonts w:asciiTheme="minorHAnsi" w:hAnsiTheme="minorHAnsi" w:cstheme="minorHAnsi"/>
                <w:color w:val="222222"/>
                <w:shd w:val="clear" w:color="auto" w:fill="FFFFFF"/>
              </w:rPr>
              <w:t>Gupta</w:t>
            </w:r>
            <w:r w:rsidR="00A03475">
              <w:rPr>
                <w:rFonts w:asciiTheme="minorHAnsi" w:hAnsiTheme="minorHAnsi" w:cstheme="minorHAnsi"/>
                <w:color w:val="222222"/>
                <w:shd w:val="clear" w:color="auto" w:fill="FFFFFF"/>
              </w:rPr>
              <w:t xml:space="preserve"> et al., 2007)</w:t>
            </w:r>
            <w:r w:rsidRPr="00AF7DBF">
              <w:rPr>
                <w:rFonts w:asciiTheme="minorHAnsi" w:hAnsiTheme="minorHAnsi" w:cstheme="minorHAnsi"/>
              </w:rPr>
              <w:t>.</w:t>
            </w:r>
            <w:r w:rsidR="00152376">
              <w:rPr>
                <w:rFonts w:asciiTheme="minorHAnsi" w:hAnsiTheme="minorHAnsi" w:cstheme="minorHAnsi"/>
              </w:rPr>
              <w:t xml:space="preserve"> </w:t>
            </w:r>
            <w:r w:rsidR="00A95AF1" w:rsidRPr="00A95AF1">
              <w:rPr>
                <w:rFonts w:asciiTheme="minorHAnsi" w:hAnsiTheme="minorHAnsi" w:cstheme="minorHAnsi"/>
              </w:rPr>
              <w:t>Intolerances are hypersensitivity to foods that ha</w:t>
            </w:r>
            <w:r w:rsidR="00A03475">
              <w:rPr>
                <w:rFonts w:asciiTheme="minorHAnsi" w:hAnsiTheme="minorHAnsi" w:cstheme="minorHAnsi"/>
              </w:rPr>
              <w:t>ve</w:t>
            </w:r>
            <w:r w:rsidR="00A95AF1" w:rsidRPr="00A95AF1">
              <w:rPr>
                <w:rFonts w:asciiTheme="minorHAnsi" w:hAnsiTheme="minorHAnsi" w:cstheme="minorHAnsi"/>
              </w:rPr>
              <w:t xml:space="preserve"> been amplified by an enzymatic disequilibrium or digestive tract sensitivities, culminating in an incapacity to digest foods well. This is also referred </w:t>
            </w:r>
            <w:r w:rsidR="00A03475">
              <w:rPr>
                <w:rFonts w:asciiTheme="minorHAnsi" w:hAnsiTheme="minorHAnsi" w:cstheme="minorHAnsi"/>
              </w:rPr>
              <w:t xml:space="preserve">to </w:t>
            </w:r>
            <w:r w:rsidR="00A95AF1" w:rsidRPr="00A95AF1">
              <w:rPr>
                <w:rFonts w:asciiTheme="minorHAnsi" w:hAnsiTheme="minorHAnsi" w:cstheme="minorHAnsi"/>
              </w:rPr>
              <w:t xml:space="preserve">as Coeliac Disease and is an immunological condition where the stomach rejects gluten, blocking the stomach from ingesting nutrients and minerals that could lead the body </w:t>
            </w:r>
            <w:r w:rsidR="00A03475">
              <w:rPr>
                <w:rFonts w:asciiTheme="minorHAnsi" w:hAnsiTheme="minorHAnsi" w:cstheme="minorHAnsi"/>
              </w:rPr>
              <w:t>to respond</w:t>
            </w:r>
            <w:r w:rsidR="00A95AF1" w:rsidRPr="00A95AF1">
              <w:rPr>
                <w:rFonts w:asciiTheme="minorHAnsi" w:hAnsiTheme="minorHAnsi" w:cstheme="minorHAnsi"/>
              </w:rPr>
              <w:t xml:space="preserve"> in a range of methods. People might feel a set of symptoms, like stomach ache, osteoarthritis, and hip and spine soreness. Food allergy generates 30,000 infections in the U</w:t>
            </w:r>
            <w:r w:rsidR="00A95AF1">
              <w:rPr>
                <w:rFonts w:asciiTheme="minorHAnsi" w:hAnsiTheme="minorHAnsi" w:cstheme="minorHAnsi"/>
              </w:rPr>
              <w:t>K</w:t>
            </w:r>
            <w:r w:rsidR="00A95AF1" w:rsidRPr="00A95AF1">
              <w:rPr>
                <w:rFonts w:asciiTheme="minorHAnsi" w:hAnsiTheme="minorHAnsi" w:cstheme="minorHAnsi"/>
              </w:rPr>
              <w:t xml:space="preserve"> annually. There is no argument on the seriousness of this food hypersensitivity</w:t>
            </w:r>
            <w:r w:rsidR="00A03475">
              <w:rPr>
                <w:rFonts w:asciiTheme="minorHAnsi" w:hAnsiTheme="minorHAnsi" w:cstheme="minorHAnsi"/>
              </w:rPr>
              <w:t xml:space="preserve"> (</w:t>
            </w:r>
            <w:r w:rsidR="00A03475" w:rsidRPr="00A03475">
              <w:rPr>
                <w:rFonts w:asciiTheme="minorHAnsi" w:hAnsiTheme="minorHAnsi" w:cstheme="minorHAnsi"/>
                <w:color w:val="222222"/>
                <w:shd w:val="clear" w:color="auto" w:fill="FFFFFF"/>
              </w:rPr>
              <w:t>Mills</w:t>
            </w:r>
            <w:r w:rsidR="00A03475">
              <w:rPr>
                <w:rFonts w:asciiTheme="minorHAnsi" w:hAnsiTheme="minorHAnsi" w:cstheme="minorHAnsi"/>
                <w:color w:val="222222"/>
                <w:shd w:val="clear" w:color="auto" w:fill="FFFFFF"/>
              </w:rPr>
              <w:t xml:space="preserve"> </w:t>
            </w:r>
            <w:r w:rsidR="00A03475" w:rsidRPr="00A03475">
              <w:rPr>
                <w:rFonts w:asciiTheme="minorHAnsi" w:hAnsiTheme="minorHAnsi" w:cstheme="minorHAnsi"/>
                <w:color w:val="222222"/>
                <w:shd w:val="clear" w:color="auto" w:fill="FFFFFF"/>
              </w:rPr>
              <w:t>and Breiteneder, 2005</w:t>
            </w:r>
            <w:r w:rsidR="00A03475">
              <w:rPr>
                <w:rFonts w:asciiTheme="minorHAnsi" w:hAnsiTheme="minorHAnsi" w:cstheme="minorHAnsi"/>
                <w:color w:val="222222"/>
                <w:shd w:val="clear" w:color="auto" w:fill="FFFFFF"/>
              </w:rPr>
              <w:t>)</w:t>
            </w:r>
            <w:r w:rsidR="00A95AF1" w:rsidRPr="00A95AF1">
              <w:rPr>
                <w:rFonts w:asciiTheme="minorHAnsi" w:hAnsiTheme="minorHAnsi" w:cstheme="minorHAnsi"/>
              </w:rPr>
              <w:t>.</w:t>
            </w:r>
          </w:p>
          <w:p w14:paraId="7916AB05" w14:textId="4EA055A1" w:rsidR="005A2195" w:rsidRDefault="005A2195" w:rsidP="005A2195">
            <w:pPr>
              <w:spacing w:line="360" w:lineRule="auto"/>
              <w:jc w:val="both"/>
              <w:rPr>
                <w:rFonts w:asciiTheme="minorHAnsi" w:hAnsiTheme="minorHAnsi" w:cstheme="minorHAnsi"/>
              </w:rPr>
            </w:pPr>
            <w:r w:rsidRPr="00AF7DBF">
              <w:rPr>
                <w:rFonts w:asciiTheme="minorHAnsi" w:hAnsiTheme="minorHAnsi" w:cstheme="minorHAnsi"/>
              </w:rPr>
              <w:t xml:space="preserve">Initially, I'd prefer to discuss several of the concepts that I studied in this week's class preceding delving into the details. Food </w:t>
            </w:r>
            <w:r>
              <w:rPr>
                <w:rFonts w:ascii="Calibri" w:hAnsi="Calibri" w:cs="Calibri"/>
              </w:rPr>
              <w:t>Allergies and Intolerances and their importance within the industry</w:t>
            </w:r>
            <w:r w:rsidRPr="00AF7DBF">
              <w:rPr>
                <w:rFonts w:asciiTheme="minorHAnsi" w:hAnsiTheme="minorHAnsi" w:cstheme="minorHAnsi"/>
              </w:rPr>
              <w:t xml:space="preserve"> ha</w:t>
            </w:r>
            <w:r>
              <w:rPr>
                <w:rFonts w:asciiTheme="minorHAnsi" w:hAnsiTheme="minorHAnsi" w:cstheme="minorHAnsi"/>
              </w:rPr>
              <w:t>ve</w:t>
            </w:r>
            <w:r w:rsidRPr="00AF7DBF">
              <w:rPr>
                <w:rFonts w:asciiTheme="minorHAnsi" w:hAnsiTheme="minorHAnsi" w:cstheme="minorHAnsi"/>
              </w:rPr>
              <w:t xml:space="preserve"> been covered in this week's lesson.</w:t>
            </w:r>
            <w:r>
              <w:rPr>
                <w:rFonts w:asciiTheme="minorHAnsi" w:hAnsiTheme="minorHAnsi" w:cstheme="minorHAnsi"/>
              </w:rPr>
              <w:t xml:space="preserve"> </w:t>
            </w:r>
            <w:r w:rsidRPr="00A03475">
              <w:rPr>
                <w:rFonts w:asciiTheme="minorHAnsi" w:hAnsiTheme="minorHAnsi" w:cstheme="minorHAnsi"/>
              </w:rPr>
              <w:t>Across the lecture, I taught the aforementioned: Allergic substances must be highlighted in any form when hotels assemble supplies. They could highlight them in large, colorful, or underlined</w:t>
            </w:r>
            <w:r>
              <w:rPr>
                <w:rFonts w:asciiTheme="minorHAnsi" w:hAnsiTheme="minorHAnsi" w:cstheme="minorHAnsi"/>
              </w:rPr>
              <w:t xml:space="preserve"> (</w:t>
            </w:r>
            <w:r w:rsidRPr="00A03475">
              <w:rPr>
                <w:rFonts w:asciiTheme="minorHAnsi" w:hAnsiTheme="minorHAnsi" w:cstheme="minorHAnsi"/>
                <w:color w:val="222222"/>
                <w:shd w:val="clear" w:color="auto" w:fill="FFFFFF"/>
              </w:rPr>
              <w:t>Pratten</w:t>
            </w:r>
            <w:r>
              <w:rPr>
                <w:rFonts w:asciiTheme="minorHAnsi" w:hAnsiTheme="minorHAnsi" w:cstheme="minorHAnsi"/>
                <w:color w:val="222222"/>
                <w:shd w:val="clear" w:color="auto" w:fill="FFFFFF"/>
              </w:rPr>
              <w:t xml:space="preserve"> </w:t>
            </w:r>
            <w:r w:rsidRPr="00A03475">
              <w:rPr>
                <w:rFonts w:asciiTheme="minorHAnsi" w:hAnsiTheme="minorHAnsi" w:cstheme="minorHAnsi"/>
                <w:color w:val="222222"/>
                <w:shd w:val="clear" w:color="auto" w:fill="FFFFFF"/>
              </w:rPr>
              <w:t>and Towers, 2004</w:t>
            </w:r>
            <w:r>
              <w:rPr>
                <w:rFonts w:asciiTheme="minorHAnsi" w:hAnsiTheme="minorHAnsi" w:cstheme="minorHAnsi"/>
                <w:color w:val="222222"/>
                <w:shd w:val="clear" w:color="auto" w:fill="FFFFFF"/>
              </w:rPr>
              <w:t xml:space="preserve">). </w:t>
            </w:r>
            <w:r>
              <w:rPr>
                <w:rFonts w:asciiTheme="minorHAnsi" w:hAnsiTheme="minorHAnsi" w:cstheme="minorHAnsi"/>
                <w:color w:val="222222"/>
                <w:shd w:val="clear" w:color="auto" w:fill="FFFFFF"/>
              </w:rPr>
              <w:lastRenderedPageBreak/>
              <w:t>I have also gained knowledge about Natasha Law, Food Safety Guidelines, Food Knowledge act that are essential for the management of food supply chain.</w:t>
            </w:r>
          </w:p>
          <w:p w14:paraId="675CED1D" w14:textId="350155CD" w:rsidR="005A2195" w:rsidRDefault="005A2195" w:rsidP="00AF7DBF">
            <w:pPr>
              <w:spacing w:line="360" w:lineRule="auto"/>
              <w:jc w:val="both"/>
              <w:rPr>
                <w:rFonts w:asciiTheme="minorHAnsi" w:hAnsiTheme="minorHAnsi" w:cstheme="minorHAnsi"/>
              </w:rPr>
            </w:pPr>
            <w:r w:rsidRPr="00A03475">
              <w:rPr>
                <w:rFonts w:asciiTheme="minorHAnsi" w:hAnsiTheme="minorHAnsi" w:cstheme="minorHAnsi"/>
              </w:rPr>
              <w:t xml:space="preserve">After studying all the materials and reports, I spotted a few elements I could apply in the hotel business. We ought to approach this challenge in the strategic plan to minimize food allergies. The goals are to design a precise budget, assign a service crew, or most essential, instruct all associated </w:t>
            </w:r>
            <w:r>
              <w:rPr>
                <w:rFonts w:asciiTheme="minorHAnsi" w:hAnsiTheme="minorHAnsi" w:cstheme="minorHAnsi"/>
              </w:rPr>
              <w:t>with</w:t>
            </w:r>
            <w:r w:rsidRPr="00A03475">
              <w:rPr>
                <w:rFonts w:asciiTheme="minorHAnsi" w:hAnsiTheme="minorHAnsi" w:cstheme="minorHAnsi"/>
              </w:rPr>
              <w:t xml:space="preserve"> the food preparation activity. Train workers to spot Anaphylaxis as a medical necessity and apply Adrenaline Auto-Injector in life-threatening cases. Allergy symptoms to meals have not been isolated to the 14 EU-listed items</w:t>
            </w:r>
            <w:r>
              <w:rPr>
                <w:rFonts w:asciiTheme="minorHAnsi" w:hAnsiTheme="minorHAnsi" w:cstheme="minorHAnsi"/>
              </w:rPr>
              <w:t xml:space="preserve"> (</w:t>
            </w:r>
            <w:r w:rsidRPr="00A03475">
              <w:rPr>
                <w:rFonts w:asciiTheme="minorHAnsi" w:hAnsiTheme="minorHAnsi" w:cstheme="minorHAnsi"/>
                <w:color w:val="222222"/>
                <w:shd w:val="clear" w:color="auto" w:fill="FFFFFF"/>
              </w:rPr>
              <w:t>Taylor</w:t>
            </w:r>
            <w:r>
              <w:rPr>
                <w:rFonts w:asciiTheme="minorHAnsi" w:hAnsiTheme="minorHAnsi" w:cstheme="minorHAnsi"/>
                <w:color w:val="222222"/>
                <w:shd w:val="clear" w:color="auto" w:fill="FFFFFF"/>
              </w:rPr>
              <w:t xml:space="preserve"> </w:t>
            </w:r>
            <w:r w:rsidRPr="00A03475">
              <w:rPr>
                <w:rFonts w:asciiTheme="minorHAnsi" w:hAnsiTheme="minorHAnsi" w:cstheme="minorHAnsi"/>
                <w:color w:val="222222"/>
                <w:shd w:val="clear" w:color="auto" w:fill="FFFFFF"/>
              </w:rPr>
              <w:t>and Baumert, 2012</w:t>
            </w:r>
            <w:r>
              <w:rPr>
                <w:rFonts w:asciiTheme="minorHAnsi" w:hAnsiTheme="minorHAnsi" w:cstheme="minorHAnsi"/>
                <w:color w:val="222222"/>
                <w:shd w:val="clear" w:color="auto" w:fill="FFFFFF"/>
              </w:rPr>
              <w:t>)</w:t>
            </w:r>
            <w:r w:rsidRPr="00A03475">
              <w:rPr>
                <w:rFonts w:asciiTheme="minorHAnsi" w:hAnsiTheme="minorHAnsi" w:cstheme="minorHAnsi"/>
              </w:rPr>
              <w:t>. Food intolerance is readily tailored by instructing consumers which ingredients induce it. Cross-contamination might be ignored,</w:t>
            </w:r>
            <w:r>
              <w:rPr>
                <w:rFonts w:asciiTheme="minorHAnsi" w:hAnsiTheme="minorHAnsi" w:cstheme="minorHAnsi"/>
              </w:rPr>
              <w:t xml:space="preserve"> </w:t>
            </w:r>
            <w:r w:rsidRPr="00A03475">
              <w:rPr>
                <w:rFonts w:asciiTheme="minorHAnsi" w:hAnsiTheme="minorHAnsi" w:cstheme="minorHAnsi"/>
              </w:rPr>
              <w:t>contributing to death. It entails that maintaining work areas, cooking utensils, and equipment hygienic is an urgent necessity.</w:t>
            </w:r>
          </w:p>
          <w:p w14:paraId="78A729F0" w14:textId="77777777" w:rsidR="005A2195" w:rsidRDefault="00A95AF1" w:rsidP="00AF7DBF">
            <w:pPr>
              <w:spacing w:line="360" w:lineRule="auto"/>
              <w:jc w:val="both"/>
              <w:rPr>
                <w:rFonts w:asciiTheme="minorHAnsi" w:hAnsiTheme="minorHAnsi" w:cstheme="minorHAnsi"/>
              </w:rPr>
            </w:pPr>
            <w:r w:rsidRPr="00A95AF1">
              <w:rPr>
                <w:rFonts w:asciiTheme="minorHAnsi" w:hAnsiTheme="minorHAnsi" w:cstheme="minorHAnsi"/>
              </w:rPr>
              <w:t xml:space="preserve">By enforcing the Food Security Guidelines, </w:t>
            </w:r>
            <w:r w:rsidR="00A03475">
              <w:rPr>
                <w:rFonts w:asciiTheme="minorHAnsi" w:hAnsiTheme="minorHAnsi" w:cstheme="minorHAnsi"/>
              </w:rPr>
              <w:t>which</w:t>
            </w:r>
            <w:r w:rsidRPr="00A95AF1">
              <w:rPr>
                <w:rFonts w:asciiTheme="minorHAnsi" w:hAnsiTheme="minorHAnsi" w:cstheme="minorHAnsi"/>
              </w:rPr>
              <w:t xml:space="preserve"> got </w:t>
            </w:r>
            <w:r w:rsidR="00A03475">
              <w:rPr>
                <w:rFonts w:asciiTheme="minorHAnsi" w:hAnsiTheme="minorHAnsi" w:cstheme="minorHAnsi"/>
              </w:rPr>
              <w:t xml:space="preserve">an </w:t>
            </w:r>
            <w:r w:rsidRPr="00A95AF1">
              <w:rPr>
                <w:rFonts w:asciiTheme="minorHAnsi" w:hAnsiTheme="minorHAnsi" w:cstheme="minorHAnsi"/>
              </w:rPr>
              <w:t xml:space="preserve">operation in 2014, the central authorities seek to empower consumers </w:t>
            </w:r>
            <w:r w:rsidR="00A03475">
              <w:rPr>
                <w:rFonts w:asciiTheme="minorHAnsi" w:hAnsiTheme="minorHAnsi" w:cstheme="minorHAnsi"/>
              </w:rPr>
              <w:t xml:space="preserve">with </w:t>
            </w:r>
            <w:r w:rsidRPr="00A95AF1">
              <w:rPr>
                <w:rFonts w:asciiTheme="minorHAnsi" w:hAnsiTheme="minorHAnsi" w:cstheme="minorHAnsi"/>
              </w:rPr>
              <w:t>complete leverage over their food options and to increase meal experiences for consumers with food intolerances.</w:t>
            </w:r>
            <w:r w:rsidR="005A2195">
              <w:rPr>
                <w:rFonts w:asciiTheme="minorHAnsi" w:hAnsiTheme="minorHAnsi" w:cstheme="minorHAnsi"/>
              </w:rPr>
              <w:t xml:space="preserve"> </w:t>
            </w:r>
            <w:r w:rsidR="00A03475">
              <w:rPr>
                <w:rFonts w:asciiTheme="minorHAnsi" w:hAnsiTheme="minorHAnsi" w:cstheme="minorHAnsi"/>
              </w:rPr>
              <w:t>This is i</w:t>
            </w:r>
            <w:r w:rsidR="00770F80" w:rsidRPr="00770F80">
              <w:rPr>
                <w:rFonts w:asciiTheme="minorHAnsi" w:hAnsiTheme="minorHAnsi" w:cstheme="minorHAnsi"/>
              </w:rPr>
              <w:t xml:space="preserve">n accord with the UK's Food Knowledge Act, widely referred </w:t>
            </w:r>
            <w:r w:rsidR="00A03475">
              <w:rPr>
                <w:rFonts w:asciiTheme="minorHAnsi" w:hAnsiTheme="minorHAnsi" w:cstheme="minorHAnsi"/>
              </w:rPr>
              <w:t xml:space="preserve">to </w:t>
            </w:r>
            <w:r w:rsidR="00770F80" w:rsidRPr="00770F80">
              <w:rPr>
                <w:rFonts w:asciiTheme="minorHAnsi" w:hAnsiTheme="minorHAnsi" w:cstheme="minorHAnsi"/>
              </w:rPr>
              <w:t xml:space="preserve">as the Natasha Law, </w:t>
            </w:r>
            <w:r w:rsidR="00A03475">
              <w:rPr>
                <w:rFonts w:asciiTheme="minorHAnsi" w:hAnsiTheme="minorHAnsi" w:cstheme="minorHAnsi"/>
              </w:rPr>
              <w:t>which</w:t>
            </w:r>
            <w:r w:rsidR="00770F80" w:rsidRPr="00770F80">
              <w:rPr>
                <w:rFonts w:asciiTheme="minorHAnsi" w:hAnsiTheme="minorHAnsi" w:cstheme="minorHAnsi"/>
              </w:rPr>
              <w:t xml:space="preserve"> got </w:t>
            </w:r>
            <w:r w:rsidR="00A03475">
              <w:rPr>
                <w:rFonts w:asciiTheme="minorHAnsi" w:hAnsiTheme="minorHAnsi" w:cstheme="minorHAnsi"/>
              </w:rPr>
              <w:t xml:space="preserve">a </w:t>
            </w:r>
            <w:r w:rsidR="00770F80" w:rsidRPr="00770F80">
              <w:rPr>
                <w:rFonts w:asciiTheme="minorHAnsi" w:hAnsiTheme="minorHAnsi" w:cstheme="minorHAnsi"/>
              </w:rPr>
              <w:t xml:space="preserve">spot in Mid-2021 and mandates food suppliers to list all materials and allergies on pre-packaged items for instant sale in the </w:t>
            </w:r>
            <w:r w:rsidR="00A03475">
              <w:rPr>
                <w:rFonts w:asciiTheme="minorHAnsi" w:hAnsiTheme="minorHAnsi" w:cstheme="minorHAnsi"/>
              </w:rPr>
              <w:t>UK</w:t>
            </w:r>
            <w:r w:rsidR="00770F80" w:rsidRPr="00770F80">
              <w:rPr>
                <w:rFonts w:asciiTheme="minorHAnsi" w:hAnsiTheme="minorHAnsi" w:cstheme="minorHAnsi"/>
              </w:rPr>
              <w:t xml:space="preserve">. Manufacturers should disclose precisely if a food involves any of </w:t>
            </w:r>
            <w:r w:rsidR="00A03475">
              <w:rPr>
                <w:rFonts w:asciiTheme="minorHAnsi" w:hAnsiTheme="minorHAnsi" w:cstheme="minorHAnsi"/>
              </w:rPr>
              <w:t xml:space="preserve">the </w:t>
            </w:r>
            <w:r w:rsidR="00770F80" w:rsidRPr="00770F80">
              <w:rPr>
                <w:rFonts w:asciiTheme="minorHAnsi" w:hAnsiTheme="minorHAnsi" w:cstheme="minorHAnsi"/>
              </w:rPr>
              <w:t>14 major allergens mentioned in the laws</w:t>
            </w:r>
            <w:r w:rsidR="00A03475">
              <w:rPr>
                <w:rFonts w:asciiTheme="minorHAnsi" w:hAnsiTheme="minorHAnsi" w:cstheme="minorHAnsi"/>
              </w:rPr>
              <w:t xml:space="preserve"> (</w:t>
            </w:r>
            <w:r w:rsidR="00A03475" w:rsidRPr="00A03475">
              <w:rPr>
                <w:rFonts w:asciiTheme="minorHAnsi" w:hAnsiTheme="minorHAnsi" w:cstheme="minorHAnsi"/>
                <w:color w:val="222222"/>
                <w:shd w:val="clear" w:color="auto" w:fill="FFFFFF"/>
              </w:rPr>
              <w:t>Nettleton</w:t>
            </w:r>
            <w:r w:rsidR="00A03475">
              <w:rPr>
                <w:rFonts w:asciiTheme="minorHAnsi" w:hAnsiTheme="minorHAnsi" w:cstheme="minorHAnsi"/>
                <w:color w:val="222222"/>
                <w:shd w:val="clear" w:color="auto" w:fill="FFFFFF"/>
              </w:rPr>
              <w:t xml:space="preserve"> et al., 2009)</w:t>
            </w:r>
            <w:r w:rsidR="00770F80" w:rsidRPr="00770F80">
              <w:rPr>
                <w:rFonts w:asciiTheme="minorHAnsi" w:hAnsiTheme="minorHAnsi" w:cstheme="minorHAnsi"/>
              </w:rPr>
              <w:t xml:space="preserve">. </w:t>
            </w:r>
          </w:p>
          <w:p w14:paraId="799596C8" w14:textId="77777777" w:rsidR="005A2195" w:rsidRDefault="00770F80" w:rsidP="00AF7DBF">
            <w:pPr>
              <w:spacing w:line="360" w:lineRule="auto"/>
              <w:jc w:val="both"/>
              <w:rPr>
                <w:rFonts w:asciiTheme="minorHAnsi" w:hAnsiTheme="minorHAnsi" w:cstheme="minorHAnsi"/>
              </w:rPr>
            </w:pPr>
            <w:r w:rsidRPr="00770F80">
              <w:rPr>
                <w:rFonts w:asciiTheme="minorHAnsi" w:hAnsiTheme="minorHAnsi" w:cstheme="minorHAnsi"/>
              </w:rPr>
              <w:t>In concept, allergens could induce people to overreact to any food type. The phrase "free</w:t>
            </w:r>
            <w:r w:rsidR="00A03475">
              <w:rPr>
                <w:rFonts w:asciiTheme="minorHAnsi" w:hAnsiTheme="minorHAnsi" w:cstheme="minorHAnsi"/>
              </w:rPr>
              <w:t>-</w:t>
            </w:r>
            <w:r w:rsidRPr="00770F80">
              <w:rPr>
                <w:rFonts w:asciiTheme="minorHAnsi" w:hAnsiTheme="minorHAnsi" w:cstheme="minorHAnsi"/>
              </w:rPr>
              <w:t>from" alludes to foods and snacks that are aimed to exclude one or more ingredients that could trigger allergies or intolerant for </w:t>
            </w:r>
            <w:r w:rsidR="00A03475">
              <w:rPr>
                <w:rFonts w:asciiTheme="minorHAnsi" w:hAnsiTheme="minorHAnsi" w:cstheme="minorHAnsi"/>
              </w:rPr>
              <w:t xml:space="preserve">a </w:t>
            </w:r>
            <w:r w:rsidRPr="00770F80">
              <w:rPr>
                <w:rFonts w:asciiTheme="minorHAnsi" w:hAnsiTheme="minorHAnsi" w:cstheme="minorHAnsi"/>
              </w:rPr>
              <w:t>few customers. Lastly, the 14 most widespread allergens entail celery, snails, prawns, mustard, eggs, peanuts, gluten, and dairy.</w:t>
            </w:r>
            <w:r>
              <w:rPr>
                <w:rFonts w:asciiTheme="minorHAnsi" w:hAnsiTheme="minorHAnsi" w:cstheme="minorHAnsi"/>
              </w:rPr>
              <w:t xml:space="preserve"> </w:t>
            </w:r>
            <w:r w:rsidR="00A03475" w:rsidRPr="00A03475">
              <w:rPr>
                <w:rFonts w:asciiTheme="minorHAnsi" w:hAnsiTheme="minorHAnsi" w:cstheme="minorHAnsi"/>
              </w:rPr>
              <w:t>Likewise, "significant possibility exists within each problem," is a metaphor I could connect to this</w:t>
            </w:r>
            <w:r w:rsidR="00A03475">
              <w:rPr>
                <w:rFonts w:asciiTheme="minorHAnsi" w:hAnsiTheme="minorHAnsi" w:cstheme="minorHAnsi"/>
              </w:rPr>
              <w:t xml:space="preserve"> (</w:t>
            </w:r>
            <w:r w:rsidR="00A03475" w:rsidRPr="00A03475">
              <w:rPr>
                <w:rFonts w:asciiTheme="minorHAnsi" w:hAnsiTheme="minorHAnsi" w:cstheme="minorHAnsi"/>
                <w:color w:val="222222"/>
                <w:shd w:val="clear" w:color="auto" w:fill="FFFFFF"/>
              </w:rPr>
              <w:t>Ortolani</w:t>
            </w:r>
            <w:r w:rsidR="00A03475">
              <w:rPr>
                <w:rFonts w:asciiTheme="minorHAnsi" w:hAnsiTheme="minorHAnsi" w:cstheme="minorHAnsi"/>
                <w:color w:val="222222"/>
                <w:shd w:val="clear" w:color="auto" w:fill="FFFFFF"/>
              </w:rPr>
              <w:t xml:space="preserve"> </w:t>
            </w:r>
            <w:r w:rsidR="00A03475" w:rsidRPr="00A03475">
              <w:rPr>
                <w:rFonts w:asciiTheme="minorHAnsi" w:hAnsiTheme="minorHAnsi" w:cstheme="minorHAnsi"/>
                <w:color w:val="222222"/>
                <w:shd w:val="clear" w:color="auto" w:fill="FFFFFF"/>
              </w:rPr>
              <w:t>and Pastorello, 2006</w:t>
            </w:r>
            <w:r w:rsidR="00A03475">
              <w:rPr>
                <w:rFonts w:asciiTheme="minorHAnsi" w:hAnsiTheme="minorHAnsi" w:cstheme="minorHAnsi"/>
                <w:color w:val="222222"/>
                <w:shd w:val="clear" w:color="auto" w:fill="FFFFFF"/>
              </w:rPr>
              <w:t>)</w:t>
            </w:r>
            <w:r w:rsidR="00A03475" w:rsidRPr="00A03475">
              <w:rPr>
                <w:rFonts w:asciiTheme="minorHAnsi" w:hAnsiTheme="minorHAnsi" w:cstheme="minorHAnsi"/>
              </w:rPr>
              <w:t xml:space="preserve">. Establishing a blue ocean for a firm is the outcome of food intolerance. As a consequence, the restaurant and hospitality sector could be turned into a multi-billion revenue industry. </w:t>
            </w:r>
          </w:p>
          <w:p w14:paraId="3F57B918" w14:textId="4000CBC2" w:rsidR="00AF7DBF" w:rsidRDefault="00A03475" w:rsidP="00AF7DBF">
            <w:pPr>
              <w:spacing w:line="360" w:lineRule="auto"/>
              <w:jc w:val="both"/>
              <w:rPr>
                <w:rFonts w:asciiTheme="minorHAnsi" w:hAnsiTheme="minorHAnsi" w:cstheme="minorHAnsi"/>
              </w:rPr>
            </w:pPr>
            <w:r w:rsidRPr="00A03475">
              <w:rPr>
                <w:rFonts w:asciiTheme="minorHAnsi" w:hAnsiTheme="minorHAnsi" w:cstheme="minorHAnsi"/>
              </w:rPr>
              <w:t xml:space="preserve">Annually, the proportion of food allergies in the UK climbs by 5%. As per the "FOOD ALLERGY AND INTOLERANCE Scheme," one in 40 born in the UK struggles from an extreme allergy, and one in 100 individuals has gluten intolerance. These statistics reflected an eagerness to be alerted, and a drive to grasp the market potential. I reviewed the "Indigo Restaurant, One Aldwych, London" study, </w:t>
            </w:r>
            <w:r>
              <w:rPr>
                <w:rFonts w:asciiTheme="minorHAnsi" w:hAnsiTheme="minorHAnsi" w:cstheme="minorHAnsi"/>
              </w:rPr>
              <w:t>which</w:t>
            </w:r>
            <w:r w:rsidRPr="00A03475">
              <w:rPr>
                <w:rFonts w:asciiTheme="minorHAnsi" w:hAnsiTheme="minorHAnsi" w:cstheme="minorHAnsi"/>
              </w:rPr>
              <w:t xml:space="preserve"> highlights the neglected market potential in the U</w:t>
            </w:r>
            <w:r>
              <w:rPr>
                <w:rFonts w:asciiTheme="minorHAnsi" w:hAnsiTheme="minorHAnsi" w:cstheme="minorHAnsi"/>
              </w:rPr>
              <w:t>K</w:t>
            </w:r>
            <w:r w:rsidRPr="00A03475">
              <w:rPr>
                <w:rFonts w:asciiTheme="minorHAnsi" w:hAnsiTheme="minorHAnsi" w:cstheme="minorHAnsi"/>
              </w:rPr>
              <w:t xml:space="preserve">. </w:t>
            </w:r>
            <w:r>
              <w:rPr>
                <w:rFonts w:asciiTheme="minorHAnsi" w:hAnsiTheme="minorHAnsi" w:cstheme="minorHAnsi"/>
              </w:rPr>
              <w:t>Despite</w:t>
            </w:r>
            <w:r w:rsidRPr="00A03475">
              <w:rPr>
                <w:rFonts w:asciiTheme="minorHAnsi" w:hAnsiTheme="minorHAnsi" w:cstheme="minorHAnsi"/>
              </w:rPr>
              <w:t xml:space="preserve"> major brands' rivalry, there is scope for entrants, mainly at the best quality possible</w:t>
            </w:r>
            <w:r>
              <w:rPr>
                <w:rFonts w:asciiTheme="minorHAnsi" w:hAnsiTheme="minorHAnsi" w:cstheme="minorHAnsi"/>
              </w:rPr>
              <w:t xml:space="preserve"> (</w:t>
            </w:r>
            <w:r w:rsidRPr="00A03475">
              <w:rPr>
                <w:rFonts w:asciiTheme="minorHAnsi" w:hAnsiTheme="minorHAnsi" w:cstheme="minorHAnsi"/>
                <w:color w:val="222222"/>
                <w:shd w:val="clear" w:color="auto" w:fill="FFFFFF"/>
              </w:rPr>
              <w:t>Turnbull</w:t>
            </w:r>
            <w:r>
              <w:rPr>
                <w:rFonts w:asciiTheme="minorHAnsi" w:hAnsiTheme="minorHAnsi" w:cstheme="minorHAnsi"/>
                <w:color w:val="222222"/>
                <w:shd w:val="clear" w:color="auto" w:fill="FFFFFF"/>
              </w:rPr>
              <w:t xml:space="preserve"> et al., 2015)</w:t>
            </w:r>
            <w:r w:rsidRPr="00A03475">
              <w:rPr>
                <w:rFonts w:asciiTheme="minorHAnsi" w:hAnsiTheme="minorHAnsi" w:cstheme="minorHAnsi"/>
              </w:rPr>
              <w:t>.</w:t>
            </w:r>
          </w:p>
          <w:p w14:paraId="7E12E6EF" w14:textId="36845F0B" w:rsidR="00A03475" w:rsidRDefault="00A03475" w:rsidP="00AF7DBF">
            <w:pPr>
              <w:spacing w:line="360" w:lineRule="auto"/>
              <w:jc w:val="both"/>
              <w:rPr>
                <w:rFonts w:asciiTheme="minorHAnsi" w:hAnsiTheme="minorHAnsi" w:cstheme="minorHAnsi"/>
              </w:rPr>
            </w:pPr>
            <w:r w:rsidRPr="00A03475">
              <w:rPr>
                <w:rFonts w:asciiTheme="minorHAnsi" w:hAnsiTheme="minorHAnsi" w:cstheme="minorHAnsi"/>
              </w:rPr>
              <w:t xml:space="preserve">Food intolerance could generate substantial physical difficulties or even death. Food suppliers and restaurant operators should brand pre-packaged products with allergy details and icons, and explain ingredient knowledge while offering non-prepackaged items. To avert health complications and death, correct tagging with eye-catching </w:t>
            </w:r>
            <w:r w:rsidRPr="00A03475">
              <w:rPr>
                <w:rFonts w:asciiTheme="minorHAnsi" w:hAnsiTheme="minorHAnsi" w:cstheme="minorHAnsi"/>
              </w:rPr>
              <w:lastRenderedPageBreak/>
              <w:t>icons would be essential too. Simultaneously, the speech chosen on the container must be clear to both residents and attendants. For meals sold in the UK, the specifications should be translated to English for the minimization of cross-contamination between staff, sanitation, and collaboration between the cook and the individual who offers the food.</w:t>
            </w:r>
            <w:r>
              <w:rPr>
                <w:rFonts w:asciiTheme="minorHAnsi" w:hAnsiTheme="minorHAnsi" w:cstheme="minorHAnsi"/>
              </w:rPr>
              <w:t xml:space="preserve"> </w:t>
            </w:r>
          </w:p>
          <w:p w14:paraId="3B344F1E" w14:textId="674D3920" w:rsidR="00375882" w:rsidRPr="00AF7DBF" w:rsidRDefault="00375882" w:rsidP="00AF7DBF">
            <w:pPr>
              <w:spacing w:line="360" w:lineRule="auto"/>
              <w:jc w:val="both"/>
              <w:rPr>
                <w:rFonts w:asciiTheme="minorHAnsi" w:hAnsiTheme="minorHAnsi" w:cstheme="minorHAnsi"/>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39816394" w14:textId="77777777" w:rsidR="00A03475" w:rsidRPr="00A03475" w:rsidRDefault="00A03475" w:rsidP="00A03475">
            <w:pPr>
              <w:spacing w:line="360" w:lineRule="auto"/>
              <w:ind w:left="720" w:hanging="720"/>
              <w:jc w:val="both"/>
              <w:rPr>
                <w:rFonts w:asciiTheme="minorHAnsi" w:hAnsiTheme="minorHAnsi" w:cstheme="minorHAnsi"/>
                <w:sz w:val="32"/>
                <w:szCs w:val="32"/>
              </w:rPr>
            </w:pPr>
            <w:r w:rsidRPr="00A03475">
              <w:rPr>
                <w:rFonts w:asciiTheme="minorHAnsi" w:hAnsiTheme="minorHAnsi" w:cstheme="minorHAnsi"/>
                <w:color w:val="222222"/>
                <w:shd w:val="clear" w:color="auto" w:fill="FFFFFF"/>
              </w:rPr>
              <w:t>Gupta, R., Sheikh, A., Strachan, D.P. and Anderson, H.R., 2007. Time trends in allergic disorders in the UK. </w:t>
            </w:r>
            <w:r w:rsidRPr="00A03475">
              <w:rPr>
                <w:rFonts w:asciiTheme="minorHAnsi" w:hAnsiTheme="minorHAnsi" w:cstheme="minorHAnsi"/>
                <w:i/>
                <w:iCs/>
                <w:color w:val="222222"/>
                <w:shd w:val="clear" w:color="auto" w:fill="FFFFFF"/>
              </w:rPr>
              <w:t>Thorax</w:t>
            </w:r>
            <w:r w:rsidRPr="00A03475">
              <w:rPr>
                <w:rFonts w:asciiTheme="minorHAnsi" w:hAnsiTheme="minorHAnsi" w:cstheme="minorHAnsi"/>
                <w:color w:val="222222"/>
                <w:shd w:val="clear" w:color="auto" w:fill="FFFFFF"/>
              </w:rPr>
              <w:t>, </w:t>
            </w:r>
            <w:r w:rsidRPr="00A03475">
              <w:rPr>
                <w:rFonts w:asciiTheme="minorHAnsi" w:hAnsiTheme="minorHAnsi" w:cstheme="minorHAnsi"/>
                <w:i/>
                <w:iCs/>
                <w:color w:val="222222"/>
                <w:shd w:val="clear" w:color="auto" w:fill="FFFFFF"/>
              </w:rPr>
              <w:t>62</w:t>
            </w:r>
            <w:r w:rsidRPr="00A03475">
              <w:rPr>
                <w:rFonts w:asciiTheme="minorHAnsi" w:hAnsiTheme="minorHAnsi" w:cstheme="minorHAnsi"/>
                <w:color w:val="222222"/>
                <w:shd w:val="clear" w:color="auto" w:fill="FFFFFF"/>
              </w:rPr>
              <w:t>(1), pp.91-96.</w:t>
            </w:r>
          </w:p>
          <w:p w14:paraId="33D5F11E" w14:textId="77777777" w:rsidR="00A03475" w:rsidRPr="00A03475" w:rsidRDefault="00A03475" w:rsidP="00A03475">
            <w:pPr>
              <w:spacing w:line="360" w:lineRule="auto"/>
              <w:ind w:left="720" w:hanging="720"/>
              <w:jc w:val="both"/>
              <w:rPr>
                <w:rFonts w:asciiTheme="minorHAnsi" w:hAnsiTheme="minorHAnsi" w:cstheme="minorHAnsi"/>
                <w:color w:val="222222"/>
                <w:shd w:val="clear" w:color="auto" w:fill="FFFFFF"/>
              </w:rPr>
            </w:pPr>
            <w:r w:rsidRPr="00A03475">
              <w:rPr>
                <w:rFonts w:asciiTheme="minorHAnsi" w:hAnsiTheme="minorHAnsi" w:cstheme="minorHAnsi"/>
                <w:color w:val="222222"/>
                <w:shd w:val="clear" w:color="auto" w:fill="FFFFFF"/>
              </w:rPr>
              <w:t>Mills, E.N.C. and Breiteneder, H., 2005. Food allergy and its relevance to industrial food proteins. </w:t>
            </w:r>
            <w:r w:rsidRPr="00A03475">
              <w:rPr>
                <w:rFonts w:asciiTheme="minorHAnsi" w:hAnsiTheme="minorHAnsi" w:cstheme="minorHAnsi"/>
                <w:i/>
                <w:iCs/>
                <w:color w:val="222222"/>
                <w:shd w:val="clear" w:color="auto" w:fill="FFFFFF"/>
              </w:rPr>
              <w:t>Biotechnology advances</w:t>
            </w:r>
            <w:r w:rsidRPr="00A03475">
              <w:rPr>
                <w:rFonts w:asciiTheme="minorHAnsi" w:hAnsiTheme="minorHAnsi" w:cstheme="minorHAnsi"/>
                <w:color w:val="222222"/>
                <w:shd w:val="clear" w:color="auto" w:fill="FFFFFF"/>
              </w:rPr>
              <w:t>, </w:t>
            </w:r>
            <w:r w:rsidRPr="00A03475">
              <w:rPr>
                <w:rFonts w:asciiTheme="minorHAnsi" w:hAnsiTheme="minorHAnsi" w:cstheme="minorHAnsi"/>
                <w:i/>
                <w:iCs/>
                <w:color w:val="222222"/>
                <w:shd w:val="clear" w:color="auto" w:fill="FFFFFF"/>
              </w:rPr>
              <w:t>23</w:t>
            </w:r>
            <w:r w:rsidRPr="00A03475">
              <w:rPr>
                <w:rFonts w:asciiTheme="minorHAnsi" w:hAnsiTheme="minorHAnsi" w:cstheme="minorHAnsi"/>
                <w:color w:val="222222"/>
                <w:shd w:val="clear" w:color="auto" w:fill="FFFFFF"/>
              </w:rPr>
              <w:t>(6), pp.409-414.</w:t>
            </w:r>
          </w:p>
          <w:p w14:paraId="318FE943" w14:textId="77777777" w:rsidR="00A03475" w:rsidRPr="00A03475" w:rsidRDefault="00A03475" w:rsidP="00A03475">
            <w:pPr>
              <w:spacing w:line="360" w:lineRule="auto"/>
              <w:ind w:left="720" w:hanging="720"/>
              <w:jc w:val="both"/>
              <w:rPr>
                <w:rFonts w:asciiTheme="minorHAnsi" w:hAnsiTheme="minorHAnsi" w:cstheme="minorHAnsi"/>
                <w:color w:val="222222"/>
                <w:shd w:val="clear" w:color="auto" w:fill="FFFFFF"/>
              </w:rPr>
            </w:pPr>
            <w:r w:rsidRPr="00A03475">
              <w:rPr>
                <w:rFonts w:asciiTheme="minorHAnsi" w:hAnsiTheme="minorHAnsi" w:cstheme="minorHAnsi"/>
                <w:color w:val="222222"/>
                <w:shd w:val="clear" w:color="auto" w:fill="FFFFFF"/>
              </w:rPr>
              <w:t>Nettleton, S., Woods, B., Burrows, R. and Kerr, A., 2009. Food allergy and food intolerance: towards a sociological agenda. </w:t>
            </w:r>
            <w:r w:rsidRPr="00A03475">
              <w:rPr>
                <w:rFonts w:asciiTheme="minorHAnsi" w:hAnsiTheme="minorHAnsi" w:cstheme="minorHAnsi"/>
                <w:i/>
                <w:iCs/>
                <w:color w:val="222222"/>
                <w:shd w:val="clear" w:color="auto" w:fill="FFFFFF"/>
              </w:rPr>
              <w:t>Health:</w:t>
            </w:r>
            <w:r w:rsidRPr="00A03475">
              <w:rPr>
                <w:rFonts w:asciiTheme="minorHAnsi" w:hAnsiTheme="minorHAnsi" w:cstheme="minorHAnsi"/>
                <w:color w:val="222222"/>
                <w:shd w:val="clear" w:color="auto" w:fill="FFFFFF"/>
              </w:rPr>
              <w:t>, </w:t>
            </w:r>
            <w:r w:rsidRPr="00A03475">
              <w:rPr>
                <w:rFonts w:asciiTheme="minorHAnsi" w:hAnsiTheme="minorHAnsi" w:cstheme="minorHAnsi"/>
                <w:i/>
                <w:iCs/>
                <w:color w:val="222222"/>
                <w:shd w:val="clear" w:color="auto" w:fill="FFFFFF"/>
              </w:rPr>
              <w:t>13</w:t>
            </w:r>
            <w:r w:rsidRPr="00A03475">
              <w:rPr>
                <w:rFonts w:asciiTheme="minorHAnsi" w:hAnsiTheme="minorHAnsi" w:cstheme="minorHAnsi"/>
                <w:color w:val="222222"/>
                <w:shd w:val="clear" w:color="auto" w:fill="FFFFFF"/>
              </w:rPr>
              <w:t>(6), pp.647-664.</w:t>
            </w:r>
          </w:p>
          <w:p w14:paraId="78F46F40" w14:textId="77777777" w:rsidR="00A03475" w:rsidRPr="00A03475" w:rsidRDefault="00A03475" w:rsidP="00A03475">
            <w:pPr>
              <w:spacing w:line="360" w:lineRule="auto"/>
              <w:ind w:left="720" w:hanging="720"/>
              <w:jc w:val="both"/>
              <w:rPr>
                <w:rFonts w:asciiTheme="minorHAnsi" w:hAnsiTheme="minorHAnsi" w:cstheme="minorHAnsi"/>
                <w:color w:val="222222"/>
                <w:shd w:val="clear" w:color="auto" w:fill="FFFFFF"/>
              </w:rPr>
            </w:pPr>
            <w:r w:rsidRPr="00A03475">
              <w:rPr>
                <w:rFonts w:asciiTheme="minorHAnsi" w:hAnsiTheme="minorHAnsi" w:cstheme="minorHAnsi"/>
                <w:color w:val="222222"/>
                <w:shd w:val="clear" w:color="auto" w:fill="FFFFFF"/>
              </w:rPr>
              <w:t>Ortolani, C. and Pastorello, E.A., 2006. Food allergies and food intolerances. </w:t>
            </w:r>
            <w:r w:rsidRPr="00A03475">
              <w:rPr>
                <w:rFonts w:asciiTheme="minorHAnsi" w:hAnsiTheme="minorHAnsi" w:cstheme="minorHAnsi"/>
                <w:i/>
                <w:iCs/>
                <w:color w:val="222222"/>
                <w:shd w:val="clear" w:color="auto" w:fill="FFFFFF"/>
              </w:rPr>
              <w:t>Best Practice &amp; Research Clinical Gastroenterology</w:t>
            </w:r>
            <w:r w:rsidRPr="00A03475">
              <w:rPr>
                <w:rFonts w:asciiTheme="minorHAnsi" w:hAnsiTheme="minorHAnsi" w:cstheme="minorHAnsi"/>
                <w:color w:val="222222"/>
                <w:shd w:val="clear" w:color="auto" w:fill="FFFFFF"/>
              </w:rPr>
              <w:t>, </w:t>
            </w:r>
            <w:r w:rsidRPr="00A03475">
              <w:rPr>
                <w:rFonts w:asciiTheme="minorHAnsi" w:hAnsiTheme="minorHAnsi" w:cstheme="minorHAnsi"/>
                <w:i/>
                <w:iCs/>
                <w:color w:val="222222"/>
                <w:shd w:val="clear" w:color="auto" w:fill="FFFFFF"/>
              </w:rPr>
              <w:t>20</w:t>
            </w:r>
            <w:r w:rsidRPr="00A03475">
              <w:rPr>
                <w:rFonts w:asciiTheme="minorHAnsi" w:hAnsiTheme="minorHAnsi" w:cstheme="minorHAnsi"/>
                <w:color w:val="222222"/>
                <w:shd w:val="clear" w:color="auto" w:fill="FFFFFF"/>
              </w:rPr>
              <w:t>(3), pp.467-483.</w:t>
            </w:r>
          </w:p>
          <w:p w14:paraId="545CE821" w14:textId="77777777" w:rsidR="00A03475" w:rsidRPr="00A03475" w:rsidRDefault="00A03475" w:rsidP="00A03475">
            <w:pPr>
              <w:spacing w:line="360" w:lineRule="auto"/>
              <w:ind w:left="720" w:hanging="720"/>
              <w:jc w:val="both"/>
              <w:rPr>
                <w:rFonts w:asciiTheme="minorHAnsi" w:hAnsiTheme="minorHAnsi" w:cstheme="minorHAnsi"/>
                <w:color w:val="222222"/>
                <w:shd w:val="clear" w:color="auto" w:fill="FFFFFF"/>
              </w:rPr>
            </w:pPr>
            <w:r w:rsidRPr="00A03475">
              <w:rPr>
                <w:rFonts w:asciiTheme="minorHAnsi" w:hAnsiTheme="minorHAnsi" w:cstheme="minorHAnsi"/>
                <w:color w:val="222222"/>
                <w:shd w:val="clear" w:color="auto" w:fill="FFFFFF"/>
              </w:rPr>
              <w:t>Pratten, J. and Towers, N., 2004. Food allergies and the UK catering industry: a study of the training needs for the industry to serve those with food allergies. </w:t>
            </w:r>
            <w:r w:rsidRPr="00A03475">
              <w:rPr>
                <w:rFonts w:asciiTheme="minorHAnsi" w:hAnsiTheme="minorHAnsi" w:cstheme="minorHAnsi"/>
                <w:i/>
                <w:iCs/>
                <w:color w:val="222222"/>
                <w:shd w:val="clear" w:color="auto" w:fill="FFFFFF"/>
              </w:rPr>
              <w:t>Journal of european industrial training</w:t>
            </w:r>
            <w:r w:rsidRPr="00A03475">
              <w:rPr>
                <w:rFonts w:asciiTheme="minorHAnsi" w:hAnsiTheme="minorHAnsi" w:cstheme="minorHAnsi"/>
                <w:color w:val="222222"/>
                <w:shd w:val="clear" w:color="auto" w:fill="FFFFFF"/>
              </w:rPr>
              <w:t>.</w:t>
            </w:r>
          </w:p>
          <w:p w14:paraId="0B4219D3" w14:textId="77777777" w:rsidR="00A03475" w:rsidRPr="00A03475" w:rsidRDefault="00A03475" w:rsidP="00A03475">
            <w:pPr>
              <w:spacing w:line="360" w:lineRule="auto"/>
              <w:ind w:left="720" w:hanging="720"/>
              <w:jc w:val="both"/>
              <w:rPr>
                <w:rFonts w:asciiTheme="minorHAnsi" w:hAnsiTheme="minorHAnsi" w:cstheme="minorHAnsi"/>
                <w:color w:val="222222"/>
                <w:shd w:val="clear" w:color="auto" w:fill="FFFFFF"/>
              </w:rPr>
            </w:pPr>
            <w:r w:rsidRPr="00A03475">
              <w:rPr>
                <w:rFonts w:asciiTheme="minorHAnsi" w:hAnsiTheme="minorHAnsi" w:cstheme="minorHAnsi"/>
                <w:color w:val="222222"/>
                <w:shd w:val="clear" w:color="auto" w:fill="FFFFFF"/>
              </w:rPr>
              <w:t>Taylor, S.L. and Baumert, J.L., 2012. Food allergies and intolerances. In </w:t>
            </w:r>
            <w:r w:rsidRPr="00A03475">
              <w:rPr>
                <w:rFonts w:asciiTheme="minorHAnsi" w:hAnsiTheme="minorHAnsi" w:cstheme="minorHAnsi"/>
                <w:i/>
                <w:iCs/>
                <w:color w:val="222222"/>
                <w:shd w:val="clear" w:color="auto" w:fill="FFFFFF"/>
              </w:rPr>
              <w:t>Present Knowledge in Nutrition: Tenth Edition</w:t>
            </w:r>
            <w:r w:rsidRPr="00A03475">
              <w:rPr>
                <w:rFonts w:asciiTheme="minorHAnsi" w:hAnsiTheme="minorHAnsi" w:cstheme="minorHAnsi"/>
                <w:color w:val="222222"/>
                <w:shd w:val="clear" w:color="auto" w:fill="FFFFFF"/>
              </w:rPr>
              <w:t> (pp. 1222-1235). Wiley-Blackwell.</w:t>
            </w:r>
          </w:p>
          <w:p w14:paraId="01E57358" w14:textId="77777777" w:rsidR="00A03475" w:rsidRPr="00A03475" w:rsidRDefault="00A03475" w:rsidP="00A03475">
            <w:pPr>
              <w:spacing w:line="360" w:lineRule="auto"/>
              <w:ind w:left="720" w:hanging="720"/>
              <w:jc w:val="both"/>
              <w:rPr>
                <w:rFonts w:asciiTheme="minorHAnsi" w:hAnsiTheme="minorHAnsi" w:cstheme="minorHAnsi"/>
                <w:color w:val="222222"/>
                <w:shd w:val="clear" w:color="auto" w:fill="FFFFFF"/>
              </w:rPr>
            </w:pPr>
            <w:r w:rsidRPr="00A03475">
              <w:rPr>
                <w:rFonts w:asciiTheme="minorHAnsi" w:hAnsiTheme="minorHAnsi" w:cstheme="minorHAnsi"/>
                <w:color w:val="222222"/>
                <w:shd w:val="clear" w:color="auto" w:fill="FFFFFF"/>
              </w:rPr>
              <w:t>Turnbull, J.L., Adams, H.N. and Gorard, D.A., 2015. The diagnosis and management of food allergy and food intolerances. </w:t>
            </w:r>
            <w:r w:rsidRPr="00A03475">
              <w:rPr>
                <w:rFonts w:asciiTheme="minorHAnsi" w:hAnsiTheme="minorHAnsi" w:cstheme="minorHAnsi"/>
                <w:i/>
                <w:iCs/>
                <w:color w:val="222222"/>
                <w:shd w:val="clear" w:color="auto" w:fill="FFFFFF"/>
              </w:rPr>
              <w:t>Alimentary pharmacology &amp; therapeutics</w:t>
            </w:r>
            <w:r w:rsidRPr="00A03475">
              <w:rPr>
                <w:rFonts w:asciiTheme="minorHAnsi" w:hAnsiTheme="minorHAnsi" w:cstheme="minorHAnsi"/>
                <w:color w:val="222222"/>
                <w:shd w:val="clear" w:color="auto" w:fill="FFFFFF"/>
              </w:rPr>
              <w:t>, </w:t>
            </w:r>
            <w:r w:rsidRPr="00A03475">
              <w:rPr>
                <w:rFonts w:asciiTheme="minorHAnsi" w:hAnsiTheme="minorHAnsi" w:cstheme="minorHAnsi"/>
                <w:i/>
                <w:iCs/>
                <w:color w:val="222222"/>
                <w:shd w:val="clear" w:color="auto" w:fill="FFFFFF"/>
              </w:rPr>
              <w:t>41</w:t>
            </w:r>
            <w:r w:rsidRPr="00A03475">
              <w:rPr>
                <w:rFonts w:asciiTheme="minorHAnsi" w:hAnsiTheme="minorHAnsi" w:cstheme="minorHAnsi"/>
                <w:color w:val="222222"/>
                <w:shd w:val="clear" w:color="auto" w:fill="FFFFFF"/>
              </w:rPr>
              <w:t>(1), pp.3-25.</w:t>
            </w: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bookmarkEnd w:id="0"/>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0E57B" w14:textId="77777777" w:rsidR="00966E8C" w:rsidRDefault="00966E8C">
      <w:r>
        <w:separator/>
      </w:r>
    </w:p>
  </w:endnote>
  <w:endnote w:type="continuationSeparator" w:id="0">
    <w:p w14:paraId="3AA26520" w14:textId="77777777" w:rsidR="00966E8C" w:rsidRDefault="00966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21E83" w14:textId="77777777" w:rsidR="00966E8C" w:rsidRDefault="00966E8C">
      <w:r>
        <w:separator/>
      </w:r>
    </w:p>
  </w:footnote>
  <w:footnote w:type="continuationSeparator" w:id="0">
    <w:p w14:paraId="7733FEBB" w14:textId="77777777" w:rsidR="00966E8C" w:rsidRDefault="00966E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c0NrY0NTYyMTcxsbRQ0lEKTi0uzszPAykwrAUAI2+VoCwAAAA="/>
  </w:docVars>
  <w:rsids>
    <w:rsidRoot w:val="00301AD0"/>
    <w:rsid w:val="000304DF"/>
    <w:rsid w:val="00040CE8"/>
    <w:rsid w:val="0004729E"/>
    <w:rsid w:val="00057B0C"/>
    <w:rsid w:val="00076F40"/>
    <w:rsid w:val="00077E55"/>
    <w:rsid w:val="00085CFD"/>
    <w:rsid w:val="000A0C53"/>
    <w:rsid w:val="000B2F4F"/>
    <w:rsid w:val="000C4518"/>
    <w:rsid w:val="000F2E7C"/>
    <w:rsid w:val="00112CE0"/>
    <w:rsid w:val="00152376"/>
    <w:rsid w:val="00162FE2"/>
    <w:rsid w:val="001703BD"/>
    <w:rsid w:val="00170A87"/>
    <w:rsid w:val="0018449A"/>
    <w:rsid w:val="00197F4A"/>
    <w:rsid w:val="001A59E7"/>
    <w:rsid w:val="001B69C8"/>
    <w:rsid w:val="001B6DB4"/>
    <w:rsid w:val="001C5C4E"/>
    <w:rsid w:val="001C6DF3"/>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1E45"/>
    <w:rsid w:val="00456590"/>
    <w:rsid w:val="00462C0E"/>
    <w:rsid w:val="004639B7"/>
    <w:rsid w:val="00474A29"/>
    <w:rsid w:val="00486E62"/>
    <w:rsid w:val="004B113B"/>
    <w:rsid w:val="004C08E2"/>
    <w:rsid w:val="004C1D93"/>
    <w:rsid w:val="004C7E23"/>
    <w:rsid w:val="005036DE"/>
    <w:rsid w:val="00517154"/>
    <w:rsid w:val="00522B05"/>
    <w:rsid w:val="00542C5B"/>
    <w:rsid w:val="00552EED"/>
    <w:rsid w:val="00566333"/>
    <w:rsid w:val="005A2195"/>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62C2B"/>
    <w:rsid w:val="00770F80"/>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D274C"/>
    <w:rsid w:val="008E2A5A"/>
    <w:rsid w:val="008F0B0D"/>
    <w:rsid w:val="008F0D83"/>
    <w:rsid w:val="009061F1"/>
    <w:rsid w:val="00911C43"/>
    <w:rsid w:val="009139BF"/>
    <w:rsid w:val="00923E76"/>
    <w:rsid w:val="009448FE"/>
    <w:rsid w:val="00946B23"/>
    <w:rsid w:val="00966E8C"/>
    <w:rsid w:val="00985CF1"/>
    <w:rsid w:val="009B1D87"/>
    <w:rsid w:val="009C438C"/>
    <w:rsid w:val="009C6CAE"/>
    <w:rsid w:val="009D0DDA"/>
    <w:rsid w:val="00A02728"/>
    <w:rsid w:val="00A03475"/>
    <w:rsid w:val="00A138AA"/>
    <w:rsid w:val="00A14DA0"/>
    <w:rsid w:val="00A43B8E"/>
    <w:rsid w:val="00A44FA9"/>
    <w:rsid w:val="00A45D42"/>
    <w:rsid w:val="00A551C6"/>
    <w:rsid w:val="00A5520C"/>
    <w:rsid w:val="00A656E2"/>
    <w:rsid w:val="00A65C1D"/>
    <w:rsid w:val="00A77C7A"/>
    <w:rsid w:val="00A8432F"/>
    <w:rsid w:val="00A90107"/>
    <w:rsid w:val="00A95AF1"/>
    <w:rsid w:val="00AA11D8"/>
    <w:rsid w:val="00AA1309"/>
    <w:rsid w:val="00AA1380"/>
    <w:rsid w:val="00AC67EF"/>
    <w:rsid w:val="00AD310F"/>
    <w:rsid w:val="00AE467F"/>
    <w:rsid w:val="00AE799D"/>
    <w:rsid w:val="00AF2249"/>
    <w:rsid w:val="00AF7DBF"/>
    <w:rsid w:val="00B00678"/>
    <w:rsid w:val="00B03469"/>
    <w:rsid w:val="00B10EAB"/>
    <w:rsid w:val="00B11E4B"/>
    <w:rsid w:val="00B21F2E"/>
    <w:rsid w:val="00B266A5"/>
    <w:rsid w:val="00B44B68"/>
    <w:rsid w:val="00B60FDF"/>
    <w:rsid w:val="00B61256"/>
    <w:rsid w:val="00B73A1C"/>
    <w:rsid w:val="00B752F4"/>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1101</Words>
  <Characters>6281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2022-02-11T09:49:00Z</dcterms:created>
  <dcterms:modified xsi:type="dcterms:W3CDTF">2022-02-11T10:04:00Z</dcterms:modified>
</cp:coreProperties>
</file>