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567702" w14:textId="77777777" w:rsidR="006F482B" w:rsidRDefault="006F482B" w:rsidP="005536A5">
      <w:pPr>
        <w:jc w:val="center"/>
        <w:rPr>
          <w:b/>
          <w:bCs/>
        </w:rPr>
      </w:pPr>
      <w:r w:rsidRPr="007300CB">
        <w:rPr>
          <w:noProof/>
        </w:rPr>
        <w:drawing>
          <wp:inline distT="0" distB="0" distL="0" distR="0" wp14:anchorId="5877D05D" wp14:editId="078153DC">
            <wp:extent cx="3381375" cy="1352550"/>
            <wp:effectExtent l="0" t="0" r="9525" b="0"/>
            <wp:docPr id="1026"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6" cstate="print"/>
                    <a:srcRect/>
                    <a:stretch/>
                  </pic:blipFill>
                  <pic:spPr>
                    <a:xfrm>
                      <a:off x="0" y="0"/>
                      <a:ext cx="3381375" cy="1352550"/>
                    </a:xfrm>
                    <a:prstGeom prst="rect">
                      <a:avLst/>
                    </a:prstGeom>
                  </pic:spPr>
                </pic:pic>
              </a:graphicData>
            </a:graphic>
          </wp:inline>
        </w:drawing>
      </w:r>
    </w:p>
    <w:p w14:paraId="2A89F6FC" w14:textId="77777777" w:rsidR="005536A5" w:rsidRDefault="005536A5" w:rsidP="006F482B">
      <w:pPr>
        <w:jc w:val="center"/>
        <w:rPr>
          <w:b/>
          <w:bCs/>
        </w:rPr>
      </w:pPr>
    </w:p>
    <w:p w14:paraId="47F9B673" w14:textId="77777777" w:rsidR="005536A5" w:rsidRDefault="005536A5" w:rsidP="006F482B">
      <w:pPr>
        <w:jc w:val="center"/>
        <w:rPr>
          <w:b/>
          <w:bCs/>
        </w:rPr>
      </w:pPr>
    </w:p>
    <w:p w14:paraId="3B26BC8A" w14:textId="09D4E8F5" w:rsidR="006F482B" w:rsidRPr="006F482B" w:rsidRDefault="006F482B" w:rsidP="006F482B">
      <w:pPr>
        <w:jc w:val="center"/>
      </w:pPr>
      <w:r w:rsidRPr="007300CB">
        <w:rPr>
          <w:b/>
          <w:bCs/>
        </w:rPr>
        <w:t>Student Name:</w:t>
      </w:r>
      <w:r>
        <w:rPr>
          <w:b/>
          <w:bCs/>
        </w:rPr>
        <w:t xml:space="preserve"> </w:t>
      </w:r>
      <w:proofErr w:type="spellStart"/>
      <w:r>
        <w:rPr>
          <w:b/>
          <w:bCs/>
        </w:rPr>
        <w:t>Misbah</w:t>
      </w:r>
      <w:proofErr w:type="spellEnd"/>
      <w:r>
        <w:rPr>
          <w:b/>
          <w:bCs/>
        </w:rPr>
        <w:t xml:space="preserve"> </w:t>
      </w:r>
      <w:proofErr w:type="spellStart"/>
      <w:r>
        <w:rPr>
          <w:b/>
          <w:bCs/>
        </w:rPr>
        <w:t>Hafeez</w:t>
      </w:r>
      <w:proofErr w:type="spellEnd"/>
    </w:p>
    <w:p w14:paraId="6FFEA23D" w14:textId="01BDD8E2" w:rsidR="006F482B" w:rsidRPr="007300CB" w:rsidRDefault="006F482B" w:rsidP="006F482B">
      <w:pPr>
        <w:contextualSpacing/>
        <w:jc w:val="center"/>
        <w:rPr>
          <w:b/>
          <w:bCs/>
        </w:rPr>
      </w:pPr>
    </w:p>
    <w:p w14:paraId="3B752D99" w14:textId="2AB2A647" w:rsidR="006F482B" w:rsidRPr="007300CB" w:rsidRDefault="006F482B" w:rsidP="006F482B">
      <w:pPr>
        <w:contextualSpacing/>
        <w:jc w:val="center"/>
        <w:rPr>
          <w:b/>
          <w:bCs/>
        </w:rPr>
      </w:pPr>
      <w:r w:rsidRPr="007300CB">
        <w:rPr>
          <w:b/>
          <w:bCs/>
        </w:rPr>
        <w:t>Student ID:</w:t>
      </w:r>
      <w:r>
        <w:rPr>
          <w:b/>
          <w:bCs/>
        </w:rPr>
        <w:t xml:space="preserve"> 2427255</w:t>
      </w:r>
    </w:p>
    <w:p w14:paraId="0C7D8E49" w14:textId="0B15669E" w:rsidR="006F482B" w:rsidRPr="007300CB" w:rsidRDefault="006F482B" w:rsidP="006F482B">
      <w:pPr>
        <w:contextualSpacing/>
        <w:jc w:val="center"/>
      </w:pPr>
    </w:p>
    <w:p w14:paraId="47C84DED" w14:textId="15D5252C" w:rsidR="006F482B" w:rsidRPr="007300CB" w:rsidRDefault="006F482B" w:rsidP="006F482B">
      <w:pPr>
        <w:contextualSpacing/>
        <w:jc w:val="center"/>
        <w:rPr>
          <w:b/>
          <w:bCs/>
        </w:rPr>
      </w:pPr>
      <w:r w:rsidRPr="007300CB">
        <w:rPr>
          <w:b/>
          <w:bCs/>
        </w:rPr>
        <w:t>Module Name:</w:t>
      </w:r>
      <w:r>
        <w:rPr>
          <w:b/>
          <w:bCs/>
        </w:rPr>
        <w:t xml:space="preserve"> International Business Concept</w:t>
      </w:r>
    </w:p>
    <w:p w14:paraId="6A625AE8" w14:textId="77777777" w:rsidR="006F482B" w:rsidRPr="007300CB" w:rsidRDefault="006F482B" w:rsidP="006F482B">
      <w:pPr>
        <w:contextualSpacing/>
        <w:jc w:val="center"/>
        <w:rPr>
          <w:b/>
          <w:bCs/>
        </w:rPr>
      </w:pPr>
    </w:p>
    <w:p w14:paraId="5A466001" w14:textId="5A870E9D" w:rsidR="006F482B" w:rsidRPr="007300CB" w:rsidRDefault="006F482B" w:rsidP="006F482B">
      <w:pPr>
        <w:contextualSpacing/>
        <w:jc w:val="center"/>
        <w:rPr>
          <w:b/>
          <w:bCs/>
        </w:rPr>
      </w:pPr>
      <w:r w:rsidRPr="007300CB">
        <w:rPr>
          <w:b/>
          <w:bCs/>
        </w:rPr>
        <w:t>Module Code: LCMB</w:t>
      </w:r>
      <w:r>
        <w:rPr>
          <w:b/>
          <w:bCs/>
        </w:rPr>
        <w:t>7034</w:t>
      </w:r>
    </w:p>
    <w:p w14:paraId="40E46F31" w14:textId="2CFFB9EA" w:rsidR="006F482B" w:rsidRPr="007300CB" w:rsidRDefault="006F482B" w:rsidP="006F482B">
      <w:pPr>
        <w:contextualSpacing/>
        <w:rPr>
          <w:b/>
          <w:bCs/>
        </w:rPr>
      </w:pPr>
    </w:p>
    <w:p w14:paraId="168A8B3D" w14:textId="77777777" w:rsidR="006F482B" w:rsidRPr="007300CB" w:rsidRDefault="006F482B" w:rsidP="006F482B">
      <w:pPr>
        <w:contextualSpacing/>
        <w:jc w:val="center"/>
        <w:rPr>
          <w:b/>
          <w:bCs/>
        </w:rPr>
      </w:pPr>
    </w:p>
    <w:p w14:paraId="5C0C4DDE" w14:textId="0EA220BF" w:rsidR="006F482B" w:rsidRPr="007300CB" w:rsidRDefault="006F482B" w:rsidP="006F482B">
      <w:pPr>
        <w:contextualSpacing/>
        <w:jc w:val="center"/>
        <w:rPr>
          <w:b/>
          <w:bCs/>
        </w:rPr>
      </w:pPr>
      <w:r w:rsidRPr="007300CB">
        <w:rPr>
          <w:b/>
          <w:bCs/>
        </w:rPr>
        <w:t>Lecturer’s Name:</w:t>
      </w:r>
      <w:r w:rsidR="005536A5">
        <w:rPr>
          <w:b/>
          <w:bCs/>
        </w:rPr>
        <w:t xml:space="preserve"> Jean Wang</w:t>
      </w:r>
    </w:p>
    <w:p w14:paraId="23E984A6" w14:textId="0D447F98" w:rsidR="006F482B" w:rsidRPr="007300CB" w:rsidRDefault="006F482B" w:rsidP="006F482B">
      <w:pPr>
        <w:contextualSpacing/>
        <w:rPr>
          <w:b/>
          <w:bCs/>
        </w:rPr>
      </w:pPr>
    </w:p>
    <w:p w14:paraId="50929D0F" w14:textId="77777777" w:rsidR="006F482B" w:rsidRPr="007300CB" w:rsidRDefault="006F482B" w:rsidP="006F482B">
      <w:pPr>
        <w:contextualSpacing/>
        <w:rPr>
          <w:b/>
          <w:bCs/>
        </w:rPr>
      </w:pPr>
    </w:p>
    <w:p w14:paraId="23A0309A" w14:textId="77777777" w:rsidR="006F482B" w:rsidRPr="007300CB" w:rsidRDefault="006F482B" w:rsidP="006F482B">
      <w:pPr>
        <w:contextualSpacing/>
        <w:jc w:val="center"/>
        <w:rPr>
          <w:b/>
          <w:bCs/>
        </w:rPr>
      </w:pPr>
      <w:r>
        <w:rPr>
          <w:b/>
          <w:bCs/>
        </w:rPr>
        <w:t>Term 2</w:t>
      </w:r>
    </w:p>
    <w:p w14:paraId="5F3A6167" w14:textId="35207952" w:rsidR="00B379F3" w:rsidRDefault="00B379F3">
      <w:pPr>
        <w:spacing w:line="259" w:lineRule="auto"/>
        <w:jc w:val="left"/>
      </w:pPr>
    </w:p>
    <w:p w14:paraId="39DB005A" w14:textId="21A95410" w:rsidR="006F482B" w:rsidRDefault="006F482B">
      <w:pPr>
        <w:spacing w:line="259" w:lineRule="auto"/>
        <w:jc w:val="left"/>
      </w:pPr>
    </w:p>
    <w:p w14:paraId="780ABBB5" w14:textId="4ECFFD0C" w:rsidR="006F482B" w:rsidRDefault="006F482B">
      <w:pPr>
        <w:spacing w:line="259" w:lineRule="auto"/>
        <w:jc w:val="left"/>
      </w:pPr>
    </w:p>
    <w:p w14:paraId="1C2B9D96" w14:textId="5049505E" w:rsidR="006F482B" w:rsidRDefault="006F482B">
      <w:pPr>
        <w:spacing w:line="259" w:lineRule="auto"/>
        <w:jc w:val="left"/>
      </w:pPr>
    </w:p>
    <w:p w14:paraId="279D0DED" w14:textId="4F2C0687" w:rsidR="006F482B" w:rsidRDefault="006F482B">
      <w:pPr>
        <w:spacing w:line="259" w:lineRule="auto"/>
        <w:jc w:val="left"/>
      </w:pPr>
    </w:p>
    <w:p w14:paraId="6703432E" w14:textId="698C10EF" w:rsidR="006F482B" w:rsidRDefault="006F482B">
      <w:pPr>
        <w:spacing w:line="259" w:lineRule="auto"/>
        <w:jc w:val="left"/>
      </w:pPr>
    </w:p>
    <w:p w14:paraId="727BAA63" w14:textId="16FF6AA8" w:rsidR="006F482B" w:rsidRDefault="006F482B">
      <w:pPr>
        <w:spacing w:line="259" w:lineRule="auto"/>
        <w:jc w:val="left"/>
      </w:pPr>
    </w:p>
    <w:p w14:paraId="19FC75ED" w14:textId="77777777" w:rsidR="006F482B" w:rsidRDefault="006F482B">
      <w:pPr>
        <w:spacing w:line="259" w:lineRule="auto"/>
        <w:jc w:val="left"/>
      </w:pPr>
    </w:p>
    <w:sdt>
      <w:sdtPr>
        <w:rPr>
          <w:rFonts w:ascii="Times New Roman" w:eastAsiaTheme="minorHAnsi" w:hAnsi="Times New Roman" w:cstheme="minorBidi"/>
          <w:color w:val="auto"/>
          <w:kern w:val="2"/>
          <w:sz w:val="24"/>
          <w:szCs w:val="24"/>
          <w14:ligatures w14:val="standardContextual"/>
        </w:rPr>
        <w:id w:val="1016968969"/>
        <w:docPartObj>
          <w:docPartGallery w:val="Table of Contents"/>
          <w:docPartUnique/>
        </w:docPartObj>
      </w:sdtPr>
      <w:sdtEndPr>
        <w:rPr>
          <w:b/>
          <w:bCs/>
          <w:noProof/>
        </w:rPr>
      </w:sdtEndPr>
      <w:sdtContent>
        <w:p w14:paraId="614D7530" w14:textId="2819F261" w:rsidR="002525B5" w:rsidRDefault="002525B5">
          <w:pPr>
            <w:pStyle w:val="TOCHeading"/>
          </w:pPr>
          <w:r>
            <w:t>Table of Contents</w:t>
          </w:r>
        </w:p>
        <w:p w14:paraId="13E5AF01" w14:textId="393CB74C" w:rsidR="002525B5" w:rsidRDefault="002525B5">
          <w:pPr>
            <w:pStyle w:val="TOC1"/>
            <w:tabs>
              <w:tab w:val="right" w:leader="dot" w:pos="9350"/>
            </w:tabs>
            <w:rPr>
              <w:noProof/>
            </w:rPr>
          </w:pPr>
          <w:r>
            <w:fldChar w:fldCharType="begin"/>
          </w:r>
          <w:r>
            <w:instrText xml:space="preserve"> TOC \o "1-3" \h \z \u </w:instrText>
          </w:r>
          <w:r>
            <w:fldChar w:fldCharType="separate"/>
          </w:r>
          <w:hyperlink w:anchor="_Toc216577890" w:history="1">
            <w:r w:rsidRPr="00082523">
              <w:rPr>
                <w:rStyle w:val="Hyperlink"/>
                <w:noProof/>
              </w:rPr>
              <w:t>Introduction</w:t>
            </w:r>
            <w:r>
              <w:rPr>
                <w:noProof/>
                <w:webHidden/>
              </w:rPr>
              <w:tab/>
            </w:r>
            <w:r>
              <w:rPr>
                <w:noProof/>
                <w:webHidden/>
              </w:rPr>
              <w:fldChar w:fldCharType="begin"/>
            </w:r>
            <w:r>
              <w:rPr>
                <w:noProof/>
                <w:webHidden/>
              </w:rPr>
              <w:instrText xml:space="preserve"> PAGEREF _Toc216577890 \h </w:instrText>
            </w:r>
            <w:r>
              <w:rPr>
                <w:noProof/>
                <w:webHidden/>
              </w:rPr>
            </w:r>
            <w:r>
              <w:rPr>
                <w:noProof/>
                <w:webHidden/>
              </w:rPr>
              <w:fldChar w:fldCharType="separate"/>
            </w:r>
            <w:r>
              <w:rPr>
                <w:noProof/>
                <w:webHidden/>
              </w:rPr>
              <w:t>3</w:t>
            </w:r>
            <w:r>
              <w:rPr>
                <w:noProof/>
                <w:webHidden/>
              </w:rPr>
              <w:fldChar w:fldCharType="end"/>
            </w:r>
          </w:hyperlink>
        </w:p>
        <w:p w14:paraId="6D777A53" w14:textId="55069062" w:rsidR="002525B5" w:rsidRDefault="005536A5">
          <w:pPr>
            <w:pStyle w:val="TOC1"/>
            <w:tabs>
              <w:tab w:val="right" w:leader="dot" w:pos="9350"/>
            </w:tabs>
            <w:rPr>
              <w:noProof/>
            </w:rPr>
          </w:pPr>
          <w:hyperlink w:anchor="_Toc216577891" w:history="1">
            <w:r w:rsidR="002525B5" w:rsidRPr="00082523">
              <w:rPr>
                <w:rStyle w:val="Hyperlink"/>
                <w:noProof/>
              </w:rPr>
              <w:t>Benefits and Challenges of International Operations</w:t>
            </w:r>
            <w:r w:rsidR="002525B5">
              <w:rPr>
                <w:noProof/>
                <w:webHidden/>
              </w:rPr>
              <w:tab/>
            </w:r>
            <w:r w:rsidR="002525B5">
              <w:rPr>
                <w:noProof/>
                <w:webHidden/>
              </w:rPr>
              <w:fldChar w:fldCharType="begin"/>
            </w:r>
            <w:r w:rsidR="002525B5">
              <w:rPr>
                <w:noProof/>
                <w:webHidden/>
              </w:rPr>
              <w:instrText xml:space="preserve"> PAGEREF _Toc216577891 \h </w:instrText>
            </w:r>
            <w:r w:rsidR="002525B5">
              <w:rPr>
                <w:noProof/>
                <w:webHidden/>
              </w:rPr>
            </w:r>
            <w:r w:rsidR="002525B5">
              <w:rPr>
                <w:noProof/>
                <w:webHidden/>
              </w:rPr>
              <w:fldChar w:fldCharType="separate"/>
            </w:r>
            <w:r w:rsidR="002525B5">
              <w:rPr>
                <w:noProof/>
                <w:webHidden/>
              </w:rPr>
              <w:t>3</w:t>
            </w:r>
            <w:r w:rsidR="002525B5">
              <w:rPr>
                <w:noProof/>
                <w:webHidden/>
              </w:rPr>
              <w:fldChar w:fldCharType="end"/>
            </w:r>
          </w:hyperlink>
        </w:p>
        <w:p w14:paraId="1B9CAE80" w14:textId="18ABAA88" w:rsidR="002525B5" w:rsidRDefault="005536A5">
          <w:pPr>
            <w:pStyle w:val="TOC2"/>
            <w:tabs>
              <w:tab w:val="right" w:leader="dot" w:pos="9350"/>
            </w:tabs>
            <w:rPr>
              <w:noProof/>
            </w:rPr>
          </w:pPr>
          <w:hyperlink w:anchor="_Toc216577892" w:history="1">
            <w:r w:rsidR="002525B5" w:rsidRPr="00082523">
              <w:rPr>
                <w:rStyle w:val="Hyperlink"/>
                <w:noProof/>
              </w:rPr>
              <w:t>Designation as a Multinational/Transnational Corporation (MNC/TNC)</w:t>
            </w:r>
            <w:r w:rsidR="002525B5">
              <w:rPr>
                <w:noProof/>
                <w:webHidden/>
              </w:rPr>
              <w:tab/>
            </w:r>
            <w:r w:rsidR="002525B5">
              <w:rPr>
                <w:noProof/>
                <w:webHidden/>
              </w:rPr>
              <w:fldChar w:fldCharType="begin"/>
            </w:r>
            <w:r w:rsidR="002525B5">
              <w:rPr>
                <w:noProof/>
                <w:webHidden/>
              </w:rPr>
              <w:instrText xml:space="preserve"> PAGEREF _Toc216577892 \h </w:instrText>
            </w:r>
            <w:r w:rsidR="002525B5">
              <w:rPr>
                <w:noProof/>
                <w:webHidden/>
              </w:rPr>
            </w:r>
            <w:r w:rsidR="002525B5">
              <w:rPr>
                <w:noProof/>
                <w:webHidden/>
              </w:rPr>
              <w:fldChar w:fldCharType="separate"/>
            </w:r>
            <w:r w:rsidR="002525B5">
              <w:rPr>
                <w:noProof/>
                <w:webHidden/>
              </w:rPr>
              <w:t>3</w:t>
            </w:r>
            <w:r w:rsidR="002525B5">
              <w:rPr>
                <w:noProof/>
                <w:webHidden/>
              </w:rPr>
              <w:fldChar w:fldCharType="end"/>
            </w:r>
          </w:hyperlink>
        </w:p>
        <w:p w14:paraId="64DF3126" w14:textId="51166688" w:rsidR="002525B5" w:rsidRDefault="005536A5">
          <w:pPr>
            <w:pStyle w:val="TOC2"/>
            <w:tabs>
              <w:tab w:val="right" w:leader="dot" w:pos="9350"/>
            </w:tabs>
            <w:rPr>
              <w:noProof/>
            </w:rPr>
          </w:pPr>
          <w:hyperlink w:anchor="_Toc216577893" w:history="1">
            <w:r w:rsidR="002525B5" w:rsidRPr="00082523">
              <w:rPr>
                <w:rStyle w:val="Hyperlink"/>
                <w:noProof/>
              </w:rPr>
              <w:t>2b. Global Value Chain and Operations Focus</w:t>
            </w:r>
            <w:r w:rsidR="002525B5">
              <w:rPr>
                <w:noProof/>
                <w:webHidden/>
              </w:rPr>
              <w:tab/>
            </w:r>
            <w:r w:rsidR="002525B5">
              <w:rPr>
                <w:noProof/>
                <w:webHidden/>
              </w:rPr>
              <w:fldChar w:fldCharType="begin"/>
            </w:r>
            <w:r w:rsidR="002525B5">
              <w:rPr>
                <w:noProof/>
                <w:webHidden/>
              </w:rPr>
              <w:instrText xml:space="preserve"> PAGEREF _Toc216577893 \h </w:instrText>
            </w:r>
            <w:r w:rsidR="002525B5">
              <w:rPr>
                <w:noProof/>
                <w:webHidden/>
              </w:rPr>
            </w:r>
            <w:r w:rsidR="002525B5">
              <w:rPr>
                <w:noProof/>
                <w:webHidden/>
              </w:rPr>
              <w:fldChar w:fldCharType="separate"/>
            </w:r>
            <w:r w:rsidR="002525B5">
              <w:rPr>
                <w:noProof/>
                <w:webHidden/>
              </w:rPr>
              <w:t>4</w:t>
            </w:r>
            <w:r w:rsidR="002525B5">
              <w:rPr>
                <w:noProof/>
                <w:webHidden/>
              </w:rPr>
              <w:fldChar w:fldCharType="end"/>
            </w:r>
          </w:hyperlink>
        </w:p>
        <w:p w14:paraId="616D7809" w14:textId="32A6895F" w:rsidR="002525B5" w:rsidRDefault="005536A5">
          <w:pPr>
            <w:pStyle w:val="TOC2"/>
            <w:tabs>
              <w:tab w:val="right" w:leader="dot" w:pos="9350"/>
            </w:tabs>
            <w:rPr>
              <w:noProof/>
            </w:rPr>
          </w:pPr>
          <w:hyperlink w:anchor="_Toc216577894" w:history="1">
            <w:r w:rsidR="002525B5" w:rsidRPr="00082523">
              <w:rPr>
                <w:rStyle w:val="Hyperlink"/>
                <w:noProof/>
              </w:rPr>
              <w:t>2c. Identification and Critique of Entry Modes</w:t>
            </w:r>
            <w:r w:rsidR="002525B5">
              <w:rPr>
                <w:noProof/>
                <w:webHidden/>
              </w:rPr>
              <w:tab/>
            </w:r>
            <w:r w:rsidR="002525B5">
              <w:rPr>
                <w:noProof/>
                <w:webHidden/>
              </w:rPr>
              <w:fldChar w:fldCharType="begin"/>
            </w:r>
            <w:r w:rsidR="002525B5">
              <w:rPr>
                <w:noProof/>
                <w:webHidden/>
              </w:rPr>
              <w:instrText xml:space="preserve"> PAGEREF _Toc216577894 \h </w:instrText>
            </w:r>
            <w:r w:rsidR="002525B5">
              <w:rPr>
                <w:noProof/>
                <w:webHidden/>
              </w:rPr>
            </w:r>
            <w:r w:rsidR="002525B5">
              <w:rPr>
                <w:noProof/>
                <w:webHidden/>
              </w:rPr>
              <w:fldChar w:fldCharType="separate"/>
            </w:r>
            <w:r w:rsidR="002525B5">
              <w:rPr>
                <w:noProof/>
                <w:webHidden/>
              </w:rPr>
              <w:t>5</w:t>
            </w:r>
            <w:r w:rsidR="002525B5">
              <w:rPr>
                <w:noProof/>
                <w:webHidden/>
              </w:rPr>
              <w:fldChar w:fldCharType="end"/>
            </w:r>
          </w:hyperlink>
        </w:p>
        <w:p w14:paraId="3FA2ED6D" w14:textId="65307EFD" w:rsidR="002525B5" w:rsidRDefault="005536A5">
          <w:pPr>
            <w:pStyle w:val="TOC2"/>
            <w:tabs>
              <w:tab w:val="right" w:leader="dot" w:pos="9350"/>
            </w:tabs>
            <w:rPr>
              <w:noProof/>
            </w:rPr>
          </w:pPr>
          <w:hyperlink w:anchor="_Toc216577895" w:history="1">
            <w:r w:rsidR="002525B5" w:rsidRPr="00082523">
              <w:rPr>
                <w:rStyle w:val="Hyperlink"/>
                <w:noProof/>
              </w:rPr>
              <w:t>2d. Key Benefits and Challenges from International Operations</w:t>
            </w:r>
            <w:r w:rsidR="002525B5">
              <w:rPr>
                <w:noProof/>
                <w:webHidden/>
              </w:rPr>
              <w:tab/>
            </w:r>
            <w:r w:rsidR="002525B5">
              <w:rPr>
                <w:noProof/>
                <w:webHidden/>
              </w:rPr>
              <w:fldChar w:fldCharType="begin"/>
            </w:r>
            <w:r w:rsidR="002525B5">
              <w:rPr>
                <w:noProof/>
                <w:webHidden/>
              </w:rPr>
              <w:instrText xml:space="preserve"> PAGEREF _Toc216577895 \h </w:instrText>
            </w:r>
            <w:r w:rsidR="002525B5">
              <w:rPr>
                <w:noProof/>
                <w:webHidden/>
              </w:rPr>
            </w:r>
            <w:r w:rsidR="002525B5">
              <w:rPr>
                <w:noProof/>
                <w:webHidden/>
              </w:rPr>
              <w:fldChar w:fldCharType="separate"/>
            </w:r>
            <w:r w:rsidR="002525B5">
              <w:rPr>
                <w:noProof/>
                <w:webHidden/>
              </w:rPr>
              <w:t>6</w:t>
            </w:r>
            <w:r w:rsidR="002525B5">
              <w:rPr>
                <w:noProof/>
                <w:webHidden/>
              </w:rPr>
              <w:fldChar w:fldCharType="end"/>
            </w:r>
          </w:hyperlink>
        </w:p>
        <w:p w14:paraId="687B479C" w14:textId="4CEC5FA3" w:rsidR="002525B5" w:rsidRDefault="005536A5">
          <w:pPr>
            <w:pStyle w:val="TOC3"/>
            <w:tabs>
              <w:tab w:val="right" w:leader="dot" w:pos="9350"/>
            </w:tabs>
            <w:rPr>
              <w:noProof/>
            </w:rPr>
          </w:pPr>
          <w:hyperlink w:anchor="_Toc216577896" w:history="1">
            <w:r w:rsidR="002525B5" w:rsidRPr="00082523">
              <w:rPr>
                <w:rStyle w:val="Hyperlink"/>
                <w:noProof/>
              </w:rPr>
              <w:t>Benefits</w:t>
            </w:r>
            <w:r w:rsidR="002525B5">
              <w:rPr>
                <w:noProof/>
                <w:webHidden/>
              </w:rPr>
              <w:tab/>
            </w:r>
            <w:r w:rsidR="002525B5">
              <w:rPr>
                <w:noProof/>
                <w:webHidden/>
              </w:rPr>
              <w:fldChar w:fldCharType="begin"/>
            </w:r>
            <w:r w:rsidR="002525B5">
              <w:rPr>
                <w:noProof/>
                <w:webHidden/>
              </w:rPr>
              <w:instrText xml:space="preserve"> PAGEREF _Toc216577896 \h </w:instrText>
            </w:r>
            <w:r w:rsidR="002525B5">
              <w:rPr>
                <w:noProof/>
                <w:webHidden/>
              </w:rPr>
            </w:r>
            <w:r w:rsidR="002525B5">
              <w:rPr>
                <w:noProof/>
                <w:webHidden/>
              </w:rPr>
              <w:fldChar w:fldCharType="separate"/>
            </w:r>
            <w:r w:rsidR="002525B5">
              <w:rPr>
                <w:noProof/>
                <w:webHidden/>
              </w:rPr>
              <w:t>6</w:t>
            </w:r>
            <w:r w:rsidR="002525B5">
              <w:rPr>
                <w:noProof/>
                <w:webHidden/>
              </w:rPr>
              <w:fldChar w:fldCharType="end"/>
            </w:r>
          </w:hyperlink>
        </w:p>
        <w:p w14:paraId="5C7723C8" w14:textId="4BBD2BA6" w:rsidR="002525B5" w:rsidRDefault="005536A5">
          <w:pPr>
            <w:pStyle w:val="TOC3"/>
            <w:tabs>
              <w:tab w:val="right" w:leader="dot" w:pos="9350"/>
            </w:tabs>
            <w:rPr>
              <w:noProof/>
            </w:rPr>
          </w:pPr>
          <w:hyperlink w:anchor="_Toc216577897" w:history="1">
            <w:r w:rsidR="002525B5" w:rsidRPr="00082523">
              <w:rPr>
                <w:rStyle w:val="Hyperlink"/>
                <w:noProof/>
              </w:rPr>
              <w:t>Challenges</w:t>
            </w:r>
            <w:r w:rsidR="002525B5">
              <w:rPr>
                <w:noProof/>
                <w:webHidden/>
              </w:rPr>
              <w:tab/>
            </w:r>
            <w:r w:rsidR="002525B5">
              <w:rPr>
                <w:noProof/>
                <w:webHidden/>
              </w:rPr>
              <w:fldChar w:fldCharType="begin"/>
            </w:r>
            <w:r w:rsidR="002525B5">
              <w:rPr>
                <w:noProof/>
                <w:webHidden/>
              </w:rPr>
              <w:instrText xml:space="preserve"> PAGEREF _Toc216577897 \h </w:instrText>
            </w:r>
            <w:r w:rsidR="002525B5">
              <w:rPr>
                <w:noProof/>
                <w:webHidden/>
              </w:rPr>
            </w:r>
            <w:r w:rsidR="002525B5">
              <w:rPr>
                <w:noProof/>
                <w:webHidden/>
              </w:rPr>
              <w:fldChar w:fldCharType="separate"/>
            </w:r>
            <w:r w:rsidR="002525B5">
              <w:rPr>
                <w:noProof/>
                <w:webHidden/>
              </w:rPr>
              <w:t>7</w:t>
            </w:r>
            <w:r w:rsidR="002525B5">
              <w:rPr>
                <w:noProof/>
                <w:webHidden/>
              </w:rPr>
              <w:fldChar w:fldCharType="end"/>
            </w:r>
          </w:hyperlink>
        </w:p>
        <w:p w14:paraId="61A49003" w14:textId="497751C8" w:rsidR="002525B5" w:rsidRDefault="005536A5">
          <w:pPr>
            <w:pStyle w:val="TOC1"/>
            <w:tabs>
              <w:tab w:val="right" w:leader="dot" w:pos="9350"/>
            </w:tabs>
            <w:rPr>
              <w:noProof/>
            </w:rPr>
          </w:pPr>
          <w:hyperlink w:anchor="_Toc216577898" w:history="1">
            <w:r w:rsidR="002525B5" w:rsidRPr="00082523">
              <w:rPr>
                <w:rStyle w:val="Hyperlink"/>
                <w:noProof/>
              </w:rPr>
              <w:t>Critically discuss how the OLI factors impact the international market entry mode for the China-Poland pair</w:t>
            </w:r>
            <w:r w:rsidR="002525B5">
              <w:rPr>
                <w:noProof/>
                <w:webHidden/>
              </w:rPr>
              <w:tab/>
            </w:r>
            <w:r w:rsidR="002525B5">
              <w:rPr>
                <w:noProof/>
                <w:webHidden/>
              </w:rPr>
              <w:fldChar w:fldCharType="begin"/>
            </w:r>
            <w:r w:rsidR="002525B5">
              <w:rPr>
                <w:noProof/>
                <w:webHidden/>
              </w:rPr>
              <w:instrText xml:space="preserve"> PAGEREF _Toc216577898 \h </w:instrText>
            </w:r>
            <w:r w:rsidR="002525B5">
              <w:rPr>
                <w:noProof/>
                <w:webHidden/>
              </w:rPr>
            </w:r>
            <w:r w:rsidR="002525B5">
              <w:rPr>
                <w:noProof/>
                <w:webHidden/>
              </w:rPr>
              <w:fldChar w:fldCharType="separate"/>
            </w:r>
            <w:r w:rsidR="002525B5">
              <w:rPr>
                <w:noProof/>
                <w:webHidden/>
              </w:rPr>
              <w:t>7</w:t>
            </w:r>
            <w:r w:rsidR="002525B5">
              <w:rPr>
                <w:noProof/>
                <w:webHidden/>
              </w:rPr>
              <w:fldChar w:fldCharType="end"/>
            </w:r>
          </w:hyperlink>
        </w:p>
        <w:p w14:paraId="0135B390" w14:textId="0A193405" w:rsidR="002525B5" w:rsidRDefault="005536A5">
          <w:pPr>
            <w:pStyle w:val="TOC2"/>
            <w:tabs>
              <w:tab w:val="right" w:leader="dot" w:pos="9350"/>
            </w:tabs>
            <w:rPr>
              <w:noProof/>
            </w:rPr>
          </w:pPr>
          <w:hyperlink w:anchor="_Toc216577899" w:history="1">
            <w:r w:rsidR="002525B5" w:rsidRPr="00082523">
              <w:rPr>
                <w:rStyle w:val="Hyperlink"/>
                <w:noProof/>
              </w:rPr>
              <w:t>Ownership (O) Advantages and Internationalisation</w:t>
            </w:r>
            <w:r w:rsidR="002525B5">
              <w:rPr>
                <w:noProof/>
                <w:webHidden/>
              </w:rPr>
              <w:tab/>
            </w:r>
            <w:r w:rsidR="002525B5">
              <w:rPr>
                <w:noProof/>
                <w:webHidden/>
              </w:rPr>
              <w:fldChar w:fldCharType="begin"/>
            </w:r>
            <w:r w:rsidR="002525B5">
              <w:rPr>
                <w:noProof/>
                <w:webHidden/>
              </w:rPr>
              <w:instrText xml:space="preserve"> PAGEREF _Toc216577899 \h </w:instrText>
            </w:r>
            <w:r w:rsidR="002525B5">
              <w:rPr>
                <w:noProof/>
                <w:webHidden/>
              </w:rPr>
            </w:r>
            <w:r w:rsidR="002525B5">
              <w:rPr>
                <w:noProof/>
                <w:webHidden/>
              </w:rPr>
              <w:fldChar w:fldCharType="separate"/>
            </w:r>
            <w:r w:rsidR="002525B5">
              <w:rPr>
                <w:noProof/>
                <w:webHidden/>
              </w:rPr>
              <w:t>7</w:t>
            </w:r>
            <w:r w:rsidR="002525B5">
              <w:rPr>
                <w:noProof/>
                <w:webHidden/>
              </w:rPr>
              <w:fldChar w:fldCharType="end"/>
            </w:r>
          </w:hyperlink>
        </w:p>
        <w:p w14:paraId="04364115" w14:textId="41690A5F" w:rsidR="002525B5" w:rsidRDefault="005536A5">
          <w:pPr>
            <w:pStyle w:val="TOC2"/>
            <w:tabs>
              <w:tab w:val="right" w:leader="dot" w:pos="9350"/>
            </w:tabs>
            <w:rPr>
              <w:noProof/>
            </w:rPr>
          </w:pPr>
          <w:hyperlink w:anchor="_Toc216577900" w:history="1">
            <w:r w:rsidR="002525B5" w:rsidRPr="00082523">
              <w:rPr>
                <w:rStyle w:val="Hyperlink"/>
                <w:noProof/>
              </w:rPr>
              <w:t>Location (L) Advantages of Poland and the CEE Anchor</w:t>
            </w:r>
            <w:r w:rsidR="002525B5">
              <w:rPr>
                <w:noProof/>
                <w:webHidden/>
              </w:rPr>
              <w:tab/>
            </w:r>
            <w:r w:rsidR="002525B5">
              <w:rPr>
                <w:noProof/>
                <w:webHidden/>
              </w:rPr>
              <w:fldChar w:fldCharType="begin"/>
            </w:r>
            <w:r w:rsidR="002525B5">
              <w:rPr>
                <w:noProof/>
                <w:webHidden/>
              </w:rPr>
              <w:instrText xml:space="preserve"> PAGEREF _Toc216577900 \h </w:instrText>
            </w:r>
            <w:r w:rsidR="002525B5">
              <w:rPr>
                <w:noProof/>
                <w:webHidden/>
              </w:rPr>
            </w:r>
            <w:r w:rsidR="002525B5">
              <w:rPr>
                <w:noProof/>
                <w:webHidden/>
              </w:rPr>
              <w:fldChar w:fldCharType="separate"/>
            </w:r>
            <w:r w:rsidR="002525B5">
              <w:rPr>
                <w:noProof/>
                <w:webHidden/>
              </w:rPr>
              <w:t>8</w:t>
            </w:r>
            <w:r w:rsidR="002525B5">
              <w:rPr>
                <w:noProof/>
                <w:webHidden/>
              </w:rPr>
              <w:fldChar w:fldCharType="end"/>
            </w:r>
          </w:hyperlink>
        </w:p>
        <w:p w14:paraId="306B64B9" w14:textId="55C14578" w:rsidR="002525B5" w:rsidRDefault="005536A5">
          <w:pPr>
            <w:pStyle w:val="TOC2"/>
            <w:tabs>
              <w:tab w:val="right" w:leader="dot" w:pos="9350"/>
            </w:tabs>
            <w:rPr>
              <w:noProof/>
            </w:rPr>
          </w:pPr>
          <w:hyperlink w:anchor="_Toc216577901" w:history="1">
            <w:r w:rsidR="002525B5" w:rsidRPr="00082523">
              <w:rPr>
                <w:rStyle w:val="Hyperlink"/>
                <w:noProof/>
              </w:rPr>
              <w:t>Internalisation (I) Advantages and the FDI Justification</w:t>
            </w:r>
            <w:r w:rsidR="002525B5">
              <w:rPr>
                <w:noProof/>
                <w:webHidden/>
              </w:rPr>
              <w:tab/>
            </w:r>
            <w:r w:rsidR="002525B5">
              <w:rPr>
                <w:noProof/>
                <w:webHidden/>
              </w:rPr>
              <w:fldChar w:fldCharType="begin"/>
            </w:r>
            <w:r w:rsidR="002525B5">
              <w:rPr>
                <w:noProof/>
                <w:webHidden/>
              </w:rPr>
              <w:instrText xml:space="preserve"> PAGEREF _Toc216577901 \h </w:instrText>
            </w:r>
            <w:r w:rsidR="002525B5">
              <w:rPr>
                <w:noProof/>
                <w:webHidden/>
              </w:rPr>
            </w:r>
            <w:r w:rsidR="002525B5">
              <w:rPr>
                <w:noProof/>
                <w:webHidden/>
              </w:rPr>
              <w:fldChar w:fldCharType="separate"/>
            </w:r>
            <w:r w:rsidR="002525B5">
              <w:rPr>
                <w:noProof/>
                <w:webHidden/>
              </w:rPr>
              <w:t>9</w:t>
            </w:r>
            <w:r w:rsidR="002525B5">
              <w:rPr>
                <w:noProof/>
                <w:webHidden/>
              </w:rPr>
              <w:fldChar w:fldCharType="end"/>
            </w:r>
          </w:hyperlink>
        </w:p>
        <w:p w14:paraId="2303E4FC" w14:textId="0C08DAAF" w:rsidR="002525B5" w:rsidRDefault="005536A5">
          <w:pPr>
            <w:pStyle w:val="TOC1"/>
            <w:tabs>
              <w:tab w:val="right" w:leader="dot" w:pos="9350"/>
            </w:tabs>
            <w:rPr>
              <w:noProof/>
            </w:rPr>
          </w:pPr>
          <w:hyperlink w:anchor="_Toc216577902" w:history="1">
            <w:r w:rsidR="002525B5" w:rsidRPr="00082523">
              <w:rPr>
                <w:rStyle w:val="Hyperlink"/>
                <w:noProof/>
              </w:rPr>
              <w:t>Critical evaluation of cultural differences between China and Poland</w:t>
            </w:r>
            <w:r w:rsidR="002525B5">
              <w:rPr>
                <w:noProof/>
                <w:webHidden/>
              </w:rPr>
              <w:tab/>
            </w:r>
            <w:r w:rsidR="002525B5">
              <w:rPr>
                <w:noProof/>
                <w:webHidden/>
              </w:rPr>
              <w:fldChar w:fldCharType="begin"/>
            </w:r>
            <w:r w:rsidR="002525B5">
              <w:rPr>
                <w:noProof/>
                <w:webHidden/>
              </w:rPr>
              <w:instrText xml:space="preserve"> PAGEREF _Toc216577902 \h </w:instrText>
            </w:r>
            <w:r w:rsidR="002525B5">
              <w:rPr>
                <w:noProof/>
                <w:webHidden/>
              </w:rPr>
            </w:r>
            <w:r w:rsidR="002525B5">
              <w:rPr>
                <w:noProof/>
                <w:webHidden/>
              </w:rPr>
              <w:fldChar w:fldCharType="separate"/>
            </w:r>
            <w:r w:rsidR="002525B5">
              <w:rPr>
                <w:noProof/>
                <w:webHidden/>
              </w:rPr>
              <w:t>10</w:t>
            </w:r>
            <w:r w:rsidR="002525B5">
              <w:rPr>
                <w:noProof/>
                <w:webHidden/>
              </w:rPr>
              <w:fldChar w:fldCharType="end"/>
            </w:r>
          </w:hyperlink>
        </w:p>
        <w:p w14:paraId="67744E94" w14:textId="63347126" w:rsidR="002525B5" w:rsidRDefault="005536A5">
          <w:pPr>
            <w:pStyle w:val="TOC2"/>
            <w:tabs>
              <w:tab w:val="right" w:leader="dot" w:pos="9350"/>
            </w:tabs>
            <w:rPr>
              <w:noProof/>
            </w:rPr>
          </w:pPr>
          <w:hyperlink w:anchor="_Toc216577903" w:history="1">
            <w:r w:rsidR="002525B5" w:rsidRPr="00082523">
              <w:rPr>
                <w:rStyle w:val="Hyperlink"/>
                <w:noProof/>
              </w:rPr>
              <w:t>Cultural Context and Hofstede Comparison</w:t>
            </w:r>
            <w:r w:rsidR="002525B5">
              <w:rPr>
                <w:noProof/>
                <w:webHidden/>
              </w:rPr>
              <w:tab/>
            </w:r>
            <w:r w:rsidR="002525B5">
              <w:rPr>
                <w:noProof/>
                <w:webHidden/>
              </w:rPr>
              <w:fldChar w:fldCharType="begin"/>
            </w:r>
            <w:r w:rsidR="002525B5">
              <w:rPr>
                <w:noProof/>
                <w:webHidden/>
              </w:rPr>
              <w:instrText xml:space="preserve"> PAGEREF _Toc216577903 \h </w:instrText>
            </w:r>
            <w:r w:rsidR="002525B5">
              <w:rPr>
                <w:noProof/>
                <w:webHidden/>
              </w:rPr>
            </w:r>
            <w:r w:rsidR="002525B5">
              <w:rPr>
                <w:noProof/>
                <w:webHidden/>
              </w:rPr>
              <w:fldChar w:fldCharType="separate"/>
            </w:r>
            <w:r w:rsidR="002525B5">
              <w:rPr>
                <w:noProof/>
                <w:webHidden/>
              </w:rPr>
              <w:t>10</w:t>
            </w:r>
            <w:r w:rsidR="002525B5">
              <w:rPr>
                <w:noProof/>
                <w:webHidden/>
              </w:rPr>
              <w:fldChar w:fldCharType="end"/>
            </w:r>
          </w:hyperlink>
        </w:p>
        <w:p w14:paraId="73F780B5" w14:textId="1F0EE1BB" w:rsidR="002525B5" w:rsidRDefault="005536A5">
          <w:pPr>
            <w:pStyle w:val="TOC2"/>
            <w:tabs>
              <w:tab w:val="right" w:leader="dot" w:pos="9350"/>
            </w:tabs>
            <w:rPr>
              <w:noProof/>
            </w:rPr>
          </w:pPr>
          <w:hyperlink w:anchor="_Toc216577904" w:history="1">
            <w:r w:rsidR="002525B5" w:rsidRPr="00082523">
              <w:rPr>
                <w:rStyle w:val="Hyperlink"/>
                <w:noProof/>
              </w:rPr>
              <w:t>Impact on Market Entry and Negotiation</w:t>
            </w:r>
            <w:r w:rsidR="002525B5">
              <w:rPr>
                <w:noProof/>
                <w:webHidden/>
              </w:rPr>
              <w:tab/>
            </w:r>
            <w:r w:rsidR="002525B5">
              <w:rPr>
                <w:noProof/>
                <w:webHidden/>
              </w:rPr>
              <w:fldChar w:fldCharType="begin"/>
            </w:r>
            <w:r w:rsidR="002525B5">
              <w:rPr>
                <w:noProof/>
                <w:webHidden/>
              </w:rPr>
              <w:instrText xml:space="preserve"> PAGEREF _Toc216577904 \h </w:instrText>
            </w:r>
            <w:r w:rsidR="002525B5">
              <w:rPr>
                <w:noProof/>
                <w:webHidden/>
              </w:rPr>
            </w:r>
            <w:r w:rsidR="002525B5">
              <w:rPr>
                <w:noProof/>
                <w:webHidden/>
              </w:rPr>
              <w:fldChar w:fldCharType="separate"/>
            </w:r>
            <w:r w:rsidR="002525B5">
              <w:rPr>
                <w:noProof/>
                <w:webHidden/>
              </w:rPr>
              <w:t>11</w:t>
            </w:r>
            <w:r w:rsidR="002525B5">
              <w:rPr>
                <w:noProof/>
                <w:webHidden/>
              </w:rPr>
              <w:fldChar w:fldCharType="end"/>
            </w:r>
          </w:hyperlink>
        </w:p>
        <w:p w14:paraId="7911885A" w14:textId="470333F3" w:rsidR="002525B5" w:rsidRDefault="005536A5">
          <w:pPr>
            <w:pStyle w:val="TOC2"/>
            <w:tabs>
              <w:tab w:val="right" w:leader="dot" w:pos="9350"/>
            </w:tabs>
            <w:rPr>
              <w:noProof/>
            </w:rPr>
          </w:pPr>
          <w:hyperlink w:anchor="_Toc216577905" w:history="1">
            <w:r w:rsidR="002525B5" w:rsidRPr="00082523">
              <w:rPr>
                <w:rStyle w:val="Hyperlink"/>
                <w:noProof/>
              </w:rPr>
              <w:t>Impact on Organisational Success and Marketing</w:t>
            </w:r>
            <w:r w:rsidR="002525B5">
              <w:rPr>
                <w:noProof/>
                <w:webHidden/>
              </w:rPr>
              <w:tab/>
            </w:r>
            <w:r w:rsidR="002525B5">
              <w:rPr>
                <w:noProof/>
                <w:webHidden/>
              </w:rPr>
              <w:fldChar w:fldCharType="begin"/>
            </w:r>
            <w:r w:rsidR="002525B5">
              <w:rPr>
                <w:noProof/>
                <w:webHidden/>
              </w:rPr>
              <w:instrText xml:space="preserve"> PAGEREF _Toc216577905 \h </w:instrText>
            </w:r>
            <w:r w:rsidR="002525B5">
              <w:rPr>
                <w:noProof/>
                <w:webHidden/>
              </w:rPr>
            </w:r>
            <w:r w:rsidR="002525B5">
              <w:rPr>
                <w:noProof/>
                <w:webHidden/>
              </w:rPr>
              <w:fldChar w:fldCharType="separate"/>
            </w:r>
            <w:r w:rsidR="002525B5">
              <w:rPr>
                <w:noProof/>
                <w:webHidden/>
              </w:rPr>
              <w:t>12</w:t>
            </w:r>
            <w:r w:rsidR="002525B5">
              <w:rPr>
                <w:noProof/>
                <w:webHidden/>
              </w:rPr>
              <w:fldChar w:fldCharType="end"/>
            </w:r>
          </w:hyperlink>
        </w:p>
        <w:p w14:paraId="30A8D46A" w14:textId="74D1EB3E" w:rsidR="002525B5" w:rsidRDefault="005536A5">
          <w:pPr>
            <w:pStyle w:val="TOC1"/>
            <w:tabs>
              <w:tab w:val="right" w:leader="dot" w:pos="9350"/>
            </w:tabs>
            <w:rPr>
              <w:noProof/>
            </w:rPr>
          </w:pPr>
          <w:hyperlink w:anchor="_Toc216577906" w:history="1">
            <w:r w:rsidR="002525B5" w:rsidRPr="00082523">
              <w:rPr>
                <w:rStyle w:val="Hyperlink"/>
                <w:noProof/>
              </w:rPr>
              <w:t>Critically discuss and recommend three major adjustments to SOPs</w:t>
            </w:r>
            <w:r w:rsidR="002525B5">
              <w:rPr>
                <w:noProof/>
                <w:webHidden/>
              </w:rPr>
              <w:tab/>
            </w:r>
            <w:r w:rsidR="002525B5">
              <w:rPr>
                <w:noProof/>
                <w:webHidden/>
              </w:rPr>
              <w:fldChar w:fldCharType="begin"/>
            </w:r>
            <w:r w:rsidR="002525B5">
              <w:rPr>
                <w:noProof/>
                <w:webHidden/>
              </w:rPr>
              <w:instrText xml:space="preserve"> PAGEREF _Toc216577906 \h </w:instrText>
            </w:r>
            <w:r w:rsidR="002525B5">
              <w:rPr>
                <w:noProof/>
                <w:webHidden/>
              </w:rPr>
            </w:r>
            <w:r w:rsidR="002525B5">
              <w:rPr>
                <w:noProof/>
                <w:webHidden/>
              </w:rPr>
              <w:fldChar w:fldCharType="separate"/>
            </w:r>
            <w:r w:rsidR="002525B5">
              <w:rPr>
                <w:noProof/>
                <w:webHidden/>
              </w:rPr>
              <w:t>13</w:t>
            </w:r>
            <w:r w:rsidR="002525B5">
              <w:rPr>
                <w:noProof/>
                <w:webHidden/>
              </w:rPr>
              <w:fldChar w:fldCharType="end"/>
            </w:r>
          </w:hyperlink>
        </w:p>
        <w:p w14:paraId="57E9B9C1" w14:textId="496B97DE" w:rsidR="002525B5" w:rsidRDefault="005536A5">
          <w:pPr>
            <w:pStyle w:val="TOC2"/>
            <w:tabs>
              <w:tab w:val="right" w:leader="dot" w:pos="9350"/>
            </w:tabs>
            <w:rPr>
              <w:noProof/>
            </w:rPr>
          </w:pPr>
          <w:hyperlink w:anchor="_Toc216577907" w:history="1">
            <w:r w:rsidR="002525B5" w:rsidRPr="00082523">
              <w:rPr>
                <w:rStyle w:val="Hyperlink"/>
                <w:noProof/>
              </w:rPr>
              <w:t>SOP 1: The European Rules-of-Origin and Value-Chain SOP</w:t>
            </w:r>
            <w:r w:rsidR="002525B5">
              <w:rPr>
                <w:noProof/>
                <w:webHidden/>
              </w:rPr>
              <w:tab/>
            </w:r>
            <w:r w:rsidR="002525B5">
              <w:rPr>
                <w:noProof/>
                <w:webHidden/>
              </w:rPr>
              <w:fldChar w:fldCharType="begin"/>
            </w:r>
            <w:r w:rsidR="002525B5">
              <w:rPr>
                <w:noProof/>
                <w:webHidden/>
              </w:rPr>
              <w:instrText xml:space="preserve"> PAGEREF _Toc216577907 \h </w:instrText>
            </w:r>
            <w:r w:rsidR="002525B5">
              <w:rPr>
                <w:noProof/>
                <w:webHidden/>
              </w:rPr>
            </w:r>
            <w:r w:rsidR="002525B5">
              <w:rPr>
                <w:noProof/>
                <w:webHidden/>
              </w:rPr>
              <w:fldChar w:fldCharType="separate"/>
            </w:r>
            <w:r w:rsidR="002525B5">
              <w:rPr>
                <w:noProof/>
                <w:webHidden/>
              </w:rPr>
              <w:t>13</w:t>
            </w:r>
            <w:r w:rsidR="002525B5">
              <w:rPr>
                <w:noProof/>
                <w:webHidden/>
              </w:rPr>
              <w:fldChar w:fldCharType="end"/>
            </w:r>
          </w:hyperlink>
        </w:p>
        <w:p w14:paraId="3C87F363" w14:textId="12EC83B2" w:rsidR="002525B5" w:rsidRDefault="005536A5">
          <w:pPr>
            <w:pStyle w:val="TOC2"/>
            <w:tabs>
              <w:tab w:val="right" w:leader="dot" w:pos="9350"/>
            </w:tabs>
            <w:rPr>
              <w:noProof/>
            </w:rPr>
          </w:pPr>
          <w:hyperlink w:anchor="_Toc216577908" w:history="1">
            <w:r w:rsidR="002525B5" w:rsidRPr="00082523">
              <w:rPr>
                <w:rStyle w:val="Hyperlink"/>
                <w:noProof/>
              </w:rPr>
              <w:t>SOP 2: Co-Investment and Strategic Infrastructure Protocol</w:t>
            </w:r>
            <w:r w:rsidR="002525B5">
              <w:rPr>
                <w:noProof/>
                <w:webHidden/>
              </w:rPr>
              <w:tab/>
            </w:r>
            <w:r w:rsidR="002525B5">
              <w:rPr>
                <w:noProof/>
                <w:webHidden/>
              </w:rPr>
              <w:fldChar w:fldCharType="begin"/>
            </w:r>
            <w:r w:rsidR="002525B5">
              <w:rPr>
                <w:noProof/>
                <w:webHidden/>
              </w:rPr>
              <w:instrText xml:space="preserve"> PAGEREF _Toc216577908 \h </w:instrText>
            </w:r>
            <w:r w:rsidR="002525B5">
              <w:rPr>
                <w:noProof/>
                <w:webHidden/>
              </w:rPr>
            </w:r>
            <w:r w:rsidR="002525B5">
              <w:rPr>
                <w:noProof/>
                <w:webHidden/>
              </w:rPr>
              <w:fldChar w:fldCharType="separate"/>
            </w:r>
            <w:r w:rsidR="002525B5">
              <w:rPr>
                <w:noProof/>
                <w:webHidden/>
              </w:rPr>
              <w:t>14</w:t>
            </w:r>
            <w:r w:rsidR="002525B5">
              <w:rPr>
                <w:noProof/>
                <w:webHidden/>
              </w:rPr>
              <w:fldChar w:fldCharType="end"/>
            </w:r>
          </w:hyperlink>
        </w:p>
        <w:p w14:paraId="4690E160" w14:textId="049162B2" w:rsidR="002525B5" w:rsidRDefault="005536A5">
          <w:pPr>
            <w:pStyle w:val="TOC2"/>
            <w:tabs>
              <w:tab w:val="right" w:leader="dot" w:pos="9350"/>
            </w:tabs>
            <w:rPr>
              <w:noProof/>
            </w:rPr>
          </w:pPr>
          <w:hyperlink w:anchor="_Toc216577909" w:history="1">
            <w:r w:rsidR="002525B5" w:rsidRPr="00082523">
              <w:rPr>
                <w:rStyle w:val="Hyperlink"/>
                <w:noProof/>
              </w:rPr>
              <w:t>SOP 3: Individualised Performance and After-Sales Trust SOP</w:t>
            </w:r>
            <w:r w:rsidR="002525B5">
              <w:rPr>
                <w:noProof/>
                <w:webHidden/>
              </w:rPr>
              <w:tab/>
            </w:r>
            <w:r w:rsidR="002525B5">
              <w:rPr>
                <w:noProof/>
                <w:webHidden/>
              </w:rPr>
              <w:fldChar w:fldCharType="begin"/>
            </w:r>
            <w:r w:rsidR="002525B5">
              <w:rPr>
                <w:noProof/>
                <w:webHidden/>
              </w:rPr>
              <w:instrText xml:space="preserve"> PAGEREF _Toc216577909 \h </w:instrText>
            </w:r>
            <w:r w:rsidR="002525B5">
              <w:rPr>
                <w:noProof/>
                <w:webHidden/>
              </w:rPr>
            </w:r>
            <w:r w:rsidR="002525B5">
              <w:rPr>
                <w:noProof/>
                <w:webHidden/>
              </w:rPr>
              <w:fldChar w:fldCharType="separate"/>
            </w:r>
            <w:r w:rsidR="002525B5">
              <w:rPr>
                <w:noProof/>
                <w:webHidden/>
              </w:rPr>
              <w:t>14</w:t>
            </w:r>
            <w:r w:rsidR="002525B5">
              <w:rPr>
                <w:noProof/>
                <w:webHidden/>
              </w:rPr>
              <w:fldChar w:fldCharType="end"/>
            </w:r>
          </w:hyperlink>
        </w:p>
        <w:p w14:paraId="3F22F37F" w14:textId="5A7924BD" w:rsidR="002525B5" w:rsidRDefault="005536A5">
          <w:pPr>
            <w:pStyle w:val="TOC1"/>
            <w:tabs>
              <w:tab w:val="right" w:leader="dot" w:pos="9350"/>
            </w:tabs>
            <w:rPr>
              <w:noProof/>
            </w:rPr>
          </w:pPr>
          <w:hyperlink w:anchor="_Toc216577910" w:history="1">
            <w:r w:rsidR="002525B5" w:rsidRPr="00082523">
              <w:rPr>
                <w:rStyle w:val="Hyperlink"/>
                <w:noProof/>
              </w:rPr>
              <w:t>Conclusion</w:t>
            </w:r>
            <w:r w:rsidR="002525B5">
              <w:rPr>
                <w:noProof/>
                <w:webHidden/>
              </w:rPr>
              <w:tab/>
            </w:r>
            <w:r w:rsidR="002525B5">
              <w:rPr>
                <w:noProof/>
                <w:webHidden/>
              </w:rPr>
              <w:fldChar w:fldCharType="begin"/>
            </w:r>
            <w:r w:rsidR="002525B5">
              <w:rPr>
                <w:noProof/>
                <w:webHidden/>
              </w:rPr>
              <w:instrText xml:space="preserve"> PAGEREF _Toc216577910 \h </w:instrText>
            </w:r>
            <w:r w:rsidR="002525B5">
              <w:rPr>
                <w:noProof/>
                <w:webHidden/>
              </w:rPr>
            </w:r>
            <w:r w:rsidR="002525B5">
              <w:rPr>
                <w:noProof/>
                <w:webHidden/>
              </w:rPr>
              <w:fldChar w:fldCharType="separate"/>
            </w:r>
            <w:r w:rsidR="002525B5">
              <w:rPr>
                <w:noProof/>
                <w:webHidden/>
              </w:rPr>
              <w:t>15</w:t>
            </w:r>
            <w:r w:rsidR="002525B5">
              <w:rPr>
                <w:noProof/>
                <w:webHidden/>
              </w:rPr>
              <w:fldChar w:fldCharType="end"/>
            </w:r>
          </w:hyperlink>
        </w:p>
        <w:p w14:paraId="3AE41DE3" w14:textId="6E16F496" w:rsidR="002525B5" w:rsidRDefault="005536A5">
          <w:pPr>
            <w:pStyle w:val="TOC1"/>
            <w:tabs>
              <w:tab w:val="right" w:leader="dot" w:pos="9350"/>
            </w:tabs>
            <w:rPr>
              <w:noProof/>
            </w:rPr>
          </w:pPr>
          <w:hyperlink w:anchor="_Toc216577911" w:history="1">
            <w:r w:rsidR="002525B5" w:rsidRPr="00082523">
              <w:rPr>
                <w:rStyle w:val="Hyperlink"/>
                <w:noProof/>
              </w:rPr>
              <w:t>References</w:t>
            </w:r>
            <w:r w:rsidR="002525B5">
              <w:rPr>
                <w:noProof/>
                <w:webHidden/>
              </w:rPr>
              <w:tab/>
            </w:r>
            <w:r w:rsidR="002525B5">
              <w:rPr>
                <w:noProof/>
                <w:webHidden/>
              </w:rPr>
              <w:fldChar w:fldCharType="begin"/>
            </w:r>
            <w:r w:rsidR="002525B5">
              <w:rPr>
                <w:noProof/>
                <w:webHidden/>
              </w:rPr>
              <w:instrText xml:space="preserve"> PAGEREF _Toc216577911 \h </w:instrText>
            </w:r>
            <w:r w:rsidR="002525B5">
              <w:rPr>
                <w:noProof/>
                <w:webHidden/>
              </w:rPr>
            </w:r>
            <w:r w:rsidR="002525B5">
              <w:rPr>
                <w:noProof/>
                <w:webHidden/>
              </w:rPr>
              <w:fldChar w:fldCharType="separate"/>
            </w:r>
            <w:r w:rsidR="002525B5">
              <w:rPr>
                <w:noProof/>
                <w:webHidden/>
              </w:rPr>
              <w:t>16</w:t>
            </w:r>
            <w:r w:rsidR="002525B5">
              <w:rPr>
                <w:noProof/>
                <w:webHidden/>
              </w:rPr>
              <w:fldChar w:fldCharType="end"/>
            </w:r>
          </w:hyperlink>
        </w:p>
        <w:p w14:paraId="2683CF06" w14:textId="34ECF901" w:rsidR="00B379F3" w:rsidRDefault="002525B5" w:rsidP="002525B5">
          <w:r>
            <w:rPr>
              <w:b/>
              <w:bCs/>
              <w:noProof/>
            </w:rPr>
            <w:fldChar w:fldCharType="end"/>
          </w:r>
        </w:p>
      </w:sdtContent>
    </w:sdt>
    <w:p w14:paraId="15B03638" w14:textId="3010D617" w:rsidR="00B379F3" w:rsidRDefault="00B379F3" w:rsidP="003F3844">
      <w:pPr>
        <w:pStyle w:val="Heading1"/>
        <w:numPr>
          <w:ilvl w:val="0"/>
          <w:numId w:val="3"/>
        </w:numPr>
      </w:pPr>
      <w:bookmarkStart w:id="0" w:name="_Toc216577890"/>
      <w:r>
        <w:lastRenderedPageBreak/>
        <w:t>Introduction</w:t>
      </w:r>
      <w:bookmarkEnd w:id="0"/>
      <w:r>
        <w:t xml:space="preserve"> </w:t>
      </w:r>
    </w:p>
    <w:p w14:paraId="241CD165" w14:textId="19ACBA4D" w:rsidR="00B379F3" w:rsidRDefault="00B379F3" w:rsidP="00B379F3">
      <w:r>
        <w:t xml:space="preserve">A Chinese multinational conglomerate based in Shenzhen, BYD Company Limited has radically reinvented the global automotive market by becoming the leader in New Energy Vehicles (NEVs), which is supported by a strong vertical integration and a battery technology owned by the company (BYD, 2022). With the need to diversify its revenues beyond the highly competitive domestic market, BYD is pursuing an ambitious </w:t>
      </w:r>
      <w:proofErr w:type="spellStart"/>
      <w:r>
        <w:t>internationalisation</w:t>
      </w:r>
      <w:proofErr w:type="spellEnd"/>
      <w:r>
        <w:t xml:space="preserve"> strategy through which almost half of its total sales are to be made up abroad by 2030 (Goh </w:t>
      </w:r>
      <w:r w:rsidR="002525B5">
        <w:t>and</w:t>
      </w:r>
      <w:r>
        <w:t xml:space="preserve"> Carey, 2025). A critical approach to assessing the strategy of BYD is presented in this consultancy report as the expansion of the company into Poland, which is an essential but problematic Emerging Market in the European Union (</w:t>
      </w:r>
      <w:proofErr w:type="spellStart"/>
      <w:r>
        <w:t>Proń</w:t>
      </w:r>
      <w:proofErr w:type="spellEnd"/>
      <w:r>
        <w:t xml:space="preserve">, 2024). The analysis uses the Ownership, Location, </w:t>
      </w:r>
      <w:proofErr w:type="spellStart"/>
      <w:r>
        <w:t>Internalisation</w:t>
      </w:r>
      <w:proofErr w:type="spellEnd"/>
      <w:r>
        <w:t xml:space="preserve"> (OLI) concept to explain why the inevitable strategic change is required to be shifting the current low-equity mode of market entry into high-commitment Foreign Direct Investment (FDI), which assesses the difference between the China-Poland cultural dichotomy which is critical in the change, and advises three key modifications to Standard Operating Procedures (SOPs), which will secure long-term success in the Central and Eastern European (CEE).</w:t>
      </w:r>
    </w:p>
    <w:p w14:paraId="29A84886" w14:textId="77777777" w:rsidR="00B379F3" w:rsidRPr="00B379F3" w:rsidRDefault="00B379F3" w:rsidP="003F3844">
      <w:pPr>
        <w:pStyle w:val="Heading1"/>
        <w:numPr>
          <w:ilvl w:val="0"/>
          <w:numId w:val="3"/>
        </w:numPr>
      </w:pPr>
      <w:bookmarkStart w:id="1" w:name="_Toc216577891"/>
      <w:r w:rsidRPr="00B379F3">
        <w:t>Benefits and Challenges of International Operations</w:t>
      </w:r>
      <w:bookmarkEnd w:id="1"/>
    </w:p>
    <w:p w14:paraId="5CEBEA2C" w14:textId="0A8B5332" w:rsidR="00B379F3" w:rsidRDefault="00B379F3" w:rsidP="003F3844">
      <w:pPr>
        <w:pStyle w:val="Heading2"/>
        <w:numPr>
          <w:ilvl w:val="1"/>
          <w:numId w:val="3"/>
        </w:numPr>
      </w:pPr>
      <w:bookmarkStart w:id="2" w:name="_Toc216577892"/>
      <w:r w:rsidRPr="00B379F3">
        <w:t>Designation as a Multinational/Transnational Corporation (MNC/TNC)</w:t>
      </w:r>
      <w:bookmarkEnd w:id="2"/>
    </w:p>
    <w:p w14:paraId="0F54C568" w14:textId="390D7189" w:rsidR="00B379F3" w:rsidRDefault="00B379F3" w:rsidP="00B379F3">
      <w:r>
        <w:t>BYD is not only a Multinational Corporation (MNC), that is, the management of assets with cross-border aspects, but a strongly integrated Transnational Corporation (TNC), with a globally coordinated approach based on the use of local responsiveness (</w:t>
      </w:r>
      <w:proofErr w:type="spellStart"/>
      <w:r>
        <w:t>Shenkar</w:t>
      </w:r>
      <w:proofErr w:type="spellEnd"/>
      <w:r>
        <w:t xml:space="preserve"> et al., 2021). This title is exhibited for three main reasons:</w:t>
      </w:r>
    </w:p>
    <w:p w14:paraId="443544FD" w14:textId="53C967F1" w:rsidR="00B379F3" w:rsidRDefault="00B379F3" w:rsidP="00B379F3">
      <w:r w:rsidRPr="00DA65B8">
        <w:rPr>
          <w:i/>
          <w:iCs/>
        </w:rPr>
        <w:t>Geographic and Strategic Reach:</w:t>
      </w:r>
      <w:r>
        <w:t xml:space="preserve"> BYD has a NEV presence reaching over 70 countries and regions spanning 6 continents (BYD, 2022). This growth is a strategic requirement to reduce the reliance on the local markets, which is a global portfolio management strategy (</w:t>
      </w:r>
      <w:proofErr w:type="spellStart"/>
      <w:r>
        <w:t>Shenkar</w:t>
      </w:r>
      <w:proofErr w:type="spellEnd"/>
      <w:r>
        <w:t xml:space="preserve"> et al., 2021; Goh and Carey, 2025).</w:t>
      </w:r>
    </w:p>
    <w:p w14:paraId="23B8053C" w14:textId="7FCAA1DE" w:rsidR="00B379F3" w:rsidRDefault="00B379F3" w:rsidP="00B379F3">
      <w:r w:rsidRPr="00DA65B8">
        <w:rPr>
          <w:i/>
          <w:iCs/>
        </w:rPr>
        <w:t>Deep Vertical Integration (The Essence of TNC Status):</w:t>
      </w:r>
      <w:r>
        <w:t xml:space="preserve"> BYD, contrary to the average automotive original equipment manufacturers (OEMs), manages the production of almost </w:t>
      </w:r>
      <w:r w:rsidR="002525B5">
        <w:t>all</w:t>
      </w:r>
      <w:r>
        <w:t xml:space="preserve"> its core competences, such as the Blade Battery, electric motors, electronic control unit, and semiconductor chip (Zhang, 2024; Zhang et al., 2024). This enables the TNC to be able to run the entire value </w:t>
      </w:r>
      <w:r>
        <w:lastRenderedPageBreak/>
        <w:t xml:space="preserve">chain as a single unit, which has the benefit of cost </w:t>
      </w:r>
      <w:proofErr w:type="spellStart"/>
      <w:r>
        <w:t>optimisation</w:t>
      </w:r>
      <w:proofErr w:type="spellEnd"/>
      <w:r>
        <w:t xml:space="preserve"> and resilience of the supply chain that is centrally managed in Shenzhen (</w:t>
      </w:r>
      <w:proofErr w:type="spellStart"/>
      <w:r>
        <w:t>Seeling</w:t>
      </w:r>
      <w:proofErr w:type="spellEnd"/>
      <w:r>
        <w:t xml:space="preserve"> et al., 2021).</w:t>
      </w:r>
    </w:p>
    <w:p w14:paraId="15009BAC" w14:textId="77777777" w:rsidR="00DA65B8" w:rsidRDefault="00DA65B8" w:rsidP="00DA65B8">
      <w:pPr>
        <w:keepNext/>
      </w:pPr>
      <w:r w:rsidRPr="00DA65B8">
        <w:rPr>
          <w:noProof/>
        </w:rPr>
        <w:drawing>
          <wp:inline distT="0" distB="0" distL="0" distR="0" wp14:anchorId="1575844C" wp14:editId="586109E3">
            <wp:extent cx="4534533" cy="4448796"/>
            <wp:effectExtent l="0" t="0" r="0" b="9525"/>
            <wp:docPr id="15441082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4108256" name=""/>
                    <pic:cNvPicPr/>
                  </pic:nvPicPr>
                  <pic:blipFill>
                    <a:blip r:embed="rId7"/>
                    <a:stretch>
                      <a:fillRect/>
                    </a:stretch>
                  </pic:blipFill>
                  <pic:spPr>
                    <a:xfrm>
                      <a:off x="0" y="0"/>
                      <a:ext cx="4534533" cy="4448796"/>
                    </a:xfrm>
                    <a:prstGeom prst="rect">
                      <a:avLst/>
                    </a:prstGeom>
                  </pic:spPr>
                </pic:pic>
              </a:graphicData>
            </a:graphic>
          </wp:inline>
        </w:drawing>
      </w:r>
    </w:p>
    <w:p w14:paraId="7E01DBC6" w14:textId="23F5D3D2" w:rsidR="00DA65B8" w:rsidRDefault="00DA65B8" w:rsidP="00DA65B8">
      <w:pPr>
        <w:pStyle w:val="Caption"/>
      </w:pPr>
      <w:r>
        <w:t xml:space="preserve">Figure </w:t>
      </w:r>
      <w:r>
        <w:fldChar w:fldCharType="begin"/>
      </w:r>
      <w:r>
        <w:instrText xml:space="preserve"> SEQ Figure \* ARABIC </w:instrText>
      </w:r>
      <w:r>
        <w:fldChar w:fldCharType="separate"/>
      </w:r>
      <w:r w:rsidR="00CF5601">
        <w:rPr>
          <w:noProof/>
        </w:rPr>
        <w:t>1</w:t>
      </w:r>
      <w:r>
        <w:fldChar w:fldCharType="end"/>
      </w:r>
      <w:r>
        <w:t>: Deep vertical integration of BYD</w:t>
      </w:r>
    </w:p>
    <w:p w14:paraId="4C998708" w14:textId="5B497FCC" w:rsidR="00B379F3" w:rsidRDefault="00B379F3" w:rsidP="00B379F3">
      <w:r>
        <w:t xml:space="preserve">Coordinated FDI Network BYD operates a networked network of R&amp;D </w:t>
      </w:r>
      <w:proofErr w:type="spellStart"/>
      <w:r>
        <w:t>centres</w:t>
      </w:r>
      <w:proofErr w:type="spellEnd"/>
      <w:r>
        <w:t xml:space="preserve"> and manufacturing locations around the world and invests multi-billion Euros in key foreign Greenfield FDI destinations (in Hungary and Brazil, among others) (</w:t>
      </w:r>
      <w:proofErr w:type="spellStart"/>
      <w:r>
        <w:t>LayWen</w:t>
      </w:r>
      <w:proofErr w:type="spellEnd"/>
      <w:r>
        <w:t xml:space="preserve">, 2025; Goh &amp; Carey, 2025). These locations are not just located to serve the local markets but also as </w:t>
      </w:r>
      <w:proofErr w:type="spellStart"/>
      <w:r>
        <w:t>synchronised</w:t>
      </w:r>
      <w:proofErr w:type="spellEnd"/>
      <w:r>
        <w:t xml:space="preserve"> regional supply hubs, which validates TNC architecture (Zhang, 2024).</w:t>
      </w:r>
    </w:p>
    <w:p w14:paraId="38DE2216" w14:textId="26E956B5" w:rsidR="00B379F3" w:rsidRDefault="00B379F3" w:rsidP="00B379F3">
      <w:r>
        <w:t>The fact that BYD is a sophisticated TNC is proven by the requirement to coordinate its highly proprietary vertically integrated resources in its foreign subsidiaries.</w:t>
      </w:r>
    </w:p>
    <w:p w14:paraId="42A12650" w14:textId="2D462308" w:rsidR="00B379F3" w:rsidRDefault="00B379F3" w:rsidP="003A2B0F">
      <w:pPr>
        <w:pStyle w:val="Heading2"/>
        <w:numPr>
          <w:ilvl w:val="1"/>
          <w:numId w:val="3"/>
        </w:numPr>
      </w:pPr>
      <w:bookmarkStart w:id="3" w:name="_Toc216577893"/>
      <w:r w:rsidRPr="00B379F3">
        <w:lastRenderedPageBreak/>
        <w:t>Global Value Chain and Operations Focus</w:t>
      </w:r>
      <w:bookmarkEnd w:id="3"/>
    </w:p>
    <w:p w14:paraId="465A45EB" w14:textId="359DF6B7" w:rsidR="00B379F3" w:rsidRDefault="00B379F3" w:rsidP="00B379F3">
      <w:r>
        <w:t>The competitive advantage of BYD lies in the firm-specific value chain which is unique to the company and distinguishes it completely from its conventional automotive competitors.</w:t>
      </w:r>
    </w:p>
    <w:p w14:paraId="29BC776F" w14:textId="77777777" w:rsidR="00151CDA" w:rsidRDefault="00151CDA" w:rsidP="00151CDA">
      <w:pPr>
        <w:keepNext/>
      </w:pPr>
      <w:r w:rsidRPr="00151CDA">
        <w:rPr>
          <w:noProof/>
        </w:rPr>
        <w:drawing>
          <wp:inline distT="0" distB="0" distL="0" distR="0" wp14:anchorId="0B4F16E2" wp14:editId="742D846A">
            <wp:extent cx="4486901" cy="4544059"/>
            <wp:effectExtent l="0" t="0" r="9525" b="9525"/>
            <wp:docPr id="14418609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1860937" name=""/>
                    <pic:cNvPicPr/>
                  </pic:nvPicPr>
                  <pic:blipFill>
                    <a:blip r:embed="rId8"/>
                    <a:stretch>
                      <a:fillRect/>
                    </a:stretch>
                  </pic:blipFill>
                  <pic:spPr>
                    <a:xfrm>
                      <a:off x="0" y="0"/>
                      <a:ext cx="4486901" cy="4544059"/>
                    </a:xfrm>
                    <a:prstGeom prst="rect">
                      <a:avLst/>
                    </a:prstGeom>
                  </pic:spPr>
                </pic:pic>
              </a:graphicData>
            </a:graphic>
          </wp:inline>
        </w:drawing>
      </w:r>
    </w:p>
    <w:p w14:paraId="596229C0" w14:textId="6661F238" w:rsidR="00151CDA" w:rsidRDefault="00151CDA" w:rsidP="00151CDA">
      <w:pPr>
        <w:pStyle w:val="Caption"/>
      </w:pPr>
      <w:r>
        <w:t xml:space="preserve">Figure </w:t>
      </w:r>
      <w:r>
        <w:fldChar w:fldCharType="begin"/>
      </w:r>
      <w:r>
        <w:instrText xml:space="preserve"> SEQ Figure \* ARABIC </w:instrText>
      </w:r>
      <w:r>
        <w:fldChar w:fldCharType="separate"/>
      </w:r>
      <w:r w:rsidR="00CF5601">
        <w:rPr>
          <w:noProof/>
        </w:rPr>
        <w:t>2</w:t>
      </w:r>
      <w:r>
        <w:fldChar w:fldCharType="end"/>
      </w:r>
      <w:r>
        <w:t>: BYD Global value chain</w:t>
      </w:r>
    </w:p>
    <w:p w14:paraId="7A6F4875" w14:textId="27C618EB" w:rsidR="00B379F3" w:rsidRDefault="00B379F3" w:rsidP="00B379F3">
      <w:r>
        <w:t xml:space="preserve">Research &amp; Development (R&amp;D) and Technology: R&amp;D is extremely </w:t>
      </w:r>
      <w:proofErr w:type="spellStart"/>
      <w:r>
        <w:t>centralised</w:t>
      </w:r>
      <w:proofErr w:type="spellEnd"/>
      <w:r>
        <w:t xml:space="preserve"> in China and is highly focused on the Three Electric Systems and Integrated Vehicle Intelligence (BYD, 2022). This focus guarantees the quick model development cycles and safeguards the Intellectual Property (IP), which is the key Ownership Advantage of BYD (Zhang, 2024). BYD also shows a strong interest in proprietary technology by filing more than 37,000 premium applications on patent requests as of mid-2022 (BYD, 2022).</w:t>
      </w:r>
    </w:p>
    <w:p w14:paraId="009A8EA0" w14:textId="7C7D7590" w:rsidR="00B379F3" w:rsidRDefault="00B379F3" w:rsidP="00B379F3">
      <w:r>
        <w:t xml:space="preserve">Sourcing and Production: The production process is typified by its in-house production of above 90 percent of NEV components, which has unprecedented cost and quality control, especially </w:t>
      </w:r>
      <w:r>
        <w:lastRenderedPageBreak/>
        <w:t xml:space="preserve">about the Blade Battery, which is a safety-critical component (Zhang, 2024; BYD, 2022). Global manufacturing is quickly being </w:t>
      </w:r>
      <w:proofErr w:type="spellStart"/>
      <w:r>
        <w:t>decentralised</w:t>
      </w:r>
      <w:proofErr w:type="spellEnd"/>
      <w:r>
        <w:t xml:space="preserve"> through FDI to locations such as Hungary in a move to </w:t>
      </w:r>
      <w:proofErr w:type="spellStart"/>
      <w:r>
        <w:t>localise</w:t>
      </w:r>
      <w:proofErr w:type="spellEnd"/>
      <w:r>
        <w:t xml:space="preserve"> final assembly (</w:t>
      </w:r>
      <w:proofErr w:type="spellStart"/>
      <w:r>
        <w:t>LayWen</w:t>
      </w:r>
      <w:proofErr w:type="spellEnd"/>
      <w:r>
        <w:t>, 2025), a move required to match manufacturing to its consumers demand and counteract geopolitical influence of supply chains failure (Goh &amp; Carey, 2025).</w:t>
      </w:r>
    </w:p>
    <w:p w14:paraId="6C603EA1" w14:textId="5F08F64E" w:rsidR="00B379F3" w:rsidRDefault="00B379F3" w:rsidP="00B379F3">
      <w:r>
        <w:t>Sales and Distribution Strategy: It is a hybrid sales strategy whereby the company started with the traditional method of relying on exportation. It transitioned into the formation of National Sales Companies (NSCs) and local dealers (JATO Dynamics, 2025). In the previously new markets such as Poland, the sales will be based on collaboration with domestic professionals (e.g. Cichy-Zasada, the central dealer, and FREE NOW on fleet sales), which will be the key to entering the market quickly (BYD, 2020; Ujazdowski, 2025). The objective is ambitious: to achieve sales of 1,000 points in Europe and 2,000 in 2025 (</w:t>
      </w:r>
      <w:proofErr w:type="spellStart"/>
      <w:r>
        <w:t>LayWen</w:t>
      </w:r>
      <w:proofErr w:type="spellEnd"/>
      <w:r>
        <w:t>, 2025).</w:t>
      </w:r>
    </w:p>
    <w:p w14:paraId="5F144491" w14:textId="75DE059E" w:rsidR="00B379F3" w:rsidRDefault="00B379F3" w:rsidP="00B379F3">
      <w:r>
        <w:t xml:space="preserve">Financing and Investment: BYD is listed in two countries, which gives the company access to enormous capital sources in the world (BYD, 2022). This capital is tactically used to finance huge greenfield projects (e.g., the Hungarian factory is projected to cost more than 4 billion euros) that straightens back external trade barriers and inflict permanent commitment to the host areas (Goh &amp; Carey, 2025; </w:t>
      </w:r>
      <w:proofErr w:type="spellStart"/>
      <w:r>
        <w:t>LayWen</w:t>
      </w:r>
      <w:proofErr w:type="spellEnd"/>
      <w:r>
        <w:t>, 2025).</w:t>
      </w:r>
    </w:p>
    <w:p w14:paraId="74C53F18" w14:textId="618A8531" w:rsidR="00B379F3" w:rsidRDefault="00B379F3" w:rsidP="00B379F3">
      <w:r>
        <w:t>Operation Scope: The business model is not limited to passenger cars but to electric buses and trucks, forklifts and even rail transit offerings (Sky Rail, Sky Shuttle) create a complete zero-emission energy ecosystem (BYD, 2022). This whole system enables the company to combine energy production and storage with mobility application developing synergistic opportunities in new markets.</w:t>
      </w:r>
    </w:p>
    <w:p w14:paraId="4E126152" w14:textId="77777777" w:rsidR="00B379F3" w:rsidRDefault="00B379F3" w:rsidP="00B379F3">
      <w:r>
        <w:t>This in-house TNC value chain is used to form the competitive basis of its aggressive global market development (Zhang et al., 2024).</w:t>
      </w:r>
    </w:p>
    <w:p w14:paraId="6E0ACF3A" w14:textId="6437CB56" w:rsidR="00B379F3" w:rsidRDefault="00B379F3" w:rsidP="003A2B0F">
      <w:pPr>
        <w:pStyle w:val="Heading2"/>
        <w:numPr>
          <w:ilvl w:val="1"/>
          <w:numId w:val="3"/>
        </w:numPr>
      </w:pPr>
      <w:bookmarkStart w:id="4" w:name="_Toc216577894"/>
      <w:r w:rsidRPr="00B379F3">
        <w:t>Identification and Critique of Entry Modes</w:t>
      </w:r>
      <w:bookmarkEnd w:id="4"/>
    </w:p>
    <w:p w14:paraId="781616A5" w14:textId="707E6B6E" w:rsidR="00B379F3" w:rsidRDefault="00B379F3" w:rsidP="00B379F3">
      <w:r>
        <w:t xml:space="preserve">BYD employs a market entry strategy that is multi-staged and geographically spread which is </w:t>
      </w:r>
      <w:proofErr w:type="spellStart"/>
      <w:r>
        <w:t>criticised</w:t>
      </w:r>
      <w:proofErr w:type="spellEnd"/>
      <w:r>
        <w:t xml:space="preserve"> here on the European market:</w:t>
      </w:r>
    </w:p>
    <w:p w14:paraId="12881A29" w14:textId="34C3AE01" w:rsidR="00B379F3" w:rsidRDefault="00B379F3" w:rsidP="00B379F3">
      <w:r>
        <w:t>Exporting (Initial/ Volatile Commitment): This was the first passenger mode in the whole of Europe. It is the fastest way to the market, and it has the lowest cost of starting capital (</w:t>
      </w:r>
      <w:proofErr w:type="spellStart"/>
      <w:r>
        <w:t>Shenkar</w:t>
      </w:r>
      <w:proofErr w:type="spellEnd"/>
      <w:r>
        <w:t xml:space="preserve"> et </w:t>
      </w:r>
      <w:r>
        <w:lastRenderedPageBreak/>
        <w:t>al., 2021). But it is now commercially exposed, since the EU (and Poland included) are retaliating with an anti-subsidy investigation that has heaped punishment tariffs of 27- to 38-percent on full-built units exported into EU member countries (Haas, 2025). This complicated cost of transaction makes this mode untenable to BYD’s low-cost strategy.</w:t>
      </w:r>
    </w:p>
    <w:p w14:paraId="2C179B6B" w14:textId="51F73288" w:rsidR="00B379F3" w:rsidRDefault="00B379F3" w:rsidP="00B379F3">
      <w:r>
        <w:t xml:space="preserve">Strategic Alliance and Distribution (Present Polish Model): BYD has chosen to use partnership with local dealer networks and strategic alliances in Poland (i.e. the 50 vehicles alliance plus the electric taxi before Warsaw with FREE NOW) (Ujazdowski, 2025). It takes advantage of local market intelligence and current distribution infrastructure and increases brand presence faster (BYD, 2020; Ujazdowski, 2025). Nonetheless, this mode is associated with a weak containment of the most important after-sales service and quality assurance required to establish a trust in a high Uncertainty Avoidance market such as Poland and is a major drawback to brand equity in the long term (JATO Dynamics, 2025; </w:t>
      </w:r>
      <w:proofErr w:type="spellStart"/>
      <w:r>
        <w:t>Wojcik</w:t>
      </w:r>
      <w:proofErr w:type="spellEnd"/>
      <w:r>
        <w:t xml:space="preserve"> and </w:t>
      </w:r>
      <w:proofErr w:type="spellStart"/>
      <w:r>
        <w:t>Debaczynska</w:t>
      </w:r>
      <w:proofErr w:type="spellEnd"/>
      <w:r>
        <w:t>, 2019).</w:t>
      </w:r>
    </w:p>
    <w:p w14:paraId="6F076657" w14:textId="135A60E7" w:rsidR="00B379F3" w:rsidRDefault="00B379F3" w:rsidP="00B379F3">
      <w:r>
        <w:t>Foreign Direct Investment (FDI) - Greenfield (Long-Term Strategy): The passenger vehicle manufacturing plant in Szeged, Hungary, can be considered the topmost commitment (Greenfield FDI) in the CEE territory (</w:t>
      </w:r>
      <w:proofErr w:type="spellStart"/>
      <w:r>
        <w:t>LayWen</w:t>
      </w:r>
      <w:proofErr w:type="spellEnd"/>
      <w:r>
        <w:t xml:space="preserve">, 2025). Although geographically situated outside of Poland, this facility is the most important strategic entry mode to serve the Polish market and make BYD a geographically tax-free "Made in Europe" manufacturer, which will allow avoiding both tariffs and </w:t>
      </w:r>
      <w:proofErr w:type="spellStart"/>
      <w:r>
        <w:t>maximising</w:t>
      </w:r>
      <w:proofErr w:type="spellEnd"/>
      <w:r>
        <w:t xml:space="preserve"> </w:t>
      </w:r>
      <w:proofErr w:type="spellStart"/>
      <w:r>
        <w:t>Internalisation</w:t>
      </w:r>
      <w:proofErr w:type="spellEnd"/>
      <w:r>
        <w:t xml:space="preserve"> benefits (Haas, 2025; </w:t>
      </w:r>
      <w:proofErr w:type="spellStart"/>
      <w:r>
        <w:t>LayWen</w:t>
      </w:r>
      <w:proofErr w:type="spellEnd"/>
      <w:r>
        <w:t>, 2025).</w:t>
      </w:r>
    </w:p>
    <w:p w14:paraId="09EDFC17" w14:textId="5F12918D" w:rsidR="00B379F3" w:rsidRDefault="00B379F3" w:rsidP="00B379F3">
      <w:r>
        <w:t>The prevailing strategic mode is resolutory shift to high-commitment FDI so as to be resilient to trade barriers and be able to yield long-term access to market across the EU.</w:t>
      </w:r>
    </w:p>
    <w:p w14:paraId="0804E984" w14:textId="62EADD44" w:rsidR="00B379F3" w:rsidRDefault="00B379F3" w:rsidP="003A2B0F">
      <w:pPr>
        <w:pStyle w:val="Heading2"/>
        <w:numPr>
          <w:ilvl w:val="1"/>
          <w:numId w:val="3"/>
        </w:numPr>
      </w:pPr>
      <w:bookmarkStart w:id="5" w:name="_Toc216577895"/>
      <w:r w:rsidRPr="00B379F3">
        <w:t>Key Benefits and Challenges from International Operations</w:t>
      </w:r>
      <w:bookmarkEnd w:id="5"/>
    </w:p>
    <w:p w14:paraId="08CA27A2" w14:textId="5BC4855D" w:rsidR="00B379F3" w:rsidRDefault="00B379F3" w:rsidP="003A2B0F">
      <w:pPr>
        <w:pStyle w:val="Heading3"/>
        <w:numPr>
          <w:ilvl w:val="2"/>
          <w:numId w:val="3"/>
        </w:numPr>
      </w:pPr>
      <w:bookmarkStart w:id="6" w:name="_Toc216577896"/>
      <w:r>
        <w:t>Benefits</w:t>
      </w:r>
      <w:bookmarkEnd w:id="6"/>
    </w:p>
    <w:p w14:paraId="30BDD4FE" w14:textId="1D3D366D" w:rsidR="00B379F3" w:rsidRDefault="00B379F3" w:rsidP="00B379F3">
      <w:r w:rsidRPr="003A2B0F">
        <w:rPr>
          <w:i/>
          <w:iCs/>
        </w:rPr>
        <w:t>Geopolitical Resilience and Tariff Avoidance:</w:t>
      </w:r>
      <w:r>
        <w:t xml:space="preserve"> The Hungarian FDI is one of the directories that circumvent the mounting protectionist trends prevalent in Europe and the Americas using a strategy known as Build Where You Sell (Goh and Carey, 2025; Haas, 2025). Local production assures market access without tariffs in the single market of EU.</w:t>
      </w:r>
    </w:p>
    <w:p w14:paraId="22573AA6" w14:textId="505DADD1" w:rsidR="00B379F3" w:rsidRDefault="00B379F3" w:rsidP="00B379F3">
      <w:r w:rsidRPr="003A2B0F">
        <w:rPr>
          <w:i/>
          <w:iCs/>
        </w:rPr>
        <w:t>Cost Leadership and Scale:</w:t>
      </w:r>
      <w:r>
        <w:t xml:space="preserve"> BYD is also effectively implementing the Cost Leadership and Scale in international scale through scale and vertical integration (BS) which help it to absorb higher European </w:t>
      </w:r>
      <w:proofErr w:type="spellStart"/>
      <w:r>
        <w:t>labour</w:t>
      </w:r>
      <w:proofErr w:type="spellEnd"/>
      <w:r>
        <w:t xml:space="preserve"> and continue to exercise cost leadership. This will enable it to offer competitive </w:t>
      </w:r>
      <w:r>
        <w:lastRenderedPageBreak/>
        <w:t>prices in such markets as Poland where affordability has been a major buying factor (Zhang, 2024; JATO Dynamics, 2025).</w:t>
      </w:r>
    </w:p>
    <w:p w14:paraId="3013E2C2" w14:textId="7D473C79" w:rsidR="00B379F3" w:rsidRDefault="00B379F3" w:rsidP="00B379F3">
      <w:r w:rsidRPr="003A2B0F">
        <w:rPr>
          <w:i/>
          <w:iCs/>
        </w:rPr>
        <w:t>Market Diversification</w:t>
      </w:r>
      <w:r>
        <w:t xml:space="preserve">: The company is insulated against the declining growth rates and the high price fighting of the crowded Chinese domestic market by expanding internationally where it </w:t>
      </w:r>
      <w:r w:rsidR="003A2B0F">
        <w:t>is targeting</w:t>
      </w:r>
      <w:r>
        <w:t xml:space="preserve"> 1.6 million in foreign sales by 2026 (Goh &amp; Carey, 2025).</w:t>
      </w:r>
    </w:p>
    <w:p w14:paraId="05EEF623" w14:textId="77777777" w:rsidR="00B379F3" w:rsidRDefault="00B379F3" w:rsidP="00B379F3">
      <w:r w:rsidRPr="003A2B0F">
        <w:rPr>
          <w:i/>
          <w:iCs/>
        </w:rPr>
        <w:t>Technological Justification:</w:t>
      </w:r>
      <w:r>
        <w:t xml:space="preserve"> BYD has no choice but to comply with the most challenging regulatory conditions in the EU, which increases the safety and environmental standards of the Blade Battery and NEV platform around the world (Zhang, 2024; SCIRP, 2025).</w:t>
      </w:r>
    </w:p>
    <w:p w14:paraId="3B653F08" w14:textId="77777777" w:rsidR="00B379F3" w:rsidRDefault="00B379F3" w:rsidP="00B379F3"/>
    <w:p w14:paraId="6926F762" w14:textId="154C7996" w:rsidR="00B379F3" w:rsidRDefault="00B379F3" w:rsidP="003A2B0F">
      <w:pPr>
        <w:pStyle w:val="Heading3"/>
        <w:numPr>
          <w:ilvl w:val="2"/>
          <w:numId w:val="3"/>
        </w:numPr>
      </w:pPr>
      <w:bookmarkStart w:id="7" w:name="_Toc216577897"/>
      <w:r>
        <w:t>Challenges</w:t>
      </w:r>
      <w:bookmarkEnd w:id="7"/>
    </w:p>
    <w:p w14:paraId="2A0DD634" w14:textId="3F1231BE" w:rsidR="00B379F3" w:rsidRDefault="00B379F3" w:rsidP="00B379F3">
      <w:r w:rsidRPr="003A2B0F">
        <w:rPr>
          <w:i/>
          <w:iCs/>
        </w:rPr>
        <w:t>EU Tariffs (Geopolitical):</w:t>
      </w:r>
      <w:r>
        <w:t xml:space="preserve"> The threat of the 27% to 38% tariff imposed on exported Chinese EVs remains the most acute problem, and it directly interferes with the balance of prices of the models shipped to Poland to date, which has limited the company in terms of the fast acquisition of the market (Haas, 2025).</w:t>
      </w:r>
    </w:p>
    <w:p w14:paraId="65C4C9A8" w14:textId="380B1AB1" w:rsidR="00B379F3" w:rsidRDefault="00B379F3" w:rsidP="00B379F3">
      <w:r w:rsidRPr="003A2B0F">
        <w:rPr>
          <w:i/>
          <w:iCs/>
        </w:rPr>
        <w:t>Liability of Foreignness and Brand Trust:</w:t>
      </w:r>
      <w:r>
        <w:t xml:space="preserve"> BYD is fighting the lack of reputation of a Chinese newcomer to the European market that is dominated by Westerners. Such a challenge is sharp in Poland (high Uncertainty Avoidance culture) where people prefer already tested, developed reliability among consumers (</w:t>
      </w:r>
      <w:proofErr w:type="spellStart"/>
      <w:r>
        <w:t>Wojcik</w:t>
      </w:r>
      <w:proofErr w:type="spellEnd"/>
      <w:r>
        <w:t xml:space="preserve"> and </w:t>
      </w:r>
      <w:proofErr w:type="spellStart"/>
      <w:r>
        <w:t>Debczynska</w:t>
      </w:r>
      <w:proofErr w:type="spellEnd"/>
      <w:r>
        <w:t>, 2019; JATO Dynamics, 2025).</w:t>
      </w:r>
    </w:p>
    <w:p w14:paraId="495AFB8A" w14:textId="41241A40" w:rsidR="00B379F3" w:rsidRDefault="00B379F3" w:rsidP="00B379F3">
      <w:r w:rsidRPr="003A2B0F">
        <w:rPr>
          <w:i/>
          <w:iCs/>
        </w:rPr>
        <w:t>Service Delay (Poland Specific):</w:t>
      </w:r>
      <w:r>
        <w:t xml:space="preserve"> The Polish charging network lacks the structural deficit of only 3% EV market penetration, and the paltry public charging capacity seriously undermines the mass consumer adoption and exacerbates BYD efforts to sell pure Battery Electric Vehicles (BEVs) to consumers (PSNM, 2025; Mobility Portal Europe, 2025).</w:t>
      </w:r>
    </w:p>
    <w:p w14:paraId="4270ABBC" w14:textId="77777777" w:rsidR="00B379F3" w:rsidRDefault="00B379F3" w:rsidP="00B379F3">
      <w:r w:rsidRPr="003A2B0F">
        <w:rPr>
          <w:i/>
          <w:iCs/>
        </w:rPr>
        <w:t>Policy Inconsistency:</w:t>
      </w:r>
      <w:r>
        <w:t xml:space="preserve"> EV incentives provided by Polish government are not always clear and subsequent, and they do not include businesses (70% of all new vehicles are sold by them) that make them less predictable to consumers and investors alike (PSNM, 2025).</w:t>
      </w:r>
    </w:p>
    <w:p w14:paraId="3DD75820" w14:textId="500DAF74" w:rsidR="00B379F3" w:rsidRDefault="00B379F3" w:rsidP="003A2B0F">
      <w:pPr>
        <w:pStyle w:val="Heading1"/>
        <w:numPr>
          <w:ilvl w:val="0"/>
          <w:numId w:val="3"/>
        </w:numPr>
      </w:pPr>
      <w:bookmarkStart w:id="8" w:name="_Toc216577898"/>
      <w:r w:rsidRPr="00B379F3">
        <w:lastRenderedPageBreak/>
        <w:t>Critically discuss how the OLI factors impact the international market entry mode for the China-Poland pair</w:t>
      </w:r>
      <w:bookmarkEnd w:id="8"/>
      <w:r w:rsidRPr="00B379F3">
        <w:t xml:space="preserve"> </w:t>
      </w:r>
    </w:p>
    <w:p w14:paraId="7D425C57" w14:textId="4911F992" w:rsidR="006C670B" w:rsidRDefault="006C670B" w:rsidP="006C670B">
      <w:r>
        <w:t xml:space="preserve">The move to serve Poland through a temporary low-equity operation alongside permanent production in Hungary is a classic case study of How to </w:t>
      </w:r>
      <w:proofErr w:type="spellStart"/>
      <w:r>
        <w:t>optimise</w:t>
      </w:r>
      <w:proofErr w:type="spellEnd"/>
      <w:r>
        <w:t xml:space="preserve"> to risks and returns in a changing environment through leverage of the OLI Paradigm (</w:t>
      </w:r>
      <w:proofErr w:type="spellStart"/>
      <w:r>
        <w:t>Batschauer</w:t>
      </w:r>
      <w:proofErr w:type="spellEnd"/>
      <w:r>
        <w:t xml:space="preserve"> da Cruz et al., 2022). The discussion proves that high-commitment FDI is eventually required with the aim of </w:t>
      </w:r>
      <w:proofErr w:type="spellStart"/>
      <w:r>
        <w:t>optimising</w:t>
      </w:r>
      <w:proofErr w:type="spellEnd"/>
      <w:r>
        <w:t xml:space="preserve"> the distinctive TNC benefits of BYD.</w:t>
      </w:r>
    </w:p>
    <w:p w14:paraId="4F08D705" w14:textId="75DD6253" w:rsidR="00645456" w:rsidRDefault="006C670B" w:rsidP="006C670B">
      <w:r>
        <w:t xml:space="preserve">The use of the Ownership, Location, </w:t>
      </w:r>
      <w:proofErr w:type="spellStart"/>
      <w:r>
        <w:t>Internalisation</w:t>
      </w:r>
      <w:proofErr w:type="spellEnd"/>
      <w:r>
        <w:t xml:space="preserve"> (OLI) Paradigm helps in comprehending the logic of selecting an entry mode that BYD opted to use into the international market. According to the model, Foreign Direct Investment (FDI) can only be </w:t>
      </w:r>
      <w:proofErr w:type="spellStart"/>
      <w:r>
        <w:t>realised</w:t>
      </w:r>
      <w:proofErr w:type="spellEnd"/>
      <w:r>
        <w:t xml:space="preserve"> when a company has decisive Ownership (O) advantages over its local competitors, has appropriate Location (L) advantages in the host market, and derives adequate benefits by </w:t>
      </w:r>
      <w:proofErr w:type="spellStart"/>
      <w:r>
        <w:t>Internalising</w:t>
      </w:r>
      <w:proofErr w:type="spellEnd"/>
      <w:r>
        <w:t xml:space="preserve"> (I) production and governance (</w:t>
      </w:r>
      <w:proofErr w:type="spellStart"/>
      <w:r>
        <w:t>Batschauer</w:t>
      </w:r>
      <w:proofErr w:type="spellEnd"/>
      <w:r>
        <w:t xml:space="preserve"> da Cruz et al., 2022). In the case of the China-Poland axis, this framework shows that although the first low-equity distribution model (BYD, 2020) was fast, it failed miserably to reflect the required I and L benefits. Therefore, the successful exploitation of the high-commitment FDI that is already established in the area, in Hungary, to protect O-assets to the maximum and reduce the high tariff risks and cultural isolation that the CEE region is </w:t>
      </w:r>
      <w:proofErr w:type="spellStart"/>
      <w:r>
        <w:t>characterised</w:t>
      </w:r>
      <w:proofErr w:type="spellEnd"/>
      <w:r>
        <w:t xml:space="preserve"> by is a determinant </w:t>
      </w:r>
      <w:r>
        <w:lastRenderedPageBreak/>
        <w:t>of the long-term strategic feasibility of BYD in Poland (Luo, 2021; Zhang, 2024).</w:t>
      </w:r>
      <w:r w:rsidR="00645456">
        <w:rPr>
          <w:noProof/>
        </w:rPr>
        <w:drawing>
          <wp:inline distT="0" distB="0" distL="0" distR="0" wp14:anchorId="6D194516" wp14:editId="012608D0">
            <wp:extent cx="4400550" cy="3810000"/>
            <wp:effectExtent l="0" t="0" r="0" b="0"/>
            <wp:docPr id="1004695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469512" name="Picture 100469512"/>
                    <pic:cNvPicPr/>
                  </pic:nvPicPr>
                  <pic:blipFill rotWithShape="1">
                    <a:blip r:embed="rId9">
                      <a:extLst>
                        <a:ext uri="{28A0092B-C50C-407E-A947-70E740481C1C}">
                          <a14:useLocalDpi xmlns:a14="http://schemas.microsoft.com/office/drawing/2010/main" val="0"/>
                        </a:ext>
                      </a:extLst>
                    </a:blip>
                    <a:srcRect b="13420"/>
                    <a:stretch>
                      <a:fillRect/>
                    </a:stretch>
                  </pic:blipFill>
                  <pic:spPr bwMode="auto">
                    <a:xfrm>
                      <a:off x="0" y="0"/>
                      <a:ext cx="4400550" cy="3810000"/>
                    </a:xfrm>
                    <a:prstGeom prst="rect">
                      <a:avLst/>
                    </a:prstGeom>
                    <a:ln>
                      <a:noFill/>
                    </a:ln>
                    <a:extLst>
                      <a:ext uri="{53640926-AAD7-44D8-BBD7-CCE9431645EC}">
                        <a14:shadowObscured xmlns:a14="http://schemas.microsoft.com/office/drawing/2010/main"/>
                      </a:ext>
                    </a:extLst>
                  </pic:spPr>
                </pic:pic>
              </a:graphicData>
            </a:graphic>
          </wp:inline>
        </w:drawing>
      </w:r>
    </w:p>
    <w:p w14:paraId="01E3DBF1" w14:textId="65546AF8" w:rsidR="00B379F3" w:rsidRDefault="00B379F3" w:rsidP="00B379F3">
      <w:pPr>
        <w:pStyle w:val="Heading2"/>
        <w:numPr>
          <w:ilvl w:val="1"/>
          <w:numId w:val="3"/>
        </w:numPr>
      </w:pPr>
      <w:bookmarkStart w:id="9" w:name="_Toc216577899"/>
      <w:r w:rsidRPr="00B379F3">
        <w:t xml:space="preserve">Ownership (O) Advantages and </w:t>
      </w:r>
      <w:proofErr w:type="spellStart"/>
      <w:r w:rsidRPr="00B379F3">
        <w:t>Internationalisation</w:t>
      </w:r>
      <w:bookmarkEnd w:id="9"/>
      <w:proofErr w:type="spellEnd"/>
    </w:p>
    <w:p w14:paraId="54EFB802" w14:textId="7AF1B69F" w:rsidR="00B379F3" w:rsidRDefault="00B379F3" w:rsidP="00B379F3">
      <w:r>
        <w:t>The three main FSAs of BYD maintain the competitive advantage over the well-established European market competitors:</w:t>
      </w:r>
    </w:p>
    <w:p w14:paraId="581815C4" w14:textId="25F7D977" w:rsidR="00B379F3" w:rsidRDefault="00B379F3" w:rsidP="00B379F3">
      <w:r>
        <w:t xml:space="preserve">Unique Battery Technology: BYD owns patents on the Blade Battery, which is unique and the core of BYD (Zhang, 2024). It is a better technological asset and seeks to give a tangible safety and performance advantage (BYD, 2022). This intransitivity implies that BYD cannot allow control to escape through non-transfer commitment such as </w:t>
      </w:r>
      <w:proofErr w:type="spellStart"/>
      <w:r>
        <w:t>licencing</w:t>
      </w:r>
      <w:proofErr w:type="spellEnd"/>
      <w:r>
        <w:t>, so it is forced to engage in equity investment (</w:t>
      </w:r>
      <w:proofErr w:type="spellStart"/>
      <w:r>
        <w:t>Batschauer</w:t>
      </w:r>
      <w:proofErr w:type="spellEnd"/>
      <w:r>
        <w:t xml:space="preserve"> da Cruz et al., 2022; Zhang, 2024).</w:t>
      </w:r>
    </w:p>
    <w:p w14:paraId="5CB1B93E" w14:textId="15287B1F" w:rsidR="00B379F3" w:rsidRDefault="00B379F3" w:rsidP="00B379F3">
      <w:r>
        <w:t>Vertical Integration and Cost Leadership: BYD manufactures almost everything in-house which enables the company to obtain big economies of scale. The cost leadership will allow the firm to competitively sell its cars in the CEE market even with the logistical expenses involved in importing these types of vehicles (Zhang, 2024). This competitive advantage is quite valuable, scarce, and imitable (VRI), and it is paramount to retain this advantage via the in-house control (Munjal, 2024).</w:t>
      </w:r>
    </w:p>
    <w:p w14:paraId="4199DF91" w14:textId="4D0820B0" w:rsidR="00B379F3" w:rsidRDefault="00B379F3" w:rsidP="00B379F3">
      <w:r>
        <w:lastRenderedPageBreak/>
        <w:t>Strategic Flexibility (PHEV Focus): O-advantage ideal when it comes to the Polish market is the inherent capability of BYD to manufacture both BEVS and Plug-in Hybrid Electric Vehicles (PHEVs) (BYD, 2022) as it would be installed in the country’s infrastructure (PSNM, 2025). An introduction of PHEVs (as the Seal U) will enable BYD to enter the market within a short time and persuade customers who are being reluctant to fully adopt BEVs (JATO Dynamics, 2025).</w:t>
      </w:r>
    </w:p>
    <w:p w14:paraId="4722968A" w14:textId="77777777" w:rsidR="00B379F3" w:rsidRDefault="00B379F3" w:rsidP="00B379F3">
      <w:r>
        <w:t>These O-advantages are large enough that it necessitates FDI (either WOS or majority JV) in order to avoid the leakage of IP and the profitable export of its VRI assets to the European operating environment (Munjal, 2024).</w:t>
      </w:r>
    </w:p>
    <w:p w14:paraId="27253E8B" w14:textId="6A0DA58A" w:rsidR="00B379F3" w:rsidRDefault="00B379F3" w:rsidP="003A2B0F">
      <w:pPr>
        <w:pStyle w:val="Heading2"/>
        <w:numPr>
          <w:ilvl w:val="1"/>
          <w:numId w:val="3"/>
        </w:numPr>
      </w:pPr>
      <w:bookmarkStart w:id="10" w:name="_Toc216577900"/>
      <w:r w:rsidRPr="00B379F3">
        <w:t>Location (L) Advantages of Poland and the CEE Anchor</w:t>
      </w:r>
      <w:bookmarkEnd w:id="10"/>
    </w:p>
    <w:p w14:paraId="722DC46C" w14:textId="28948077" w:rsidR="00B379F3" w:rsidRDefault="00B379F3" w:rsidP="00B379F3">
      <w:r>
        <w:t>The strategic decision depends upon the difference between the market possibilities in Poland and the production possibility in Hungary:</w:t>
      </w:r>
    </w:p>
    <w:p w14:paraId="3293B36E" w14:textId="066A7A3A" w:rsidR="006C670B" w:rsidRPr="006C670B" w:rsidRDefault="00B379F3" w:rsidP="006C670B">
      <w:r>
        <w:t xml:space="preserve">Poland Market LSA: Poland is a large market geographically situated in the </w:t>
      </w:r>
      <w:proofErr w:type="spellStart"/>
      <w:r>
        <w:t>centre</w:t>
      </w:r>
      <w:proofErr w:type="spellEnd"/>
      <w:r>
        <w:t xml:space="preserve"> of CEE which has a massive market-seeking potential as more individuals adopt EV (PSNM, 2025). Its location being one of the key logistical crossroads to the China-Europe rail route gives it easy access to components and finished vehicles (</w:t>
      </w:r>
      <w:proofErr w:type="spellStart"/>
      <w:r>
        <w:t>Proń</w:t>
      </w:r>
      <w:proofErr w:type="spellEnd"/>
      <w:r>
        <w:t xml:space="preserve">, 2024). Nevertheless, the downsides presently, namely, the low EV adoption rate (3%), insufficient and uneven government subsidies, and a significant lack of charging infrastructure (PSNM, 2025; Mobility Portal Europe, 2025) </w:t>
      </w:r>
      <w:r w:rsidR="006C670B" w:rsidRPr="006C670B">
        <w:t>temporarily dampen the immediate appeal of market-seeking FDI within Poland itself. Furthermore, the overall BEV passenger market shrank by 4%</w:t>
      </w:r>
      <w:r w:rsidR="006C670B">
        <w:t xml:space="preserve"> </w:t>
      </w:r>
      <w:r w:rsidR="006C670B" w:rsidRPr="006C670B">
        <w:t>in 2024 (PSNM, 2025</w:t>
      </w:r>
      <w:r w:rsidR="006C670B">
        <w:t>).</w:t>
      </w:r>
    </w:p>
    <w:p w14:paraId="43349625" w14:textId="77777777" w:rsidR="008F431F" w:rsidRDefault="006C670B" w:rsidP="008F431F">
      <w:pPr>
        <w:keepNext/>
      </w:pPr>
      <w:r>
        <w:rPr>
          <w:noProof/>
        </w:rPr>
        <w:drawing>
          <wp:inline distT="0" distB="0" distL="0" distR="0" wp14:anchorId="66C4263E" wp14:editId="63133D03">
            <wp:extent cx="4371975" cy="2316380"/>
            <wp:effectExtent l="0" t="0" r="0" b="8255"/>
            <wp:docPr id="116170644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381679" cy="2321521"/>
                    </a:xfrm>
                    <a:prstGeom prst="rect">
                      <a:avLst/>
                    </a:prstGeom>
                    <a:noFill/>
                  </pic:spPr>
                </pic:pic>
              </a:graphicData>
            </a:graphic>
          </wp:inline>
        </w:drawing>
      </w:r>
    </w:p>
    <w:p w14:paraId="14AAAB94" w14:textId="21AE72E1" w:rsidR="006C670B" w:rsidRDefault="008F431F" w:rsidP="008F431F">
      <w:pPr>
        <w:pStyle w:val="Caption"/>
      </w:pPr>
      <w:r>
        <w:t xml:space="preserve">Figure </w:t>
      </w:r>
      <w:r>
        <w:fldChar w:fldCharType="begin"/>
      </w:r>
      <w:r>
        <w:instrText xml:space="preserve"> SEQ Figure \* ARABIC </w:instrText>
      </w:r>
      <w:r>
        <w:fldChar w:fldCharType="separate"/>
      </w:r>
      <w:r w:rsidR="00CF5601">
        <w:rPr>
          <w:noProof/>
        </w:rPr>
        <w:t>3</w:t>
      </w:r>
      <w:r>
        <w:fldChar w:fldCharType="end"/>
      </w:r>
      <w:r>
        <w:t xml:space="preserve">: </w:t>
      </w:r>
      <w:r w:rsidRPr="00B93B89">
        <w:t>Decline in New Fully Electric Vehicle (BEV) Registrations in Poland (Jan-Nov 2024 vs. 2023)</w:t>
      </w:r>
    </w:p>
    <w:p w14:paraId="04C6FC32" w14:textId="1F3C74E8" w:rsidR="008F431F" w:rsidRDefault="008F431F" w:rsidP="00B379F3">
      <w:r w:rsidRPr="008F431F">
        <w:lastRenderedPageBreak/>
        <w:t>Such a shrinkage of the market coupled with the poor 3 per cent EV penetration and the long-lasting variations in subsidies warrant BYD to avoid these domestic shortcomings by strategically basing its manufacturing in Hungary. The Hungarian FDI is then the safe, tariff obeying source of supply to eventually seize the Polish L-Advantage.</w:t>
      </w:r>
    </w:p>
    <w:p w14:paraId="2B7B4E1A" w14:textId="7FB2ADEB" w:rsidR="00B379F3" w:rsidRDefault="00B379F3" w:rsidP="00B379F3">
      <w:r>
        <w:t xml:space="preserve">LSA Production Hungary has </w:t>
      </w:r>
      <w:proofErr w:type="spellStart"/>
      <w:r>
        <w:t>favourable</w:t>
      </w:r>
      <w:proofErr w:type="spellEnd"/>
      <w:r>
        <w:t xml:space="preserve"> financial benefits, proactive government policies, and central position within the EU customs territory, which is why BYD chose Hungary (</w:t>
      </w:r>
      <w:proofErr w:type="spellStart"/>
      <w:r>
        <w:t>LayWen</w:t>
      </w:r>
      <w:proofErr w:type="spellEnd"/>
      <w:r>
        <w:t xml:space="preserve">, 2025; </w:t>
      </w:r>
      <w:proofErr w:type="spellStart"/>
      <w:r>
        <w:t>Munjal</w:t>
      </w:r>
      <w:proofErr w:type="spellEnd"/>
      <w:r>
        <w:t>, 2024). This gives the much-needed Production/Efficiency-Seeking LSA.</w:t>
      </w:r>
    </w:p>
    <w:p w14:paraId="346FF6A4" w14:textId="77777777" w:rsidR="00B379F3" w:rsidRDefault="00B379F3" w:rsidP="00B379F3">
      <w:r>
        <w:t xml:space="preserve">The strategic option is to </w:t>
      </w:r>
      <w:proofErr w:type="spellStart"/>
      <w:r>
        <w:t>hybridise</w:t>
      </w:r>
      <w:proofErr w:type="spellEnd"/>
      <w:r>
        <w:t xml:space="preserve"> them: BYD </w:t>
      </w:r>
      <w:proofErr w:type="spellStart"/>
      <w:r>
        <w:t>capitalises</w:t>
      </w:r>
      <w:proofErr w:type="spellEnd"/>
      <w:r>
        <w:t xml:space="preserve"> on the political and economic stability of Hungary to implement its FDI and, in its turn, employs that manufacturing foundation to cater to the market-seeking opportunity in Poland, out of the heavy tariff charges (Haas, 2025). This type of </w:t>
      </w:r>
      <w:proofErr w:type="spellStart"/>
      <w:r>
        <w:t>regionalisation</w:t>
      </w:r>
      <w:proofErr w:type="spellEnd"/>
      <w:r>
        <w:t xml:space="preserve"> leads to maximum L-Advantage of the CEE without taking the risks of constructing the main factory in the already unstable Polish regulatory climate.</w:t>
      </w:r>
    </w:p>
    <w:p w14:paraId="59676408" w14:textId="77777777" w:rsidR="008F431F" w:rsidRDefault="008F431F" w:rsidP="008F431F">
      <w:pPr>
        <w:keepNext/>
      </w:pPr>
      <w:r>
        <w:rPr>
          <w:noProof/>
        </w:rPr>
        <w:drawing>
          <wp:inline distT="0" distB="0" distL="0" distR="0" wp14:anchorId="73CF4C5B" wp14:editId="6AD368BD">
            <wp:extent cx="4676775" cy="2601283"/>
            <wp:effectExtent l="0" t="0" r="0" b="8890"/>
            <wp:docPr id="1838569876"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682371" cy="2604395"/>
                    </a:xfrm>
                    <a:prstGeom prst="rect">
                      <a:avLst/>
                    </a:prstGeom>
                    <a:noFill/>
                  </pic:spPr>
                </pic:pic>
              </a:graphicData>
            </a:graphic>
          </wp:inline>
        </w:drawing>
      </w:r>
    </w:p>
    <w:p w14:paraId="615F46F5" w14:textId="27675E94" w:rsidR="008F431F" w:rsidRDefault="008F431F" w:rsidP="008F431F">
      <w:pPr>
        <w:pStyle w:val="Caption"/>
      </w:pPr>
      <w:r>
        <w:t xml:space="preserve">Figure </w:t>
      </w:r>
      <w:r>
        <w:fldChar w:fldCharType="begin"/>
      </w:r>
      <w:r>
        <w:instrText xml:space="preserve"> SEQ Figure \* ARABIC </w:instrText>
      </w:r>
      <w:r>
        <w:fldChar w:fldCharType="separate"/>
      </w:r>
      <w:r w:rsidR="00CF5601">
        <w:rPr>
          <w:noProof/>
        </w:rPr>
        <w:t>4</w:t>
      </w:r>
      <w:r>
        <w:fldChar w:fldCharType="end"/>
      </w:r>
      <w:r>
        <w:t xml:space="preserve">: </w:t>
      </w:r>
      <w:r w:rsidRPr="004767BE">
        <w:t>Zero-Emission Bus Registrations in Poland (Jan-Nov 2024 vs. 2023).</w:t>
      </w:r>
    </w:p>
    <w:p w14:paraId="71FA45B2" w14:textId="105B4E76" w:rsidR="008F431F" w:rsidRPr="008F431F" w:rsidRDefault="008F431F" w:rsidP="008F431F">
      <w:r w:rsidRPr="008F431F">
        <w:t>The year of year decline in BEV bus registrations reached 41 percent (300 to 178 units), which illustrates the high risk in the market, as well as the inconsistency of the policies in the Polish public transport electrification segment.</w:t>
      </w:r>
    </w:p>
    <w:p w14:paraId="1F3D8B19" w14:textId="2D188D61" w:rsidR="00B379F3" w:rsidRDefault="00B379F3" w:rsidP="003A2B0F">
      <w:pPr>
        <w:pStyle w:val="Heading2"/>
        <w:numPr>
          <w:ilvl w:val="1"/>
          <w:numId w:val="3"/>
        </w:numPr>
      </w:pPr>
      <w:bookmarkStart w:id="11" w:name="_Toc216577901"/>
      <w:proofErr w:type="spellStart"/>
      <w:r w:rsidRPr="00B379F3">
        <w:t>Internalisation</w:t>
      </w:r>
      <w:proofErr w:type="spellEnd"/>
      <w:r w:rsidRPr="00B379F3">
        <w:t xml:space="preserve"> (I) Advantages and the FDI Justification</w:t>
      </w:r>
      <w:bookmarkEnd w:id="11"/>
    </w:p>
    <w:p w14:paraId="0DFE60DB" w14:textId="21F4A047" w:rsidR="00B379F3" w:rsidRDefault="00B379F3" w:rsidP="00B379F3">
      <w:r>
        <w:t>The choice in terms of full manufacturing control (</w:t>
      </w:r>
      <w:proofErr w:type="spellStart"/>
      <w:r>
        <w:t>Internalisation</w:t>
      </w:r>
      <w:proofErr w:type="spellEnd"/>
      <w:r>
        <w:t>) is the fundamental tool of surmounting external market imperfection and establishing BYD (Dunning, 1988; Luo, 2021).</w:t>
      </w:r>
    </w:p>
    <w:p w14:paraId="27282DD9" w14:textId="0C710675" w:rsidR="00B379F3" w:rsidRDefault="00B379F3" w:rsidP="00B379F3">
      <w:r>
        <w:lastRenderedPageBreak/>
        <w:t>Tariff Avoidance (Cost Imperfection): the EU tariff risk on imports is the highest transaction cost risk amounting to 27 per cent to 38 per cent (Haas, 2025). Incorporating production in Hungary, BYD will avoid totaling this colossal external transaction cost, retaining its cost leadership (O-Advantage) and render its NEVs affordable in Poland (</w:t>
      </w:r>
      <w:proofErr w:type="spellStart"/>
      <w:r>
        <w:t>LayWen</w:t>
      </w:r>
      <w:proofErr w:type="spellEnd"/>
      <w:r>
        <w:t>, 2025).</w:t>
      </w:r>
    </w:p>
    <w:p w14:paraId="2D3842C0" w14:textId="67117358" w:rsidR="00B379F3" w:rsidRDefault="00B379F3" w:rsidP="00B379F3">
      <w:r>
        <w:t xml:space="preserve">IP Protection and Quality Control: IP cores (Blade Battery, control systems) are necessarily at risk of attack due to </w:t>
      </w:r>
      <w:proofErr w:type="spellStart"/>
      <w:r>
        <w:t>licencing</w:t>
      </w:r>
      <w:proofErr w:type="spellEnd"/>
      <w:r>
        <w:t xml:space="preserve"> or even basic distribution alliances (Zhang, 2024). Moreover, quality is the key to winning the Liability of Foreignness in high Uncertainty Avoidance Poland (</w:t>
      </w:r>
      <w:proofErr w:type="spellStart"/>
      <w:r>
        <w:t>Wójcik</w:t>
      </w:r>
      <w:proofErr w:type="spellEnd"/>
      <w:r>
        <w:t xml:space="preserve"> and </w:t>
      </w:r>
      <w:proofErr w:type="spellStart"/>
      <w:r>
        <w:t>Dębczyńska</w:t>
      </w:r>
      <w:proofErr w:type="spellEnd"/>
      <w:r>
        <w:t>, 2019). Outsourcing all the assembly and service training processes means that the quality is expected to be at par across the Polish dealer network and it controls the perception of the brand to the maximum (JATO Dynamics, 2025).</w:t>
      </w:r>
    </w:p>
    <w:p w14:paraId="6BFEE757" w14:textId="51A033C6" w:rsidR="00B379F3" w:rsidRDefault="00B379F3" w:rsidP="00B379F3">
      <w:r>
        <w:t>Supply Chain Co-ordination: BYD has a vertically integrated supply chain, which is challenging to align through market contracts (</w:t>
      </w:r>
      <w:proofErr w:type="spellStart"/>
      <w:r>
        <w:t>Shenkar</w:t>
      </w:r>
      <w:proofErr w:type="spellEnd"/>
      <w:r>
        <w:t xml:space="preserve"> et al., 2021). FDI also enables BYD to easily control the supply of Chinese parts (through the China-Europe rail passage) to the Hungarian assembly facility and </w:t>
      </w:r>
      <w:proofErr w:type="spellStart"/>
      <w:r>
        <w:t>optimise</w:t>
      </w:r>
      <w:proofErr w:type="spellEnd"/>
      <w:r>
        <w:t xml:space="preserve"> the value chain to Polish clients (</w:t>
      </w:r>
      <w:proofErr w:type="spellStart"/>
      <w:r>
        <w:t>Proń</w:t>
      </w:r>
      <w:proofErr w:type="spellEnd"/>
      <w:r>
        <w:t>, 2024).</w:t>
      </w:r>
    </w:p>
    <w:p w14:paraId="2CFDDE55" w14:textId="77777777" w:rsidR="00B379F3" w:rsidRDefault="00B379F3" w:rsidP="00B379F3">
      <w:r>
        <w:t>The strategic shift of the existing Polish model of distribution towards FDI (through Hungary) is critically grounded on the necessity to reap tariff avoidance (I), command core technology (O) and quash the imperfect state of business regulations (L).</w:t>
      </w:r>
    </w:p>
    <w:p w14:paraId="29DA28B5" w14:textId="4473B2A0" w:rsidR="00B379F3" w:rsidRDefault="00B379F3" w:rsidP="003A2B0F">
      <w:pPr>
        <w:pStyle w:val="Heading1"/>
        <w:numPr>
          <w:ilvl w:val="0"/>
          <w:numId w:val="3"/>
        </w:numPr>
      </w:pPr>
      <w:bookmarkStart w:id="12" w:name="_Toc216577902"/>
      <w:r w:rsidRPr="00B379F3">
        <w:t>Critical evaluation of cultural differences between China and Poland</w:t>
      </w:r>
      <w:bookmarkEnd w:id="12"/>
      <w:r w:rsidRPr="00B379F3">
        <w:t xml:space="preserve"> </w:t>
      </w:r>
    </w:p>
    <w:p w14:paraId="31586233" w14:textId="77777777" w:rsidR="00B379F3" w:rsidRDefault="00B379F3" w:rsidP="00B379F3">
      <w:r>
        <w:t>The technological and price leadership strategy is not the sole determinant of the success of BYD in Poland but is inseparably connected with managing the cultural divergences inherent in the historical, philosophical and social system of the respective countries (Hofstede, 2011; Minkov and Kaasa, 2022). Poland has a high Uncertainty Avoidance (UAI) and Individualism (IDV) that directly confronts the BYD model of operations that is more of Chinese nature.</w:t>
      </w:r>
    </w:p>
    <w:p w14:paraId="7C873E9B" w14:textId="731CAA72" w:rsidR="00B379F3" w:rsidRDefault="00B379F3" w:rsidP="003A2B0F">
      <w:pPr>
        <w:pStyle w:val="Heading2"/>
        <w:numPr>
          <w:ilvl w:val="1"/>
          <w:numId w:val="3"/>
        </w:numPr>
      </w:pPr>
      <w:bookmarkStart w:id="13" w:name="_Toc216577903"/>
      <w:r w:rsidRPr="00B379F3">
        <w:t>Cultural Context and Hofstede Comparison</w:t>
      </w:r>
      <w:bookmarkEnd w:id="13"/>
      <w:r w:rsidRPr="00B379F3">
        <w:t xml:space="preserve"> </w:t>
      </w:r>
    </w:p>
    <w:p w14:paraId="6B79C42E" w14:textId="341FC3D9" w:rsidR="00B379F3" w:rsidRDefault="00B379F3" w:rsidP="00B379F3">
      <w:r>
        <w:t xml:space="preserve">According to the comparative analysis, </w:t>
      </w:r>
      <w:r w:rsidR="006C670B">
        <w:t>the</w:t>
      </w:r>
      <w:r>
        <w:t xml:space="preserve"> lines of fault between management and consumers lie (Hofstede Insights, 2025):</w:t>
      </w:r>
    </w:p>
    <w:p w14:paraId="56866987" w14:textId="77777777" w:rsidR="003A2B0F" w:rsidRDefault="003A2B0F" w:rsidP="003A2B0F">
      <w:pPr>
        <w:keepNext/>
      </w:pPr>
      <w:r w:rsidRPr="003A2B0F">
        <w:rPr>
          <w:noProof/>
        </w:rPr>
        <w:lastRenderedPageBreak/>
        <w:drawing>
          <wp:inline distT="0" distB="0" distL="0" distR="0" wp14:anchorId="7FAD08E2" wp14:editId="7E4974EC">
            <wp:extent cx="5943600" cy="3041650"/>
            <wp:effectExtent l="0" t="0" r="0" b="6350"/>
            <wp:docPr id="1779893012" name="Picture 1" descr="A graph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9893012" name="Picture 1" descr="A graph with text on it&#10;&#10;AI-generated content may be incorrect."/>
                    <pic:cNvPicPr/>
                  </pic:nvPicPr>
                  <pic:blipFill>
                    <a:blip r:embed="rId12"/>
                    <a:stretch>
                      <a:fillRect/>
                    </a:stretch>
                  </pic:blipFill>
                  <pic:spPr>
                    <a:xfrm>
                      <a:off x="0" y="0"/>
                      <a:ext cx="5943600" cy="3041650"/>
                    </a:xfrm>
                    <a:prstGeom prst="rect">
                      <a:avLst/>
                    </a:prstGeom>
                  </pic:spPr>
                </pic:pic>
              </a:graphicData>
            </a:graphic>
          </wp:inline>
        </w:drawing>
      </w:r>
    </w:p>
    <w:p w14:paraId="7B3C18EC" w14:textId="50A9283C" w:rsidR="003A2B0F" w:rsidRDefault="003A2B0F" w:rsidP="003A2B0F">
      <w:pPr>
        <w:pStyle w:val="Caption"/>
      </w:pPr>
      <w:r>
        <w:t xml:space="preserve">Figure </w:t>
      </w:r>
      <w:r>
        <w:fldChar w:fldCharType="begin"/>
      </w:r>
      <w:r>
        <w:instrText xml:space="preserve"> SEQ Figure \* ARABIC </w:instrText>
      </w:r>
      <w:r>
        <w:fldChar w:fldCharType="separate"/>
      </w:r>
      <w:r w:rsidR="00CF5601">
        <w:rPr>
          <w:noProof/>
        </w:rPr>
        <w:t>5</w:t>
      </w:r>
      <w:r>
        <w:fldChar w:fldCharType="end"/>
      </w:r>
      <w:r>
        <w:t>: Cultural comparison of China and Poland</w:t>
      </w:r>
    </w:p>
    <w:p w14:paraId="22930165" w14:textId="124EA3F4" w:rsidR="00DA65B8" w:rsidRPr="00DA65B8" w:rsidRDefault="00DA65B8" w:rsidP="00DA65B8">
      <w:r w:rsidRPr="00DA65B8">
        <w:t>The managerial and market entry challenge to BYD is high in terms of the cultural distance between the China and Poland. The essence of the issue is the clash between the highly formal risk-averse culture of Poland and the pragmatic and risk-sensitive Chinese model (Hofstede, 2011). Very High Uncertainty Avoidance (93) of Poland requires a clear contractual structure and foreseeing the results, which directly conflict with the lower score (30) and dependence on the adaptive approaches of China (</w:t>
      </w:r>
      <w:proofErr w:type="spellStart"/>
      <w:r w:rsidRPr="00DA65B8">
        <w:t>Wojcik</w:t>
      </w:r>
      <w:proofErr w:type="spellEnd"/>
      <w:r w:rsidRPr="00DA65B8">
        <w:t xml:space="preserve"> and </w:t>
      </w:r>
      <w:proofErr w:type="spellStart"/>
      <w:r w:rsidRPr="00DA65B8">
        <w:t>Debczynska</w:t>
      </w:r>
      <w:proofErr w:type="spellEnd"/>
      <w:r w:rsidRPr="00DA65B8">
        <w:t>, 2019). In addition, Poland with its High Individualism (68) and China with its now Collectivism (20) represent polar opposites, which means that BYD has to drastically reorganize its Human Resources SOPs so that the team favors performance-based, transparent rewards, rather than group loyalty, and needs a negotiation approach to focus not on personal ties but on the formal legal agreement (Hajar et al., 2023). The existence of this cultural gap is an impactful contributor to the Liability of Foreignness, and this process may only be responded to through strategic adjustment to establish a basic level of trust in the Polish market.</w:t>
      </w:r>
    </w:p>
    <w:tbl>
      <w:tblPr>
        <w:tblStyle w:val="TableGrid"/>
        <w:tblW w:w="0" w:type="auto"/>
        <w:tblLook w:val="04A0" w:firstRow="1" w:lastRow="0" w:firstColumn="1" w:lastColumn="0" w:noHBand="0" w:noVBand="1"/>
      </w:tblPr>
      <w:tblGrid>
        <w:gridCol w:w="1613"/>
        <w:gridCol w:w="1684"/>
        <w:gridCol w:w="2097"/>
        <w:gridCol w:w="3956"/>
      </w:tblGrid>
      <w:tr w:rsidR="003A2B0F" w:rsidRPr="00B379F3" w14:paraId="56E3BF34" w14:textId="77777777" w:rsidTr="00B379F3">
        <w:tc>
          <w:tcPr>
            <w:tcW w:w="0" w:type="auto"/>
            <w:hideMark/>
          </w:tcPr>
          <w:p w14:paraId="55F6F7A8" w14:textId="77777777" w:rsidR="00B379F3" w:rsidRPr="00B379F3" w:rsidRDefault="00B379F3" w:rsidP="00B379F3">
            <w:pPr>
              <w:spacing w:after="160"/>
              <w:rPr>
                <w:b/>
                <w:bCs/>
                <w:sz w:val="20"/>
                <w:szCs w:val="20"/>
              </w:rPr>
            </w:pPr>
            <w:r w:rsidRPr="00B379F3">
              <w:rPr>
                <w:b/>
                <w:bCs/>
                <w:sz w:val="20"/>
                <w:szCs w:val="20"/>
              </w:rPr>
              <w:t>Dimension</w:t>
            </w:r>
          </w:p>
        </w:tc>
        <w:tc>
          <w:tcPr>
            <w:tcW w:w="0" w:type="auto"/>
            <w:hideMark/>
          </w:tcPr>
          <w:p w14:paraId="7E87DA71" w14:textId="77777777" w:rsidR="00B379F3" w:rsidRPr="00B379F3" w:rsidRDefault="00B379F3" w:rsidP="00B379F3">
            <w:pPr>
              <w:spacing w:after="160"/>
              <w:rPr>
                <w:b/>
                <w:bCs/>
                <w:sz w:val="20"/>
                <w:szCs w:val="20"/>
              </w:rPr>
            </w:pPr>
            <w:r w:rsidRPr="00B379F3">
              <w:rPr>
                <w:b/>
                <w:bCs/>
                <w:sz w:val="20"/>
                <w:szCs w:val="20"/>
              </w:rPr>
              <w:t>China (Home) (Score)</w:t>
            </w:r>
          </w:p>
        </w:tc>
        <w:tc>
          <w:tcPr>
            <w:tcW w:w="0" w:type="auto"/>
            <w:hideMark/>
          </w:tcPr>
          <w:p w14:paraId="3CD42F44" w14:textId="77777777" w:rsidR="00B379F3" w:rsidRPr="00B379F3" w:rsidRDefault="00B379F3" w:rsidP="00B379F3">
            <w:pPr>
              <w:spacing w:after="160"/>
              <w:rPr>
                <w:b/>
                <w:bCs/>
                <w:sz w:val="20"/>
                <w:szCs w:val="20"/>
              </w:rPr>
            </w:pPr>
            <w:r w:rsidRPr="00B379F3">
              <w:rPr>
                <w:b/>
                <w:bCs/>
                <w:sz w:val="20"/>
                <w:szCs w:val="20"/>
              </w:rPr>
              <w:t>Poland (Emerging Market) (Score)</w:t>
            </w:r>
          </w:p>
        </w:tc>
        <w:tc>
          <w:tcPr>
            <w:tcW w:w="0" w:type="auto"/>
            <w:hideMark/>
          </w:tcPr>
          <w:p w14:paraId="33261441" w14:textId="77777777" w:rsidR="00B379F3" w:rsidRPr="00B379F3" w:rsidRDefault="00B379F3" w:rsidP="00B379F3">
            <w:pPr>
              <w:spacing w:after="160"/>
              <w:rPr>
                <w:b/>
                <w:bCs/>
                <w:sz w:val="20"/>
                <w:szCs w:val="20"/>
              </w:rPr>
            </w:pPr>
            <w:r w:rsidRPr="00B379F3">
              <w:rPr>
                <w:b/>
                <w:bCs/>
                <w:sz w:val="20"/>
                <w:szCs w:val="20"/>
              </w:rPr>
              <w:t>Strategic Impact on BYD</w:t>
            </w:r>
          </w:p>
        </w:tc>
      </w:tr>
      <w:tr w:rsidR="003A2B0F" w:rsidRPr="00B379F3" w14:paraId="21B6C7AC" w14:textId="77777777" w:rsidTr="00B379F3">
        <w:tc>
          <w:tcPr>
            <w:tcW w:w="0" w:type="auto"/>
            <w:hideMark/>
          </w:tcPr>
          <w:p w14:paraId="7A2B1391" w14:textId="77777777" w:rsidR="00B379F3" w:rsidRPr="00B379F3" w:rsidRDefault="00B379F3" w:rsidP="00B379F3">
            <w:pPr>
              <w:spacing w:after="160"/>
              <w:rPr>
                <w:sz w:val="20"/>
                <w:szCs w:val="20"/>
              </w:rPr>
            </w:pPr>
            <w:r w:rsidRPr="00B379F3">
              <w:rPr>
                <w:b/>
                <w:bCs/>
                <w:sz w:val="20"/>
                <w:szCs w:val="20"/>
              </w:rPr>
              <w:t>Power Distance (PDI)</w:t>
            </w:r>
          </w:p>
        </w:tc>
        <w:tc>
          <w:tcPr>
            <w:tcW w:w="0" w:type="auto"/>
            <w:hideMark/>
          </w:tcPr>
          <w:p w14:paraId="619A8E2C" w14:textId="693887BD" w:rsidR="00B379F3" w:rsidRPr="00B379F3" w:rsidRDefault="00B379F3" w:rsidP="00B379F3">
            <w:pPr>
              <w:spacing w:after="160"/>
              <w:rPr>
                <w:sz w:val="20"/>
                <w:szCs w:val="20"/>
              </w:rPr>
            </w:pPr>
            <w:r w:rsidRPr="00B379F3">
              <w:rPr>
                <w:sz w:val="20"/>
                <w:szCs w:val="20"/>
              </w:rPr>
              <w:t>High (80)</w:t>
            </w:r>
          </w:p>
        </w:tc>
        <w:tc>
          <w:tcPr>
            <w:tcW w:w="0" w:type="auto"/>
            <w:hideMark/>
          </w:tcPr>
          <w:p w14:paraId="014D086D" w14:textId="288DF68F" w:rsidR="00B379F3" w:rsidRPr="00B379F3" w:rsidRDefault="00B379F3" w:rsidP="00B379F3">
            <w:pPr>
              <w:spacing w:after="160"/>
              <w:rPr>
                <w:sz w:val="20"/>
                <w:szCs w:val="20"/>
              </w:rPr>
            </w:pPr>
            <w:r w:rsidRPr="00B379F3">
              <w:rPr>
                <w:sz w:val="20"/>
                <w:szCs w:val="20"/>
              </w:rPr>
              <w:t>Moderate-High (68)</w:t>
            </w:r>
          </w:p>
        </w:tc>
        <w:tc>
          <w:tcPr>
            <w:tcW w:w="0" w:type="auto"/>
            <w:hideMark/>
          </w:tcPr>
          <w:p w14:paraId="0348FA4B" w14:textId="5F473A9B" w:rsidR="00B379F3" w:rsidRPr="00B379F3" w:rsidRDefault="00B379F3" w:rsidP="00B379F3">
            <w:pPr>
              <w:spacing w:after="160"/>
              <w:rPr>
                <w:sz w:val="20"/>
                <w:szCs w:val="20"/>
              </w:rPr>
            </w:pPr>
            <w:r w:rsidRPr="00B379F3">
              <w:rPr>
                <w:sz w:val="20"/>
                <w:szCs w:val="20"/>
              </w:rPr>
              <w:t xml:space="preserve">While both accept hierarchy, Polish staff expect clearer consultation and more </w:t>
            </w:r>
            <w:r w:rsidRPr="00B379F3">
              <w:rPr>
                <w:sz w:val="20"/>
                <w:szCs w:val="20"/>
              </w:rPr>
              <w:lastRenderedPageBreak/>
              <w:t>delegation of authority than is common in China. BYD's rigid structure may face resistance (Hofstede, 2011).</w:t>
            </w:r>
          </w:p>
        </w:tc>
      </w:tr>
      <w:tr w:rsidR="003A2B0F" w:rsidRPr="00B379F3" w14:paraId="03B97FF1" w14:textId="77777777" w:rsidTr="00B379F3">
        <w:tc>
          <w:tcPr>
            <w:tcW w:w="0" w:type="auto"/>
            <w:hideMark/>
          </w:tcPr>
          <w:p w14:paraId="7C16C7D7" w14:textId="77777777" w:rsidR="00B379F3" w:rsidRPr="00B379F3" w:rsidRDefault="00B379F3" w:rsidP="00B379F3">
            <w:pPr>
              <w:spacing w:after="160"/>
              <w:rPr>
                <w:sz w:val="20"/>
                <w:szCs w:val="20"/>
              </w:rPr>
            </w:pPr>
            <w:r w:rsidRPr="00B379F3">
              <w:rPr>
                <w:b/>
                <w:bCs/>
                <w:sz w:val="20"/>
                <w:szCs w:val="20"/>
              </w:rPr>
              <w:lastRenderedPageBreak/>
              <w:t>Individualism (IDV)</w:t>
            </w:r>
          </w:p>
        </w:tc>
        <w:tc>
          <w:tcPr>
            <w:tcW w:w="0" w:type="auto"/>
            <w:hideMark/>
          </w:tcPr>
          <w:p w14:paraId="10FD770F" w14:textId="5C2C5818" w:rsidR="00B379F3" w:rsidRPr="00B379F3" w:rsidRDefault="00B379F3" w:rsidP="00B379F3">
            <w:pPr>
              <w:spacing w:after="160"/>
              <w:rPr>
                <w:sz w:val="20"/>
                <w:szCs w:val="20"/>
              </w:rPr>
            </w:pPr>
            <w:r w:rsidRPr="00B379F3">
              <w:rPr>
                <w:sz w:val="20"/>
                <w:szCs w:val="20"/>
              </w:rPr>
              <w:t>Low (20) (Collectivist)</w:t>
            </w:r>
          </w:p>
        </w:tc>
        <w:tc>
          <w:tcPr>
            <w:tcW w:w="0" w:type="auto"/>
            <w:hideMark/>
          </w:tcPr>
          <w:p w14:paraId="66CD448D" w14:textId="2C3C8383" w:rsidR="00B379F3" w:rsidRPr="00B379F3" w:rsidRDefault="00B379F3" w:rsidP="00B379F3">
            <w:pPr>
              <w:spacing w:after="160"/>
              <w:rPr>
                <w:sz w:val="20"/>
                <w:szCs w:val="20"/>
              </w:rPr>
            </w:pPr>
            <w:r w:rsidRPr="00B379F3">
              <w:rPr>
                <w:sz w:val="20"/>
                <w:szCs w:val="20"/>
              </w:rPr>
              <w:t>High (68) (Individualist)</w:t>
            </w:r>
          </w:p>
        </w:tc>
        <w:tc>
          <w:tcPr>
            <w:tcW w:w="0" w:type="auto"/>
            <w:hideMark/>
          </w:tcPr>
          <w:p w14:paraId="6BCBC7B6" w14:textId="06B11050" w:rsidR="00B379F3" w:rsidRPr="00B379F3" w:rsidRDefault="00B379F3" w:rsidP="00B379F3">
            <w:pPr>
              <w:spacing w:after="160"/>
              <w:rPr>
                <w:sz w:val="20"/>
                <w:szCs w:val="20"/>
              </w:rPr>
            </w:pPr>
            <w:r w:rsidRPr="00B379F3">
              <w:rPr>
                <w:sz w:val="20"/>
                <w:szCs w:val="20"/>
              </w:rPr>
              <w:t xml:space="preserve">Chinese focus on </w:t>
            </w:r>
            <w:r w:rsidRPr="00B379F3">
              <w:rPr>
                <w:i/>
                <w:iCs/>
                <w:sz w:val="20"/>
                <w:szCs w:val="20"/>
              </w:rPr>
              <w:t>Guanxi</w:t>
            </w:r>
            <w:r w:rsidRPr="00B379F3">
              <w:rPr>
                <w:sz w:val="20"/>
                <w:szCs w:val="20"/>
              </w:rPr>
              <w:t xml:space="preserve"> and group loyalty clashes with Polish emphasis on personal achievement, individual reward systems, and the separation of work/life balance (</w:t>
            </w:r>
            <w:proofErr w:type="spellStart"/>
            <w:r w:rsidRPr="00B379F3">
              <w:rPr>
                <w:sz w:val="20"/>
                <w:szCs w:val="20"/>
              </w:rPr>
              <w:t>Wójcik</w:t>
            </w:r>
            <w:proofErr w:type="spellEnd"/>
            <w:r w:rsidRPr="00B379F3">
              <w:rPr>
                <w:sz w:val="20"/>
                <w:szCs w:val="20"/>
              </w:rPr>
              <w:t xml:space="preserve"> &amp; </w:t>
            </w:r>
            <w:proofErr w:type="spellStart"/>
            <w:r w:rsidRPr="00B379F3">
              <w:rPr>
                <w:sz w:val="20"/>
                <w:szCs w:val="20"/>
              </w:rPr>
              <w:t>Dębczyńska</w:t>
            </w:r>
            <w:proofErr w:type="spellEnd"/>
            <w:r w:rsidRPr="00B379F3">
              <w:rPr>
                <w:sz w:val="20"/>
                <w:szCs w:val="20"/>
              </w:rPr>
              <w:t>, 2019).</w:t>
            </w:r>
          </w:p>
        </w:tc>
      </w:tr>
      <w:tr w:rsidR="003A2B0F" w:rsidRPr="00B379F3" w14:paraId="751CBEEC" w14:textId="77777777" w:rsidTr="00B379F3">
        <w:tc>
          <w:tcPr>
            <w:tcW w:w="0" w:type="auto"/>
            <w:hideMark/>
          </w:tcPr>
          <w:p w14:paraId="7E6DE689" w14:textId="77777777" w:rsidR="00B379F3" w:rsidRPr="00B379F3" w:rsidRDefault="00B379F3" w:rsidP="00B379F3">
            <w:pPr>
              <w:spacing w:after="160"/>
              <w:rPr>
                <w:sz w:val="20"/>
                <w:szCs w:val="20"/>
              </w:rPr>
            </w:pPr>
            <w:r w:rsidRPr="00B379F3">
              <w:rPr>
                <w:b/>
                <w:bCs/>
                <w:sz w:val="20"/>
                <w:szCs w:val="20"/>
              </w:rPr>
              <w:t>Uncertainty Avoidance (UAI)</w:t>
            </w:r>
          </w:p>
        </w:tc>
        <w:tc>
          <w:tcPr>
            <w:tcW w:w="0" w:type="auto"/>
            <w:hideMark/>
          </w:tcPr>
          <w:p w14:paraId="5932197E" w14:textId="43ACEDD2" w:rsidR="00B379F3" w:rsidRPr="00B379F3" w:rsidRDefault="00B379F3" w:rsidP="00B379F3">
            <w:pPr>
              <w:spacing w:after="160"/>
              <w:rPr>
                <w:sz w:val="20"/>
                <w:szCs w:val="20"/>
              </w:rPr>
            </w:pPr>
            <w:r w:rsidRPr="00B379F3">
              <w:rPr>
                <w:sz w:val="20"/>
                <w:szCs w:val="20"/>
              </w:rPr>
              <w:t>Low (30) (Risk-tolerant, adaptable)</w:t>
            </w:r>
          </w:p>
        </w:tc>
        <w:tc>
          <w:tcPr>
            <w:tcW w:w="0" w:type="auto"/>
            <w:hideMark/>
          </w:tcPr>
          <w:p w14:paraId="7208DD33" w14:textId="752265EB" w:rsidR="00B379F3" w:rsidRPr="00B379F3" w:rsidRDefault="00B379F3" w:rsidP="00B379F3">
            <w:pPr>
              <w:spacing w:after="160"/>
              <w:rPr>
                <w:sz w:val="20"/>
                <w:szCs w:val="20"/>
              </w:rPr>
            </w:pPr>
            <w:r w:rsidRPr="00B379F3">
              <w:rPr>
                <w:sz w:val="20"/>
                <w:szCs w:val="20"/>
              </w:rPr>
              <w:t>Very High (93) (Needs rules, structure, security, low tolerance for ambiguity)</w:t>
            </w:r>
          </w:p>
        </w:tc>
        <w:tc>
          <w:tcPr>
            <w:tcW w:w="0" w:type="auto"/>
            <w:hideMark/>
          </w:tcPr>
          <w:p w14:paraId="591AD2FB" w14:textId="51CB8BED" w:rsidR="00B379F3" w:rsidRPr="00B379F3" w:rsidRDefault="00B379F3" w:rsidP="00B379F3">
            <w:pPr>
              <w:spacing w:after="160"/>
              <w:rPr>
                <w:sz w:val="20"/>
                <w:szCs w:val="20"/>
              </w:rPr>
            </w:pPr>
            <w:r w:rsidRPr="00B379F3">
              <w:rPr>
                <w:sz w:val="20"/>
                <w:szCs w:val="20"/>
              </w:rPr>
              <w:t>Polish consumers and partners are highly risk-averse. This mandates a high emphasis on guaranteed product quality, explicit contracts, and predictable after-sales service to overcome the "new brand" risk (</w:t>
            </w:r>
            <w:proofErr w:type="spellStart"/>
            <w:r w:rsidRPr="00B379F3">
              <w:rPr>
                <w:sz w:val="20"/>
                <w:szCs w:val="20"/>
              </w:rPr>
              <w:t>Wójcik</w:t>
            </w:r>
            <w:proofErr w:type="spellEnd"/>
            <w:r w:rsidRPr="00B379F3">
              <w:rPr>
                <w:sz w:val="20"/>
                <w:szCs w:val="20"/>
              </w:rPr>
              <w:t xml:space="preserve"> &amp; </w:t>
            </w:r>
            <w:proofErr w:type="spellStart"/>
            <w:r w:rsidRPr="00B379F3">
              <w:rPr>
                <w:sz w:val="20"/>
                <w:szCs w:val="20"/>
              </w:rPr>
              <w:t>Dębczyńska</w:t>
            </w:r>
            <w:proofErr w:type="spellEnd"/>
            <w:r w:rsidRPr="00B379F3">
              <w:rPr>
                <w:sz w:val="20"/>
                <w:szCs w:val="20"/>
              </w:rPr>
              <w:t>, 2019).</w:t>
            </w:r>
          </w:p>
        </w:tc>
      </w:tr>
      <w:tr w:rsidR="003A2B0F" w:rsidRPr="00B379F3" w14:paraId="287EC87A" w14:textId="77777777" w:rsidTr="00B379F3">
        <w:tc>
          <w:tcPr>
            <w:tcW w:w="0" w:type="auto"/>
            <w:hideMark/>
          </w:tcPr>
          <w:p w14:paraId="6AD55878" w14:textId="77777777" w:rsidR="00B379F3" w:rsidRPr="00B379F3" w:rsidRDefault="00B379F3" w:rsidP="00B379F3">
            <w:pPr>
              <w:spacing w:after="160"/>
              <w:rPr>
                <w:sz w:val="20"/>
                <w:szCs w:val="20"/>
              </w:rPr>
            </w:pPr>
            <w:r w:rsidRPr="00B379F3">
              <w:rPr>
                <w:b/>
                <w:bCs/>
                <w:sz w:val="20"/>
                <w:szCs w:val="20"/>
              </w:rPr>
              <w:t>Long-Term Orientation (LTO)</w:t>
            </w:r>
          </w:p>
        </w:tc>
        <w:tc>
          <w:tcPr>
            <w:tcW w:w="0" w:type="auto"/>
            <w:hideMark/>
          </w:tcPr>
          <w:p w14:paraId="15AFF3CD" w14:textId="5E99FB97" w:rsidR="00B379F3" w:rsidRPr="00B379F3" w:rsidRDefault="00B379F3" w:rsidP="00B379F3">
            <w:pPr>
              <w:spacing w:after="160"/>
              <w:rPr>
                <w:sz w:val="20"/>
                <w:szCs w:val="20"/>
              </w:rPr>
            </w:pPr>
            <w:r w:rsidRPr="00B379F3">
              <w:rPr>
                <w:sz w:val="20"/>
                <w:szCs w:val="20"/>
              </w:rPr>
              <w:t>Very High (77) (Pragmatic, investment-focused)</w:t>
            </w:r>
          </w:p>
        </w:tc>
        <w:tc>
          <w:tcPr>
            <w:tcW w:w="0" w:type="auto"/>
            <w:hideMark/>
          </w:tcPr>
          <w:p w14:paraId="1A28AADC" w14:textId="5455A832" w:rsidR="00B379F3" w:rsidRPr="00B379F3" w:rsidRDefault="00B379F3" w:rsidP="00B379F3">
            <w:pPr>
              <w:spacing w:after="160"/>
              <w:rPr>
                <w:sz w:val="20"/>
                <w:szCs w:val="20"/>
              </w:rPr>
            </w:pPr>
            <w:r w:rsidRPr="00B379F3">
              <w:rPr>
                <w:sz w:val="20"/>
                <w:szCs w:val="20"/>
              </w:rPr>
              <w:t>Moderate (48) (Tradition, shorter investment horizon)</w:t>
            </w:r>
          </w:p>
        </w:tc>
        <w:tc>
          <w:tcPr>
            <w:tcW w:w="0" w:type="auto"/>
            <w:hideMark/>
          </w:tcPr>
          <w:p w14:paraId="252F73EB" w14:textId="08C3EC27" w:rsidR="00B379F3" w:rsidRPr="00B379F3" w:rsidRDefault="00B379F3" w:rsidP="00B379F3">
            <w:pPr>
              <w:spacing w:after="160"/>
              <w:rPr>
                <w:sz w:val="20"/>
                <w:szCs w:val="20"/>
              </w:rPr>
            </w:pPr>
            <w:r w:rsidRPr="00B379F3">
              <w:rPr>
                <w:sz w:val="20"/>
                <w:szCs w:val="20"/>
              </w:rPr>
              <w:t xml:space="preserve">Polish consumers may </w:t>
            </w:r>
            <w:proofErr w:type="spellStart"/>
            <w:r w:rsidRPr="00B379F3">
              <w:rPr>
                <w:sz w:val="20"/>
                <w:szCs w:val="20"/>
              </w:rPr>
              <w:t>prioritise</w:t>
            </w:r>
            <w:proofErr w:type="spellEnd"/>
            <w:r w:rsidRPr="00B379F3">
              <w:rPr>
                <w:sz w:val="20"/>
                <w:szCs w:val="20"/>
              </w:rPr>
              <w:t xml:space="preserve"> short-term price and tradition (LTO) over BYD's long-term environmental promise. Requires marketing to demonstrate immediate, tangible financial savings (</w:t>
            </w:r>
            <w:proofErr w:type="spellStart"/>
            <w:r w:rsidRPr="00B379F3">
              <w:rPr>
                <w:sz w:val="20"/>
                <w:szCs w:val="20"/>
              </w:rPr>
              <w:t>Wójcik</w:t>
            </w:r>
            <w:proofErr w:type="spellEnd"/>
            <w:r w:rsidRPr="00B379F3">
              <w:rPr>
                <w:sz w:val="20"/>
                <w:szCs w:val="20"/>
              </w:rPr>
              <w:t xml:space="preserve"> &amp; </w:t>
            </w:r>
            <w:proofErr w:type="spellStart"/>
            <w:r w:rsidRPr="00B379F3">
              <w:rPr>
                <w:sz w:val="20"/>
                <w:szCs w:val="20"/>
              </w:rPr>
              <w:t>Dębczyńska</w:t>
            </w:r>
            <w:proofErr w:type="spellEnd"/>
            <w:r w:rsidRPr="00B379F3">
              <w:rPr>
                <w:sz w:val="20"/>
                <w:szCs w:val="20"/>
              </w:rPr>
              <w:t>, 2019).</w:t>
            </w:r>
          </w:p>
        </w:tc>
      </w:tr>
    </w:tbl>
    <w:p w14:paraId="415C80FA" w14:textId="0422572D" w:rsidR="00B379F3" w:rsidRDefault="00B379F3" w:rsidP="003A2B0F">
      <w:pPr>
        <w:pStyle w:val="Heading2"/>
        <w:numPr>
          <w:ilvl w:val="1"/>
          <w:numId w:val="3"/>
        </w:numPr>
      </w:pPr>
      <w:bookmarkStart w:id="14" w:name="_Toc216577904"/>
      <w:r w:rsidRPr="00B379F3">
        <w:t>Impact on Market Entry and Negotiation</w:t>
      </w:r>
      <w:bookmarkEnd w:id="14"/>
      <w:r w:rsidRPr="00B379F3">
        <w:t xml:space="preserve"> </w:t>
      </w:r>
    </w:p>
    <w:p w14:paraId="0E822B2F" w14:textId="347704A8" w:rsidR="00B379F3" w:rsidRDefault="00B379F3" w:rsidP="00B379F3">
      <w:r>
        <w:t>The scores of UAI and IDV are high, which directly affects the commercial interaction of BYD in Poland:</w:t>
      </w:r>
    </w:p>
    <w:p w14:paraId="7482C43A" w14:textId="54FA7A6B" w:rsidR="00B379F3" w:rsidRDefault="00B379F3" w:rsidP="00B379F3">
      <w:r w:rsidRPr="003A2B0F">
        <w:rPr>
          <w:i/>
          <w:iCs/>
        </w:rPr>
        <w:t>Entry Mode Justification:</w:t>
      </w:r>
      <w:r>
        <w:t xml:space="preserve"> Polish consumers are responding to the ambiguous quality signal by directly converting it into high purchase risk due to the high UAI. It is the reason why the current low-control Distribution Model (BYD, 2020) cannot adequately enter the mass market since it also does not ensure the </w:t>
      </w:r>
      <w:proofErr w:type="spellStart"/>
      <w:r>
        <w:t>standardisation</w:t>
      </w:r>
      <w:proofErr w:type="spellEnd"/>
      <w:r>
        <w:t xml:space="preserve"> of service demanded by the Polish market (Hofstede, 2011). It is one of the cultural risks that makes the FDI shift </w:t>
      </w:r>
      <w:proofErr w:type="spellStart"/>
      <w:r>
        <w:t>Internalise</w:t>
      </w:r>
      <w:proofErr w:type="spellEnd"/>
      <w:r>
        <w:t xml:space="preserve"> quality control a strong argument.</w:t>
      </w:r>
    </w:p>
    <w:p w14:paraId="67C48C75" w14:textId="28374F76" w:rsidR="00B379F3" w:rsidRDefault="00B379F3" w:rsidP="00B379F3">
      <w:r w:rsidRPr="003A2B0F">
        <w:rPr>
          <w:i/>
          <w:iCs/>
        </w:rPr>
        <w:t>Negotiation Style:</w:t>
      </w:r>
      <w:r>
        <w:t xml:space="preserve"> Chinese business activities are based on the establishment of personal, long-term Guanxi (relationships) (</w:t>
      </w:r>
      <w:proofErr w:type="spellStart"/>
      <w:r>
        <w:t>Wojcik</w:t>
      </w:r>
      <w:proofErr w:type="spellEnd"/>
      <w:r>
        <w:t xml:space="preserve"> and </w:t>
      </w:r>
      <w:proofErr w:type="spellStart"/>
      <w:r>
        <w:t>Debczynska</w:t>
      </w:r>
      <w:proofErr w:type="spellEnd"/>
      <w:r>
        <w:t xml:space="preserve">, 2019). Transactional relationships are </w:t>
      </w:r>
      <w:proofErr w:type="spellStart"/>
      <w:r>
        <w:t>formalised</w:t>
      </w:r>
      <w:proofErr w:type="spellEnd"/>
      <w:r>
        <w:t xml:space="preserve">, and driven by accurate, legal documentation whereas relationships in Poland are </w:t>
      </w:r>
      <w:r>
        <w:lastRenderedPageBreak/>
        <w:t>important (High UAI/IDV). The negotiation approach of BYD needs to shift its focus on relationship (mostly in China) to formal and contract-oriented accuracy and legal commitment (mostly in Poland). A lack of clear, regulated offers on warranties and delivery that are likely to lead to failures is a highly damaging move to trust (Hajar et al., 2023).</w:t>
      </w:r>
    </w:p>
    <w:p w14:paraId="7A4D5E56" w14:textId="5512F8BD" w:rsidR="00B379F3" w:rsidRDefault="00B379F3" w:rsidP="00B379F3">
      <w:r w:rsidRPr="003A2B0F">
        <w:rPr>
          <w:i/>
          <w:iCs/>
        </w:rPr>
        <w:t>HR and Local Recruitment:</w:t>
      </w:r>
      <w:r>
        <w:t xml:space="preserve"> To recruit the best in Poland, it will be necessary to switch to the Japanese/American approach of collectivism in HR (Harney et al., 2022). The compensation should be transparent, performance-based and </w:t>
      </w:r>
      <w:proofErr w:type="spellStart"/>
      <w:r>
        <w:t>individualised</w:t>
      </w:r>
      <w:proofErr w:type="spellEnd"/>
      <w:r>
        <w:t xml:space="preserve"> (IDV). More so, recruitment should </w:t>
      </w:r>
      <w:proofErr w:type="spellStart"/>
      <w:r>
        <w:t>prioritise</w:t>
      </w:r>
      <w:proofErr w:type="spellEnd"/>
      <w:r>
        <w:t xml:space="preserve"> local knowledge to address the cultural gap because basing frontline employment on Chinese expatriates can only facilitate the Liability of Foreignness and create internal tension because of the work ethics and communication patterns (Hajar et al., 2023).</w:t>
      </w:r>
    </w:p>
    <w:p w14:paraId="1538D9C6" w14:textId="3D6E54BF" w:rsidR="00B379F3" w:rsidRDefault="00B379F3" w:rsidP="003A2B0F">
      <w:pPr>
        <w:pStyle w:val="Heading2"/>
        <w:numPr>
          <w:ilvl w:val="1"/>
          <w:numId w:val="3"/>
        </w:numPr>
      </w:pPr>
      <w:bookmarkStart w:id="15" w:name="_Toc216577905"/>
      <w:r w:rsidRPr="00B379F3">
        <w:t xml:space="preserve">Impact on </w:t>
      </w:r>
      <w:proofErr w:type="spellStart"/>
      <w:r w:rsidRPr="00B379F3">
        <w:t>Organisational</w:t>
      </w:r>
      <w:proofErr w:type="spellEnd"/>
      <w:r w:rsidRPr="00B379F3">
        <w:t xml:space="preserve"> Success and Marketing</w:t>
      </w:r>
      <w:bookmarkEnd w:id="15"/>
    </w:p>
    <w:p w14:paraId="4E5535BA" w14:textId="4CB5FDAD" w:rsidR="00B379F3" w:rsidRDefault="00B379F3" w:rsidP="00B379F3">
      <w:r>
        <w:t>Next-level success will involve culturally responsive marketing and operation transparency:</w:t>
      </w:r>
    </w:p>
    <w:p w14:paraId="780F23B1" w14:textId="5088B238" w:rsidR="00B379F3" w:rsidRDefault="00B379F3" w:rsidP="00B379F3">
      <w:r w:rsidRPr="003A2B0F">
        <w:rPr>
          <w:i/>
          <w:iCs/>
        </w:rPr>
        <w:t>Brand Trust and UAI Reduction:</w:t>
      </w:r>
      <w:r>
        <w:t xml:space="preserve"> BYD </w:t>
      </w:r>
      <w:r w:rsidR="003A2B0F">
        <w:t>must</w:t>
      </w:r>
      <w:r>
        <w:t xml:space="preserve"> mitigate the high UAI and the underlying quality </w:t>
      </w:r>
      <w:proofErr w:type="spellStart"/>
      <w:r>
        <w:t>scepticism</w:t>
      </w:r>
      <w:proofErr w:type="spellEnd"/>
      <w:r>
        <w:t xml:space="preserve"> through marketing beyond just the specifications of its newly developed technology to a commitment. The message of Made in Europe, to Europe, as the plant in Hungary confirms, will be the potent promissory note in the desire to establish long-term commitment and European compliance, overcome nationalistic biases, and risk-aversion (JATO Dynamics, 2025).</w:t>
      </w:r>
    </w:p>
    <w:p w14:paraId="654FC1A4" w14:textId="1298ACC3" w:rsidR="00B379F3" w:rsidRDefault="00B379F3" w:rsidP="00B379F3">
      <w:r w:rsidRPr="003A2B0F">
        <w:rPr>
          <w:i/>
          <w:iCs/>
        </w:rPr>
        <w:t>Perception of the product and service</w:t>
      </w:r>
      <w:r>
        <w:t>: Polish customers appreciate durability and performance (</w:t>
      </w:r>
      <w:proofErr w:type="spellStart"/>
      <w:r>
        <w:t>Wojcik</w:t>
      </w:r>
      <w:proofErr w:type="spellEnd"/>
      <w:r>
        <w:t xml:space="preserve"> and </w:t>
      </w:r>
      <w:proofErr w:type="spellStart"/>
      <w:r>
        <w:t>Debczyska</w:t>
      </w:r>
      <w:proofErr w:type="spellEnd"/>
      <w:r>
        <w:t>, 2019). It is a brilliant strategic marketing of the PHEV models (such as Seal U) that combined the UAI anxiety concerning the lack of the sufficient charging infrastructure without providing the immediate operational benefits that the price-aware CEE market is interested in (JATO Dynamics, 2025).</w:t>
      </w:r>
    </w:p>
    <w:p w14:paraId="754656C7" w14:textId="06285F07" w:rsidR="00B379F3" w:rsidRDefault="00B379F3" w:rsidP="00B379F3">
      <w:r w:rsidRPr="003A2B0F">
        <w:rPr>
          <w:i/>
          <w:iCs/>
        </w:rPr>
        <w:t>Process and Transparency:</w:t>
      </w:r>
      <w:r>
        <w:t xml:space="preserve"> The </w:t>
      </w:r>
      <w:proofErr w:type="spellStart"/>
      <w:r>
        <w:t>organisational</w:t>
      </w:r>
      <w:proofErr w:type="spellEnd"/>
      <w:r>
        <w:t xml:space="preserve"> processes need to be predictable (High UAI). This would mean that BYD should make sure that all Polish dealerships have stringent </w:t>
      </w:r>
      <w:proofErr w:type="spellStart"/>
      <w:r>
        <w:t>standardised</w:t>
      </w:r>
      <w:proofErr w:type="spellEnd"/>
      <w:r>
        <w:t xml:space="preserve"> SOPs to se</w:t>
      </w:r>
      <w:bookmarkStart w:id="16" w:name="_GoBack"/>
      <w:bookmarkEnd w:id="16"/>
      <w:r>
        <w:t>rvice vehicle and parts inventory so that consumers can get transparent pricing and proper maintenance, which would directly appeal to the cultural desire to have security and formality in place (</w:t>
      </w:r>
      <w:proofErr w:type="spellStart"/>
      <w:r>
        <w:t>Shenkar</w:t>
      </w:r>
      <w:proofErr w:type="spellEnd"/>
      <w:r>
        <w:t xml:space="preserve"> et al., 2021).</w:t>
      </w:r>
    </w:p>
    <w:p w14:paraId="7E6402F8" w14:textId="4B2E1A40" w:rsidR="00B379F3" w:rsidRDefault="002525B5" w:rsidP="003A2B0F">
      <w:pPr>
        <w:pStyle w:val="Heading1"/>
        <w:numPr>
          <w:ilvl w:val="0"/>
          <w:numId w:val="3"/>
        </w:numPr>
      </w:pPr>
      <w:bookmarkStart w:id="17" w:name="_Toc216577906"/>
      <w:r w:rsidRPr="002525B5">
        <w:lastRenderedPageBreak/>
        <w:t>Critically discuss and recommend three major adjustments to SOPs</w:t>
      </w:r>
      <w:bookmarkEnd w:id="17"/>
    </w:p>
    <w:p w14:paraId="7E9B68A2" w14:textId="42B1EBEE" w:rsidR="00B379F3" w:rsidRDefault="00B379F3" w:rsidP="00B379F3">
      <w:r>
        <w:t>BYD needs to convert the demands and culture requirements of the OLI imperatives to operational guidelines and make three interconnected changes in its global SOPs in order to change its tenuous presence in Poland into a lasting leadership.</w:t>
      </w:r>
    </w:p>
    <w:p w14:paraId="078845B2" w14:textId="77777777" w:rsidR="00CF5601" w:rsidRDefault="00151CDA" w:rsidP="00CF5601">
      <w:pPr>
        <w:keepNext/>
      </w:pPr>
      <w:r>
        <w:rPr>
          <w:noProof/>
        </w:rPr>
        <w:drawing>
          <wp:inline distT="0" distB="0" distL="0" distR="0" wp14:anchorId="45B624E0" wp14:editId="24096799">
            <wp:extent cx="5895975" cy="4495800"/>
            <wp:effectExtent l="0" t="0" r="9525" b="0"/>
            <wp:docPr id="320513554"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0513554" name="Picture 320513554"/>
                    <pic:cNvPicPr/>
                  </pic:nvPicPr>
                  <pic:blipFill rotWithShape="1">
                    <a:blip r:embed="rId13">
                      <a:extLst>
                        <a:ext uri="{28A0092B-C50C-407E-A947-70E740481C1C}">
                          <a14:useLocalDpi xmlns:a14="http://schemas.microsoft.com/office/drawing/2010/main" val="0"/>
                        </a:ext>
                      </a:extLst>
                    </a:blip>
                    <a:srcRect l="802" t="12981" b="11379"/>
                    <a:stretch>
                      <a:fillRect/>
                    </a:stretch>
                  </pic:blipFill>
                  <pic:spPr bwMode="auto">
                    <a:xfrm>
                      <a:off x="0" y="0"/>
                      <a:ext cx="5895975" cy="4495800"/>
                    </a:xfrm>
                    <a:prstGeom prst="rect">
                      <a:avLst/>
                    </a:prstGeom>
                    <a:ln>
                      <a:noFill/>
                    </a:ln>
                    <a:extLst>
                      <a:ext uri="{53640926-AAD7-44D8-BBD7-CCE9431645EC}">
                        <a14:shadowObscured xmlns:a14="http://schemas.microsoft.com/office/drawing/2010/main"/>
                      </a:ext>
                    </a:extLst>
                  </pic:spPr>
                </pic:pic>
              </a:graphicData>
            </a:graphic>
          </wp:inline>
        </w:drawing>
      </w:r>
    </w:p>
    <w:p w14:paraId="1F1ED2BB" w14:textId="15761718" w:rsidR="00151CDA" w:rsidRDefault="00CF5601" w:rsidP="00CF5601">
      <w:pPr>
        <w:pStyle w:val="Caption"/>
      </w:pPr>
      <w:r>
        <w:t xml:space="preserve">Figure </w:t>
      </w:r>
      <w:r>
        <w:fldChar w:fldCharType="begin"/>
      </w:r>
      <w:r>
        <w:instrText xml:space="preserve"> SEQ Figure \* ARABIC </w:instrText>
      </w:r>
      <w:r>
        <w:fldChar w:fldCharType="separate"/>
      </w:r>
      <w:r>
        <w:rPr>
          <w:noProof/>
        </w:rPr>
        <w:t>6</w:t>
      </w:r>
      <w:r>
        <w:fldChar w:fldCharType="end"/>
      </w:r>
      <w:r>
        <w:t>: BYD Poland strategy</w:t>
      </w:r>
    </w:p>
    <w:p w14:paraId="38C8A240" w14:textId="7C4E3CAC" w:rsidR="00B379F3" w:rsidRDefault="002525B5" w:rsidP="003A2B0F">
      <w:pPr>
        <w:pStyle w:val="Heading2"/>
        <w:numPr>
          <w:ilvl w:val="1"/>
          <w:numId w:val="3"/>
        </w:numPr>
      </w:pPr>
      <w:bookmarkStart w:id="18" w:name="_Toc216577907"/>
      <w:r w:rsidRPr="002525B5">
        <w:t>SOP 1: The European Rules-of-Origin and Value-Chain SOP</w:t>
      </w:r>
      <w:bookmarkEnd w:id="18"/>
    </w:p>
    <w:p w14:paraId="577541AD" w14:textId="607A7FA7" w:rsidR="00B379F3" w:rsidRDefault="00B379F3" w:rsidP="00B379F3">
      <w:r>
        <w:t>The danger of EU tariffs (I-Advantage) and the necessity of the creation of European identity (Cultural/L-Advantage) demands a formal change in the value chain.</w:t>
      </w:r>
    </w:p>
    <w:p w14:paraId="77406AFE" w14:textId="56801C88" w:rsidR="00B379F3" w:rsidRDefault="00B379F3" w:rsidP="00B379F3">
      <w:r>
        <w:t>Change: For all the Hungarian supply base and support CEE supply base, institute a strict European Rules-of-Origin (</w:t>
      </w:r>
      <w:proofErr w:type="spellStart"/>
      <w:r>
        <w:t>RoO</w:t>
      </w:r>
      <w:proofErr w:type="spellEnd"/>
      <w:r>
        <w:t>) Compliance SOP.</w:t>
      </w:r>
    </w:p>
    <w:p w14:paraId="535D6C9F" w14:textId="0BD378B5" w:rsidR="00B379F3" w:rsidRDefault="00B379F3" w:rsidP="00B379F3">
      <w:proofErr w:type="spellStart"/>
      <w:r>
        <w:t>RoO</w:t>
      </w:r>
      <w:proofErr w:type="spellEnd"/>
      <w:r>
        <w:t xml:space="preserve"> Threshold Mandates: This SOP has to establish an aggressive percentage of local European content per year (e.g., 60% by 2028) of all cars bound to Poland and the European market, which </w:t>
      </w:r>
      <w:r>
        <w:lastRenderedPageBreak/>
        <w:t>would ensure complete adherence to the regulations of the EU Free Trade Agreement and prevent the imposition of a tariff on the Chinese imports (27%38% by 2025) (Haas, 2025).</w:t>
      </w:r>
    </w:p>
    <w:p w14:paraId="6A180C2B" w14:textId="4ACA6F6D" w:rsidR="00B379F3" w:rsidRDefault="00B379F3" w:rsidP="00B379F3">
      <w:r>
        <w:t>Supplier Localization Fund: The SOP needs to create a specific fund to speed up the procurement and accreditation of Poland and CEE Tier 1/Tier 2 automotive suppliers of non-IP-related items (e.g., interiors, trim, wiring harnesses), and move Poland into a significant work supply area (</w:t>
      </w:r>
      <w:proofErr w:type="spellStart"/>
      <w:r>
        <w:t>LayWen</w:t>
      </w:r>
      <w:proofErr w:type="spellEnd"/>
      <w:r>
        <w:t xml:space="preserve">, 2025). This directly picks up the L-Advantage of local </w:t>
      </w:r>
      <w:proofErr w:type="spellStart"/>
      <w:r>
        <w:t>labour</w:t>
      </w:r>
      <w:proofErr w:type="spellEnd"/>
      <w:r>
        <w:t xml:space="preserve"> and access to a supply chain.</w:t>
      </w:r>
    </w:p>
    <w:p w14:paraId="5198592D" w14:textId="532180DD" w:rsidR="00B379F3" w:rsidRDefault="00B379F3" w:rsidP="00B379F3">
      <w:r>
        <w:t>Global S&amp;OP Revision: The global Sales and Operations Planning (S&amp;OP) operation (</w:t>
      </w:r>
      <w:proofErr w:type="spellStart"/>
      <w:r>
        <w:t>Seeling</w:t>
      </w:r>
      <w:proofErr w:type="spellEnd"/>
      <w:r>
        <w:t xml:space="preserve"> et al., 2021) has to be updated to centrally-coordinate the sourcing of component parts with the goal of manufacturing into both China (proprietary tech, such as the Blade Battery) and Hungary/CEE (compliance components) to ensure that the production quotas are </w:t>
      </w:r>
      <w:proofErr w:type="spellStart"/>
      <w:r>
        <w:t>optimised</w:t>
      </w:r>
      <w:proofErr w:type="spellEnd"/>
      <w:r>
        <w:t xml:space="preserve"> to </w:t>
      </w:r>
      <w:proofErr w:type="spellStart"/>
      <w:r>
        <w:t>minimise</w:t>
      </w:r>
      <w:proofErr w:type="spellEnd"/>
      <w:r>
        <w:t xml:space="preserve"> tariff exposure instead of </w:t>
      </w:r>
      <w:proofErr w:type="spellStart"/>
      <w:r>
        <w:t>maximising</w:t>
      </w:r>
      <w:proofErr w:type="spellEnd"/>
      <w:r>
        <w:t xml:space="preserve"> the production volume of China.</w:t>
      </w:r>
    </w:p>
    <w:p w14:paraId="5CA1E2FF" w14:textId="77777777" w:rsidR="00B379F3" w:rsidRDefault="00B379F3" w:rsidP="00B379F3">
      <w:r>
        <w:t>Critical Impact: Survival is based on the structural base of this SOP. It turns the existential geopolitical risk (Challenge) into a competitive advantage (Benefit) since it legally obtains the status of tariff-free status, which strengthens the image of BYD as a manufacturer of something European, which is essential in the context of consumer acceptance (UAI mitigation).</w:t>
      </w:r>
    </w:p>
    <w:p w14:paraId="498E2DB3" w14:textId="77777777" w:rsidR="00B379F3" w:rsidRDefault="00B379F3" w:rsidP="00B379F3"/>
    <w:p w14:paraId="24A9C1F7" w14:textId="3060DE7E" w:rsidR="00B379F3" w:rsidRDefault="002525B5" w:rsidP="003A2B0F">
      <w:pPr>
        <w:pStyle w:val="Heading2"/>
        <w:numPr>
          <w:ilvl w:val="1"/>
          <w:numId w:val="3"/>
        </w:numPr>
      </w:pPr>
      <w:bookmarkStart w:id="19" w:name="_Toc216577908"/>
      <w:r w:rsidRPr="002525B5">
        <w:t>SOP 2: Co-Investment and Strategic Infrastructure Protocol</w:t>
      </w:r>
      <w:bookmarkEnd w:id="19"/>
      <w:r w:rsidRPr="002525B5">
        <w:t xml:space="preserve"> </w:t>
      </w:r>
    </w:p>
    <w:p w14:paraId="79C03F2A" w14:textId="0F4463A4" w:rsidR="00B379F3" w:rsidRDefault="00B379F3" w:rsidP="00B379F3">
      <w:r>
        <w:t>The thing is that the shortage in charging infrastructure is the most physical obstacle to the mass adoption of EVs in Poland (PSNM, 2025). The existing low-commitment strategy does not contain the following L-Advantage risk issue.</w:t>
      </w:r>
    </w:p>
    <w:p w14:paraId="531694E0" w14:textId="4DAF3237" w:rsidR="00B379F3" w:rsidRDefault="00B379F3" w:rsidP="00B379F3">
      <w:r>
        <w:t>Adjustment: Adopt a B2B-Led Charging Co-Investment SOP, which would tie BYD New Energy division to a greater extent of infrastructure development in the local area.</w:t>
      </w:r>
    </w:p>
    <w:p w14:paraId="34956E59" w14:textId="55264531" w:rsidR="00B379F3" w:rsidRDefault="00B379F3" w:rsidP="00B379F3">
      <w:r w:rsidRPr="003A2B0F">
        <w:rPr>
          <w:i/>
          <w:iCs/>
        </w:rPr>
        <w:t>Fleet Charging Priority:</w:t>
      </w:r>
      <w:r>
        <w:t xml:space="preserve"> Require 75% of the infrastructure budgetary allocation to Poland to be ring-fenced to co-develop with strategic fleet partners (such as FREE NOW) to </w:t>
      </w:r>
      <w:proofErr w:type="spellStart"/>
      <w:r>
        <w:t>instal</w:t>
      </w:r>
      <w:proofErr w:type="spellEnd"/>
      <w:r>
        <w:t xml:space="preserve"> dedicated and high-speed charging depots in urban </w:t>
      </w:r>
      <w:proofErr w:type="spellStart"/>
      <w:r>
        <w:t>centres</w:t>
      </w:r>
      <w:proofErr w:type="spellEnd"/>
      <w:r>
        <w:t xml:space="preserve"> (Warsaw, Silesia, </w:t>
      </w:r>
      <w:proofErr w:type="spellStart"/>
      <w:r>
        <w:t>Mazovia</w:t>
      </w:r>
      <w:proofErr w:type="spellEnd"/>
      <w:r>
        <w:t>), by bypassing the less reliable public network (Mobility Portal Europe, 2025). This ensures the B2B sales funnel (Ujazdowski, 2025).</w:t>
      </w:r>
    </w:p>
    <w:p w14:paraId="04F54F83" w14:textId="0FD8ADD4" w:rsidR="00B379F3" w:rsidRDefault="00B379F3" w:rsidP="00B379F3">
      <w:r w:rsidRPr="003A2B0F">
        <w:rPr>
          <w:i/>
          <w:iCs/>
        </w:rPr>
        <w:lastRenderedPageBreak/>
        <w:t>TEN-T Network Focus:</w:t>
      </w:r>
      <w:r>
        <w:t xml:space="preserve"> The rest 25% of the budget should be allocated to a Joint venture with a major Polish CPO (e.g., Greenway or </w:t>
      </w:r>
      <w:proofErr w:type="spellStart"/>
      <w:proofErr w:type="gramStart"/>
      <w:r>
        <w:t>Powerdot</w:t>
      </w:r>
      <w:proofErr w:type="spellEnd"/>
      <w:r>
        <w:t xml:space="preserve"> )</w:t>
      </w:r>
      <w:proofErr w:type="gramEnd"/>
      <w:r>
        <w:t xml:space="preserve"> that would focus specifically on that 87% of the Trans-European Transport Network (TEN-T) that is poorly served (Mobility Portal Europe, 2025). This proves as an investment in the national infrastructure, which is attractive to the government stakeholders and alleviates the mass consumer panic (UAI mitigation).</w:t>
      </w:r>
    </w:p>
    <w:p w14:paraId="349F173C" w14:textId="069164C0" w:rsidR="00B379F3" w:rsidRDefault="00B379F3" w:rsidP="00B379F3">
      <w:r w:rsidRPr="003A2B0F">
        <w:rPr>
          <w:i/>
          <w:iCs/>
        </w:rPr>
        <w:t>Energy Storage Integration:</w:t>
      </w:r>
      <w:r>
        <w:t xml:space="preserve"> The SOP has to contain a concern to use the own battery energy storage systems (BESS) technology of BYD, together with new DC chargers to reduce pressures on old grid infrastructure in Poland, with BYD having the O-Advantage of energy solutions (BYD, 2022).</w:t>
      </w:r>
    </w:p>
    <w:p w14:paraId="564B2CDE" w14:textId="12D2DF36" w:rsidR="00B379F3" w:rsidRDefault="00B379F3" w:rsidP="00B379F3">
      <w:r>
        <w:t>This SOP will make the weakness of the national infrastructure prop into a competitive moat of a proprietary nature. First mover in the infrastructure business will enable BYD to earn trust, promote its B2B sales, and proactively reduce the perceived risk of EV ownership to the Polish market (High UAI).</w:t>
      </w:r>
    </w:p>
    <w:p w14:paraId="2799712C" w14:textId="4736D4D8" w:rsidR="00B379F3" w:rsidRDefault="002525B5" w:rsidP="003A2B0F">
      <w:pPr>
        <w:pStyle w:val="Heading2"/>
        <w:numPr>
          <w:ilvl w:val="1"/>
          <w:numId w:val="3"/>
        </w:numPr>
      </w:pPr>
      <w:bookmarkStart w:id="20" w:name="_Toc216577909"/>
      <w:r w:rsidRPr="002525B5">
        <w:t xml:space="preserve">SOP 3: </w:t>
      </w:r>
      <w:proofErr w:type="spellStart"/>
      <w:r w:rsidRPr="002525B5">
        <w:t>Individualised</w:t>
      </w:r>
      <w:proofErr w:type="spellEnd"/>
      <w:r w:rsidRPr="002525B5">
        <w:t xml:space="preserve"> Performance and After-Sales Trust SOP</w:t>
      </w:r>
      <w:bookmarkEnd w:id="20"/>
    </w:p>
    <w:p w14:paraId="01316A1D" w14:textId="1D90362B" w:rsidR="00B379F3" w:rsidRDefault="00B379F3" w:rsidP="00B379F3">
      <w:r>
        <w:t>This cultural difference in the IDV and UAI must be addressed with the essential shift in the manner, in which BYD would handle its people and its customer assurances in Poland.</w:t>
      </w:r>
    </w:p>
    <w:p w14:paraId="7B849EB2" w14:textId="407ABEFA" w:rsidR="00B379F3" w:rsidRDefault="00B379F3" w:rsidP="00B379F3">
      <w:r w:rsidRPr="003A2B0F">
        <w:rPr>
          <w:i/>
          <w:iCs/>
        </w:rPr>
        <w:t>Modification:</w:t>
      </w:r>
      <w:r>
        <w:t xml:space="preserve"> Introduce a “Local Excellence and Trust Protocol to all of the Polish dealerships and NSC functions placing an accent on individual performance and promulgated guarantees.</w:t>
      </w:r>
    </w:p>
    <w:p w14:paraId="21C321F3" w14:textId="3FFD4EDE" w:rsidR="00B379F3" w:rsidRDefault="00B379F3" w:rsidP="00B379F3">
      <w:r w:rsidRPr="003A2B0F">
        <w:rPr>
          <w:i/>
          <w:iCs/>
        </w:rPr>
        <w:t>Individual Development Performance (IDV):</w:t>
      </w:r>
      <w:r>
        <w:t xml:space="preserve"> The SOP should have definite merit-based compensation and career advancement schemes on the Polish personnel, which change the Chinese collectivist principles to individual performance-based compensation schemes (Harney et al., 2022). This will enable it to recruit and retain the extremely competitive and individualistic Polish talent pool (</w:t>
      </w:r>
      <w:proofErr w:type="spellStart"/>
      <w:r>
        <w:t>Wójcik</w:t>
      </w:r>
      <w:proofErr w:type="spellEnd"/>
      <w:r>
        <w:t xml:space="preserve"> &amp; </w:t>
      </w:r>
      <w:proofErr w:type="spellStart"/>
      <w:r>
        <w:t>Dębczyńska</w:t>
      </w:r>
      <w:proofErr w:type="spellEnd"/>
      <w:r>
        <w:t>, 2019).</w:t>
      </w:r>
    </w:p>
    <w:p w14:paraId="7984B164" w14:textId="73C77083" w:rsidR="00B379F3" w:rsidRDefault="00B379F3" w:rsidP="00B379F3">
      <w:r w:rsidRPr="003A2B0F">
        <w:rPr>
          <w:i/>
          <w:iCs/>
        </w:rPr>
        <w:t>Guaranteed Service Standard (UAI):</w:t>
      </w:r>
      <w:r>
        <w:t xml:space="preserve"> Introduce an assurance that every certified Polish dealership should keep its stock of fast-moving spare parts to 95% and provide a warranty of 7 years/150,000 km on the entire vehicle (on top of the Blade Battery lifetime warranty). This objective, measurable guarantee is the best means to put into fulfilment the Polish high UAI requirement of security and predictability (</w:t>
      </w:r>
      <w:proofErr w:type="spellStart"/>
      <w:r>
        <w:t>Wójcik</w:t>
      </w:r>
      <w:proofErr w:type="spellEnd"/>
      <w:r>
        <w:t xml:space="preserve"> and </w:t>
      </w:r>
      <w:proofErr w:type="spellStart"/>
      <w:r>
        <w:t>Dębczyńska</w:t>
      </w:r>
      <w:proofErr w:type="spellEnd"/>
      <w:r>
        <w:t>, 2019).</w:t>
      </w:r>
    </w:p>
    <w:p w14:paraId="72963FB6" w14:textId="77777777" w:rsidR="00B379F3" w:rsidRDefault="00B379F3" w:rsidP="00B379F3">
      <w:r w:rsidRPr="003A2B0F">
        <w:rPr>
          <w:i/>
          <w:iCs/>
        </w:rPr>
        <w:lastRenderedPageBreak/>
        <w:t>Legal and Formal Communication:</w:t>
      </w:r>
      <w:r>
        <w:t xml:space="preserve"> The SOP is required to make sure that any commercial agreements, service agreements and any marketing statements are strictly reviewed by Polish legal advisors and meet the Polish culture of strictness and formality above implicit trust (Hajar et al., 2023).</w:t>
      </w:r>
    </w:p>
    <w:p w14:paraId="479CC091" w14:textId="65BB6E34" w:rsidR="00B379F3" w:rsidRDefault="00B379F3" w:rsidP="00B379F3">
      <w:r>
        <w:t xml:space="preserve">This cultural SOP directly controls the two internal weaknesses (HR motivation and service control) through their reflection in the operational processes under the structure of responses to the local expectations that overcomes the Liability of Foreignness and creates </w:t>
      </w:r>
      <w:r w:rsidR="00DA65B8">
        <w:t>long</w:t>
      </w:r>
      <w:r>
        <w:t>-term customer loyalty.</w:t>
      </w:r>
    </w:p>
    <w:p w14:paraId="0DA7CC2B" w14:textId="58F1B4F8" w:rsidR="00DA65B8" w:rsidRDefault="00DA65B8" w:rsidP="00B379F3">
      <w:r>
        <w:t xml:space="preserve">In summary, </w:t>
      </w:r>
      <w:r w:rsidRPr="00DA65B8">
        <w:t xml:space="preserve">the strategic recommendations are based on the conversion of the OLI analysis and cultural analysis into the actions of the success of BYD in Poland. Firstly, the threats of the existential 27%-38% EU tariff directly is reduced by the European Rules-of-Origin SOP (5.1) that ensures the </w:t>
      </w:r>
      <w:proofErr w:type="spellStart"/>
      <w:r w:rsidRPr="00DA65B8">
        <w:t>Internalisation</w:t>
      </w:r>
      <w:proofErr w:type="spellEnd"/>
      <w:r w:rsidRPr="00DA65B8">
        <w:t xml:space="preserve"> (I) advantage by establishing the production location to Hungary, keeping the cost leadership (O) and the CEE Location (L) advantage. Second, to deal with the giant charging deficit and unstable market in Poland (L-Risk), the Infrastructure Protocol (5.2) will require the strategic co-investment in the B2B fleet infrastructure, involving the use of BYD energy Ownerships (O) assets to convert this market weakness into a competitive moat. Lastly, the After-Sales Trust Protocol (5.3) is an important cultural response because it should use formalized assurances and individual performance management to overcome High Uncertainty Avoidance (93) of Poland and Individualism (68) of Poland. These SOPs surmount the Liability of Foreignness by making operations predictable and rewarding hard work of individuals, which helps have the long-term acceptance of markets and brand loyalty that is essential to high-commitment FDI success.</w:t>
      </w:r>
    </w:p>
    <w:p w14:paraId="49E5FB5F" w14:textId="353907C9" w:rsidR="00B379F3" w:rsidRDefault="00B379F3" w:rsidP="003A2B0F">
      <w:pPr>
        <w:pStyle w:val="Heading1"/>
        <w:numPr>
          <w:ilvl w:val="0"/>
          <w:numId w:val="3"/>
        </w:numPr>
      </w:pPr>
      <w:bookmarkStart w:id="21" w:name="_Toc216577910"/>
      <w:r>
        <w:t>Conclusion</w:t>
      </w:r>
      <w:bookmarkEnd w:id="21"/>
      <w:r>
        <w:t xml:space="preserve"> </w:t>
      </w:r>
    </w:p>
    <w:p w14:paraId="0C55F38C" w14:textId="19DDAFBB" w:rsidR="00B379F3" w:rsidRDefault="00B379F3" w:rsidP="00B379F3">
      <w:r>
        <w:t>The Poland move is a highly strategic decision that BYD needed to accomplish its TNC essence of overcoming reliance on its saturated home market and transmitting into a real global automotive force (Goh &amp; Carey, 2025). The present export-distribution system in Poland is on the verge of instability, with the risk of high tariffs to the EU and can lean on the services of a significant level of constraints caused by a significant deficit of infrastructure within the nation (Haas, 2025; PSNM, 2025).</w:t>
      </w:r>
    </w:p>
    <w:p w14:paraId="659706B9" w14:textId="67EC8475" w:rsidR="00B379F3" w:rsidRDefault="00B379F3" w:rsidP="00B379F3">
      <w:r>
        <w:lastRenderedPageBreak/>
        <w:t xml:space="preserve">The discussion, through Dunning OLI paradigm, conclusively supports the need to have transition into FDI. BYD will need to fully leverage its Ownership Advantages (Blade Battery, vertical integration) by the </w:t>
      </w:r>
      <w:proofErr w:type="spellStart"/>
      <w:r>
        <w:t>Internalisation</w:t>
      </w:r>
      <w:proofErr w:type="spellEnd"/>
      <w:r>
        <w:t xml:space="preserve"> control (Zhang, 2024), and the Hungarian factory is the key supply factor that may help it to break tariff costs and an enjoy CEE Location Advantage (</w:t>
      </w:r>
      <w:proofErr w:type="spellStart"/>
      <w:r>
        <w:t>LayWen</w:t>
      </w:r>
      <w:proofErr w:type="spellEnd"/>
      <w:r>
        <w:t>, 2025).</w:t>
      </w:r>
    </w:p>
    <w:p w14:paraId="7644AAD9" w14:textId="4660FB5B" w:rsidR="00B379F3" w:rsidRDefault="00B379F3" w:rsidP="00B379F3">
      <w:r>
        <w:t xml:space="preserve">To gain success on a lasting basis, BYD </w:t>
      </w:r>
      <w:r w:rsidR="002525B5">
        <w:t>must</w:t>
      </w:r>
      <w:r>
        <w:t xml:space="preserve"> go beyond investing and actualizing culturally appeal operational changes. The suggested Phased Localization SOP guarantees the tariff conformity, whereas the Targeted Infrastructure Protocol addresses the barrier to adoption (Mobility Portal Europe, 2025). More importantly, the adoption of the Brand Trust and Quality Guarantee Protocol of high Uncertainty Avoidance in Poland is the top priority to ensure long-term loyalty and </w:t>
      </w:r>
      <w:proofErr w:type="spellStart"/>
      <w:r>
        <w:t>legitimise</w:t>
      </w:r>
      <w:proofErr w:type="spellEnd"/>
      <w:r>
        <w:t xml:space="preserve"> BYD as a solid and conscientious global TNC (</w:t>
      </w:r>
      <w:proofErr w:type="spellStart"/>
      <w:r>
        <w:t>Wojcik</w:t>
      </w:r>
      <w:proofErr w:type="spellEnd"/>
      <w:r>
        <w:t xml:space="preserve"> and </w:t>
      </w:r>
      <w:proofErr w:type="spellStart"/>
      <w:r>
        <w:t>Debruczynska</w:t>
      </w:r>
      <w:proofErr w:type="spellEnd"/>
      <w:r>
        <w:t xml:space="preserve">, 2019). The following three years </w:t>
      </w:r>
      <w:r w:rsidR="003A2B0F">
        <w:t>are</w:t>
      </w:r>
      <w:r>
        <w:t xml:space="preserve"> critical in proving whether BYD would manage to convert its technological lead into </w:t>
      </w:r>
      <w:r w:rsidR="002525B5">
        <w:t>sustainable</w:t>
      </w:r>
      <w:r>
        <w:t xml:space="preserve"> leadership in the European market.</w:t>
      </w:r>
    </w:p>
    <w:p w14:paraId="2A4CFA2C" w14:textId="1197AF6C" w:rsidR="003A2B0F" w:rsidRDefault="003A2B0F">
      <w:pPr>
        <w:spacing w:line="259" w:lineRule="auto"/>
        <w:jc w:val="left"/>
      </w:pPr>
      <w:r>
        <w:br w:type="page"/>
      </w:r>
    </w:p>
    <w:p w14:paraId="03318227" w14:textId="77777777" w:rsidR="002525B5" w:rsidRDefault="002525B5" w:rsidP="00B379F3"/>
    <w:p w14:paraId="15FBBEDC" w14:textId="00B79BEC" w:rsidR="00B379F3" w:rsidRDefault="00B379F3" w:rsidP="00B379F3">
      <w:pPr>
        <w:pStyle w:val="Heading1"/>
      </w:pPr>
      <w:bookmarkStart w:id="22" w:name="_Toc216577911"/>
      <w:r>
        <w:t>References</w:t>
      </w:r>
      <w:bookmarkEnd w:id="22"/>
    </w:p>
    <w:p w14:paraId="643C2F21" w14:textId="77777777" w:rsidR="002525B5" w:rsidRPr="002525B5" w:rsidRDefault="002525B5" w:rsidP="002525B5">
      <w:r w:rsidRPr="002525B5">
        <w:rPr>
          <w:lang w:val="de-DE"/>
        </w:rPr>
        <w:t xml:space="preserve">Batschauer da Cruz, C. B., Eliete Floriani, D. and Amal, M. (2022). </w:t>
      </w:r>
      <w:r w:rsidRPr="002525B5">
        <w:t xml:space="preserve">The OLI Paradigm as a comprehensive model of FDI determinants: a sub-national approach. </w:t>
      </w:r>
      <w:r w:rsidRPr="002525B5">
        <w:rPr>
          <w:i/>
          <w:iCs/>
        </w:rPr>
        <w:t>International Journal of Emerging Markets</w:t>
      </w:r>
      <w:r w:rsidRPr="002525B5">
        <w:t>, 17(1), pp. 145–176.</w:t>
      </w:r>
    </w:p>
    <w:p w14:paraId="73E8E049" w14:textId="77777777" w:rsidR="002525B5" w:rsidRPr="002525B5" w:rsidRDefault="002525B5" w:rsidP="002525B5">
      <w:r w:rsidRPr="002525B5">
        <w:t xml:space="preserve">BYD (2020). </w:t>
      </w:r>
      <w:r w:rsidRPr="002525B5">
        <w:rPr>
          <w:i/>
          <w:iCs/>
        </w:rPr>
        <w:t>BYD’s first dealership in Poland opens for business</w:t>
      </w:r>
      <w:r w:rsidRPr="002525B5">
        <w:t xml:space="preserve">. [online] </w:t>
      </w:r>
      <w:proofErr w:type="spellStart"/>
      <w:r w:rsidRPr="002525B5">
        <w:t>Gasgoo</w:t>
      </w:r>
      <w:proofErr w:type="spellEnd"/>
      <w:r w:rsidRPr="002525B5">
        <w:t>. Available at: https://autonews.gasgoo.com/new_energy/70034134.html [Accessed 12 Dec. 2025].</w:t>
      </w:r>
    </w:p>
    <w:p w14:paraId="47F155AB" w14:textId="77777777" w:rsidR="002525B5" w:rsidRPr="002525B5" w:rsidRDefault="002525B5" w:rsidP="002525B5">
      <w:r w:rsidRPr="002525B5">
        <w:t xml:space="preserve">BYD (2022). </w:t>
      </w:r>
      <w:r w:rsidRPr="002525B5">
        <w:rPr>
          <w:i/>
          <w:iCs/>
        </w:rPr>
        <w:t xml:space="preserve">Hello! We are </w:t>
      </w:r>
      <w:proofErr w:type="gramStart"/>
      <w:r w:rsidRPr="002525B5">
        <w:rPr>
          <w:i/>
          <w:iCs/>
        </w:rPr>
        <w:t>BYD!</w:t>
      </w:r>
      <w:r w:rsidRPr="002525B5">
        <w:t>.</w:t>
      </w:r>
      <w:proofErr w:type="gramEnd"/>
      <w:r w:rsidRPr="002525B5">
        <w:t xml:space="preserve"> [online] BYD. Available at: https://www.byd.com/uk/blog/Hello-we-are-BYD [Accessed 10 Dec. 2025].</w:t>
      </w:r>
    </w:p>
    <w:p w14:paraId="1070526C" w14:textId="77777777" w:rsidR="002525B5" w:rsidRPr="002525B5" w:rsidRDefault="002525B5" w:rsidP="002525B5">
      <w:r w:rsidRPr="002525B5">
        <w:t xml:space="preserve">Dunning, J. H. (1988). The Eclectic Paradigm of International Production: A Restatement and Some Possible Extensions. </w:t>
      </w:r>
      <w:r w:rsidRPr="002525B5">
        <w:rPr>
          <w:i/>
          <w:iCs/>
        </w:rPr>
        <w:t>Journal of International Business Studies</w:t>
      </w:r>
      <w:r w:rsidRPr="002525B5">
        <w:t>, 19(1).</w:t>
      </w:r>
    </w:p>
    <w:p w14:paraId="4016AFC8" w14:textId="77777777" w:rsidR="002525B5" w:rsidRPr="002525B5" w:rsidRDefault="002525B5" w:rsidP="002525B5">
      <w:r w:rsidRPr="002525B5">
        <w:t xml:space="preserve">EUROMETAL. (2025). </w:t>
      </w:r>
      <w:r w:rsidRPr="002525B5">
        <w:rPr>
          <w:i/>
          <w:iCs/>
        </w:rPr>
        <w:t xml:space="preserve">BYD eyes Europe production </w:t>
      </w:r>
      <w:proofErr w:type="spellStart"/>
      <w:r w:rsidRPr="002525B5">
        <w:rPr>
          <w:i/>
          <w:iCs/>
        </w:rPr>
        <w:t>localisation</w:t>
      </w:r>
      <w:proofErr w:type="spellEnd"/>
      <w:r w:rsidRPr="002525B5">
        <w:rPr>
          <w:i/>
          <w:iCs/>
        </w:rPr>
        <w:t xml:space="preserve"> by 2028: report</w:t>
      </w:r>
      <w:r w:rsidRPr="002525B5">
        <w:t>. [online] EUROMETAL - The Voice of European Steel, Tubes and Metal Distribution representing all types of Steel Intermediation. Available at: https://eurometal.net/byd-eyes-europe-production-localisation-by-2028-report/ [Accessed 13 Dec. 2025].</w:t>
      </w:r>
    </w:p>
    <w:p w14:paraId="41626E7D" w14:textId="77777777" w:rsidR="002525B5" w:rsidRPr="002525B5" w:rsidRDefault="002525B5" w:rsidP="002525B5">
      <w:r w:rsidRPr="002525B5">
        <w:t xml:space="preserve">EV Volumes (2025). </w:t>
      </w:r>
      <w:r w:rsidRPr="002525B5">
        <w:rPr>
          <w:i/>
          <w:iCs/>
        </w:rPr>
        <w:t>EV-Volumes - The Electric Vehicle World Sales Database</w:t>
      </w:r>
      <w:r w:rsidRPr="002525B5">
        <w:t>. [online] www.ev-volumes.com. Available at: https://ev-volumes.com/.</w:t>
      </w:r>
    </w:p>
    <w:p w14:paraId="78357B49" w14:textId="77777777" w:rsidR="002525B5" w:rsidRPr="002525B5" w:rsidRDefault="002525B5" w:rsidP="002525B5">
      <w:r w:rsidRPr="002525B5">
        <w:t xml:space="preserve">Goh, B. and Carey, N. (2025). Exclusive: BYD aims to sell half its cars outside China by 2030, sources say. </w:t>
      </w:r>
      <w:r w:rsidRPr="002525B5">
        <w:rPr>
          <w:i/>
          <w:iCs/>
        </w:rPr>
        <w:t>Reuters</w:t>
      </w:r>
      <w:r w:rsidRPr="002525B5">
        <w:t>. [online] 8 May. Available at: https://www.reuters.com/business/autos-transportation/byd-aims-sell-half-its-cars-outside-china-by-2030-sources-say-2025-05-08/.</w:t>
      </w:r>
    </w:p>
    <w:p w14:paraId="36C7A378" w14:textId="77777777" w:rsidR="002525B5" w:rsidRPr="002525B5" w:rsidRDefault="002525B5" w:rsidP="002525B5">
      <w:r w:rsidRPr="002525B5">
        <w:t xml:space="preserve">Haas, L. (2025). BYD eyes Europe production </w:t>
      </w:r>
      <w:proofErr w:type="spellStart"/>
      <w:r w:rsidRPr="002525B5">
        <w:t>localisation</w:t>
      </w:r>
      <w:proofErr w:type="spellEnd"/>
      <w:r w:rsidRPr="002525B5">
        <w:t xml:space="preserve"> by 2028: report - EUROMETAL. [online] EUROMETAL - The Voice of European Steel, Tubes and Metal Distribution representing all types of Steel Intermediation. Available at: https://eurometal.net/byd-eyes-europe-production-localisation-by-2028-report/ [Accessed 13 Dec. 2025].</w:t>
      </w:r>
    </w:p>
    <w:p w14:paraId="23D7077D" w14:textId="77777777" w:rsidR="002525B5" w:rsidRPr="002525B5" w:rsidRDefault="002525B5" w:rsidP="002525B5">
      <w:r w:rsidRPr="002525B5">
        <w:t xml:space="preserve">Hajar, E. H., Omar, T., Bilal, E. A. and Khaoula, S. (2023). An Assessment of Ethics in a Cross-Cultural Organizational Context: A Systematic Literature Review. </w:t>
      </w:r>
      <w:r w:rsidRPr="002525B5">
        <w:rPr>
          <w:i/>
          <w:iCs/>
        </w:rPr>
        <w:t>International Journal of Organizational Leadership</w:t>
      </w:r>
      <w:r w:rsidRPr="002525B5">
        <w:t>, 12(4).</w:t>
      </w:r>
    </w:p>
    <w:p w14:paraId="0B471889" w14:textId="77777777" w:rsidR="002525B5" w:rsidRPr="002525B5" w:rsidRDefault="002525B5" w:rsidP="002525B5">
      <w:r w:rsidRPr="002525B5">
        <w:lastRenderedPageBreak/>
        <w:t xml:space="preserve">Harney, B., Gilman, M., Mayson, S. and Raby, S. (2022). Advancing understanding of HRM in small and medium-sized enterprises (SMEs): critical questions and future prospects. </w:t>
      </w:r>
      <w:r w:rsidRPr="002525B5">
        <w:rPr>
          <w:i/>
          <w:iCs/>
        </w:rPr>
        <w:t>The International Journal of Human Resource Management</w:t>
      </w:r>
      <w:r w:rsidRPr="002525B5">
        <w:t>, 33(16), pp. 3175–3196.</w:t>
      </w:r>
    </w:p>
    <w:p w14:paraId="4184F63E" w14:textId="77777777" w:rsidR="002525B5" w:rsidRPr="002525B5" w:rsidRDefault="002525B5" w:rsidP="002525B5">
      <w:r w:rsidRPr="002525B5">
        <w:t xml:space="preserve">Hofstede, G. (2011). </w:t>
      </w:r>
      <w:proofErr w:type="spellStart"/>
      <w:r w:rsidRPr="002525B5">
        <w:t>Dimensionalizing</w:t>
      </w:r>
      <w:proofErr w:type="spellEnd"/>
      <w:r w:rsidRPr="002525B5">
        <w:t xml:space="preserve"> cultures: The Hofstede model in context. </w:t>
      </w:r>
      <w:r w:rsidRPr="002525B5">
        <w:rPr>
          <w:i/>
          <w:iCs/>
        </w:rPr>
        <w:t>Online readings in psychology and culture</w:t>
      </w:r>
      <w:r w:rsidRPr="002525B5">
        <w:t>, 2(1), p. 8.</w:t>
      </w:r>
    </w:p>
    <w:p w14:paraId="24E78463" w14:textId="77777777" w:rsidR="002525B5" w:rsidRPr="002525B5" w:rsidRDefault="002525B5" w:rsidP="002525B5">
      <w:r w:rsidRPr="002525B5">
        <w:t xml:space="preserve">Hofstede Insights. (2025). </w:t>
      </w:r>
      <w:r w:rsidRPr="002525B5">
        <w:rPr>
          <w:i/>
          <w:iCs/>
        </w:rPr>
        <w:t>Country Comparison Tool: China vs. Poland</w:t>
      </w:r>
      <w:r w:rsidRPr="002525B5">
        <w:t>.</w:t>
      </w:r>
    </w:p>
    <w:p w14:paraId="60CE97F7" w14:textId="77777777" w:rsidR="002525B5" w:rsidRPr="002525B5" w:rsidRDefault="002525B5" w:rsidP="002525B5">
      <w:r w:rsidRPr="002525B5">
        <w:t xml:space="preserve">IEA (2025). </w:t>
      </w:r>
      <w:r w:rsidRPr="002525B5">
        <w:rPr>
          <w:i/>
          <w:iCs/>
        </w:rPr>
        <w:t>Global EV Outlook 2025 – Analysis - IEA</w:t>
      </w:r>
      <w:r w:rsidRPr="002525B5">
        <w:t>. [online] IEA. Available at: https://www.iea.org/reports/global-ev-outlook-2025 [Accessed 14 Dec. 2025].</w:t>
      </w:r>
    </w:p>
    <w:p w14:paraId="70A8BBF0" w14:textId="77777777" w:rsidR="002525B5" w:rsidRPr="002525B5" w:rsidRDefault="002525B5" w:rsidP="002525B5">
      <w:r w:rsidRPr="002525B5">
        <w:t xml:space="preserve">Ken Research (2025). </w:t>
      </w:r>
      <w:r w:rsidRPr="002525B5">
        <w:rPr>
          <w:i/>
          <w:iCs/>
        </w:rPr>
        <w:t>Poland EV Charging Infra Market | 2019 – 2030 | Ken Research</w:t>
      </w:r>
      <w:r w:rsidRPr="002525B5">
        <w:t>. [online] Kenresearch.com. Available at: https://www.kenresearch.com/poland-ev-charging-infrastructure-market [Accessed 13 Dec. 2025].</w:t>
      </w:r>
    </w:p>
    <w:p w14:paraId="143EE4E5" w14:textId="77777777" w:rsidR="002525B5" w:rsidRPr="002525B5" w:rsidRDefault="002525B5" w:rsidP="002525B5">
      <w:proofErr w:type="spellStart"/>
      <w:r w:rsidRPr="002525B5">
        <w:t>LayWen</w:t>
      </w:r>
      <w:proofErr w:type="spellEnd"/>
      <w:r w:rsidRPr="002525B5">
        <w:t xml:space="preserve"> (2025). </w:t>
      </w:r>
      <w:r w:rsidRPr="002525B5">
        <w:rPr>
          <w:i/>
          <w:iCs/>
        </w:rPr>
        <w:t>How BYD Is Accelerating Its Expansion Across Europe</w:t>
      </w:r>
      <w:r w:rsidRPr="002525B5">
        <w:t>. [online] EVDANCE. Available at: https://evdances.com/blogs/blog/how-byd-is-accelerating-its-expansion-across-europe [Accessed 13 Dec. 2025].</w:t>
      </w:r>
    </w:p>
    <w:p w14:paraId="4BDFDEA9" w14:textId="77777777" w:rsidR="002525B5" w:rsidRPr="002525B5" w:rsidRDefault="002525B5" w:rsidP="002525B5">
      <w:r w:rsidRPr="002525B5">
        <w:t xml:space="preserve">Luo, Y. (2021). New OLI advantages in digital globalization. </w:t>
      </w:r>
      <w:r w:rsidRPr="002525B5">
        <w:rPr>
          <w:i/>
          <w:iCs/>
        </w:rPr>
        <w:t>International Business Review</w:t>
      </w:r>
      <w:r w:rsidRPr="002525B5">
        <w:t>, 30(2), p. 101797.</w:t>
      </w:r>
    </w:p>
    <w:p w14:paraId="666DDF72" w14:textId="77777777" w:rsidR="002525B5" w:rsidRPr="002525B5" w:rsidRDefault="002525B5" w:rsidP="002525B5">
      <w:r w:rsidRPr="002525B5">
        <w:t xml:space="preserve">Minkov, M. and Kaasa, A. (2022). Do dimensions of culture exist objectively? A validation of the revised Minkov-Hofstede model of culture with World Values Survey items and scores for 102 countries. </w:t>
      </w:r>
      <w:r w:rsidRPr="002525B5">
        <w:rPr>
          <w:i/>
          <w:iCs/>
        </w:rPr>
        <w:t>Journal of International Management</w:t>
      </w:r>
      <w:r w:rsidRPr="002525B5">
        <w:t>, 28(4), p. 100971.</w:t>
      </w:r>
    </w:p>
    <w:p w14:paraId="20220164" w14:textId="77777777" w:rsidR="002525B5" w:rsidRPr="002525B5" w:rsidRDefault="002525B5" w:rsidP="002525B5">
      <w:r w:rsidRPr="002525B5">
        <w:t xml:space="preserve">Mobility Portal Europe. (2025). </w:t>
      </w:r>
      <w:r w:rsidRPr="002525B5">
        <w:rPr>
          <w:i/>
          <w:iCs/>
        </w:rPr>
        <w:t>Poland charging infrastructure grows 50% year-on-year</w:t>
      </w:r>
      <w:r w:rsidRPr="002525B5">
        <w:t>. [online] Mobility Portal. Available at: https://mobilityportal.eu/poland-charging-infrastructure-may-2025/ [Accessed 14 Dec. 2025].</w:t>
      </w:r>
    </w:p>
    <w:p w14:paraId="539C1F29" w14:textId="77777777" w:rsidR="002525B5" w:rsidRPr="002525B5" w:rsidRDefault="002525B5" w:rsidP="002525B5">
      <w:r w:rsidRPr="002525B5">
        <w:t xml:space="preserve">Munjal, M. (2024). Strategic Internationalization of BYD: A Case Study on Entry into the German EV Market Using the Eclectic Paradigm Framework. </w:t>
      </w:r>
      <w:r w:rsidRPr="002525B5">
        <w:rPr>
          <w:i/>
          <w:iCs/>
        </w:rPr>
        <w:t>ResearchGate</w:t>
      </w:r>
      <w:r w:rsidRPr="002525B5">
        <w:t>.</w:t>
      </w:r>
    </w:p>
    <w:p w14:paraId="27644CD3" w14:textId="77777777" w:rsidR="002525B5" w:rsidRPr="002525B5" w:rsidRDefault="002525B5" w:rsidP="002525B5">
      <w:r w:rsidRPr="002525B5">
        <w:t xml:space="preserve">PSNM (2025). </w:t>
      </w:r>
      <w:r w:rsidRPr="002525B5">
        <w:rPr>
          <w:i/>
          <w:iCs/>
        </w:rPr>
        <w:t>Poland: 3% decrease of BEV registrations compared to 2023 in 2024</w:t>
      </w:r>
      <w:r w:rsidRPr="002525B5">
        <w:t>. [online] Europa.eu. Available at: https://alternative-fuels-observatory.ec.europa.eu/general-</w:t>
      </w:r>
      <w:r w:rsidRPr="002525B5">
        <w:lastRenderedPageBreak/>
        <w:t>information/news/poland-3-decrease-bev-registrations-compared-2023-2024 [Accessed 11 Dec. 2025].</w:t>
      </w:r>
    </w:p>
    <w:p w14:paraId="4DE407D4" w14:textId="77777777" w:rsidR="002525B5" w:rsidRPr="002525B5" w:rsidRDefault="002525B5" w:rsidP="002525B5">
      <w:proofErr w:type="spellStart"/>
      <w:r w:rsidRPr="002525B5">
        <w:t>Proń</w:t>
      </w:r>
      <w:proofErr w:type="spellEnd"/>
      <w:r w:rsidRPr="002525B5">
        <w:t xml:space="preserve">, E. (2024). POLAND-CHINA RELATIONS. </w:t>
      </w:r>
      <w:r w:rsidRPr="002525B5">
        <w:rPr>
          <w:i/>
          <w:iCs/>
        </w:rPr>
        <w:t>Routledge Handbook of Chinese and Eurasian International Relations</w:t>
      </w:r>
      <w:r w:rsidRPr="002525B5">
        <w:t>, p. 228.</w:t>
      </w:r>
    </w:p>
    <w:p w14:paraId="400D2D4D" w14:textId="77777777" w:rsidR="002525B5" w:rsidRPr="002525B5" w:rsidRDefault="002525B5" w:rsidP="002525B5">
      <w:proofErr w:type="spellStart"/>
      <w:r w:rsidRPr="002525B5">
        <w:t>Seeling</w:t>
      </w:r>
      <w:proofErr w:type="spellEnd"/>
      <w:r w:rsidRPr="002525B5">
        <w:t xml:space="preserve">, M. X., Kreuter, T., Scavarda, L. F., Thomé, A. M. T. and </w:t>
      </w:r>
      <w:proofErr w:type="spellStart"/>
      <w:r w:rsidRPr="002525B5">
        <w:t>Hellingrath</w:t>
      </w:r>
      <w:proofErr w:type="spellEnd"/>
      <w:r w:rsidRPr="002525B5">
        <w:t xml:space="preserve">, B. (2021). Global sales and operations planning: A multinational manufacturing company perspective. </w:t>
      </w:r>
      <w:proofErr w:type="spellStart"/>
      <w:r w:rsidRPr="002525B5">
        <w:rPr>
          <w:i/>
          <w:iCs/>
        </w:rPr>
        <w:t>PloS</w:t>
      </w:r>
      <w:proofErr w:type="spellEnd"/>
      <w:r w:rsidRPr="002525B5">
        <w:rPr>
          <w:i/>
          <w:iCs/>
        </w:rPr>
        <w:t xml:space="preserve"> one</w:t>
      </w:r>
      <w:r w:rsidRPr="002525B5">
        <w:t>, 16(9), p. e0257572.</w:t>
      </w:r>
    </w:p>
    <w:p w14:paraId="548FC248" w14:textId="77777777" w:rsidR="002525B5" w:rsidRPr="002525B5" w:rsidRDefault="002525B5" w:rsidP="002525B5">
      <w:proofErr w:type="spellStart"/>
      <w:r w:rsidRPr="002525B5">
        <w:t>Shenkar</w:t>
      </w:r>
      <w:proofErr w:type="spellEnd"/>
      <w:r w:rsidRPr="002525B5">
        <w:t xml:space="preserve">, O., Luo, Y. and Chi, T. (2021). </w:t>
      </w:r>
      <w:r w:rsidRPr="002525B5">
        <w:rPr>
          <w:i/>
          <w:iCs/>
        </w:rPr>
        <w:t>International business</w:t>
      </w:r>
      <w:r w:rsidRPr="002525B5">
        <w:t>. Routledge.</w:t>
      </w:r>
    </w:p>
    <w:p w14:paraId="2A1D1FCC" w14:textId="77777777" w:rsidR="002525B5" w:rsidRPr="002525B5" w:rsidRDefault="002525B5" w:rsidP="002525B5">
      <w:r w:rsidRPr="002525B5">
        <w:t xml:space="preserve">Statista (2024). </w:t>
      </w:r>
      <w:r w:rsidRPr="002525B5">
        <w:rPr>
          <w:i/>
          <w:iCs/>
        </w:rPr>
        <w:t>Passenger Cars - Europe | Statista Market Forecast</w:t>
      </w:r>
      <w:r w:rsidRPr="002525B5">
        <w:t>. [online] Statista. Available at: https://www.statista.com/outlook/mmo/passenger-cars/europe [Accessed 13 Dec. 2025].</w:t>
      </w:r>
    </w:p>
    <w:p w14:paraId="3A598E35" w14:textId="77777777" w:rsidR="002525B5" w:rsidRPr="002525B5" w:rsidRDefault="002525B5" w:rsidP="002525B5">
      <w:r w:rsidRPr="002525B5">
        <w:t xml:space="preserve">The Atlantic Council. (2025). </w:t>
      </w:r>
      <w:r w:rsidRPr="002525B5">
        <w:rPr>
          <w:i/>
          <w:iCs/>
        </w:rPr>
        <w:t>Poland's policy on China: From partnership to skepticism</w:t>
      </w:r>
      <w:r w:rsidRPr="002525B5">
        <w:t>. [online] The Atlantic Council. Available at: https://www.atlanticcouncil.org/in-depth-research-reports/report/polands-policy-on-china-from-partnership-to-skepticism/ [Accessed 10 Dec. 2025].</w:t>
      </w:r>
    </w:p>
    <w:p w14:paraId="18B14A78" w14:textId="77777777" w:rsidR="002525B5" w:rsidRPr="002525B5" w:rsidRDefault="002525B5" w:rsidP="002525B5">
      <w:r w:rsidRPr="002525B5">
        <w:t>Ujazdowski, A. (2025). FREE NOW and BYD Launch Strategic Partnership in Poland: Electric Taxis Hit Warsaw Streets - Poland Insight. [online] Poland Insight. Available at: https://polandinsight.com/free-now-and-byd-launch-strategic-partnership-in-poland [Accessed 15 Dec. 2025].</w:t>
      </w:r>
    </w:p>
    <w:p w14:paraId="64828E72" w14:textId="77777777" w:rsidR="002525B5" w:rsidRPr="002525B5" w:rsidRDefault="002525B5" w:rsidP="002525B5">
      <w:r w:rsidRPr="002525B5">
        <w:t xml:space="preserve">Wójcik, A. and </w:t>
      </w:r>
      <w:proofErr w:type="spellStart"/>
      <w:r w:rsidRPr="002525B5">
        <w:t>Dębczyńska</w:t>
      </w:r>
      <w:proofErr w:type="spellEnd"/>
      <w:r w:rsidRPr="002525B5">
        <w:t xml:space="preserve">, A. (2019). Cultural Differences and Polish-Chinese Business Relations in Practice. </w:t>
      </w:r>
      <w:r w:rsidRPr="002525B5">
        <w:rPr>
          <w:i/>
          <w:iCs/>
        </w:rPr>
        <w:t>Journal of Cross-Cultural Relationships and Relations</w:t>
      </w:r>
      <w:r w:rsidRPr="002525B5">
        <w:t>.</w:t>
      </w:r>
    </w:p>
    <w:p w14:paraId="7F9F95BC" w14:textId="77777777" w:rsidR="002525B5" w:rsidRPr="002525B5" w:rsidRDefault="002525B5" w:rsidP="002525B5">
      <w:r w:rsidRPr="002525B5">
        <w:t xml:space="preserve">Zhang, H. (2024). Strategic internationalization of BYD: a case study on entry into the German EV market using the eclectic paradigm framework. </w:t>
      </w:r>
      <w:r w:rsidRPr="002525B5">
        <w:rPr>
          <w:i/>
          <w:iCs/>
        </w:rPr>
        <w:t>FRONTIERS</w:t>
      </w:r>
      <w:r w:rsidRPr="002525B5">
        <w:t>, 17(1), pp. 254–259.</w:t>
      </w:r>
    </w:p>
    <w:p w14:paraId="284043D6" w14:textId="77777777" w:rsidR="002525B5" w:rsidRPr="002525B5" w:rsidRDefault="002525B5" w:rsidP="002525B5">
      <w:r w:rsidRPr="002525B5">
        <w:t xml:space="preserve">Zhang, M. Y., Guo, L. and Chen, Z. (2024). A Sectoral Innovation Ecosystem Perspective on </w:t>
      </w:r>
      <w:proofErr w:type="spellStart"/>
      <w:r w:rsidRPr="002525B5">
        <w:t>China'S</w:t>
      </w:r>
      <w:proofErr w:type="spellEnd"/>
      <w:r w:rsidRPr="002525B5">
        <w:t xml:space="preserve"> Rise in New Energy Vehicles. </w:t>
      </w:r>
      <w:r w:rsidRPr="002525B5">
        <w:rPr>
          <w:i/>
          <w:iCs/>
        </w:rPr>
        <w:t>Elsevier BV</w:t>
      </w:r>
      <w:r w:rsidRPr="002525B5">
        <w:t>.</w:t>
      </w:r>
    </w:p>
    <w:p w14:paraId="303966DB" w14:textId="77777777" w:rsidR="00E0173F" w:rsidRDefault="00E0173F"/>
    <w:sectPr w:rsidR="00E0173F" w:rsidSect="006F482B">
      <w:pgSz w:w="12240" w:h="15840"/>
      <w:pgMar w:top="1440" w:right="1440" w:bottom="1440" w:left="1440" w:header="720" w:footer="720" w:gutter="0"/>
      <w:pgBorders w:offsetFrom="page">
        <w:top w:val="thinThickSmallGap" w:sz="24" w:space="24" w:color="auto"/>
        <w:left w:val="thinThickSmallGap" w:sz="24" w:space="24" w:color="auto"/>
        <w:bottom w:val="thickThinSmallGap" w:sz="24" w:space="24" w:color="auto"/>
        <w:right w:val="thickThinSmallGap" w:sz="24" w:space="24" w:color="auto"/>
      </w:pgBorders>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BF40BC5"/>
    <w:multiLevelType w:val="multilevel"/>
    <w:tmpl w:val="DFEC1DEE"/>
    <w:lvl w:ilvl="0">
      <w:start w:val="1"/>
      <w:numFmt w:val="decimal"/>
      <w:lvlText w:val="%1."/>
      <w:lvlJc w:val="left"/>
      <w:pPr>
        <w:ind w:left="720" w:hanging="360"/>
      </w:p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 w15:restartNumberingAfterBreak="0">
    <w:nsid w:val="2EA65E9A"/>
    <w:multiLevelType w:val="multilevel"/>
    <w:tmpl w:val="FA32E49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4531383F"/>
    <w:multiLevelType w:val="hybridMultilevel"/>
    <w:tmpl w:val="27123F7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48AD559B"/>
    <w:multiLevelType w:val="multilevel"/>
    <w:tmpl w:val="DFEC1DEE"/>
    <w:lvl w:ilvl="0">
      <w:start w:val="1"/>
      <w:numFmt w:val="decimal"/>
      <w:lvlText w:val="%1."/>
      <w:lvlJc w:val="left"/>
      <w:pPr>
        <w:ind w:left="720" w:hanging="360"/>
      </w:p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4" w15:restartNumberingAfterBreak="0">
    <w:nsid w:val="5E261D7F"/>
    <w:multiLevelType w:val="multilevel"/>
    <w:tmpl w:val="DFEC1DEE"/>
    <w:lvl w:ilvl="0">
      <w:start w:val="1"/>
      <w:numFmt w:val="decimal"/>
      <w:lvlText w:val="%1."/>
      <w:lvlJc w:val="left"/>
      <w:pPr>
        <w:ind w:left="720" w:hanging="360"/>
      </w:p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5" w15:restartNumberingAfterBreak="0">
    <w:nsid w:val="666501F0"/>
    <w:multiLevelType w:val="multilevel"/>
    <w:tmpl w:val="DFEC1DEE"/>
    <w:lvl w:ilvl="0">
      <w:start w:val="1"/>
      <w:numFmt w:val="decimal"/>
      <w:lvlText w:val="%1."/>
      <w:lvlJc w:val="left"/>
      <w:pPr>
        <w:ind w:left="720" w:hanging="360"/>
      </w:p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num w:numId="1">
    <w:abstractNumId w:val="2"/>
  </w:num>
  <w:num w:numId="2">
    <w:abstractNumId w:val="1"/>
  </w:num>
  <w:num w:numId="3">
    <w:abstractNumId w:val="4"/>
  </w:num>
  <w:num w:numId="4">
    <w:abstractNumId w:val="3"/>
  </w:num>
  <w:num w:numId="5">
    <w:abstractNumId w:val="0"/>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0173F"/>
    <w:rsid w:val="0000706C"/>
    <w:rsid w:val="000079D3"/>
    <w:rsid w:val="00012D86"/>
    <w:rsid w:val="0004707C"/>
    <w:rsid w:val="00066612"/>
    <w:rsid w:val="00091DE5"/>
    <w:rsid w:val="0009296E"/>
    <w:rsid w:val="00151CDA"/>
    <w:rsid w:val="001A7983"/>
    <w:rsid w:val="002103E3"/>
    <w:rsid w:val="0023035C"/>
    <w:rsid w:val="002525B5"/>
    <w:rsid w:val="00275764"/>
    <w:rsid w:val="002E566E"/>
    <w:rsid w:val="00312051"/>
    <w:rsid w:val="00330F76"/>
    <w:rsid w:val="003571FB"/>
    <w:rsid w:val="00385A0D"/>
    <w:rsid w:val="003A2B0F"/>
    <w:rsid w:val="003C3099"/>
    <w:rsid w:val="003D6303"/>
    <w:rsid w:val="003F3844"/>
    <w:rsid w:val="00415421"/>
    <w:rsid w:val="00462EAC"/>
    <w:rsid w:val="004D66D0"/>
    <w:rsid w:val="005536A5"/>
    <w:rsid w:val="005C3CD9"/>
    <w:rsid w:val="005C7EA5"/>
    <w:rsid w:val="005E0E04"/>
    <w:rsid w:val="00606C71"/>
    <w:rsid w:val="00645456"/>
    <w:rsid w:val="006C670B"/>
    <w:rsid w:val="006F482B"/>
    <w:rsid w:val="00726F05"/>
    <w:rsid w:val="0073092C"/>
    <w:rsid w:val="00735736"/>
    <w:rsid w:val="007819C0"/>
    <w:rsid w:val="007A6822"/>
    <w:rsid w:val="007C239D"/>
    <w:rsid w:val="00802A4E"/>
    <w:rsid w:val="00850B66"/>
    <w:rsid w:val="008D33ED"/>
    <w:rsid w:val="008F431F"/>
    <w:rsid w:val="00990CA0"/>
    <w:rsid w:val="00993371"/>
    <w:rsid w:val="009F3DBB"/>
    <w:rsid w:val="00A07EF2"/>
    <w:rsid w:val="00A662E9"/>
    <w:rsid w:val="00A9769A"/>
    <w:rsid w:val="00AA0132"/>
    <w:rsid w:val="00AC2F5B"/>
    <w:rsid w:val="00AF69D2"/>
    <w:rsid w:val="00B31E93"/>
    <w:rsid w:val="00B379F3"/>
    <w:rsid w:val="00BB7873"/>
    <w:rsid w:val="00BC0A34"/>
    <w:rsid w:val="00BD4089"/>
    <w:rsid w:val="00CF5601"/>
    <w:rsid w:val="00D0189F"/>
    <w:rsid w:val="00D41FB3"/>
    <w:rsid w:val="00DA4756"/>
    <w:rsid w:val="00DA65B8"/>
    <w:rsid w:val="00E0173F"/>
    <w:rsid w:val="00E03836"/>
    <w:rsid w:val="00E1633A"/>
    <w:rsid w:val="00E348BD"/>
    <w:rsid w:val="00E8053C"/>
    <w:rsid w:val="00E91916"/>
    <w:rsid w:val="00ED5580"/>
    <w:rsid w:val="00EE6CAD"/>
    <w:rsid w:val="00EF4B8A"/>
    <w:rsid w:val="00EF7D65"/>
    <w:rsid w:val="00F7072B"/>
    <w:rsid w:val="00F73EF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5DF65B"/>
  <w15:chartTrackingRefBased/>
  <w15:docId w15:val="{93DAC0B0-5296-4427-A274-9980A7129F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726F05"/>
    <w:pPr>
      <w:spacing w:line="360" w:lineRule="auto"/>
      <w:jc w:val="both"/>
    </w:pPr>
    <w:rPr>
      <w:rFonts w:ascii="Times New Roman" w:hAnsi="Times New Roman"/>
      <w:sz w:val="24"/>
      <w:szCs w:val="24"/>
    </w:rPr>
  </w:style>
  <w:style w:type="paragraph" w:styleId="Heading1">
    <w:name w:val="heading 1"/>
    <w:basedOn w:val="Normal"/>
    <w:next w:val="Normal"/>
    <w:link w:val="Heading1Char"/>
    <w:uiPriority w:val="9"/>
    <w:qFormat/>
    <w:rsid w:val="00E348BD"/>
    <w:pPr>
      <w:keepNext/>
      <w:keepLines/>
      <w:spacing w:before="360" w:after="80"/>
      <w:outlineLvl w:val="0"/>
    </w:pPr>
    <w:rPr>
      <w:rFonts w:eastAsiaTheme="majorEastAsia" w:cstheme="majorBidi"/>
      <w:b/>
      <w:color w:val="000000" w:themeColor="text1"/>
      <w:szCs w:val="40"/>
      <w:u w:val="single"/>
    </w:rPr>
  </w:style>
  <w:style w:type="paragraph" w:styleId="Heading2">
    <w:name w:val="heading 2"/>
    <w:basedOn w:val="Normal"/>
    <w:next w:val="Normal"/>
    <w:link w:val="Heading2Char"/>
    <w:uiPriority w:val="9"/>
    <w:unhideWhenUsed/>
    <w:qFormat/>
    <w:rsid w:val="00012D86"/>
    <w:pPr>
      <w:keepNext/>
      <w:keepLines/>
      <w:spacing w:before="160" w:after="80"/>
      <w:outlineLvl w:val="1"/>
    </w:pPr>
    <w:rPr>
      <w:rFonts w:eastAsiaTheme="majorEastAsia" w:cstheme="majorBidi"/>
      <w:b/>
      <w:color w:val="000000" w:themeColor="text1"/>
      <w:szCs w:val="32"/>
    </w:rPr>
  </w:style>
  <w:style w:type="paragraph" w:styleId="Heading3">
    <w:name w:val="heading 3"/>
    <w:basedOn w:val="Normal"/>
    <w:next w:val="Normal"/>
    <w:link w:val="Heading3Char"/>
    <w:uiPriority w:val="9"/>
    <w:unhideWhenUsed/>
    <w:qFormat/>
    <w:rsid w:val="004D66D0"/>
    <w:pPr>
      <w:keepNext/>
      <w:keepLines/>
      <w:spacing w:before="160" w:after="80"/>
      <w:outlineLvl w:val="2"/>
    </w:pPr>
    <w:rPr>
      <w:rFonts w:eastAsiaTheme="majorEastAsia" w:cstheme="majorBidi"/>
      <w:b/>
      <w:i/>
      <w:color w:val="000000" w:themeColor="text1"/>
      <w:szCs w:val="28"/>
    </w:rPr>
  </w:style>
  <w:style w:type="paragraph" w:styleId="Heading4">
    <w:name w:val="heading 4"/>
    <w:basedOn w:val="Normal"/>
    <w:next w:val="Normal"/>
    <w:link w:val="Heading4Char"/>
    <w:uiPriority w:val="9"/>
    <w:semiHidden/>
    <w:unhideWhenUsed/>
    <w:qFormat/>
    <w:rsid w:val="002E566E"/>
    <w:pPr>
      <w:keepNext/>
      <w:keepLines/>
      <w:spacing w:before="80" w:after="40"/>
      <w:outlineLvl w:val="3"/>
    </w:pPr>
    <w:rPr>
      <w:rFonts w:asciiTheme="minorHAnsi" w:eastAsiaTheme="majorEastAsia" w:hAnsiTheme="minorHAnsi" w:cstheme="majorBidi"/>
      <w:i/>
      <w:iCs/>
      <w:color w:val="000000" w:themeColor="text1"/>
    </w:rPr>
  </w:style>
  <w:style w:type="paragraph" w:styleId="Heading5">
    <w:name w:val="heading 5"/>
    <w:basedOn w:val="Normal"/>
    <w:next w:val="Normal"/>
    <w:link w:val="Heading5Char"/>
    <w:uiPriority w:val="9"/>
    <w:semiHidden/>
    <w:unhideWhenUsed/>
    <w:qFormat/>
    <w:rsid w:val="00E0173F"/>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E0173F"/>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E0173F"/>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E0173F"/>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E0173F"/>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348BD"/>
    <w:rPr>
      <w:rFonts w:ascii="Times New Roman" w:eastAsiaTheme="majorEastAsia" w:hAnsi="Times New Roman" w:cstheme="majorBidi"/>
      <w:b/>
      <w:color w:val="000000" w:themeColor="text1"/>
      <w:kern w:val="0"/>
      <w:sz w:val="24"/>
      <w:szCs w:val="40"/>
      <w:u w:val="single"/>
      <w:lang w:val="en-GB"/>
      <w14:ligatures w14:val="none"/>
    </w:rPr>
  </w:style>
  <w:style w:type="character" w:customStyle="1" w:styleId="Heading2Char">
    <w:name w:val="Heading 2 Char"/>
    <w:basedOn w:val="DefaultParagraphFont"/>
    <w:link w:val="Heading2"/>
    <w:uiPriority w:val="9"/>
    <w:rsid w:val="00012D86"/>
    <w:rPr>
      <w:rFonts w:ascii="Times New Roman" w:eastAsiaTheme="majorEastAsia" w:hAnsi="Times New Roman" w:cstheme="majorBidi"/>
      <w:b/>
      <w:color w:val="000000" w:themeColor="text1"/>
      <w:kern w:val="0"/>
      <w:sz w:val="24"/>
      <w:szCs w:val="32"/>
      <w14:ligatures w14:val="none"/>
    </w:rPr>
  </w:style>
  <w:style w:type="paragraph" w:customStyle="1" w:styleId="Heading31">
    <w:name w:val="Heading 31"/>
    <w:basedOn w:val="Normal"/>
    <w:qFormat/>
    <w:rsid w:val="00850B66"/>
    <w:rPr>
      <w:b/>
      <w:bCs/>
    </w:rPr>
  </w:style>
  <w:style w:type="paragraph" w:styleId="Title">
    <w:name w:val="Title"/>
    <w:basedOn w:val="Normal"/>
    <w:next w:val="Normal"/>
    <w:link w:val="TitleChar"/>
    <w:uiPriority w:val="10"/>
    <w:qFormat/>
    <w:rsid w:val="007819C0"/>
    <w:pPr>
      <w:spacing w:after="80" w:line="240" w:lineRule="auto"/>
      <w:contextualSpacing/>
      <w:jc w:val="center"/>
    </w:pPr>
    <w:rPr>
      <w:rFonts w:asciiTheme="majorHAnsi" w:eastAsiaTheme="majorEastAsia" w:hAnsiTheme="majorHAnsi" w:cstheme="majorBidi"/>
      <w:b/>
      <w:spacing w:val="-10"/>
      <w:kern w:val="28"/>
      <w:sz w:val="40"/>
      <w:szCs w:val="56"/>
      <w:u w:val="single"/>
    </w:rPr>
  </w:style>
  <w:style w:type="character" w:customStyle="1" w:styleId="TitleChar">
    <w:name w:val="Title Char"/>
    <w:basedOn w:val="DefaultParagraphFont"/>
    <w:link w:val="Title"/>
    <w:uiPriority w:val="10"/>
    <w:rsid w:val="007819C0"/>
    <w:rPr>
      <w:rFonts w:asciiTheme="majorHAnsi" w:eastAsiaTheme="majorEastAsia" w:hAnsiTheme="majorHAnsi" w:cstheme="majorBidi"/>
      <w:b/>
      <w:spacing w:val="-10"/>
      <w:kern w:val="28"/>
      <w:sz w:val="40"/>
      <w:szCs w:val="56"/>
      <w:u w:val="single"/>
      <w14:ligatures w14:val="none"/>
    </w:rPr>
  </w:style>
  <w:style w:type="character" w:customStyle="1" w:styleId="Heading3Char">
    <w:name w:val="Heading 3 Char"/>
    <w:basedOn w:val="DefaultParagraphFont"/>
    <w:link w:val="Heading3"/>
    <w:uiPriority w:val="9"/>
    <w:rsid w:val="004D66D0"/>
    <w:rPr>
      <w:rFonts w:ascii="Times New Roman" w:eastAsiaTheme="majorEastAsia" w:hAnsi="Times New Roman" w:cstheme="majorBidi"/>
      <w:b/>
      <w:i/>
      <w:color w:val="000000" w:themeColor="text1"/>
      <w:kern w:val="0"/>
      <w:sz w:val="24"/>
      <w:szCs w:val="28"/>
      <w:lang w:val="en-GB"/>
      <w14:ligatures w14:val="none"/>
    </w:rPr>
  </w:style>
  <w:style w:type="character" w:customStyle="1" w:styleId="Heading4Char">
    <w:name w:val="Heading 4 Char"/>
    <w:basedOn w:val="DefaultParagraphFont"/>
    <w:link w:val="Heading4"/>
    <w:uiPriority w:val="9"/>
    <w:semiHidden/>
    <w:rsid w:val="002E566E"/>
    <w:rPr>
      <w:rFonts w:eastAsiaTheme="majorEastAsia" w:cstheme="majorBidi"/>
      <w:i/>
      <w:iCs/>
      <w:color w:val="000000" w:themeColor="text1"/>
      <w:sz w:val="24"/>
    </w:rPr>
  </w:style>
  <w:style w:type="character" w:customStyle="1" w:styleId="Heading5Char">
    <w:name w:val="Heading 5 Char"/>
    <w:basedOn w:val="DefaultParagraphFont"/>
    <w:link w:val="Heading5"/>
    <w:uiPriority w:val="9"/>
    <w:semiHidden/>
    <w:rsid w:val="00E0173F"/>
    <w:rPr>
      <w:rFonts w:eastAsiaTheme="majorEastAsia" w:cstheme="majorBidi"/>
      <w:color w:val="2F5496" w:themeColor="accent1" w:themeShade="BF"/>
      <w:sz w:val="24"/>
      <w:szCs w:val="24"/>
    </w:rPr>
  </w:style>
  <w:style w:type="character" w:customStyle="1" w:styleId="Heading6Char">
    <w:name w:val="Heading 6 Char"/>
    <w:basedOn w:val="DefaultParagraphFont"/>
    <w:link w:val="Heading6"/>
    <w:uiPriority w:val="9"/>
    <w:semiHidden/>
    <w:rsid w:val="00E0173F"/>
    <w:rPr>
      <w:rFonts w:eastAsiaTheme="majorEastAsia" w:cstheme="majorBidi"/>
      <w:i/>
      <w:iCs/>
      <w:color w:val="595959" w:themeColor="text1" w:themeTint="A6"/>
      <w:sz w:val="24"/>
      <w:szCs w:val="24"/>
    </w:rPr>
  </w:style>
  <w:style w:type="character" w:customStyle="1" w:styleId="Heading7Char">
    <w:name w:val="Heading 7 Char"/>
    <w:basedOn w:val="DefaultParagraphFont"/>
    <w:link w:val="Heading7"/>
    <w:uiPriority w:val="9"/>
    <w:semiHidden/>
    <w:rsid w:val="00E0173F"/>
    <w:rPr>
      <w:rFonts w:eastAsiaTheme="majorEastAsia" w:cstheme="majorBidi"/>
      <w:color w:val="595959" w:themeColor="text1" w:themeTint="A6"/>
      <w:sz w:val="24"/>
      <w:szCs w:val="24"/>
    </w:rPr>
  </w:style>
  <w:style w:type="character" w:customStyle="1" w:styleId="Heading8Char">
    <w:name w:val="Heading 8 Char"/>
    <w:basedOn w:val="DefaultParagraphFont"/>
    <w:link w:val="Heading8"/>
    <w:uiPriority w:val="9"/>
    <w:semiHidden/>
    <w:rsid w:val="00E0173F"/>
    <w:rPr>
      <w:rFonts w:eastAsiaTheme="majorEastAsia" w:cstheme="majorBidi"/>
      <w:i/>
      <w:iCs/>
      <w:color w:val="272727" w:themeColor="text1" w:themeTint="D8"/>
      <w:sz w:val="24"/>
      <w:szCs w:val="24"/>
    </w:rPr>
  </w:style>
  <w:style w:type="character" w:customStyle="1" w:styleId="Heading9Char">
    <w:name w:val="Heading 9 Char"/>
    <w:basedOn w:val="DefaultParagraphFont"/>
    <w:link w:val="Heading9"/>
    <w:uiPriority w:val="9"/>
    <w:semiHidden/>
    <w:rsid w:val="00E0173F"/>
    <w:rPr>
      <w:rFonts w:eastAsiaTheme="majorEastAsia" w:cstheme="majorBidi"/>
      <w:color w:val="272727" w:themeColor="text1" w:themeTint="D8"/>
      <w:sz w:val="24"/>
      <w:szCs w:val="24"/>
    </w:rPr>
  </w:style>
  <w:style w:type="paragraph" w:styleId="Subtitle">
    <w:name w:val="Subtitle"/>
    <w:basedOn w:val="Normal"/>
    <w:next w:val="Normal"/>
    <w:link w:val="SubtitleChar"/>
    <w:uiPriority w:val="11"/>
    <w:qFormat/>
    <w:rsid w:val="00E0173F"/>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0173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0173F"/>
    <w:pPr>
      <w:spacing w:before="160"/>
      <w:jc w:val="center"/>
    </w:pPr>
    <w:rPr>
      <w:i/>
      <w:iCs/>
      <w:color w:val="404040" w:themeColor="text1" w:themeTint="BF"/>
    </w:rPr>
  </w:style>
  <w:style w:type="character" w:customStyle="1" w:styleId="QuoteChar">
    <w:name w:val="Quote Char"/>
    <w:basedOn w:val="DefaultParagraphFont"/>
    <w:link w:val="Quote"/>
    <w:uiPriority w:val="29"/>
    <w:rsid w:val="00E0173F"/>
    <w:rPr>
      <w:rFonts w:ascii="Times New Roman" w:hAnsi="Times New Roman"/>
      <w:i/>
      <w:iCs/>
      <w:color w:val="404040" w:themeColor="text1" w:themeTint="BF"/>
      <w:sz w:val="24"/>
      <w:szCs w:val="24"/>
    </w:rPr>
  </w:style>
  <w:style w:type="paragraph" w:styleId="ListParagraph">
    <w:name w:val="List Paragraph"/>
    <w:basedOn w:val="Normal"/>
    <w:uiPriority w:val="34"/>
    <w:qFormat/>
    <w:rsid w:val="00E0173F"/>
    <w:pPr>
      <w:ind w:left="720"/>
      <w:contextualSpacing/>
    </w:pPr>
  </w:style>
  <w:style w:type="character" w:styleId="IntenseEmphasis">
    <w:name w:val="Intense Emphasis"/>
    <w:basedOn w:val="DefaultParagraphFont"/>
    <w:uiPriority w:val="21"/>
    <w:qFormat/>
    <w:rsid w:val="00E0173F"/>
    <w:rPr>
      <w:i/>
      <w:iCs/>
      <w:color w:val="2F5496" w:themeColor="accent1" w:themeShade="BF"/>
    </w:rPr>
  </w:style>
  <w:style w:type="paragraph" w:styleId="IntenseQuote">
    <w:name w:val="Intense Quote"/>
    <w:basedOn w:val="Normal"/>
    <w:next w:val="Normal"/>
    <w:link w:val="IntenseQuoteChar"/>
    <w:uiPriority w:val="30"/>
    <w:qFormat/>
    <w:rsid w:val="00E0173F"/>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E0173F"/>
    <w:rPr>
      <w:rFonts w:ascii="Times New Roman" w:hAnsi="Times New Roman"/>
      <w:i/>
      <w:iCs/>
      <w:color w:val="2F5496" w:themeColor="accent1" w:themeShade="BF"/>
      <w:sz w:val="24"/>
      <w:szCs w:val="24"/>
    </w:rPr>
  </w:style>
  <w:style w:type="character" w:styleId="IntenseReference">
    <w:name w:val="Intense Reference"/>
    <w:basedOn w:val="DefaultParagraphFont"/>
    <w:uiPriority w:val="32"/>
    <w:qFormat/>
    <w:rsid w:val="00E0173F"/>
    <w:rPr>
      <w:b/>
      <w:bCs/>
      <w:smallCaps/>
      <w:color w:val="2F5496" w:themeColor="accent1" w:themeShade="BF"/>
      <w:spacing w:val="5"/>
    </w:rPr>
  </w:style>
  <w:style w:type="paragraph" w:styleId="NormalWeb">
    <w:name w:val="Normal (Web)"/>
    <w:basedOn w:val="Normal"/>
    <w:uiPriority w:val="99"/>
    <w:semiHidden/>
    <w:unhideWhenUsed/>
    <w:rsid w:val="00A07EF2"/>
    <w:pPr>
      <w:spacing w:before="100" w:beforeAutospacing="1" w:after="100" w:afterAutospacing="1" w:line="240" w:lineRule="auto"/>
      <w:jc w:val="left"/>
    </w:pPr>
    <w:rPr>
      <w:rFonts w:eastAsia="Times New Roman" w:cs="Times New Roman"/>
      <w:kern w:val="0"/>
      <w14:ligatures w14:val="none"/>
    </w:rPr>
  </w:style>
  <w:style w:type="character" w:styleId="Emphasis">
    <w:name w:val="Emphasis"/>
    <w:basedOn w:val="DefaultParagraphFont"/>
    <w:uiPriority w:val="20"/>
    <w:qFormat/>
    <w:rsid w:val="00A07EF2"/>
    <w:rPr>
      <w:i/>
      <w:iCs/>
    </w:rPr>
  </w:style>
  <w:style w:type="character" w:styleId="Hyperlink">
    <w:name w:val="Hyperlink"/>
    <w:basedOn w:val="DefaultParagraphFont"/>
    <w:uiPriority w:val="99"/>
    <w:unhideWhenUsed/>
    <w:rsid w:val="00385A0D"/>
    <w:rPr>
      <w:color w:val="0563C1" w:themeColor="hyperlink"/>
      <w:u w:val="single"/>
    </w:rPr>
  </w:style>
  <w:style w:type="character" w:customStyle="1" w:styleId="UnresolvedMention">
    <w:name w:val="Unresolved Mention"/>
    <w:basedOn w:val="DefaultParagraphFont"/>
    <w:uiPriority w:val="99"/>
    <w:semiHidden/>
    <w:unhideWhenUsed/>
    <w:rsid w:val="00385A0D"/>
    <w:rPr>
      <w:color w:val="605E5C"/>
      <w:shd w:val="clear" w:color="auto" w:fill="E1DFDD"/>
    </w:rPr>
  </w:style>
  <w:style w:type="table" w:styleId="TableGrid">
    <w:name w:val="Table Grid"/>
    <w:basedOn w:val="TableNormal"/>
    <w:uiPriority w:val="39"/>
    <w:rsid w:val="00B379F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2525B5"/>
    <w:pPr>
      <w:spacing w:before="240" w:after="0" w:line="259" w:lineRule="auto"/>
      <w:jc w:val="left"/>
      <w:outlineLvl w:val="9"/>
    </w:pPr>
    <w:rPr>
      <w:rFonts w:asciiTheme="majorHAnsi" w:hAnsiTheme="majorHAnsi"/>
      <w:b w:val="0"/>
      <w:color w:val="2F5496" w:themeColor="accent1" w:themeShade="BF"/>
      <w:kern w:val="0"/>
      <w:sz w:val="32"/>
      <w:szCs w:val="32"/>
      <w:u w:val="none"/>
      <w14:ligatures w14:val="none"/>
    </w:rPr>
  </w:style>
  <w:style w:type="paragraph" w:styleId="TOC1">
    <w:name w:val="toc 1"/>
    <w:basedOn w:val="Normal"/>
    <w:next w:val="Normal"/>
    <w:autoRedefine/>
    <w:uiPriority w:val="39"/>
    <w:unhideWhenUsed/>
    <w:rsid w:val="002525B5"/>
    <w:pPr>
      <w:spacing w:after="100"/>
    </w:pPr>
  </w:style>
  <w:style w:type="paragraph" w:styleId="TOC2">
    <w:name w:val="toc 2"/>
    <w:basedOn w:val="Normal"/>
    <w:next w:val="Normal"/>
    <w:autoRedefine/>
    <w:uiPriority w:val="39"/>
    <w:unhideWhenUsed/>
    <w:rsid w:val="002525B5"/>
    <w:pPr>
      <w:spacing w:after="100"/>
      <w:ind w:left="240"/>
    </w:pPr>
  </w:style>
  <w:style w:type="paragraph" w:styleId="TOC3">
    <w:name w:val="toc 3"/>
    <w:basedOn w:val="Normal"/>
    <w:next w:val="Normal"/>
    <w:autoRedefine/>
    <w:uiPriority w:val="39"/>
    <w:unhideWhenUsed/>
    <w:rsid w:val="002525B5"/>
    <w:pPr>
      <w:spacing w:after="100"/>
      <w:ind w:left="480"/>
    </w:pPr>
  </w:style>
  <w:style w:type="paragraph" w:styleId="Caption">
    <w:name w:val="caption"/>
    <w:basedOn w:val="Normal"/>
    <w:next w:val="Normal"/>
    <w:uiPriority w:val="35"/>
    <w:unhideWhenUsed/>
    <w:qFormat/>
    <w:rsid w:val="003A2B0F"/>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image" Target="media/image7.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F56C57A-F063-40C4-B1A0-0D1026D793E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757</TotalTime>
  <Pages>1</Pages>
  <Words>6310</Words>
  <Characters>35967</Characters>
  <Application>Microsoft Office Word</Application>
  <DocSecurity>0</DocSecurity>
  <Lines>299</Lines>
  <Paragraphs>84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42193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pc </dc:creator>
  <cp:keywords/>
  <dc:description/>
  <cp:lastModifiedBy>Moorche</cp:lastModifiedBy>
  <cp:revision>5</cp:revision>
  <dcterms:created xsi:type="dcterms:W3CDTF">2025-12-13T21:41:00Z</dcterms:created>
  <dcterms:modified xsi:type="dcterms:W3CDTF">2025-12-14T11:32:00Z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defa4170-0d19-0005-0004-bc88714345d2_Enabled">
    <vt:lpwstr>true</vt:lpwstr>
  </property>
  <property fmtid="{D5CDD505-2E9C-101B-9397-08002B2CF9AE}" pid="3" name="MSIP_Label_defa4170-0d19-0005-0004-bc88714345d2_SetDate">
    <vt:lpwstr>2025-12-13T23:12:44Z</vt:lpwstr>
  </property>
  <property fmtid="{D5CDD505-2E9C-101B-9397-08002B2CF9AE}" pid="4" name="MSIP_Label_defa4170-0d19-0005-0004-bc88714345d2_Method">
    <vt:lpwstr>Standard</vt:lpwstr>
  </property>
  <property fmtid="{D5CDD505-2E9C-101B-9397-08002B2CF9AE}" pid="5" name="MSIP_Label_defa4170-0d19-0005-0004-bc88714345d2_Name">
    <vt:lpwstr>defa4170-0d19-0005-0004-bc88714345d2</vt:lpwstr>
  </property>
  <property fmtid="{D5CDD505-2E9C-101B-9397-08002B2CF9AE}" pid="6" name="MSIP_Label_defa4170-0d19-0005-0004-bc88714345d2_SiteId">
    <vt:lpwstr>c524ef7d-8f13-4eba-9b01-2b4937d6d49a</vt:lpwstr>
  </property>
  <property fmtid="{D5CDD505-2E9C-101B-9397-08002B2CF9AE}" pid="7" name="MSIP_Label_defa4170-0d19-0005-0004-bc88714345d2_ActionId">
    <vt:lpwstr>98296071-2739-4132-b521-3904e295b694</vt:lpwstr>
  </property>
  <property fmtid="{D5CDD505-2E9C-101B-9397-08002B2CF9AE}" pid="8" name="MSIP_Label_defa4170-0d19-0005-0004-bc88714345d2_ContentBits">
    <vt:lpwstr>0</vt:lpwstr>
  </property>
  <property fmtid="{D5CDD505-2E9C-101B-9397-08002B2CF9AE}" pid="9" name="MSIP_Label_defa4170-0d19-0005-0004-bc88714345d2_Tag">
    <vt:lpwstr>10, 3, 0, 1</vt:lpwstr>
  </property>
</Properties>
</file>