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698E7" w14:textId="1E0E36C9" w:rsidR="2472FB98" w:rsidRDefault="2472FB98" w:rsidP="2CE5B68B">
      <w:pPr>
        <w:pStyle w:val="Title"/>
        <w:spacing w:after="0" w:line="204" w:lineRule="auto"/>
        <w:jc w:val="center"/>
        <w:rPr>
          <w:rFonts w:asciiTheme="minorHAnsi" w:eastAsiaTheme="minorEastAsia" w:hAnsiTheme="minorHAnsi" w:cstheme="minorBidi"/>
          <w:caps/>
          <w:color w:val="44546A"/>
          <w:sz w:val="48"/>
          <w:szCs w:val="48"/>
        </w:rPr>
      </w:pPr>
      <w:r w:rsidRPr="2CE5B68B">
        <w:rPr>
          <w:rFonts w:asciiTheme="minorHAnsi" w:eastAsiaTheme="minorEastAsia" w:hAnsiTheme="minorHAnsi" w:cstheme="minorBidi"/>
          <w:caps/>
          <w:color w:val="44546A"/>
          <w:sz w:val="48"/>
          <w:szCs w:val="48"/>
        </w:rPr>
        <w:t>DATA SECURITY AND COMPLIANCE Assignment 1</w:t>
      </w:r>
    </w:p>
    <w:p w14:paraId="2D585A7E" w14:textId="4CB0C3C1" w:rsidR="2CE5B68B" w:rsidRDefault="000E3639" w:rsidP="2CE5B68B">
      <w:pPr>
        <w:rPr>
          <w:b/>
          <w:bCs/>
          <w:color w:val="000000" w:themeColor="text1"/>
          <w:sz w:val="28"/>
          <w:szCs w:val="28"/>
        </w:rPr>
      </w:pPr>
      <w:r>
        <w:rPr>
          <w:b/>
          <w:bCs/>
          <w:color w:val="000000" w:themeColor="text1"/>
          <w:sz w:val="28"/>
          <w:szCs w:val="28"/>
        </w:rPr>
        <w:tab/>
      </w:r>
      <w:r>
        <w:rPr>
          <w:b/>
          <w:bCs/>
          <w:color w:val="000000" w:themeColor="text1"/>
          <w:sz w:val="28"/>
          <w:szCs w:val="28"/>
        </w:rPr>
        <w:tab/>
      </w:r>
      <w:r>
        <w:rPr>
          <w:b/>
          <w:bCs/>
          <w:color w:val="000000" w:themeColor="text1"/>
          <w:sz w:val="28"/>
          <w:szCs w:val="28"/>
        </w:rPr>
        <w:tab/>
      </w:r>
      <w:r>
        <w:rPr>
          <w:b/>
          <w:bCs/>
          <w:color w:val="000000" w:themeColor="text1"/>
          <w:sz w:val="28"/>
          <w:szCs w:val="28"/>
        </w:rPr>
        <w:tab/>
      </w:r>
      <w:r w:rsidRPr="000E3639">
        <w:rPr>
          <w:b/>
          <w:bCs/>
          <w:color w:val="000000" w:themeColor="text1"/>
          <w:sz w:val="28"/>
          <w:szCs w:val="28"/>
        </w:rPr>
        <w:t>Dylan Kempton 2411039</w:t>
      </w:r>
    </w:p>
    <w:p w14:paraId="2419B1C7" w14:textId="3C553C76" w:rsidR="00755B8F" w:rsidRDefault="58CBDA03" w:rsidP="2CE5B68B">
      <w:pPr>
        <w:rPr>
          <w:b/>
          <w:bCs/>
          <w:color w:val="000000" w:themeColor="text1"/>
          <w:sz w:val="28"/>
          <w:szCs w:val="28"/>
        </w:rPr>
      </w:pPr>
      <w:r w:rsidRPr="2CE5B68B">
        <w:rPr>
          <w:b/>
          <w:bCs/>
          <w:color w:val="000000" w:themeColor="text1"/>
          <w:sz w:val="28"/>
          <w:szCs w:val="28"/>
        </w:rPr>
        <w:t>Table of contents</w:t>
      </w:r>
    </w:p>
    <w:sdt>
      <w:sdtPr>
        <w:rPr>
          <w:rStyle w:val="Hyperlink"/>
        </w:rPr>
        <w:id w:val="1442598073"/>
        <w:docPartObj>
          <w:docPartGallery w:val="Table of Contents"/>
          <w:docPartUnique/>
        </w:docPartObj>
      </w:sdtPr>
      <w:sdtContent>
        <w:p w14:paraId="27E55944" w14:textId="3D55CB43" w:rsidR="00755B8F" w:rsidRDefault="2CE5B68B" w:rsidP="2CE5B68B">
          <w:pPr>
            <w:pStyle w:val="TOC1"/>
            <w:tabs>
              <w:tab w:val="right" w:leader="dot" w:pos="4140"/>
            </w:tabs>
            <w:rPr>
              <w:rStyle w:val="Hyperlink"/>
            </w:rPr>
          </w:pPr>
          <w:r>
            <w:fldChar w:fldCharType="begin"/>
          </w:r>
          <w:r>
            <w:instrText>TOC \o "1-9" \z \u \h</w:instrText>
          </w:r>
          <w:r>
            <w:fldChar w:fldCharType="separate"/>
          </w:r>
          <w:hyperlink w:anchor="_Toc443746153">
            <w:r w:rsidRPr="2CE5B68B">
              <w:rPr>
                <w:rStyle w:val="Hyperlink"/>
              </w:rPr>
              <w:t>Task 1 – Research in Data Security and Compliance</w:t>
            </w:r>
            <w:r>
              <w:tab/>
            </w:r>
            <w:r>
              <w:fldChar w:fldCharType="begin"/>
            </w:r>
            <w:r>
              <w:instrText>PAGEREF _Toc443746153 \h</w:instrText>
            </w:r>
            <w:r>
              <w:fldChar w:fldCharType="separate"/>
            </w:r>
            <w:r w:rsidRPr="2CE5B68B">
              <w:rPr>
                <w:rStyle w:val="Hyperlink"/>
              </w:rPr>
              <w:t>1</w:t>
            </w:r>
            <w:r>
              <w:fldChar w:fldCharType="end"/>
            </w:r>
          </w:hyperlink>
        </w:p>
        <w:p w14:paraId="1A4EF92F" w14:textId="363D0765" w:rsidR="00755B8F" w:rsidRDefault="2CE5B68B" w:rsidP="2CE5B68B">
          <w:pPr>
            <w:pStyle w:val="TOC2"/>
            <w:tabs>
              <w:tab w:val="right" w:leader="dot" w:pos="4140"/>
            </w:tabs>
            <w:rPr>
              <w:rStyle w:val="Hyperlink"/>
            </w:rPr>
          </w:pPr>
          <w:hyperlink w:anchor="_Toc255455825">
            <w:r w:rsidRPr="2CE5B68B">
              <w:rPr>
                <w:rStyle w:val="Hyperlink"/>
              </w:rPr>
              <w:t>Compliance in a Fragmented World</w:t>
            </w:r>
            <w:r>
              <w:tab/>
            </w:r>
            <w:r>
              <w:fldChar w:fldCharType="begin"/>
            </w:r>
            <w:r>
              <w:instrText>PAGEREF _Toc255455825 \h</w:instrText>
            </w:r>
            <w:r>
              <w:fldChar w:fldCharType="separate"/>
            </w:r>
            <w:r w:rsidRPr="2CE5B68B">
              <w:rPr>
                <w:rStyle w:val="Hyperlink"/>
              </w:rPr>
              <w:t>1</w:t>
            </w:r>
            <w:r>
              <w:fldChar w:fldCharType="end"/>
            </w:r>
          </w:hyperlink>
        </w:p>
        <w:p w14:paraId="4412944C" w14:textId="7EB0C788" w:rsidR="00755B8F" w:rsidRDefault="2CE5B68B" w:rsidP="2CE5B68B">
          <w:pPr>
            <w:pStyle w:val="TOC3"/>
            <w:tabs>
              <w:tab w:val="right" w:leader="dot" w:pos="4140"/>
            </w:tabs>
            <w:rPr>
              <w:rStyle w:val="Hyperlink"/>
            </w:rPr>
          </w:pPr>
          <w:hyperlink w:anchor="_Toc923934060">
            <w:r w:rsidRPr="2CE5B68B">
              <w:rPr>
                <w:rStyle w:val="Hyperlink"/>
              </w:rPr>
              <w:t>Data audit</w:t>
            </w:r>
            <w:r>
              <w:tab/>
            </w:r>
            <w:r>
              <w:fldChar w:fldCharType="begin"/>
            </w:r>
            <w:r>
              <w:instrText>PAGEREF _Toc923934060 \h</w:instrText>
            </w:r>
            <w:r>
              <w:fldChar w:fldCharType="separate"/>
            </w:r>
            <w:r w:rsidRPr="2CE5B68B">
              <w:rPr>
                <w:rStyle w:val="Hyperlink"/>
              </w:rPr>
              <w:t>1</w:t>
            </w:r>
            <w:r>
              <w:fldChar w:fldCharType="end"/>
            </w:r>
          </w:hyperlink>
        </w:p>
        <w:p w14:paraId="3F218C80" w14:textId="636C605F" w:rsidR="00755B8F" w:rsidRDefault="2CE5B68B" w:rsidP="2CE5B68B">
          <w:pPr>
            <w:pStyle w:val="TOC3"/>
            <w:tabs>
              <w:tab w:val="right" w:leader="dot" w:pos="4140"/>
            </w:tabs>
            <w:rPr>
              <w:rStyle w:val="Hyperlink"/>
            </w:rPr>
          </w:pPr>
          <w:hyperlink w:anchor="_Toc395185618">
            <w:r w:rsidRPr="2CE5B68B">
              <w:rPr>
                <w:rStyle w:val="Hyperlink"/>
              </w:rPr>
              <w:t>Update privacy notices</w:t>
            </w:r>
            <w:r>
              <w:tab/>
            </w:r>
            <w:r>
              <w:fldChar w:fldCharType="begin"/>
            </w:r>
            <w:r>
              <w:instrText>PAGEREF _Toc395185618 \h</w:instrText>
            </w:r>
            <w:r>
              <w:fldChar w:fldCharType="separate"/>
            </w:r>
            <w:r w:rsidRPr="2CE5B68B">
              <w:rPr>
                <w:rStyle w:val="Hyperlink"/>
              </w:rPr>
              <w:t>1</w:t>
            </w:r>
            <w:r>
              <w:fldChar w:fldCharType="end"/>
            </w:r>
          </w:hyperlink>
        </w:p>
        <w:p w14:paraId="31677E07" w14:textId="41F15FF1" w:rsidR="00755B8F" w:rsidRDefault="2CE5B68B" w:rsidP="2CE5B68B">
          <w:pPr>
            <w:pStyle w:val="TOC3"/>
            <w:tabs>
              <w:tab w:val="right" w:leader="dot" w:pos="4140"/>
            </w:tabs>
            <w:rPr>
              <w:rStyle w:val="Hyperlink"/>
            </w:rPr>
          </w:pPr>
          <w:hyperlink w:anchor="_Toc681407562">
            <w:r w:rsidRPr="2CE5B68B">
              <w:rPr>
                <w:rStyle w:val="Hyperlink"/>
              </w:rPr>
              <w:t>Implement data protection</w:t>
            </w:r>
            <w:r>
              <w:tab/>
            </w:r>
            <w:r>
              <w:fldChar w:fldCharType="begin"/>
            </w:r>
            <w:r>
              <w:instrText>PAGEREF _Toc681407562 \h</w:instrText>
            </w:r>
            <w:r>
              <w:fldChar w:fldCharType="separate"/>
            </w:r>
            <w:r w:rsidRPr="2CE5B68B">
              <w:rPr>
                <w:rStyle w:val="Hyperlink"/>
              </w:rPr>
              <w:t>1</w:t>
            </w:r>
            <w:r>
              <w:fldChar w:fldCharType="end"/>
            </w:r>
          </w:hyperlink>
        </w:p>
        <w:p w14:paraId="45FA233D" w14:textId="1E1A74BA" w:rsidR="00755B8F" w:rsidRDefault="2CE5B68B" w:rsidP="2CE5B68B">
          <w:pPr>
            <w:pStyle w:val="TOC3"/>
            <w:tabs>
              <w:tab w:val="right" w:leader="dot" w:pos="4140"/>
            </w:tabs>
            <w:rPr>
              <w:rStyle w:val="Hyperlink"/>
            </w:rPr>
          </w:pPr>
          <w:hyperlink w:anchor="_Toc82473288">
            <w:r w:rsidRPr="2CE5B68B">
              <w:rPr>
                <w:rStyle w:val="Hyperlink"/>
              </w:rPr>
              <w:t>Train employees</w:t>
            </w:r>
            <w:r>
              <w:tab/>
            </w:r>
            <w:r>
              <w:fldChar w:fldCharType="begin"/>
            </w:r>
            <w:r>
              <w:instrText>PAGEREF _Toc82473288 \h</w:instrText>
            </w:r>
            <w:r>
              <w:fldChar w:fldCharType="separate"/>
            </w:r>
            <w:r w:rsidRPr="2CE5B68B">
              <w:rPr>
                <w:rStyle w:val="Hyperlink"/>
              </w:rPr>
              <w:t>2</w:t>
            </w:r>
            <w:r>
              <w:fldChar w:fldCharType="end"/>
            </w:r>
          </w:hyperlink>
        </w:p>
        <w:p w14:paraId="487C705D" w14:textId="0D00E23D" w:rsidR="00755B8F" w:rsidRDefault="2CE5B68B" w:rsidP="2CE5B68B">
          <w:pPr>
            <w:pStyle w:val="TOC3"/>
            <w:tabs>
              <w:tab w:val="right" w:leader="dot" w:pos="4140"/>
            </w:tabs>
            <w:rPr>
              <w:rStyle w:val="Hyperlink"/>
            </w:rPr>
          </w:pPr>
          <w:hyperlink w:anchor="_Toc25019846">
            <w:r w:rsidRPr="2CE5B68B">
              <w:rPr>
                <w:rStyle w:val="Hyperlink"/>
              </w:rPr>
              <w:t>Establish a response plan for data breaches</w:t>
            </w:r>
            <w:r>
              <w:tab/>
            </w:r>
            <w:r>
              <w:fldChar w:fldCharType="begin"/>
            </w:r>
            <w:r>
              <w:instrText>PAGEREF _Toc25019846 \h</w:instrText>
            </w:r>
            <w:r>
              <w:fldChar w:fldCharType="separate"/>
            </w:r>
            <w:r w:rsidRPr="2CE5B68B">
              <w:rPr>
                <w:rStyle w:val="Hyperlink"/>
              </w:rPr>
              <w:t>2</w:t>
            </w:r>
            <w:r>
              <w:fldChar w:fldCharType="end"/>
            </w:r>
          </w:hyperlink>
        </w:p>
        <w:p w14:paraId="31EDF560" w14:textId="49F4D66D" w:rsidR="00755B8F" w:rsidRDefault="2CE5B68B" w:rsidP="2CE5B68B">
          <w:pPr>
            <w:pStyle w:val="TOC3"/>
            <w:tabs>
              <w:tab w:val="right" w:leader="dot" w:pos="4140"/>
            </w:tabs>
            <w:rPr>
              <w:rStyle w:val="Hyperlink"/>
            </w:rPr>
          </w:pPr>
          <w:hyperlink w:anchor="_Toc1042921839">
            <w:r w:rsidRPr="2CE5B68B">
              <w:rPr>
                <w:rStyle w:val="Hyperlink"/>
              </w:rPr>
              <w:t>Review and update data protection measures</w:t>
            </w:r>
            <w:r>
              <w:tab/>
            </w:r>
            <w:r>
              <w:fldChar w:fldCharType="begin"/>
            </w:r>
            <w:r>
              <w:instrText>PAGEREF _Toc1042921839 \h</w:instrText>
            </w:r>
            <w:r>
              <w:fldChar w:fldCharType="separate"/>
            </w:r>
            <w:r w:rsidRPr="2CE5B68B">
              <w:rPr>
                <w:rStyle w:val="Hyperlink"/>
              </w:rPr>
              <w:t>2</w:t>
            </w:r>
            <w:r>
              <w:fldChar w:fldCharType="end"/>
            </w:r>
          </w:hyperlink>
        </w:p>
        <w:p w14:paraId="0445A07F" w14:textId="32A9BF00" w:rsidR="00755B8F" w:rsidRDefault="2CE5B68B" w:rsidP="2CE5B68B">
          <w:pPr>
            <w:pStyle w:val="TOC3"/>
            <w:tabs>
              <w:tab w:val="right" w:leader="dot" w:pos="4140"/>
            </w:tabs>
            <w:rPr>
              <w:rStyle w:val="Hyperlink"/>
            </w:rPr>
          </w:pPr>
          <w:hyperlink w:anchor="_Toc84152558">
            <w:r w:rsidRPr="2CE5B68B">
              <w:rPr>
                <w:rStyle w:val="Hyperlink"/>
              </w:rPr>
              <w:t>Digital Operational Resilience Act</w:t>
            </w:r>
            <w:r>
              <w:tab/>
            </w:r>
            <w:r>
              <w:fldChar w:fldCharType="begin"/>
            </w:r>
            <w:r>
              <w:instrText>PAGEREF _Toc84152558 \h</w:instrText>
            </w:r>
            <w:r>
              <w:fldChar w:fldCharType="separate"/>
            </w:r>
            <w:r w:rsidRPr="2CE5B68B">
              <w:rPr>
                <w:rStyle w:val="Hyperlink"/>
              </w:rPr>
              <w:t>2</w:t>
            </w:r>
            <w:r>
              <w:fldChar w:fldCharType="end"/>
            </w:r>
          </w:hyperlink>
        </w:p>
        <w:p w14:paraId="7B6E5655" w14:textId="6318486B" w:rsidR="00755B8F" w:rsidRDefault="2CE5B68B" w:rsidP="2CE5B68B">
          <w:pPr>
            <w:pStyle w:val="TOC3"/>
            <w:tabs>
              <w:tab w:val="right" w:leader="dot" w:pos="4140"/>
            </w:tabs>
            <w:rPr>
              <w:rStyle w:val="Hyperlink"/>
            </w:rPr>
          </w:pPr>
          <w:hyperlink w:anchor="_Toc1482511796">
            <w:r w:rsidRPr="2CE5B68B">
              <w:rPr>
                <w:rStyle w:val="Hyperlink"/>
              </w:rPr>
              <w:t>NIS2 Directive.</w:t>
            </w:r>
            <w:r>
              <w:tab/>
            </w:r>
            <w:r>
              <w:fldChar w:fldCharType="begin"/>
            </w:r>
            <w:r>
              <w:instrText>PAGEREF _Toc1482511796 \h</w:instrText>
            </w:r>
            <w:r>
              <w:fldChar w:fldCharType="separate"/>
            </w:r>
            <w:r w:rsidRPr="2CE5B68B">
              <w:rPr>
                <w:rStyle w:val="Hyperlink"/>
              </w:rPr>
              <w:t>2</w:t>
            </w:r>
            <w:r>
              <w:fldChar w:fldCharType="end"/>
            </w:r>
          </w:hyperlink>
        </w:p>
        <w:p w14:paraId="43B609D6" w14:textId="42D2F6E0" w:rsidR="2CE5B68B" w:rsidRDefault="2CE5B68B" w:rsidP="2CE5B68B">
          <w:pPr>
            <w:pStyle w:val="TOC1"/>
            <w:tabs>
              <w:tab w:val="right" w:leader="dot" w:pos="4140"/>
            </w:tabs>
            <w:rPr>
              <w:rStyle w:val="Hyperlink"/>
            </w:rPr>
          </w:pPr>
          <w:hyperlink w:anchor="_Toc1527829595">
            <w:r w:rsidRPr="2CE5B68B">
              <w:rPr>
                <w:rStyle w:val="Hyperlink"/>
              </w:rPr>
              <w:t>Task 2 – Case Scenario</w:t>
            </w:r>
            <w:r>
              <w:tab/>
            </w:r>
            <w:r>
              <w:fldChar w:fldCharType="begin"/>
            </w:r>
            <w:r>
              <w:instrText>PAGEREF _Toc1527829595 \h</w:instrText>
            </w:r>
            <w:r>
              <w:fldChar w:fldCharType="separate"/>
            </w:r>
            <w:r w:rsidRPr="2CE5B68B">
              <w:rPr>
                <w:rStyle w:val="Hyperlink"/>
              </w:rPr>
              <w:t>2</w:t>
            </w:r>
            <w:r>
              <w:fldChar w:fldCharType="end"/>
            </w:r>
          </w:hyperlink>
        </w:p>
        <w:p w14:paraId="3EBC38CB" w14:textId="53C639CB" w:rsidR="2CE5B68B" w:rsidRDefault="2CE5B68B" w:rsidP="2CE5B68B">
          <w:pPr>
            <w:pStyle w:val="TOC3"/>
            <w:tabs>
              <w:tab w:val="right" w:leader="dot" w:pos="4140"/>
            </w:tabs>
            <w:rPr>
              <w:rStyle w:val="Hyperlink"/>
            </w:rPr>
          </w:pPr>
          <w:hyperlink w:anchor="_Toc911543165">
            <w:r w:rsidRPr="2CE5B68B">
              <w:rPr>
                <w:rStyle w:val="Hyperlink"/>
              </w:rPr>
              <w:t>Compliance</w:t>
            </w:r>
            <w:r>
              <w:tab/>
            </w:r>
            <w:r>
              <w:fldChar w:fldCharType="begin"/>
            </w:r>
            <w:r>
              <w:instrText>PAGEREF _Toc911543165 \h</w:instrText>
            </w:r>
            <w:r>
              <w:fldChar w:fldCharType="separate"/>
            </w:r>
            <w:r w:rsidRPr="2CE5B68B">
              <w:rPr>
                <w:rStyle w:val="Hyperlink"/>
              </w:rPr>
              <w:t>3</w:t>
            </w:r>
            <w:r>
              <w:fldChar w:fldCharType="end"/>
            </w:r>
          </w:hyperlink>
        </w:p>
        <w:p w14:paraId="13594FC2" w14:textId="3B9734BB" w:rsidR="2CE5B68B" w:rsidRDefault="2CE5B68B" w:rsidP="2CE5B68B">
          <w:pPr>
            <w:pStyle w:val="TOC3"/>
            <w:tabs>
              <w:tab w:val="right" w:leader="dot" w:pos="4140"/>
            </w:tabs>
            <w:rPr>
              <w:rStyle w:val="Hyperlink"/>
            </w:rPr>
          </w:pPr>
          <w:hyperlink w:anchor="_Toc349377240">
            <w:r w:rsidRPr="2CE5B68B">
              <w:rPr>
                <w:rStyle w:val="Hyperlink"/>
              </w:rPr>
              <w:t>Governance &amp; Strategy</w:t>
            </w:r>
            <w:r>
              <w:tab/>
            </w:r>
            <w:r>
              <w:fldChar w:fldCharType="begin"/>
            </w:r>
            <w:r>
              <w:instrText>PAGEREF _Toc349377240 \h</w:instrText>
            </w:r>
            <w:r>
              <w:fldChar w:fldCharType="separate"/>
            </w:r>
            <w:r w:rsidRPr="2CE5B68B">
              <w:rPr>
                <w:rStyle w:val="Hyperlink"/>
              </w:rPr>
              <w:t>4</w:t>
            </w:r>
            <w:r>
              <w:fldChar w:fldCharType="end"/>
            </w:r>
          </w:hyperlink>
        </w:p>
        <w:p w14:paraId="09BA106A" w14:textId="376AC668" w:rsidR="2CE5B68B" w:rsidRDefault="2CE5B68B" w:rsidP="2CE5B68B">
          <w:pPr>
            <w:pStyle w:val="TOC3"/>
            <w:tabs>
              <w:tab w:val="right" w:leader="dot" w:pos="4140"/>
            </w:tabs>
            <w:rPr>
              <w:rStyle w:val="Hyperlink"/>
            </w:rPr>
          </w:pPr>
          <w:hyperlink w:anchor="_Toc290980139">
            <w:r w:rsidRPr="2CE5B68B">
              <w:rPr>
                <w:rStyle w:val="Hyperlink"/>
              </w:rPr>
              <w:t>Risk Management</w:t>
            </w:r>
            <w:r>
              <w:tab/>
            </w:r>
            <w:r>
              <w:fldChar w:fldCharType="begin"/>
            </w:r>
            <w:r>
              <w:instrText>PAGEREF _Toc290980139 \h</w:instrText>
            </w:r>
            <w:r>
              <w:fldChar w:fldCharType="separate"/>
            </w:r>
            <w:r w:rsidRPr="2CE5B68B">
              <w:rPr>
                <w:rStyle w:val="Hyperlink"/>
              </w:rPr>
              <w:t>4</w:t>
            </w:r>
            <w:r>
              <w:fldChar w:fldCharType="end"/>
            </w:r>
          </w:hyperlink>
        </w:p>
        <w:p w14:paraId="4181C229" w14:textId="11C3DD10" w:rsidR="2CE5B68B" w:rsidRDefault="2CE5B68B" w:rsidP="2CE5B68B">
          <w:pPr>
            <w:pStyle w:val="TOC3"/>
            <w:tabs>
              <w:tab w:val="right" w:leader="dot" w:pos="4140"/>
            </w:tabs>
            <w:rPr>
              <w:rStyle w:val="Hyperlink"/>
            </w:rPr>
          </w:pPr>
          <w:hyperlink w:anchor="_Toc1576130192">
            <w:r w:rsidRPr="2CE5B68B">
              <w:rPr>
                <w:rStyle w:val="Hyperlink"/>
              </w:rPr>
              <w:t>Contingency Planning</w:t>
            </w:r>
            <w:r>
              <w:tab/>
            </w:r>
            <w:r>
              <w:fldChar w:fldCharType="begin"/>
            </w:r>
            <w:r>
              <w:instrText>PAGEREF _Toc1576130192 \h</w:instrText>
            </w:r>
            <w:r>
              <w:fldChar w:fldCharType="separate"/>
            </w:r>
            <w:r w:rsidRPr="2CE5B68B">
              <w:rPr>
                <w:rStyle w:val="Hyperlink"/>
              </w:rPr>
              <w:t>4</w:t>
            </w:r>
            <w:r>
              <w:fldChar w:fldCharType="end"/>
            </w:r>
          </w:hyperlink>
        </w:p>
        <w:p w14:paraId="2F58352F" w14:textId="3D4502C9" w:rsidR="2CE5B68B" w:rsidRDefault="2CE5B68B" w:rsidP="2CE5B68B">
          <w:pPr>
            <w:pStyle w:val="TOC1"/>
            <w:tabs>
              <w:tab w:val="right" w:leader="dot" w:pos="4140"/>
            </w:tabs>
            <w:rPr>
              <w:rStyle w:val="Hyperlink"/>
            </w:rPr>
          </w:pPr>
          <w:hyperlink w:anchor="_Toc1072493920">
            <w:r w:rsidRPr="2CE5B68B">
              <w:rPr>
                <w:rStyle w:val="Hyperlink"/>
              </w:rPr>
              <w:t>Bibliography</w:t>
            </w:r>
            <w:r>
              <w:tab/>
            </w:r>
            <w:r>
              <w:fldChar w:fldCharType="begin"/>
            </w:r>
            <w:r>
              <w:instrText>PAGEREF _Toc1072493920 \h</w:instrText>
            </w:r>
            <w:r>
              <w:fldChar w:fldCharType="separate"/>
            </w:r>
            <w:r w:rsidRPr="2CE5B68B">
              <w:rPr>
                <w:rStyle w:val="Hyperlink"/>
              </w:rPr>
              <w:t>4</w:t>
            </w:r>
            <w:r>
              <w:fldChar w:fldCharType="end"/>
            </w:r>
          </w:hyperlink>
          <w:r>
            <w:fldChar w:fldCharType="end"/>
          </w:r>
        </w:p>
      </w:sdtContent>
    </w:sdt>
    <w:p w14:paraId="4171593A" w14:textId="5B793C4E" w:rsidR="00755B8F" w:rsidRDefault="00755B8F" w:rsidP="2CE5B68B">
      <w:pPr>
        <w:rPr>
          <w:b/>
          <w:bCs/>
          <w:color w:val="000000" w:themeColor="text1"/>
          <w:sz w:val="32"/>
          <w:szCs w:val="32"/>
        </w:rPr>
      </w:pPr>
    </w:p>
    <w:p w14:paraId="1B0D01BE" w14:textId="76B5A2C2" w:rsidR="00755B8F" w:rsidRDefault="6CB73721" w:rsidP="2CE5B68B">
      <w:pPr>
        <w:pStyle w:val="Heading1"/>
        <w:rPr>
          <w:rFonts w:asciiTheme="minorHAnsi" w:eastAsiaTheme="minorEastAsia" w:hAnsiTheme="minorHAnsi" w:cstheme="minorBidi"/>
          <w:color w:val="000000" w:themeColor="text1"/>
          <w:sz w:val="32"/>
          <w:szCs w:val="32"/>
        </w:rPr>
      </w:pPr>
      <w:bookmarkStart w:id="0" w:name="_Toc443746153"/>
      <w:r w:rsidRPr="2CE5B68B">
        <w:rPr>
          <w:rFonts w:asciiTheme="minorHAnsi" w:eastAsiaTheme="minorEastAsia" w:hAnsiTheme="minorHAnsi" w:cstheme="minorBidi"/>
        </w:rPr>
        <w:t>Task 1 – Research in Data Security and Compliance</w:t>
      </w:r>
      <w:bookmarkEnd w:id="0"/>
      <w:r w:rsidRPr="2CE5B68B">
        <w:rPr>
          <w:rFonts w:asciiTheme="minorHAnsi" w:eastAsiaTheme="minorEastAsia" w:hAnsiTheme="minorHAnsi" w:cstheme="minorBidi"/>
        </w:rPr>
        <w:t xml:space="preserve"> </w:t>
      </w:r>
    </w:p>
    <w:p w14:paraId="5D18EE21" w14:textId="321CD531" w:rsidR="00755B8F" w:rsidRDefault="00755B8F" w:rsidP="2CE5B68B">
      <w:pPr>
        <w:spacing w:line="360" w:lineRule="auto"/>
        <w:rPr>
          <w:color w:val="000000" w:themeColor="text1"/>
        </w:rPr>
      </w:pPr>
    </w:p>
    <w:p w14:paraId="316A6605" w14:textId="3D441705" w:rsidR="00755B8F" w:rsidRDefault="6CB73721" w:rsidP="2CE5B68B">
      <w:pPr>
        <w:spacing w:line="360" w:lineRule="auto"/>
        <w:rPr>
          <w:color w:val="000000" w:themeColor="text1"/>
        </w:rPr>
      </w:pPr>
      <w:bookmarkStart w:id="1" w:name="_Toc255455825"/>
      <w:r w:rsidRPr="2CE5B68B">
        <w:rPr>
          <w:rStyle w:val="Heading2Char"/>
          <w:rFonts w:asciiTheme="minorHAnsi" w:eastAsiaTheme="minorEastAsia" w:hAnsiTheme="minorHAnsi" w:cstheme="minorBidi"/>
        </w:rPr>
        <w:t>Compliance in a Fragmented World</w:t>
      </w:r>
      <w:bookmarkEnd w:id="1"/>
      <w:r w:rsidRPr="2CE5B68B">
        <w:rPr>
          <w:color w:val="000000" w:themeColor="text1"/>
        </w:rPr>
        <w:t xml:space="preserve">: </w:t>
      </w:r>
    </w:p>
    <w:p w14:paraId="005B836B" w14:textId="1F9FC652" w:rsidR="00755B8F" w:rsidRDefault="5A3BE35A" w:rsidP="2CE5B68B">
      <w:pPr>
        <w:spacing w:line="360" w:lineRule="auto"/>
        <w:rPr>
          <w:color w:val="000000" w:themeColor="text1"/>
        </w:rPr>
      </w:pPr>
      <w:r w:rsidRPr="2CE5B68B">
        <w:rPr>
          <w:color w:val="000000" w:themeColor="text1"/>
        </w:rPr>
        <w:t>For organisations to ensure GDPR compliance they need strategies that are practical and can be implemented to meet the standards of the GDPR</w:t>
      </w:r>
      <w:r w:rsidR="0B5A8CE5" w:rsidRPr="2CE5B68B">
        <w:rPr>
          <w:color w:val="000000" w:themeColor="text1"/>
        </w:rPr>
        <w:t xml:space="preserve">. </w:t>
      </w:r>
    </w:p>
    <w:p w14:paraId="2A15652C" w14:textId="019BA344" w:rsidR="00755B8F" w:rsidRDefault="5031EAFF" w:rsidP="2CE5B68B">
      <w:pPr>
        <w:pStyle w:val="Heading3"/>
        <w:rPr>
          <w:rFonts w:eastAsiaTheme="minorEastAsia" w:cstheme="minorBidi"/>
          <w:color w:val="000000" w:themeColor="text1"/>
        </w:rPr>
      </w:pPr>
      <w:bookmarkStart w:id="2" w:name="_Toc923934060"/>
      <w:r w:rsidRPr="2CE5B68B">
        <w:rPr>
          <w:rFonts w:eastAsiaTheme="minorEastAsia" w:cstheme="minorBidi"/>
        </w:rPr>
        <w:lastRenderedPageBreak/>
        <w:t>Data audit</w:t>
      </w:r>
      <w:bookmarkEnd w:id="2"/>
    </w:p>
    <w:p w14:paraId="5FBB36A6" w14:textId="34A09BF7" w:rsidR="00755B8F" w:rsidRDefault="0B5A8CE5" w:rsidP="2CE5B68B">
      <w:pPr>
        <w:spacing w:line="360" w:lineRule="auto"/>
        <w:rPr>
          <w:color w:val="000000" w:themeColor="text1"/>
        </w:rPr>
      </w:pPr>
      <w:r w:rsidRPr="2CE5B68B">
        <w:rPr>
          <w:color w:val="000000" w:themeColor="text1"/>
        </w:rPr>
        <w:t xml:space="preserve">One such strategy is to conduct a data audit, which will allow the organisation to map out every bit of data that is being </w:t>
      </w:r>
      <w:r w:rsidR="797F1EF5" w:rsidRPr="2CE5B68B">
        <w:rPr>
          <w:color w:val="000000" w:themeColor="text1"/>
        </w:rPr>
        <w:t xml:space="preserve">collected and then categorise the data. This will help the organisation to identify areas of </w:t>
      </w:r>
      <w:r w:rsidR="06955C2C" w:rsidRPr="2CE5B68B">
        <w:rPr>
          <w:color w:val="000000" w:themeColor="text1"/>
        </w:rPr>
        <w:t>potential risks to the personal data that is traveling between the organisation and outside the organisation.</w:t>
      </w:r>
      <w:r w:rsidR="4F18B65D" w:rsidRPr="2CE5B68B">
        <w:rPr>
          <w:color w:val="000000" w:themeColor="text1"/>
        </w:rPr>
        <w:t>[1]</w:t>
      </w:r>
    </w:p>
    <w:p w14:paraId="0FD382BA" w14:textId="2DC86067" w:rsidR="00755B8F" w:rsidRDefault="360A1BC9" w:rsidP="2CE5B68B">
      <w:pPr>
        <w:pStyle w:val="Heading3"/>
        <w:rPr>
          <w:rFonts w:eastAsiaTheme="minorEastAsia" w:cstheme="minorBidi"/>
        </w:rPr>
      </w:pPr>
      <w:bookmarkStart w:id="3" w:name="_Toc395185618"/>
      <w:r w:rsidRPr="2CE5B68B">
        <w:rPr>
          <w:rFonts w:eastAsiaTheme="minorEastAsia" w:cstheme="minorBidi"/>
        </w:rPr>
        <w:t>Update privacy notices</w:t>
      </w:r>
      <w:bookmarkEnd w:id="3"/>
      <w:r w:rsidRPr="2CE5B68B">
        <w:rPr>
          <w:rFonts w:eastAsiaTheme="minorEastAsia" w:cstheme="minorBidi"/>
        </w:rPr>
        <w:t xml:space="preserve"> </w:t>
      </w:r>
    </w:p>
    <w:p w14:paraId="7B5148C7" w14:textId="16F6C6B0" w:rsidR="00755B8F" w:rsidRDefault="148CFE21" w:rsidP="2CE5B68B">
      <w:pPr>
        <w:spacing w:line="360" w:lineRule="auto"/>
        <w:rPr>
          <w:color w:val="000000" w:themeColor="text1"/>
        </w:rPr>
      </w:pPr>
      <w:r w:rsidRPr="2CE5B68B">
        <w:rPr>
          <w:color w:val="000000" w:themeColor="text1"/>
        </w:rPr>
        <w:t xml:space="preserve">Another thing </w:t>
      </w:r>
      <w:r w:rsidR="41A60ED2" w:rsidRPr="2CE5B68B">
        <w:rPr>
          <w:color w:val="000000" w:themeColor="text1"/>
        </w:rPr>
        <w:t>O</w:t>
      </w:r>
      <w:r w:rsidRPr="2CE5B68B">
        <w:rPr>
          <w:color w:val="000000" w:themeColor="text1"/>
        </w:rPr>
        <w:t>rganisation</w:t>
      </w:r>
      <w:r w:rsidR="36BEB360" w:rsidRPr="2CE5B68B">
        <w:rPr>
          <w:color w:val="000000" w:themeColor="text1"/>
        </w:rPr>
        <w:t>s</w:t>
      </w:r>
      <w:r w:rsidR="3EE616CB" w:rsidRPr="2CE5B68B">
        <w:rPr>
          <w:color w:val="000000" w:themeColor="text1"/>
        </w:rPr>
        <w:t xml:space="preserve"> </w:t>
      </w:r>
      <w:r w:rsidRPr="2CE5B68B">
        <w:rPr>
          <w:color w:val="000000" w:themeColor="text1"/>
        </w:rPr>
        <w:t>can do is u</w:t>
      </w:r>
      <w:r w:rsidR="15029F02" w:rsidRPr="2CE5B68B">
        <w:rPr>
          <w:color w:val="000000" w:themeColor="text1"/>
        </w:rPr>
        <w:t>pdat</w:t>
      </w:r>
      <w:r w:rsidR="712363E6" w:rsidRPr="2CE5B68B">
        <w:rPr>
          <w:color w:val="000000" w:themeColor="text1"/>
        </w:rPr>
        <w:t>ing the</w:t>
      </w:r>
      <w:r w:rsidR="15029F02" w:rsidRPr="2CE5B68B">
        <w:rPr>
          <w:color w:val="000000" w:themeColor="text1"/>
        </w:rPr>
        <w:t xml:space="preserve"> privacy notices</w:t>
      </w:r>
      <w:r w:rsidR="014FE96D" w:rsidRPr="2CE5B68B">
        <w:rPr>
          <w:color w:val="000000" w:themeColor="text1"/>
        </w:rPr>
        <w:t xml:space="preserve"> </w:t>
      </w:r>
      <w:r w:rsidR="48803BF1" w:rsidRPr="2CE5B68B">
        <w:rPr>
          <w:color w:val="000000" w:themeColor="text1"/>
        </w:rPr>
        <w:t>to e</w:t>
      </w:r>
      <w:r w:rsidR="15029F02" w:rsidRPr="2CE5B68B">
        <w:rPr>
          <w:color w:val="000000" w:themeColor="text1"/>
        </w:rPr>
        <w:t>nsure that</w:t>
      </w:r>
      <w:r w:rsidR="7088D802" w:rsidRPr="2CE5B68B">
        <w:rPr>
          <w:color w:val="000000" w:themeColor="text1"/>
        </w:rPr>
        <w:t xml:space="preserve"> users understand the</w:t>
      </w:r>
      <w:r w:rsidR="15029F02" w:rsidRPr="2CE5B68B">
        <w:rPr>
          <w:color w:val="000000" w:themeColor="text1"/>
        </w:rPr>
        <w:t xml:space="preserve"> privacy notices</w:t>
      </w:r>
      <w:r w:rsidR="6211644A" w:rsidRPr="2CE5B68B">
        <w:rPr>
          <w:color w:val="000000" w:themeColor="text1"/>
        </w:rPr>
        <w:t xml:space="preserve"> and that the notices</w:t>
      </w:r>
      <w:r w:rsidR="15029F02" w:rsidRPr="2CE5B68B">
        <w:rPr>
          <w:color w:val="000000" w:themeColor="text1"/>
        </w:rPr>
        <w:t xml:space="preserve"> are clear, concise, and transparent.</w:t>
      </w:r>
      <w:r w:rsidR="47340BC3" w:rsidRPr="2CE5B68B">
        <w:rPr>
          <w:color w:val="000000" w:themeColor="text1"/>
        </w:rPr>
        <w:t xml:space="preserve"> The notices should inform users of their rights regarding the GDPR and how the data they supplied will be used.</w:t>
      </w:r>
    </w:p>
    <w:p w14:paraId="090171DF" w14:textId="58B0A149" w:rsidR="00755B8F" w:rsidRDefault="0D230727" w:rsidP="2CE5B68B">
      <w:pPr>
        <w:pStyle w:val="Heading3"/>
        <w:rPr>
          <w:rFonts w:eastAsiaTheme="minorEastAsia" w:cstheme="minorBidi"/>
        </w:rPr>
      </w:pPr>
      <w:bookmarkStart w:id="4" w:name="_Toc681407562"/>
      <w:r w:rsidRPr="2CE5B68B">
        <w:rPr>
          <w:rFonts w:eastAsiaTheme="minorEastAsia" w:cstheme="minorBidi"/>
        </w:rPr>
        <w:t>Implement data protection</w:t>
      </w:r>
      <w:bookmarkEnd w:id="4"/>
    </w:p>
    <w:p w14:paraId="04078982" w14:textId="4F0C7F6B" w:rsidR="00755B8F" w:rsidRDefault="60761761" w:rsidP="2CE5B68B">
      <w:r w:rsidRPr="2CE5B68B">
        <w:t>O</w:t>
      </w:r>
      <w:r w:rsidR="7A873C2D" w:rsidRPr="2CE5B68B">
        <w:t>rganisation</w:t>
      </w:r>
      <w:r w:rsidR="2DE0E5BA" w:rsidRPr="2CE5B68B">
        <w:t>s</w:t>
      </w:r>
      <w:r w:rsidR="7A873C2D" w:rsidRPr="2CE5B68B">
        <w:t xml:space="preserve"> </w:t>
      </w:r>
      <w:r w:rsidR="075ACFF4" w:rsidRPr="2CE5B68B">
        <w:t xml:space="preserve">can implement data protection to their new services or products </w:t>
      </w:r>
      <w:r w:rsidR="7126F4EC" w:rsidRPr="2CE5B68B">
        <w:t xml:space="preserve">when they are being designed and built so the organisation does not need to worry about forgetting to add protection </w:t>
      </w:r>
      <w:r w:rsidR="4CDBAFD6" w:rsidRPr="2CE5B68B">
        <w:t>to their services or products and letting users' data be compromised making the organisation loose u</w:t>
      </w:r>
      <w:r w:rsidR="7AF36E4E" w:rsidRPr="2CE5B68B">
        <w:t>ser trust, be in breach of the GDPR and also make the or</w:t>
      </w:r>
      <w:r w:rsidR="71FAA18F" w:rsidRPr="2CE5B68B">
        <w:t xml:space="preserve">ganisation </w:t>
      </w:r>
      <w:r w:rsidR="6CBB56E0" w:rsidRPr="2CE5B68B">
        <w:t>frantically try to implement the data protection which may not be up to standards or accidentally leave a vulnerability</w:t>
      </w:r>
      <w:r w:rsidR="7C84A0D2" w:rsidRPr="2CE5B68B">
        <w:t>.</w:t>
      </w:r>
    </w:p>
    <w:p w14:paraId="2A35F2B9" w14:textId="34E4DD51" w:rsidR="00755B8F" w:rsidRDefault="5FB706C2" w:rsidP="2CE5B68B">
      <w:pPr>
        <w:pStyle w:val="Heading3"/>
        <w:rPr>
          <w:rFonts w:eastAsiaTheme="minorEastAsia" w:cstheme="minorBidi"/>
          <w:color w:val="000000" w:themeColor="text1"/>
          <w:sz w:val="24"/>
          <w:szCs w:val="24"/>
        </w:rPr>
      </w:pPr>
      <w:bookmarkStart w:id="5" w:name="_Toc82473288"/>
      <w:r w:rsidRPr="2CE5B68B">
        <w:rPr>
          <w:rFonts w:eastAsiaTheme="minorEastAsia" w:cstheme="minorBidi"/>
        </w:rPr>
        <w:t>Train employees</w:t>
      </w:r>
      <w:bookmarkEnd w:id="5"/>
    </w:p>
    <w:p w14:paraId="151F8766" w14:textId="4CA91AF2" w:rsidR="2D385E9C" w:rsidRDefault="2D261291" w:rsidP="2CE5B68B">
      <w:pPr>
        <w:spacing w:line="360" w:lineRule="auto"/>
      </w:pPr>
      <w:r w:rsidRPr="2CE5B68B">
        <w:t>Organisations should train employees regularly on the GDPR and data protection, how</w:t>
      </w:r>
      <w:r w:rsidR="258758A1" w:rsidRPr="2CE5B68B">
        <w:t>ever it should be mandatory for employees that are in a position where they manage and deal with personal data.</w:t>
      </w:r>
    </w:p>
    <w:p w14:paraId="665A82AB" w14:textId="786BC1F9" w:rsidR="00755B8F" w:rsidRDefault="77A9FA18" w:rsidP="2CE5B68B">
      <w:pPr>
        <w:pStyle w:val="Heading3"/>
        <w:rPr>
          <w:rFonts w:eastAsiaTheme="minorEastAsia" w:cstheme="minorBidi"/>
          <w:color w:val="000000" w:themeColor="text1"/>
          <w:sz w:val="24"/>
          <w:szCs w:val="24"/>
        </w:rPr>
      </w:pPr>
      <w:bookmarkStart w:id="6" w:name="_Toc25019846"/>
      <w:r w:rsidRPr="2CE5B68B">
        <w:rPr>
          <w:rFonts w:eastAsiaTheme="minorEastAsia" w:cstheme="minorBidi"/>
        </w:rPr>
        <w:t>Establish a response plan for data breaches</w:t>
      </w:r>
      <w:bookmarkEnd w:id="6"/>
    </w:p>
    <w:p w14:paraId="7B1221EC" w14:textId="4A1F9C78" w:rsidR="696BADB7" w:rsidRDefault="3E351938" w:rsidP="2CE5B68B">
      <w:r w:rsidRPr="2CE5B68B">
        <w:t>Establishing a data breach response plan should be one of the first things an organisation does as it will include procedures for what to do and who to contact during t</w:t>
      </w:r>
      <w:r w:rsidR="38A1DF6A" w:rsidRPr="2CE5B68B">
        <w:t>he data breach, the plan will also include the organisations plan to detect and report breaches and then inve</w:t>
      </w:r>
      <w:r w:rsidR="0324A5DF" w:rsidRPr="2CE5B68B">
        <w:t>stigating how it could have happened and what was lost.</w:t>
      </w:r>
    </w:p>
    <w:p w14:paraId="417A4F59" w14:textId="7C671970" w:rsidR="00755B8F" w:rsidRDefault="65350B02" w:rsidP="2CE5B68B">
      <w:pPr>
        <w:pStyle w:val="Heading3"/>
        <w:rPr>
          <w:rFonts w:eastAsiaTheme="minorEastAsia" w:cstheme="minorBidi"/>
          <w:color w:val="000000" w:themeColor="text1"/>
          <w:sz w:val="24"/>
          <w:szCs w:val="24"/>
        </w:rPr>
      </w:pPr>
      <w:bookmarkStart w:id="7" w:name="_Toc1042921839"/>
      <w:r w:rsidRPr="2CE5B68B">
        <w:rPr>
          <w:rFonts w:eastAsiaTheme="minorEastAsia" w:cstheme="minorBidi"/>
        </w:rPr>
        <w:t>Review and update data protection measures</w:t>
      </w:r>
      <w:bookmarkEnd w:id="7"/>
    </w:p>
    <w:p w14:paraId="59765226" w14:textId="48BCCE6B" w:rsidR="4410D808" w:rsidRDefault="5ADE3E6A" w:rsidP="2CE5B68B">
      <w:r w:rsidRPr="2CE5B68B">
        <w:t xml:space="preserve">Organisations should review and update their data protection measures regularly as </w:t>
      </w:r>
      <w:proofErr w:type="gramStart"/>
      <w:r w:rsidRPr="2CE5B68B">
        <w:t>exploits</w:t>
      </w:r>
      <w:proofErr w:type="gramEnd"/>
      <w:r w:rsidRPr="2CE5B68B">
        <w:t xml:space="preserve"> and other vulnerabilities would appear </w:t>
      </w:r>
      <w:r w:rsidR="64967E8B" w:rsidRPr="2CE5B68B">
        <w:t>so they must keep on top of everything that comes up so they are able to stay in compliance with the GDPR and for their data protection to be</w:t>
      </w:r>
      <w:r w:rsidR="5E614B91" w:rsidRPr="2CE5B68B">
        <w:t xml:space="preserve"> effective.</w:t>
      </w:r>
    </w:p>
    <w:p w14:paraId="1557C5D3" w14:textId="46DB9F51" w:rsidR="3DBF5DF4" w:rsidRDefault="3DBF5DF4" w:rsidP="2CE5B68B"/>
    <w:p w14:paraId="127F730B" w14:textId="66F14FF6" w:rsidR="22394BEE" w:rsidRDefault="11090525" w:rsidP="2CE5B68B">
      <w:pPr>
        <w:pStyle w:val="Heading3"/>
        <w:rPr>
          <w:rFonts w:eastAsiaTheme="minorEastAsia" w:cstheme="minorBidi"/>
          <w:color w:val="000000" w:themeColor="text1"/>
          <w:sz w:val="24"/>
          <w:szCs w:val="24"/>
        </w:rPr>
      </w:pPr>
      <w:bookmarkStart w:id="8" w:name="_Toc84152558"/>
      <w:r w:rsidRPr="2CE5B68B">
        <w:rPr>
          <w:rFonts w:eastAsiaTheme="minorEastAsia" w:cstheme="minorBidi"/>
        </w:rPr>
        <w:lastRenderedPageBreak/>
        <w:t>Digital Operational Resilience Act</w:t>
      </w:r>
      <w:bookmarkEnd w:id="8"/>
    </w:p>
    <w:p w14:paraId="16E8ECB1" w14:textId="3F0EDB49" w:rsidR="4FC06AC2" w:rsidRDefault="4BFF5A30" w:rsidP="2CE5B68B">
      <w:r w:rsidRPr="2CE5B68B">
        <w:t>The Digital Operational Resilience Act (DORA) is a regulation introduced by the European Union (EU) to strengthen the online safety of organisations</w:t>
      </w:r>
      <w:r w:rsidR="2A147C93" w:rsidRPr="2CE5B68B">
        <w:t xml:space="preserve"> handling money</w:t>
      </w:r>
      <w:r w:rsidRPr="2CE5B68B">
        <w:t>. It came into ef</w:t>
      </w:r>
      <w:r w:rsidR="6E53A4F3" w:rsidRPr="2CE5B68B">
        <w:t>fect</w:t>
      </w:r>
      <w:r w:rsidRPr="2CE5B68B">
        <w:t xml:space="preserve"> on 17 Jan 2025 and ensures that banks, insurance companies, investment firms</w:t>
      </w:r>
      <w:r w:rsidR="69451BFF" w:rsidRPr="2CE5B68B">
        <w:t>, consultant companies and other companies</w:t>
      </w:r>
      <w:r w:rsidRPr="2CE5B68B">
        <w:t xml:space="preserve"> </w:t>
      </w:r>
      <w:r w:rsidR="6A23323F" w:rsidRPr="2CE5B68B">
        <w:t>can protect themselves against cyber threats or respond and recover in the event of a systems failure.</w:t>
      </w:r>
      <w:r w:rsidR="3AEE0482" w:rsidRPr="2CE5B68B">
        <w:t>[2]</w:t>
      </w:r>
    </w:p>
    <w:p w14:paraId="1A0DA262" w14:textId="2EA9178F" w:rsidR="3DBF5DF4" w:rsidRDefault="3DBF5DF4" w:rsidP="2CE5B68B"/>
    <w:p w14:paraId="040A0251" w14:textId="38A4A796" w:rsidR="22394BEE" w:rsidRDefault="11090525" w:rsidP="2CE5B68B">
      <w:pPr>
        <w:pStyle w:val="Heading3"/>
        <w:rPr>
          <w:rFonts w:eastAsiaTheme="minorEastAsia" w:cstheme="minorBidi"/>
          <w:color w:val="000000" w:themeColor="text1"/>
          <w:sz w:val="24"/>
          <w:szCs w:val="24"/>
        </w:rPr>
      </w:pPr>
      <w:r w:rsidRPr="2CE5B68B">
        <w:rPr>
          <w:rFonts w:eastAsiaTheme="minorEastAsia" w:cstheme="minorBidi"/>
        </w:rPr>
        <w:t xml:space="preserve"> </w:t>
      </w:r>
      <w:bookmarkStart w:id="9" w:name="_Toc1482511796"/>
      <w:r w:rsidRPr="2CE5B68B">
        <w:rPr>
          <w:rFonts w:eastAsiaTheme="minorEastAsia" w:cstheme="minorBidi"/>
        </w:rPr>
        <w:t>NIS2 Directive.</w:t>
      </w:r>
      <w:bookmarkEnd w:id="9"/>
    </w:p>
    <w:p w14:paraId="0935889D" w14:textId="34AD6B11" w:rsidR="3DBF5DF4" w:rsidRDefault="105C4F41" w:rsidP="2CE5B68B">
      <w:r w:rsidRPr="2CE5B68B">
        <w:t xml:space="preserve">The NIS2 Directive is a framework to uphold cybersecurity in 18 sectors across the EU. It also makes </w:t>
      </w:r>
      <w:r w:rsidR="66A9EAFD" w:rsidRPr="2CE5B68B">
        <w:t>m</w:t>
      </w:r>
      <w:r w:rsidRPr="2CE5B68B">
        <w:t xml:space="preserve">ember </w:t>
      </w:r>
      <w:r w:rsidR="458073FC" w:rsidRPr="2CE5B68B">
        <w:t>s</w:t>
      </w:r>
      <w:r w:rsidRPr="2CE5B68B">
        <w:t xml:space="preserve">tates collaborate with the EU for cross-border reaction and enforcement. NIS2 raises the EU common level of cyber-security </w:t>
      </w:r>
      <w:r w:rsidR="4684D5FD" w:rsidRPr="2CE5B68B">
        <w:t>with clearer</w:t>
      </w:r>
      <w:r w:rsidRPr="2CE5B68B">
        <w:t xml:space="preserve"> rules and stronger supervision tools. It </w:t>
      </w:r>
      <w:r w:rsidR="75FDFC38" w:rsidRPr="2CE5B68B">
        <w:t xml:space="preserve">also </w:t>
      </w:r>
      <w:r w:rsidR="3882A629" w:rsidRPr="2CE5B68B">
        <w:t>i</w:t>
      </w:r>
      <w:r w:rsidRPr="2CE5B68B">
        <w:t>ntroduc</w:t>
      </w:r>
      <w:r w:rsidR="528C4FA9" w:rsidRPr="2CE5B68B">
        <w:t>es new</w:t>
      </w:r>
      <w:r w:rsidRPr="2CE5B68B">
        <w:t xml:space="preserve"> risk management measures and reporting requirements to </w:t>
      </w:r>
      <w:r w:rsidR="4F497705" w:rsidRPr="2CE5B68B">
        <w:t xml:space="preserve">organisations </w:t>
      </w:r>
      <w:r w:rsidRPr="2CE5B68B">
        <w:t>from more sectors and setting up rules for cooperation, information sharing, supervision, and enforcement of cybersecurity measures.</w:t>
      </w:r>
      <w:r w:rsidR="76FB2400" w:rsidRPr="2CE5B68B">
        <w:t>[3]</w:t>
      </w:r>
    </w:p>
    <w:p w14:paraId="3587FCA0" w14:textId="6596B626" w:rsidR="00755B8F" w:rsidRDefault="6CB73721" w:rsidP="2CE5B68B">
      <w:pPr>
        <w:pStyle w:val="Heading1"/>
        <w:rPr>
          <w:rFonts w:asciiTheme="minorHAnsi" w:eastAsiaTheme="minorEastAsia" w:hAnsiTheme="minorHAnsi" w:cstheme="minorBidi"/>
        </w:rPr>
      </w:pPr>
      <w:bookmarkStart w:id="10" w:name="_Toc1527829595"/>
      <w:r w:rsidRPr="2CE5B68B">
        <w:rPr>
          <w:rFonts w:asciiTheme="minorHAnsi" w:eastAsiaTheme="minorEastAsia" w:hAnsiTheme="minorHAnsi" w:cstheme="minorBidi"/>
        </w:rPr>
        <w:t>Task 2 – Case Scenario</w:t>
      </w:r>
      <w:bookmarkEnd w:id="10"/>
    </w:p>
    <w:p w14:paraId="6D0A9390" w14:textId="2530033B" w:rsidR="00755B8F" w:rsidRDefault="00755B8F" w:rsidP="2CE5B68B"/>
    <w:p w14:paraId="1F973436" w14:textId="30D64070" w:rsidR="00755B8F" w:rsidRDefault="6CB73721" w:rsidP="2CE5B68B">
      <w:pPr>
        <w:pStyle w:val="Default"/>
        <w:spacing w:line="360" w:lineRule="auto"/>
        <w:rPr>
          <w:rFonts w:asciiTheme="minorHAnsi" w:hAnsiTheme="minorHAnsi" w:cstheme="minorBidi"/>
        </w:rPr>
      </w:pPr>
      <w:r w:rsidRPr="2CE5B68B">
        <w:rPr>
          <w:rFonts w:asciiTheme="minorHAnsi" w:hAnsiTheme="minorHAnsi" w:cstheme="minorBidi"/>
        </w:rPr>
        <w:t>ResilientIntellect Ltd is a fast-growing threat intelligence and consultancy company that develops its own AI-powered threat analysis software and uses a fully hybrid workforce. It assists businesses to proactively combat real and immediate threats from cyber-attacks. ResilientIntellect also use their consultancy services to provide the right tools and frameworks solutions to their customers state of compliance, business continuity, data recovery and risk management which includes their cloud storages and services.</w:t>
      </w:r>
    </w:p>
    <w:p w14:paraId="1573D7B0" w14:textId="4822AA2B" w:rsidR="00755B8F" w:rsidRDefault="5C20C4C9" w:rsidP="2CE5B68B">
      <w:pPr>
        <w:spacing w:line="360" w:lineRule="auto"/>
        <w:rPr>
          <w:color w:val="000000" w:themeColor="text1"/>
        </w:rPr>
      </w:pPr>
      <w:r w:rsidRPr="2CE5B68B">
        <w:rPr>
          <w:color w:val="000000" w:themeColor="text1"/>
        </w:rPr>
        <w:t>T</w:t>
      </w:r>
      <w:r w:rsidR="6CB73721" w:rsidRPr="2CE5B68B">
        <w:rPr>
          <w:color w:val="000000" w:themeColor="text1"/>
        </w:rPr>
        <w:t xml:space="preserve">he company is expanding into the EU and must comply with DORA and NIS2. </w:t>
      </w:r>
      <w:r w:rsidR="337B65EC" w:rsidRPr="2CE5B68B">
        <w:rPr>
          <w:color w:val="000000" w:themeColor="text1"/>
        </w:rPr>
        <w:t xml:space="preserve">They require a </w:t>
      </w:r>
      <w:r w:rsidR="6CB73721" w:rsidRPr="2CE5B68B">
        <w:rPr>
          <w:color w:val="000000" w:themeColor="text1"/>
        </w:rPr>
        <w:t>Zero-Trust-aligned security programme for their new unit</w:t>
      </w:r>
      <w:r w:rsidR="03230D58" w:rsidRPr="2CE5B68B">
        <w:rPr>
          <w:color w:val="000000" w:themeColor="text1"/>
        </w:rPr>
        <w:t xml:space="preserve"> which must be designed and justified</w:t>
      </w:r>
      <w:r w:rsidR="6CB73721" w:rsidRPr="2CE5B68B">
        <w:rPr>
          <w:color w:val="000000" w:themeColor="text1"/>
        </w:rPr>
        <w:t xml:space="preserve">. </w:t>
      </w:r>
    </w:p>
    <w:p w14:paraId="684FDD21" w14:textId="4F1299A8" w:rsidR="00755B8F" w:rsidRDefault="779A868C" w:rsidP="2CE5B68B">
      <w:pPr>
        <w:spacing w:after="200" w:line="360" w:lineRule="auto"/>
        <w:rPr>
          <w:color w:val="000000" w:themeColor="text1"/>
        </w:rPr>
      </w:pPr>
      <w:r w:rsidRPr="2CE5B68B">
        <w:rPr>
          <w:color w:val="000000" w:themeColor="text1"/>
        </w:rPr>
        <w:t xml:space="preserve">The new information security unit will need policies and procedures for AI usage, </w:t>
      </w:r>
      <w:r w:rsidR="4A6C1362" w:rsidRPr="2CE5B68B">
        <w:rPr>
          <w:color w:val="000000" w:themeColor="text1"/>
        </w:rPr>
        <w:t>secure SaaS configuration and BOYD for hybrid workers. They will also need to</w:t>
      </w:r>
      <w:r w:rsidR="79057266" w:rsidRPr="2CE5B68B">
        <w:rPr>
          <w:color w:val="000000" w:themeColor="text1"/>
        </w:rPr>
        <w:t xml:space="preserve"> address how they will meet DORA’s requirements and NIS2 obligations. A </w:t>
      </w:r>
      <w:r w:rsidR="39CAC31B" w:rsidRPr="2CE5B68B">
        <w:rPr>
          <w:color w:val="000000" w:themeColor="text1"/>
        </w:rPr>
        <w:t>governance model based on NIST 2.0 cybersecurity framework that links t</w:t>
      </w:r>
      <w:r w:rsidR="4FCDC34B" w:rsidRPr="2CE5B68B">
        <w:rPr>
          <w:color w:val="000000" w:themeColor="text1"/>
        </w:rPr>
        <w:t xml:space="preserve">he security strategy to the goals </w:t>
      </w:r>
      <w:r w:rsidR="4FCDC34B" w:rsidRPr="2CE5B68B">
        <w:rPr>
          <w:color w:val="000000" w:themeColor="text1"/>
        </w:rPr>
        <w:lastRenderedPageBreak/>
        <w:t>of the organisation. A high-level risk assessment focusing on software supply chain risks and cloud misconfigurations needs to be condu</w:t>
      </w:r>
      <w:r w:rsidR="0958B340" w:rsidRPr="2CE5B68B">
        <w:rPr>
          <w:color w:val="000000" w:themeColor="text1"/>
        </w:rPr>
        <w:t>cted</w:t>
      </w:r>
      <w:r w:rsidR="4FCDC34B" w:rsidRPr="2CE5B68B">
        <w:rPr>
          <w:color w:val="000000" w:themeColor="text1"/>
        </w:rPr>
        <w:t>.</w:t>
      </w:r>
      <w:r w:rsidR="748933CB" w:rsidRPr="2CE5B68B">
        <w:rPr>
          <w:color w:val="000000" w:themeColor="text1"/>
        </w:rPr>
        <w:t xml:space="preserve"> And a contingency plan needs to be thought up to plan for malicious cyber-attacks such as ransomware attacks.</w:t>
      </w:r>
    </w:p>
    <w:p w14:paraId="65CF1DB4" w14:textId="3053AAA4" w:rsidR="00755B8F" w:rsidRDefault="761CCA01" w:rsidP="2CE5B68B">
      <w:pPr>
        <w:pStyle w:val="Heading3"/>
        <w:rPr>
          <w:rFonts w:eastAsiaTheme="minorEastAsia" w:cstheme="minorBidi"/>
        </w:rPr>
      </w:pPr>
      <w:bookmarkStart w:id="11" w:name="_Toc911543165"/>
      <w:r w:rsidRPr="2CE5B68B">
        <w:rPr>
          <w:rFonts w:eastAsiaTheme="minorEastAsia" w:cstheme="minorBidi"/>
        </w:rPr>
        <w:t>Compliance</w:t>
      </w:r>
      <w:bookmarkEnd w:id="11"/>
    </w:p>
    <w:p w14:paraId="3C8D11F4" w14:textId="5D673CF1" w:rsidR="00755B8F" w:rsidRDefault="422489F5" w:rsidP="2CE5B68B">
      <w:r w:rsidRPr="2CE5B68B">
        <w:t>The</w:t>
      </w:r>
      <w:r w:rsidR="2FF7D539" w:rsidRPr="2CE5B68B">
        <w:t xml:space="preserve"> European Supervisory Authority</w:t>
      </w:r>
      <w:r w:rsidRPr="2CE5B68B">
        <w:t xml:space="preserve"> </w:t>
      </w:r>
      <w:r w:rsidR="1AF8C86D" w:rsidRPr="2CE5B68B">
        <w:t>(</w:t>
      </w:r>
      <w:r w:rsidRPr="2CE5B68B">
        <w:t>ESA</w:t>
      </w:r>
      <w:r w:rsidR="3BBA16AF" w:rsidRPr="2CE5B68B">
        <w:t>)</w:t>
      </w:r>
      <w:r w:rsidRPr="2CE5B68B">
        <w:t xml:space="preserve"> should participate in policy discussions and the technical workings of the organisation and </w:t>
      </w:r>
      <w:r w:rsidR="0C34AF10" w:rsidRPr="2CE5B68B">
        <w:t xml:space="preserve">be able </w:t>
      </w:r>
      <w:r w:rsidRPr="2CE5B68B">
        <w:t>to exchange information and further cooperat</w:t>
      </w:r>
      <w:r w:rsidR="3A68B97D" w:rsidRPr="2CE5B68B">
        <w:t>ion</w:t>
      </w:r>
      <w:r w:rsidR="23173E5D" w:rsidRPr="2CE5B68B">
        <w:t xml:space="preserve"> between the organisation and the ESA</w:t>
      </w:r>
      <w:r w:rsidRPr="2CE5B68B">
        <w:t xml:space="preserve">. </w:t>
      </w:r>
      <w:r w:rsidR="148AE440" w:rsidRPr="2CE5B68B">
        <w:t xml:space="preserve">The organisation </w:t>
      </w:r>
      <w:r w:rsidRPr="2CE5B68B">
        <w:t>should also be able to request technical advice from the competent authorities designated or established in accordance with Directive 2022/2555</w:t>
      </w:r>
      <w:r w:rsidR="7A2FF421" w:rsidRPr="2CE5B68B">
        <w:t xml:space="preserve"> such as the ESA</w:t>
      </w:r>
      <w:r w:rsidRPr="2CE5B68B">
        <w:t xml:space="preserve"> and establish cooperation arrangements that aim to ensure effective</w:t>
      </w:r>
      <w:r w:rsidR="1E9AE158" w:rsidRPr="2CE5B68B">
        <w:t xml:space="preserve">, coordinated and </w:t>
      </w:r>
      <w:r w:rsidRPr="2CE5B68B">
        <w:t>fast</w:t>
      </w:r>
      <w:r w:rsidR="1F481948" w:rsidRPr="2CE5B68B">
        <w:t xml:space="preserve"> </w:t>
      </w:r>
      <w:r w:rsidRPr="2CE5B68B">
        <w:t>response</w:t>
      </w:r>
      <w:r w:rsidR="13B5567D" w:rsidRPr="2CE5B68B">
        <w:t>s</w:t>
      </w:r>
      <w:r w:rsidRPr="2CE5B68B">
        <w:t>.</w:t>
      </w:r>
      <w:r w:rsidR="654733A6" w:rsidRPr="2CE5B68B">
        <w:t>[4]</w:t>
      </w:r>
    </w:p>
    <w:p w14:paraId="5DA994B1" w14:textId="32B5BCB2" w:rsidR="00755B8F" w:rsidRDefault="7CA0C6C0" w:rsidP="2CE5B68B">
      <w:r w:rsidRPr="2CE5B68B">
        <w:t xml:space="preserve">To </w:t>
      </w:r>
      <w:r w:rsidR="1EC349DA" w:rsidRPr="2CE5B68B">
        <w:t xml:space="preserve">keep total </w:t>
      </w:r>
      <w:r w:rsidRPr="2CE5B68B">
        <w:t xml:space="preserve">control over </w:t>
      </w:r>
      <w:r w:rsidR="4FC20712" w:rsidRPr="2CE5B68B">
        <w:t xml:space="preserve">any </w:t>
      </w:r>
      <w:r w:rsidRPr="2CE5B68B">
        <w:t>IT risk</w:t>
      </w:r>
      <w:r w:rsidR="437B23BD" w:rsidRPr="2CE5B68B">
        <w:t>s</w:t>
      </w:r>
      <w:r w:rsidRPr="2CE5B68B">
        <w:t>, the organisation needs to have an effective IT risk management, as well as policies for handling all IT</w:t>
      </w:r>
      <w:r w:rsidR="503D05FD" w:rsidRPr="2CE5B68B">
        <w:t xml:space="preserve"> </w:t>
      </w:r>
      <w:r w:rsidRPr="2CE5B68B">
        <w:t>related incidents and for reporting major IT</w:t>
      </w:r>
      <w:r w:rsidR="380F26D7" w:rsidRPr="2CE5B68B">
        <w:t xml:space="preserve"> </w:t>
      </w:r>
      <w:r w:rsidRPr="2CE5B68B">
        <w:t xml:space="preserve">related </w:t>
      </w:r>
      <w:r w:rsidR="4361C193" w:rsidRPr="2CE5B68B">
        <w:t>incidents. The</w:t>
      </w:r>
      <w:r w:rsidRPr="2CE5B68B">
        <w:t xml:space="preserve"> </w:t>
      </w:r>
      <w:r w:rsidR="5312E465" w:rsidRPr="2CE5B68B">
        <w:t>organisation</w:t>
      </w:r>
      <w:r w:rsidRPr="2CE5B68B">
        <w:t xml:space="preserve"> should have policies in place for testing IT systems, as well as for managing IT third-party risk. </w:t>
      </w:r>
      <w:r w:rsidR="157802D7" w:rsidRPr="2CE5B68B">
        <w:t>[4]</w:t>
      </w:r>
    </w:p>
    <w:p w14:paraId="36E0247A" w14:textId="01240E3F" w:rsidR="00755B8F" w:rsidRDefault="07653B4E" w:rsidP="2CE5B68B">
      <w:r w:rsidRPr="2CE5B68B">
        <w:t>T</w:t>
      </w:r>
      <w:r w:rsidR="7CA0C6C0" w:rsidRPr="2CE5B68B">
        <w:t xml:space="preserve">he relevant national supervisory arrangements in respect of </w:t>
      </w:r>
      <w:r w:rsidR="7121EBE0" w:rsidRPr="2CE5B68B">
        <w:t xml:space="preserve">the </w:t>
      </w:r>
      <w:r w:rsidR="3BFD564D" w:rsidRPr="2CE5B68B">
        <w:t>organisation</w:t>
      </w:r>
      <w:r w:rsidR="7CA0C6C0" w:rsidRPr="2CE5B68B">
        <w:t xml:space="preserve"> should </w:t>
      </w:r>
      <w:proofErr w:type="gramStart"/>
      <w:r w:rsidR="7CA0C6C0" w:rsidRPr="2CE5B68B">
        <w:t>take into account</w:t>
      </w:r>
      <w:proofErr w:type="gramEnd"/>
      <w:r w:rsidR="7CA0C6C0" w:rsidRPr="2CE5B68B">
        <w:t xml:space="preserve"> the size</w:t>
      </w:r>
      <w:r w:rsidR="646ACCDA" w:rsidRPr="2CE5B68B">
        <w:t xml:space="preserve">, </w:t>
      </w:r>
      <w:r w:rsidR="7CA0C6C0" w:rsidRPr="2CE5B68B">
        <w:t>overall risk profile, and the nature, scale and complexity of their services, activities and operations even when the relevant thresholds established in Article 5 of Directive 2016/2341 of the European Parliament and of the Council (10) are exceeded.</w:t>
      </w:r>
      <w:r w:rsidR="2C17490C" w:rsidRPr="2CE5B68B">
        <w:t xml:space="preserve"> </w:t>
      </w:r>
      <w:r w:rsidR="0039E13A" w:rsidRPr="2CE5B68B">
        <w:t>[4]</w:t>
      </w:r>
    </w:p>
    <w:p w14:paraId="7DF003A1" w14:textId="6C413116" w:rsidR="00755B8F" w:rsidRDefault="4C2C5A6E" w:rsidP="2CE5B68B">
      <w:pPr>
        <w:pStyle w:val="Heading3"/>
        <w:rPr>
          <w:rFonts w:eastAsiaTheme="minorEastAsia" w:cstheme="minorBidi"/>
        </w:rPr>
      </w:pPr>
      <w:bookmarkStart w:id="12" w:name="_Toc349377240"/>
      <w:r w:rsidRPr="26E0D3D8">
        <w:rPr>
          <w:rFonts w:eastAsiaTheme="minorEastAsia" w:cstheme="minorBidi"/>
        </w:rPr>
        <w:t>Governance &amp; Strategy</w:t>
      </w:r>
      <w:bookmarkEnd w:id="12"/>
    </w:p>
    <w:p w14:paraId="346C475C" w14:textId="52D0EA7F" w:rsidR="52961C79" w:rsidRDefault="52961C79" w:rsidP="26E0D3D8">
      <w:pPr>
        <w:rPr>
          <w:rFonts w:ascii="Aptos" w:eastAsia="Aptos" w:hAnsi="Aptos" w:cs="Aptos"/>
          <w:color w:val="000000" w:themeColor="text1"/>
        </w:rPr>
      </w:pPr>
      <w:r w:rsidRPr="26E0D3D8">
        <w:t xml:space="preserve">This is the initial governance model for </w:t>
      </w:r>
      <w:r w:rsidRPr="26E0D3D8">
        <w:rPr>
          <w:rFonts w:ascii="Aptos" w:eastAsia="Aptos" w:hAnsi="Aptos" w:cs="Aptos"/>
          <w:color w:val="000000" w:themeColor="text1"/>
        </w:rPr>
        <w:t>ResilientIntellect Ltd.</w:t>
      </w:r>
    </w:p>
    <w:p w14:paraId="1026B2CE" w14:textId="2A07E62D" w:rsidR="6E321475" w:rsidRDefault="6E321475" w:rsidP="26E0D3D8">
      <w:pPr>
        <w:spacing w:after="0"/>
      </w:pPr>
      <w:r w:rsidRPr="26E0D3D8">
        <w:t xml:space="preserve">Govern </w:t>
      </w:r>
      <w:r w:rsidR="35C9B9E9" w:rsidRPr="26E0D3D8">
        <w:t>and</w:t>
      </w:r>
      <w:r w:rsidRPr="26E0D3D8">
        <w:t xml:space="preserve"> Identify: Set</w:t>
      </w:r>
      <w:r w:rsidR="1DD4B754" w:rsidRPr="26E0D3D8">
        <w:t>s</w:t>
      </w:r>
      <w:r w:rsidRPr="26E0D3D8">
        <w:t xml:space="preserve"> clear security rules and map out where all client data and AI code live. </w:t>
      </w:r>
      <w:r w:rsidR="397DA7CF" w:rsidRPr="26E0D3D8">
        <w:t>Since i</w:t>
      </w:r>
      <w:r w:rsidRPr="26E0D3D8">
        <w:t xml:space="preserve">t </w:t>
      </w:r>
      <w:r w:rsidR="129DC4FD" w:rsidRPr="26E0D3D8">
        <w:t>will clearly show where to look for</w:t>
      </w:r>
      <w:r w:rsidRPr="26E0D3D8">
        <w:t xml:space="preserve"> risks</w:t>
      </w:r>
      <w:r w:rsidR="07E92245" w:rsidRPr="26E0D3D8">
        <w:t>, or for somewhere to look if something goes wrong</w:t>
      </w:r>
      <w:r w:rsidR="41CDDACF" w:rsidRPr="26E0D3D8">
        <w:t>.</w:t>
      </w:r>
    </w:p>
    <w:p w14:paraId="067A2DD4" w14:textId="201B9792" w:rsidR="6E321475" w:rsidRDefault="6E321475" w:rsidP="26E0D3D8">
      <w:pPr>
        <w:spacing w:after="0"/>
      </w:pPr>
      <w:r w:rsidRPr="26E0D3D8">
        <w:t xml:space="preserve">Protect </w:t>
      </w:r>
      <w:r w:rsidR="54F1D94B" w:rsidRPr="26E0D3D8">
        <w:t>and</w:t>
      </w:r>
      <w:r w:rsidRPr="26E0D3D8">
        <w:t xml:space="preserve"> Detect: Scramble data so </w:t>
      </w:r>
      <w:r w:rsidR="380EED0B" w:rsidRPr="26E0D3D8">
        <w:t xml:space="preserve">hackers </w:t>
      </w:r>
      <w:r w:rsidRPr="26E0D3D8">
        <w:t>can't read it and monitor network traffic 24/7.</w:t>
      </w:r>
      <w:r w:rsidR="5FF301AD" w:rsidRPr="26E0D3D8">
        <w:t xml:space="preserve"> So </w:t>
      </w:r>
      <w:r w:rsidRPr="26E0D3D8">
        <w:t>t</w:t>
      </w:r>
      <w:r w:rsidR="6AD61213" w:rsidRPr="26E0D3D8">
        <w:t>hat</w:t>
      </w:r>
      <w:r w:rsidRPr="26E0D3D8">
        <w:t xml:space="preserve"> keeps </w:t>
      </w:r>
      <w:r w:rsidR="377E2A80" w:rsidRPr="26E0D3D8">
        <w:t xml:space="preserve">the </w:t>
      </w:r>
      <w:r w:rsidRPr="26E0D3D8">
        <w:t xml:space="preserve">cloud safe and </w:t>
      </w:r>
      <w:r w:rsidR="574C4CB7" w:rsidRPr="26E0D3D8">
        <w:t>keeps track of all the data so if something seems suspicious then it gets flagged instantly.</w:t>
      </w:r>
    </w:p>
    <w:p w14:paraId="4C4994F4" w14:textId="60D80BFF" w:rsidR="6E321475" w:rsidRDefault="6E321475" w:rsidP="26E0D3D8">
      <w:pPr>
        <w:spacing w:after="0"/>
      </w:pPr>
      <w:r w:rsidRPr="26E0D3D8">
        <w:t xml:space="preserve">Respond </w:t>
      </w:r>
      <w:r w:rsidR="2CED32CA" w:rsidRPr="26E0D3D8">
        <w:t>and</w:t>
      </w:r>
      <w:r w:rsidRPr="26E0D3D8">
        <w:t xml:space="preserve"> Recover: </w:t>
      </w:r>
      <w:r w:rsidR="75605E03" w:rsidRPr="26E0D3D8">
        <w:t>When</w:t>
      </w:r>
      <w:r w:rsidRPr="26E0D3D8">
        <w:t xml:space="preserve"> cyberattacks </w:t>
      </w:r>
      <w:r w:rsidR="537243D8" w:rsidRPr="26E0D3D8">
        <w:t xml:space="preserve">happen shut down the affected area </w:t>
      </w:r>
      <w:r w:rsidRPr="26E0D3D8">
        <w:t>immediately and switch clients to safe backup systems</w:t>
      </w:r>
      <w:r w:rsidR="539B6F58" w:rsidRPr="26E0D3D8">
        <w:t>, so they do not get affected by the cyberattack</w:t>
      </w:r>
      <w:r w:rsidRPr="26E0D3D8">
        <w:t>.</w:t>
      </w:r>
      <w:r w:rsidR="00AC1C99">
        <w:t xml:space="preserve"> After the attack fix the breach and backup the data from the backup cloud.</w:t>
      </w:r>
    </w:p>
    <w:p w14:paraId="79DCBA31" w14:textId="6040C81A" w:rsidR="00755B8F" w:rsidRDefault="4C2C5A6E" w:rsidP="2CE5B68B">
      <w:pPr>
        <w:pStyle w:val="Heading3"/>
        <w:rPr>
          <w:rFonts w:eastAsiaTheme="minorEastAsia" w:cstheme="minorBidi"/>
        </w:rPr>
      </w:pPr>
      <w:bookmarkStart w:id="13" w:name="_Toc290980139"/>
      <w:r w:rsidRPr="26E0D3D8">
        <w:rPr>
          <w:rFonts w:eastAsiaTheme="minorEastAsia" w:cstheme="minorBidi"/>
        </w:rPr>
        <w:lastRenderedPageBreak/>
        <w:t>Risk Management</w:t>
      </w:r>
      <w:bookmarkEnd w:id="13"/>
    </w:p>
    <w:p w14:paraId="16D7FF31" w14:textId="08AAD69F" w:rsidR="6CD73E79" w:rsidRDefault="6CD73E79" w:rsidP="26E0D3D8">
      <w:pPr>
        <w:rPr>
          <w:rFonts w:ascii="Aptos" w:eastAsia="Aptos" w:hAnsi="Aptos" w:cs="Aptos"/>
          <w:color w:val="000000" w:themeColor="text1"/>
        </w:rPr>
      </w:pPr>
      <w:r w:rsidRPr="26E0D3D8">
        <w:rPr>
          <w:rFonts w:ascii="Aptos" w:eastAsia="Aptos" w:hAnsi="Aptos" w:cs="Aptos"/>
          <w:color w:val="000000" w:themeColor="text1"/>
        </w:rPr>
        <w:t xml:space="preserve">The high-level risk assessment for ResilientIntellect Ltd against risks in the software supply chain would have. </w:t>
      </w:r>
    </w:p>
    <w:p w14:paraId="6BC5B3EC" w14:textId="1FF68EB0" w:rsidR="6CD73E79" w:rsidRDefault="6CD73E79" w:rsidP="26E0D3D8">
      <w:pPr>
        <w:rPr>
          <w:rFonts w:ascii="Aptos" w:eastAsia="Aptos" w:hAnsi="Aptos" w:cs="Aptos"/>
          <w:color w:val="000000" w:themeColor="text1"/>
        </w:rPr>
      </w:pPr>
      <w:r w:rsidRPr="26E0D3D8">
        <w:rPr>
          <w:rFonts w:ascii="Aptos" w:eastAsia="Aptos" w:hAnsi="Aptos" w:cs="Aptos"/>
          <w:color w:val="000000" w:themeColor="text1"/>
        </w:rPr>
        <w:t>Some of the risks include poisoned AI models where attackers put malicious data into training sets that were sourced from public services outside of the company. Cloud misconfigurations such as having the storage exposed to the public because of a setting that was not changed.</w:t>
      </w:r>
    </w:p>
    <w:p w14:paraId="15DF071C" w14:textId="747CFD8D" w:rsidR="6CD73E79" w:rsidRDefault="6CD73E79" w:rsidP="26E0D3D8">
      <w:pPr>
        <w:rPr>
          <w:rFonts w:ascii="Aptos" w:eastAsia="Aptos" w:hAnsi="Aptos" w:cs="Aptos"/>
          <w:color w:val="000000" w:themeColor="text1"/>
        </w:rPr>
      </w:pPr>
      <w:r w:rsidRPr="26E0D3D8">
        <w:rPr>
          <w:rFonts w:ascii="Aptos" w:eastAsia="Aptos" w:hAnsi="Aptos" w:cs="Aptos"/>
          <w:color w:val="000000" w:themeColor="text1"/>
        </w:rPr>
        <w:t>The way around having to worry about poisoned AI models would be to enforce strict checks to make sure that the public service is reputable and verified before using any training sets. And to also apply continuous detection to the model’s output for anything suspicious or any unexplained discrepancies or any sudden detrition in performance that could be a potential signal to model poisoning.</w:t>
      </w:r>
      <w:r w:rsidR="03D6C9B2" w:rsidRPr="26E0D3D8">
        <w:rPr>
          <w:rFonts w:ascii="Aptos" w:eastAsia="Aptos" w:hAnsi="Aptos" w:cs="Aptos"/>
          <w:color w:val="000000" w:themeColor="text1"/>
        </w:rPr>
        <w:t xml:space="preserve"> [6]</w:t>
      </w:r>
    </w:p>
    <w:p w14:paraId="471BB9DE" w14:textId="57E31A4A" w:rsidR="00755B8F" w:rsidRDefault="761CCA01" w:rsidP="2CE5B68B">
      <w:pPr>
        <w:pStyle w:val="Heading3"/>
        <w:rPr>
          <w:rFonts w:eastAsiaTheme="minorEastAsia" w:cstheme="minorBidi"/>
        </w:rPr>
      </w:pPr>
      <w:bookmarkStart w:id="14" w:name="_Toc1576130192"/>
      <w:r w:rsidRPr="2CE5B68B">
        <w:rPr>
          <w:rFonts w:eastAsiaTheme="minorEastAsia" w:cstheme="minorBidi"/>
        </w:rPr>
        <w:t>Contingency Planning</w:t>
      </w:r>
      <w:bookmarkEnd w:id="14"/>
    </w:p>
    <w:p w14:paraId="17E65196" w14:textId="16C488F4" w:rsidR="00755B8F" w:rsidRDefault="576C16A4" w:rsidP="2CE5B68B">
      <w:r w:rsidRPr="2CE5B68B">
        <w:t xml:space="preserve">In case of a ransomware attack there should be offsite backups which will </w:t>
      </w:r>
      <w:r w:rsidR="0F9E51EA" w:rsidRPr="2CE5B68B">
        <w:t>back up</w:t>
      </w:r>
      <w:r w:rsidR="1F0FD75A" w:rsidRPr="2CE5B68B">
        <w:t xml:space="preserve"> </w:t>
      </w:r>
      <w:r w:rsidR="591A5ADB" w:rsidRPr="2CE5B68B">
        <w:t>daily</w:t>
      </w:r>
      <w:r w:rsidR="1F0FD75A" w:rsidRPr="2CE5B68B">
        <w:t xml:space="preserve"> by using the cloud, so i</w:t>
      </w:r>
      <w:r w:rsidRPr="2CE5B68B">
        <w:t>n the event of a ransomware attack</w:t>
      </w:r>
      <w:r w:rsidR="4387EA1E" w:rsidRPr="2CE5B68B">
        <w:t xml:space="preserve"> only </w:t>
      </w:r>
      <w:r w:rsidR="25A400B2" w:rsidRPr="2CE5B68B">
        <w:t xml:space="preserve">the training data </w:t>
      </w:r>
      <w:r w:rsidR="32F1DD00" w:rsidRPr="2CE5B68B">
        <w:t xml:space="preserve">and source code </w:t>
      </w:r>
      <w:r w:rsidR="25A400B2" w:rsidRPr="2CE5B68B">
        <w:t>from that day is lost and the organisation is able to back up the AI training data</w:t>
      </w:r>
      <w:r w:rsidR="0FD37999" w:rsidRPr="2CE5B68B">
        <w:t xml:space="preserve"> and the source code</w:t>
      </w:r>
      <w:r w:rsidR="25A400B2" w:rsidRPr="2CE5B68B">
        <w:t xml:space="preserve"> from the day before once all the systems are wiped clean of the </w:t>
      </w:r>
      <w:r w:rsidR="6834EFFE" w:rsidRPr="2CE5B68B">
        <w:t>ransomware.</w:t>
      </w:r>
      <w:r w:rsidR="58DB20DE" w:rsidRPr="2CE5B68B">
        <w:t xml:space="preserve"> </w:t>
      </w:r>
    </w:p>
    <w:p w14:paraId="2E79069E" w14:textId="46C6C21B" w:rsidR="00755B8F" w:rsidRDefault="58DB20DE" w:rsidP="2CE5B68B">
      <w:r w:rsidRPr="2CE5B68B">
        <w:t xml:space="preserve">When a ransomware attack happens, the affected device must be quarantined imminently to stop it spreading, then </w:t>
      </w:r>
      <w:r w:rsidR="309943C5" w:rsidRPr="2CE5B68B">
        <w:t>the malware must be removed and the weakness in the security needs to be analysed and improved to stop another breach from the same weakness</w:t>
      </w:r>
      <w:r w:rsidR="3BB5589E" w:rsidRPr="2CE5B68B">
        <w:t>, a</w:t>
      </w:r>
      <w:r w:rsidRPr="2CE5B68B">
        <w:t xml:space="preserve">lso make sure to notify </w:t>
      </w:r>
      <w:r w:rsidR="08888708" w:rsidRPr="2CE5B68B">
        <w:t xml:space="preserve">the </w:t>
      </w:r>
      <w:r w:rsidRPr="2CE5B68B">
        <w:t>local law enforcement</w:t>
      </w:r>
      <w:r w:rsidR="1CA93A25" w:rsidRPr="2CE5B68B">
        <w:t xml:space="preserve"> about the breach</w:t>
      </w:r>
      <w:r w:rsidRPr="2CE5B68B">
        <w:t xml:space="preserve">. After the malware is removed, change </w:t>
      </w:r>
      <w:r w:rsidR="5BE6294B" w:rsidRPr="2CE5B68B">
        <w:t xml:space="preserve">all organisation </w:t>
      </w:r>
      <w:r w:rsidRPr="2CE5B68B">
        <w:t xml:space="preserve">passwords immediately. If system downtime will affect </w:t>
      </w:r>
      <w:r w:rsidR="19DF0FCC" w:rsidRPr="2CE5B68B">
        <w:t xml:space="preserve">the </w:t>
      </w:r>
      <w:r w:rsidRPr="2CE5B68B">
        <w:t xml:space="preserve">customers, inform them </w:t>
      </w:r>
      <w:r w:rsidR="39ABD53B" w:rsidRPr="2CE5B68B">
        <w:t>about the breach though assure them that their data is secure and that security is being toughened and thank them for their patience and understanding, because it is better for the customers</w:t>
      </w:r>
      <w:r w:rsidR="3510AC48" w:rsidRPr="2CE5B68B">
        <w:t xml:space="preserve"> to find out</w:t>
      </w:r>
      <w:r w:rsidR="74DC60D8" w:rsidRPr="2CE5B68B">
        <w:t xml:space="preserve"> from a leaked source then their trust will be damaged and they may go elsewhere</w:t>
      </w:r>
      <w:r w:rsidR="39ABD53B" w:rsidRPr="2CE5B68B">
        <w:t>.</w:t>
      </w:r>
    </w:p>
    <w:p w14:paraId="70C04177" w14:textId="70BE792F" w:rsidR="00755B8F" w:rsidRDefault="7502B73C" w:rsidP="2CE5B68B">
      <w:pPr>
        <w:pStyle w:val="Heading1"/>
        <w:rPr>
          <w:rFonts w:asciiTheme="minorHAnsi" w:eastAsiaTheme="minorEastAsia" w:hAnsiTheme="minorHAnsi" w:cstheme="minorBidi"/>
        </w:rPr>
      </w:pPr>
      <w:bookmarkStart w:id="15" w:name="_Toc1072493920"/>
      <w:r w:rsidRPr="2CE5B68B">
        <w:rPr>
          <w:rFonts w:asciiTheme="minorHAnsi" w:eastAsiaTheme="minorEastAsia" w:hAnsiTheme="minorHAnsi" w:cstheme="minorBidi"/>
        </w:rPr>
        <w:t>Bibliography</w:t>
      </w:r>
      <w:bookmarkEnd w:id="15"/>
    </w:p>
    <w:p w14:paraId="122E7CAD" w14:textId="418631E2" w:rsidR="00755B8F" w:rsidRDefault="41204976" w:rsidP="2CE5B68B">
      <w:r w:rsidRPr="2CE5B68B">
        <w:t xml:space="preserve">[1] P. Venkatraman, “How to navigate GDPR compliance challenges - Intuition,” Intuition, Jun. 13, 2024. </w:t>
      </w:r>
      <w:r w:rsidR="6B2C6D1D" w:rsidRPr="2CE5B68B">
        <w:t xml:space="preserve">[Online]. Available: </w:t>
      </w:r>
      <w:hyperlink r:id="rId7">
        <w:r w:rsidRPr="2CE5B68B">
          <w:rPr>
            <w:rStyle w:val="Hyperlink"/>
          </w:rPr>
          <w:t>https://www.intuition.com/how-to-navigate-gdpr-compliance-challenges/</w:t>
        </w:r>
      </w:hyperlink>
      <w:r w:rsidR="045C2D50" w:rsidRPr="2CE5B68B">
        <w:t xml:space="preserve"> [Accessed 29/</w:t>
      </w:r>
      <w:r w:rsidR="116DE496" w:rsidRPr="2CE5B68B">
        <w:t>12</w:t>
      </w:r>
      <w:r w:rsidR="045C2D50" w:rsidRPr="2CE5B68B">
        <w:t>/2</w:t>
      </w:r>
      <w:r w:rsidR="0EFCB1B7" w:rsidRPr="2CE5B68B">
        <w:t>5</w:t>
      </w:r>
      <w:r w:rsidR="045C2D50" w:rsidRPr="2CE5B68B">
        <w:t>]</w:t>
      </w:r>
    </w:p>
    <w:p w14:paraId="5AC5D81B" w14:textId="70495563" w:rsidR="5681D056" w:rsidRDefault="360E4B56" w:rsidP="2CE5B68B">
      <w:r w:rsidRPr="2CE5B68B">
        <w:t xml:space="preserve">[2] </w:t>
      </w:r>
      <w:r w:rsidR="53A174CF" w:rsidRPr="2CE5B68B">
        <w:t>Eiopa</w:t>
      </w:r>
      <w:r w:rsidRPr="2CE5B68B">
        <w:t xml:space="preserve">, “Digital Operational Resilience Act (DORA)” </w:t>
      </w:r>
      <w:r w:rsidR="1D2E36EB" w:rsidRPr="2CE5B68B">
        <w:t>Dec. 15, 2025</w:t>
      </w:r>
      <w:r w:rsidRPr="2CE5B68B">
        <w:t xml:space="preserve">. [Online]. Available: </w:t>
      </w:r>
      <w:hyperlink r:id="rId8">
        <w:r w:rsidRPr="2CE5B68B">
          <w:rPr>
            <w:rStyle w:val="Hyperlink"/>
          </w:rPr>
          <w:t>https://www.eiopa.europa.eu/digital-operational-resilience-act-dora_en</w:t>
        </w:r>
      </w:hyperlink>
      <w:r w:rsidRPr="2CE5B68B">
        <w:t xml:space="preserve"> [Accessed 01/01/26]</w:t>
      </w:r>
    </w:p>
    <w:p w14:paraId="4FD397E2" w14:textId="3E2CA27E" w:rsidR="71188202" w:rsidRDefault="6AE6AF27" w:rsidP="2CE5B68B">
      <w:r w:rsidRPr="2CE5B68B">
        <w:lastRenderedPageBreak/>
        <w:t xml:space="preserve">[3] </w:t>
      </w:r>
      <w:r w:rsidR="7F5A23E3" w:rsidRPr="2CE5B68B">
        <w:t>European Commission</w:t>
      </w:r>
      <w:r w:rsidRPr="2CE5B68B">
        <w:t xml:space="preserve">, “NIS2 Directive: securing network and information systems” </w:t>
      </w:r>
      <w:r w:rsidR="58EBA6F0" w:rsidRPr="2CE5B68B">
        <w:t>J</w:t>
      </w:r>
      <w:r w:rsidR="5D09774F" w:rsidRPr="2CE5B68B">
        <w:t>ul</w:t>
      </w:r>
      <w:r w:rsidR="58EBA6F0" w:rsidRPr="2CE5B68B">
        <w:t>.</w:t>
      </w:r>
      <w:r w:rsidR="2BFBC2EC" w:rsidRPr="2CE5B68B">
        <w:t xml:space="preserve"> 1,</w:t>
      </w:r>
      <w:r w:rsidR="58EBA6F0" w:rsidRPr="2CE5B68B">
        <w:t xml:space="preserve"> 20</w:t>
      </w:r>
      <w:r w:rsidR="501DD56D" w:rsidRPr="2CE5B68B">
        <w:t>25</w:t>
      </w:r>
      <w:r w:rsidRPr="2CE5B68B">
        <w:t xml:space="preserve">. [Online]. Available: </w:t>
      </w:r>
      <w:hyperlink r:id="rId9">
        <w:r w:rsidRPr="2CE5B68B">
          <w:rPr>
            <w:rStyle w:val="Hyperlink"/>
          </w:rPr>
          <w:t>https://digital-strategy.ec.europa.eu/en/policies/nis2-directive</w:t>
        </w:r>
      </w:hyperlink>
      <w:r w:rsidRPr="2CE5B68B">
        <w:t xml:space="preserve"> [Accessed 05/01/26]</w:t>
      </w:r>
    </w:p>
    <w:p w14:paraId="486E81DD" w14:textId="15D86EB1" w:rsidR="04B46D35" w:rsidRDefault="04B46D35" w:rsidP="2CE5B68B">
      <w:r w:rsidRPr="2CE5B68B">
        <w:t>[4] European Commission, “</w:t>
      </w:r>
      <w:r w:rsidR="61A638EA" w:rsidRPr="2CE5B68B">
        <w:t>Regulation (EU) 2022/2554 of the European Parliament and of the Council of 14 December 2022 on digital operational resilience for the financial sector</w:t>
      </w:r>
      <w:r w:rsidRPr="2CE5B68B">
        <w:t xml:space="preserve">” </w:t>
      </w:r>
      <w:r w:rsidR="0BB9E332" w:rsidRPr="2CE5B68B">
        <w:t>Dec</w:t>
      </w:r>
      <w:r w:rsidRPr="2CE5B68B">
        <w:t>.</w:t>
      </w:r>
      <w:r w:rsidR="11B8B502" w:rsidRPr="2CE5B68B">
        <w:t xml:space="preserve"> 14,</w:t>
      </w:r>
      <w:r w:rsidRPr="2CE5B68B">
        <w:t xml:space="preserve"> 202</w:t>
      </w:r>
      <w:r w:rsidR="0393264E" w:rsidRPr="2CE5B68B">
        <w:t>2</w:t>
      </w:r>
      <w:r w:rsidRPr="2CE5B68B">
        <w:t>. [Online]. Available:</w:t>
      </w:r>
      <w:r w:rsidR="580C0D79" w:rsidRPr="2CE5B68B">
        <w:t xml:space="preserve"> </w:t>
      </w:r>
      <w:hyperlink r:id="rId10">
        <w:r w:rsidR="580C0D79" w:rsidRPr="2CE5B68B">
          <w:rPr>
            <w:rStyle w:val="Hyperlink"/>
          </w:rPr>
          <w:t>https://eur-lex.europa.eu/eli/dir/2022/2556/oj/eng</w:t>
        </w:r>
      </w:hyperlink>
      <w:r w:rsidRPr="2CE5B68B">
        <w:t xml:space="preserve"> [Accessed </w:t>
      </w:r>
      <w:r w:rsidR="7DF77F56" w:rsidRPr="2CE5B68B">
        <w:t>14</w:t>
      </w:r>
      <w:r w:rsidRPr="2CE5B68B">
        <w:t>/01/26]</w:t>
      </w:r>
    </w:p>
    <w:p w14:paraId="2B44DCD4" w14:textId="0502FD6D" w:rsidR="6807FC1A" w:rsidRDefault="6807FC1A" w:rsidP="26E0D3D8">
      <w:r w:rsidRPr="26E0D3D8">
        <w:t xml:space="preserve">[5] European Commission, “Directive (EU) 2022/2555 of the European Parliament and of the Council of 14 December 2022 on measures for a high common level of cybersecurity across the Union, amending Regulation (EU) No 910/2014 and Directive (EU) 2018/1972, and repealing Directive (EU) 2016/1148 (NIS 2 Directive) (Text with EEA relevance)” Dec. </w:t>
      </w:r>
      <w:r w:rsidR="6C5D2AE1" w:rsidRPr="26E0D3D8">
        <w:t>27</w:t>
      </w:r>
      <w:r w:rsidRPr="26E0D3D8">
        <w:t>, 2022. [Online]. Available:</w:t>
      </w:r>
      <w:r w:rsidR="05E46713" w:rsidRPr="26E0D3D8">
        <w:t xml:space="preserve"> </w:t>
      </w:r>
      <w:hyperlink r:id="rId11">
        <w:r w:rsidR="05E46713" w:rsidRPr="26E0D3D8">
          <w:rPr>
            <w:rStyle w:val="Hyperlink"/>
          </w:rPr>
          <w:t>https://eur-lex.europa.eu/legal-content/EN/TXT/?uri=CELEX:32022L2555</w:t>
        </w:r>
      </w:hyperlink>
      <w:r w:rsidRPr="26E0D3D8">
        <w:t xml:space="preserve"> [Accessed 14/01/26]</w:t>
      </w:r>
    </w:p>
    <w:p w14:paraId="76ED0F0A" w14:textId="6CC9760E" w:rsidR="638104BD" w:rsidRDefault="638104BD" w:rsidP="26E0D3D8">
      <w:r w:rsidRPr="26E0D3D8">
        <w:t xml:space="preserve">[6] </w:t>
      </w:r>
      <w:r w:rsidR="4A4B74EE" w:rsidRPr="26E0D3D8">
        <w:t>Cloudflare</w:t>
      </w:r>
      <w:r w:rsidRPr="26E0D3D8">
        <w:t xml:space="preserve">, </w:t>
      </w:r>
      <w:r w:rsidR="0690CE0A" w:rsidRPr="26E0D3D8">
        <w:t>“What is AI data poisoning?”</w:t>
      </w:r>
      <w:r w:rsidRPr="26E0D3D8">
        <w:t xml:space="preserve"> </w:t>
      </w:r>
      <w:r w:rsidR="783F2B5A" w:rsidRPr="26E0D3D8">
        <w:t>2025</w:t>
      </w:r>
      <w:r w:rsidRPr="26E0D3D8">
        <w:t xml:space="preserve">. [Online]. Available: </w:t>
      </w:r>
      <w:hyperlink r:id="rId12">
        <w:r w:rsidR="1B7C3A3D" w:rsidRPr="26E0D3D8">
          <w:rPr>
            <w:rStyle w:val="Hyperlink"/>
          </w:rPr>
          <w:t>https://www.cloudflare.com/learning/ai/data-poisoning/</w:t>
        </w:r>
      </w:hyperlink>
      <w:r w:rsidR="1B7C3A3D" w:rsidRPr="26E0D3D8">
        <w:t xml:space="preserve"> </w:t>
      </w:r>
      <w:r w:rsidRPr="26E0D3D8">
        <w:t xml:space="preserve">[Accessed </w:t>
      </w:r>
      <w:r w:rsidR="56FCF761" w:rsidRPr="26E0D3D8">
        <w:t>1</w:t>
      </w:r>
      <w:r w:rsidRPr="26E0D3D8">
        <w:t>/0</w:t>
      </w:r>
      <w:r w:rsidR="0DB055E7" w:rsidRPr="26E0D3D8">
        <w:t>6</w:t>
      </w:r>
      <w:r w:rsidRPr="26E0D3D8">
        <w:t>/26]</w:t>
      </w:r>
    </w:p>
    <w:p w14:paraId="3F8B06C8" w14:textId="4CA15DA3" w:rsidR="26E0D3D8" w:rsidRDefault="26E0D3D8" w:rsidP="26E0D3D8"/>
    <w:p w14:paraId="09B3F96C" w14:textId="448D2150" w:rsidR="26E0D3D8" w:rsidRDefault="26E0D3D8" w:rsidP="26E0D3D8"/>
    <w:p w14:paraId="3EC48846" w14:textId="285D7F05" w:rsidR="26E0D3D8" w:rsidRDefault="26E0D3D8" w:rsidP="26E0D3D8"/>
    <w:p w14:paraId="5B0613A9" w14:textId="70B509A7" w:rsidR="26E0D3D8" w:rsidRDefault="26E0D3D8" w:rsidP="26E0D3D8"/>
    <w:p w14:paraId="01594189" w14:textId="6CB8BDD4" w:rsidR="2CE5B68B" w:rsidRDefault="2CE5B68B" w:rsidP="2CE5B68B"/>
    <w:p w14:paraId="4166F12A" w14:textId="1C324A79" w:rsidR="2CE5B68B" w:rsidRDefault="2CE5B68B" w:rsidP="2CE5B68B"/>
    <w:p w14:paraId="53ED1717" w14:textId="6FAC5128" w:rsidR="3DBF5DF4" w:rsidRDefault="3DBF5DF4" w:rsidP="2CE5B68B"/>
    <w:p w14:paraId="35424256" w14:textId="2DAE18D3" w:rsidR="3DBF5DF4" w:rsidRDefault="3DBF5DF4" w:rsidP="2CE5B68B"/>
    <w:p w14:paraId="5E5787A5" w14:textId="37F5DB28" w:rsidR="00755B8F" w:rsidRDefault="00755B8F" w:rsidP="2CE5B68B"/>
    <w:sectPr w:rsidR="00755B8F">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DE25B" w14:textId="77777777" w:rsidR="00FB57DB" w:rsidRDefault="00FB57DB">
      <w:pPr>
        <w:spacing w:after="0" w:line="240" w:lineRule="auto"/>
      </w:pPr>
      <w:r>
        <w:separator/>
      </w:r>
    </w:p>
  </w:endnote>
  <w:endnote w:type="continuationSeparator" w:id="0">
    <w:p w14:paraId="45E2EE99" w14:textId="77777777" w:rsidR="00FB57DB" w:rsidRDefault="00FB5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B25A070" w14:paraId="0B1DD903" w14:textId="77777777" w:rsidTr="1B25A070">
      <w:trPr>
        <w:trHeight w:val="300"/>
      </w:trPr>
      <w:tc>
        <w:tcPr>
          <w:tcW w:w="3005" w:type="dxa"/>
        </w:tcPr>
        <w:p w14:paraId="6AD0D551" w14:textId="5BDA7B74" w:rsidR="1B25A070" w:rsidRDefault="1B25A070" w:rsidP="1B25A070">
          <w:pPr>
            <w:pStyle w:val="Header"/>
            <w:ind w:left="-115"/>
          </w:pPr>
        </w:p>
      </w:tc>
      <w:tc>
        <w:tcPr>
          <w:tcW w:w="3005" w:type="dxa"/>
        </w:tcPr>
        <w:p w14:paraId="1B801DAA" w14:textId="0218A71B" w:rsidR="1B25A070" w:rsidRDefault="1B25A070" w:rsidP="1B25A070">
          <w:pPr>
            <w:pStyle w:val="Header"/>
            <w:jc w:val="center"/>
          </w:pPr>
        </w:p>
      </w:tc>
      <w:tc>
        <w:tcPr>
          <w:tcW w:w="3005" w:type="dxa"/>
        </w:tcPr>
        <w:p w14:paraId="00BC7B3D" w14:textId="772CB4D6" w:rsidR="1B25A070" w:rsidRDefault="1B25A070" w:rsidP="1B25A070">
          <w:pPr>
            <w:pStyle w:val="Header"/>
            <w:ind w:right="-115"/>
            <w:jc w:val="right"/>
          </w:pPr>
        </w:p>
      </w:tc>
    </w:tr>
  </w:tbl>
  <w:p w14:paraId="23C4A08C" w14:textId="182A7453" w:rsidR="1B25A070" w:rsidRDefault="1B25A070" w:rsidP="1B25A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63F74" w14:textId="77777777" w:rsidR="00FB57DB" w:rsidRDefault="00FB57DB">
      <w:pPr>
        <w:spacing w:after="0" w:line="240" w:lineRule="auto"/>
      </w:pPr>
      <w:r>
        <w:separator/>
      </w:r>
    </w:p>
  </w:footnote>
  <w:footnote w:type="continuationSeparator" w:id="0">
    <w:p w14:paraId="2810F266" w14:textId="77777777" w:rsidR="00FB57DB" w:rsidRDefault="00FB5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7CE92" w14:textId="5AABB55C" w:rsidR="1B25A070" w:rsidRDefault="1B25A070" w:rsidP="1B25A0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C0BE6"/>
    <w:multiLevelType w:val="hybridMultilevel"/>
    <w:tmpl w:val="EB7EFED8"/>
    <w:lvl w:ilvl="0" w:tplc="435A5914">
      <w:start w:val="1"/>
      <w:numFmt w:val="decimal"/>
      <w:lvlText w:val="%1."/>
      <w:lvlJc w:val="left"/>
      <w:pPr>
        <w:ind w:left="720" w:hanging="360"/>
      </w:pPr>
    </w:lvl>
    <w:lvl w:ilvl="1" w:tplc="EC98063E">
      <w:start w:val="1"/>
      <w:numFmt w:val="lowerLetter"/>
      <w:lvlText w:val="%2."/>
      <w:lvlJc w:val="left"/>
      <w:pPr>
        <w:ind w:left="1440" w:hanging="360"/>
      </w:pPr>
    </w:lvl>
    <w:lvl w:ilvl="2" w:tplc="DA382B00">
      <w:start w:val="1"/>
      <w:numFmt w:val="lowerRoman"/>
      <w:lvlText w:val="%3."/>
      <w:lvlJc w:val="right"/>
      <w:pPr>
        <w:ind w:left="2160" w:hanging="180"/>
      </w:pPr>
    </w:lvl>
    <w:lvl w:ilvl="3" w:tplc="096A91C4">
      <w:start w:val="1"/>
      <w:numFmt w:val="decimal"/>
      <w:lvlText w:val="%4."/>
      <w:lvlJc w:val="left"/>
      <w:pPr>
        <w:ind w:left="2880" w:hanging="360"/>
      </w:pPr>
    </w:lvl>
    <w:lvl w:ilvl="4" w:tplc="761452EA">
      <w:start w:val="1"/>
      <w:numFmt w:val="lowerLetter"/>
      <w:lvlText w:val="%5."/>
      <w:lvlJc w:val="left"/>
      <w:pPr>
        <w:ind w:left="3600" w:hanging="360"/>
      </w:pPr>
    </w:lvl>
    <w:lvl w:ilvl="5" w:tplc="71F2D89A">
      <w:start w:val="1"/>
      <w:numFmt w:val="lowerRoman"/>
      <w:lvlText w:val="%6."/>
      <w:lvlJc w:val="right"/>
      <w:pPr>
        <w:ind w:left="4320" w:hanging="180"/>
      </w:pPr>
    </w:lvl>
    <w:lvl w:ilvl="6" w:tplc="13CAA226">
      <w:start w:val="1"/>
      <w:numFmt w:val="decimal"/>
      <w:lvlText w:val="%7."/>
      <w:lvlJc w:val="left"/>
      <w:pPr>
        <w:ind w:left="5040" w:hanging="360"/>
      </w:pPr>
    </w:lvl>
    <w:lvl w:ilvl="7" w:tplc="0280339E">
      <w:start w:val="1"/>
      <w:numFmt w:val="lowerLetter"/>
      <w:lvlText w:val="%8."/>
      <w:lvlJc w:val="left"/>
      <w:pPr>
        <w:ind w:left="5760" w:hanging="360"/>
      </w:pPr>
    </w:lvl>
    <w:lvl w:ilvl="8" w:tplc="8FC4C94A">
      <w:start w:val="1"/>
      <w:numFmt w:val="lowerRoman"/>
      <w:lvlText w:val="%9."/>
      <w:lvlJc w:val="right"/>
      <w:pPr>
        <w:ind w:left="6480" w:hanging="180"/>
      </w:pPr>
    </w:lvl>
  </w:abstractNum>
  <w:abstractNum w:abstractNumId="1" w15:restartNumberingAfterBreak="0">
    <w:nsid w:val="292BE172"/>
    <w:multiLevelType w:val="hybridMultilevel"/>
    <w:tmpl w:val="4798E93A"/>
    <w:lvl w:ilvl="0" w:tplc="F240249C">
      <w:numFmt w:val="bullet"/>
      <w:lvlText w:val="•"/>
      <w:lvlJc w:val="left"/>
      <w:pPr>
        <w:ind w:left="720" w:hanging="360"/>
      </w:pPr>
      <w:rPr>
        <w:rFonts w:ascii="Cambria" w:hAnsi="Cambria" w:hint="default"/>
      </w:rPr>
    </w:lvl>
    <w:lvl w:ilvl="1" w:tplc="F1CA7956">
      <w:start w:val="1"/>
      <w:numFmt w:val="bullet"/>
      <w:lvlText w:val="o"/>
      <w:lvlJc w:val="left"/>
      <w:pPr>
        <w:ind w:left="1440" w:hanging="360"/>
      </w:pPr>
      <w:rPr>
        <w:rFonts w:ascii="Courier New" w:hAnsi="Courier New" w:hint="default"/>
      </w:rPr>
    </w:lvl>
    <w:lvl w:ilvl="2" w:tplc="49EEAA44">
      <w:start w:val="1"/>
      <w:numFmt w:val="bullet"/>
      <w:lvlText w:val=""/>
      <w:lvlJc w:val="left"/>
      <w:pPr>
        <w:ind w:left="2160" w:hanging="360"/>
      </w:pPr>
      <w:rPr>
        <w:rFonts w:ascii="Wingdings" w:hAnsi="Wingdings" w:hint="default"/>
      </w:rPr>
    </w:lvl>
    <w:lvl w:ilvl="3" w:tplc="94480AA0">
      <w:start w:val="1"/>
      <w:numFmt w:val="bullet"/>
      <w:lvlText w:val=""/>
      <w:lvlJc w:val="left"/>
      <w:pPr>
        <w:ind w:left="2880" w:hanging="360"/>
      </w:pPr>
      <w:rPr>
        <w:rFonts w:ascii="Symbol" w:hAnsi="Symbol" w:hint="default"/>
      </w:rPr>
    </w:lvl>
    <w:lvl w:ilvl="4" w:tplc="0CB6E25E">
      <w:start w:val="1"/>
      <w:numFmt w:val="bullet"/>
      <w:lvlText w:val="o"/>
      <w:lvlJc w:val="left"/>
      <w:pPr>
        <w:ind w:left="3600" w:hanging="360"/>
      </w:pPr>
      <w:rPr>
        <w:rFonts w:ascii="Courier New" w:hAnsi="Courier New" w:hint="default"/>
      </w:rPr>
    </w:lvl>
    <w:lvl w:ilvl="5" w:tplc="DFBA86EC">
      <w:start w:val="1"/>
      <w:numFmt w:val="bullet"/>
      <w:lvlText w:val=""/>
      <w:lvlJc w:val="left"/>
      <w:pPr>
        <w:ind w:left="4320" w:hanging="360"/>
      </w:pPr>
      <w:rPr>
        <w:rFonts w:ascii="Wingdings" w:hAnsi="Wingdings" w:hint="default"/>
      </w:rPr>
    </w:lvl>
    <w:lvl w:ilvl="6" w:tplc="ABD6C568">
      <w:start w:val="1"/>
      <w:numFmt w:val="bullet"/>
      <w:lvlText w:val=""/>
      <w:lvlJc w:val="left"/>
      <w:pPr>
        <w:ind w:left="5040" w:hanging="360"/>
      </w:pPr>
      <w:rPr>
        <w:rFonts w:ascii="Symbol" w:hAnsi="Symbol" w:hint="default"/>
      </w:rPr>
    </w:lvl>
    <w:lvl w:ilvl="7" w:tplc="A4500ECA">
      <w:start w:val="1"/>
      <w:numFmt w:val="bullet"/>
      <w:lvlText w:val="o"/>
      <w:lvlJc w:val="left"/>
      <w:pPr>
        <w:ind w:left="5760" w:hanging="360"/>
      </w:pPr>
      <w:rPr>
        <w:rFonts w:ascii="Courier New" w:hAnsi="Courier New" w:hint="default"/>
      </w:rPr>
    </w:lvl>
    <w:lvl w:ilvl="8" w:tplc="C9347D9C">
      <w:start w:val="1"/>
      <w:numFmt w:val="bullet"/>
      <w:lvlText w:val=""/>
      <w:lvlJc w:val="left"/>
      <w:pPr>
        <w:ind w:left="6480" w:hanging="360"/>
      </w:pPr>
      <w:rPr>
        <w:rFonts w:ascii="Wingdings" w:hAnsi="Wingdings" w:hint="default"/>
      </w:rPr>
    </w:lvl>
  </w:abstractNum>
  <w:abstractNum w:abstractNumId="2" w15:restartNumberingAfterBreak="0">
    <w:nsid w:val="2BDB30A0"/>
    <w:multiLevelType w:val="hybridMultilevel"/>
    <w:tmpl w:val="4DC26C82"/>
    <w:lvl w:ilvl="0" w:tplc="2792787A">
      <w:start w:val="1"/>
      <w:numFmt w:val="decimal"/>
      <w:lvlText w:val="%1."/>
      <w:lvlJc w:val="left"/>
      <w:pPr>
        <w:ind w:left="720" w:hanging="360"/>
      </w:pPr>
    </w:lvl>
    <w:lvl w:ilvl="1" w:tplc="8738077C">
      <w:start w:val="1"/>
      <w:numFmt w:val="lowerLetter"/>
      <w:lvlText w:val="%2."/>
      <w:lvlJc w:val="left"/>
      <w:pPr>
        <w:ind w:left="1440" w:hanging="360"/>
      </w:pPr>
    </w:lvl>
    <w:lvl w:ilvl="2" w:tplc="851882E6">
      <w:start w:val="1"/>
      <w:numFmt w:val="lowerRoman"/>
      <w:lvlText w:val="%3."/>
      <w:lvlJc w:val="right"/>
      <w:pPr>
        <w:ind w:left="2160" w:hanging="180"/>
      </w:pPr>
    </w:lvl>
    <w:lvl w:ilvl="3" w:tplc="21700E3C">
      <w:start w:val="1"/>
      <w:numFmt w:val="decimal"/>
      <w:lvlText w:val="%4."/>
      <w:lvlJc w:val="left"/>
      <w:pPr>
        <w:ind w:left="2880" w:hanging="360"/>
      </w:pPr>
    </w:lvl>
    <w:lvl w:ilvl="4" w:tplc="65A260E4">
      <w:start w:val="1"/>
      <w:numFmt w:val="lowerLetter"/>
      <w:lvlText w:val="%5."/>
      <w:lvlJc w:val="left"/>
      <w:pPr>
        <w:ind w:left="3600" w:hanging="360"/>
      </w:pPr>
    </w:lvl>
    <w:lvl w:ilvl="5" w:tplc="6BC84058">
      <w:start w:val="1"/>
      <w:numFmt w:val="lowerRoman"/>
      <w:lvlText w:val="%6."/>
      <w:lvlJc w:val="right"/>
      <w:pPr>
        <w:ind w:left="4320" w:hanging="180"/>
      </w:pPr>
    </w:lvl>
    <w:lvl w:ilvl="6" w:tplc="CD9EB4FC">
      <w:start w:val="1"/>
      <w:numFmt w:val="decimal"/>
      <w:lvlText w:val="%7."/>
      <w:lvlJc w:val="left"/>
      <w:pPr>
        <w:ind w:left="5040" w:hanging="360"/>
      </w:pPr>
    </w:lvl>
    <w:lvl w:ilvl="7" w:tplc="D1682332">
      <w:start w:val="1"/>
      <w:numFmt w:val="lowerLetter"/>
      <w:lvlText w:val="%8."/>
      <w:lvlJc w:val="left"/>
      <w:pPr>
        <w:ind w:left="5760" w:hanging="360"/>
      </w:pPr>
    </w:lvl>
    <w:lvl w:ilvl="8" w:tplc="A69E65EE">
      <w:start w:val="1"/>
      <w:numFmt w:val="lowerRoman"/>
      <w:lvlText w:val="%9."/>
      <w:lvlJc w:val="right"/>
      <w:pPr>
        <w:ind w:left="6480" w:hanging="180"/>
      </w:pPr>
    </w:lvl>
  </w:abstractNum>
  <w:abstractNum w:abstractNumId="3" w15:restartNumberingAfterBreak="0">
    <w:nsid w:val="6FECAFC1"/>
    <w:multiLevelType w:val="hybridMultilevel"/>
    <w:tmpl w:val="9E302644"/>
    <w:lvl w:ilvl="0" w:tplc="7AE05F1C">
      <w:start w:val="1"/>
      <w:numFmt w:val="bullet"/>
      <w:lvlText w:val=""/>
      <w:lvlJc w:val="left"/>
      <w:pPr>
        <w:ind w:left="720" w:hanging="360"/>
      </w:pPr>
      <w:rPr>
        <w:rFonts w:ascii="Symbol" w:hAnsi="Symbol" w:hint="default"/>
      </w:rPr>
    </w:lvl>
    <w:lvl w:ilvl="1" w:tplc="48D2F9D8">
      <w:start w:val="1"/>
      <w:numFmt w:val="bullet"/>
      <w:lvlText w:val="o"/>
      <w:lvlJc w:val="left"/>
      <w:pPr>
        <w:ind w:left="1440" w:hanging="360"/>
      </w:pPr>
      <w:rPr>
        <w:rFonts w:ascii="Symbol" w:hAnsi="Symbol" w:hint="default"/>
      </w:rPr>
    </w:lvl>
    <w:lvl w:ilvl="2" w:tplc="5FACAE50">
      <w:start w:val="1"/>
      <w:numFmt w:val="bullet"/>
      <w:lvlText w:val=""/>
      <w:lvlJc w:val="left"/>
      <w:pPr>
        <w:ind w:left="2160" w:hanging="360"/>
      </w:pPr>
      <w:rPr>
        <w:rFonts w:ascii="Wingdings" w:hAnsi="Wingdings" w:hint="default"/>
      </w:rPr>
    </w:lvl>
    <w:lvl w:ilvl="3" w:tplc="DBB066E6">
      <w:start w:val="1"/>
      <w:numFmt w:val="bullet"/>
      <w:lvlText w:val=""/>
      <w:lvlJc w:val="left"/>
      <w:pPr>
        <w:ind w:left="2880" w:hanging="360"/>
      </w:pPr>
      <w:rPr>
        <w:rFonts w:ascii="Symbol" w:hAnsi="Symbol" w:hint="default"/>
      </w:rPr>
    </w:lvl>
    <w:lvl w:ilvl="4" w:tplc="265C0C9A">
      <w:start w:val="1"/>
      <w:numFmt w:val="bullet"/>
      <w:lvlText w:val="o"/>
      <w:lvlJc w:val="left"/>
      <w:pPr>
        <w:ind w:left="3600" w:hanging="360"/>
      </w:pPr>
      <w:rPr>
        <w:rFonts w:ascii="Courier New" w:hAnsi="Courier New" w:hint="default"/>
      </w:rPr>
    </w:lvl>
    <w:lvl w:ilvl="5" w:tplc="E3666334">
      <w:start w:val="1"/>
      <w:numFmt w:val="bullet"/>
      <w:lvlText w:val=""/>
      <w:lvlJc w:val="left"/>
      <w:pPr>
        <w:ind w:left="4320" w:hanging="360"/>
      </w:pPr>
      <w:rPr>
        <w:rFonts w:ascii="Wingdings" w:hAnsi="Wingdings" w:hint="default"/>
      </w:rPr>
    </w:lvl>
    <w:lvl w:ilvl="6" w:tplc="3E747B1E">
      <w:start w:val="1"/>
      <w:numFmt w:val="bullet"/>
      <w:lvlText w:val=""/>
      <w:lvlJc w:val="left"/>
      <w:pPr>
        <w:ind w:left="5040" w:hanging="360"/>
      </w:pPr>
      <w:rPr>
        <w:rFonts w:ascii="Symbol" w:hAnsi="Symbol" w:hint="default"/>
      </w:rPr>
    </w:lvl>
    <w:lvl w:ilvl="7" w:tplc="C590A148">
      <w:start w:val="1"/>
      <w:numFmt w:val="bullet"/>
      <w:lvlText w:val="o"/>
      <w:lvlJc w:val="left"/>
      <w:pPr>
        <w:ind w:left="5760" w:hanging="360"/>
      </w:pPr>
      <w:rPr>
        <w:rFonts w:ascii="Courier New" w:hAnsi="Courier New" w:hint="default"/>
      </w:rPr>
    </w:lvl>
    <w:lvl w:ilvl="8" w:tplc="CEB20B98">
      <w:start w:val="1"/>
      <w:numFmt w:val="bullet"/>
      <w:lvlText w:val=""/>
      <w:lvlJc w:val="left"/>
      <w:pPr>
        <w:ind w:left="6480" w:hanging="360"/>
      </w:pPr>
      <w:rPr>
        <w:rFonts w:ascii="Wingdings" w:hAnsi="Wingdings" w:hint="default"/>
      </w:rPr>
    </w:lvl>
  </w:abstractNum>
  <w:num w:numId="1" w16cid:durableId="1886602257">
    <w:abstractNumId w:val="0"/>
  </w:num>
  <w:num w:numId="2" w16cid:durableId="438306094">
    <w:abstractNumId w:val="2"/>
  </w:num>
  <w:num w:numId="3" w16cid:durableId="1354767819">
    <w:abstractNumId w:val="3"/>
  </w:num>
  <w:num w:numId="4" w16cid:durableId="115103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B0D407"/>
    <w:rsid w:val="000C2B58"/>
    <w:rsid w:val="000E3639"/>
    <w:rsid w:val="00307F5E"/>
    <w:rsid w:val="00376654"/>
    <w:rsid w:val="0039E13A"/>
    <w:rsid w:val="00755B8F"/>
    <w:rsid w:val="00A82B5D"/>
    <w:rsid w:val="00AB04C0"/>
    <w:rsid w:val="00AC1C99"/>
    <w:rsid w:val="00CE7C21"/>
    <w:rsid w:val="00E73A98"/>
    <w:rsid w:val="00FB57DB"/>
    <w:rsid w:val="014FE96D"/>
    <w:rsid w:val="0197C378"/>
    <w:rsid w:val="02F050A8"/>
    <w:rsid w:val="03230D58"/>
    <w:rsid w:val="0324A5DF"/>
    <w:rsid w:val="0393264E"/>
    <w:rsid w:val="03CCFB23"/>
    <w:rsid w:val="03D6C9B2"/>
    <w:rsid w:val="045C2D50"/>
    <w:rsid w:val="047B93E9"/>
    <w:rsid w:val="04B46D35"/>
    <w:rsid w:val="04DF7E4E"/>
    <w:rsid w:val="05E46713"/>
    <w:rsid w:val="0613A228"/>
    <w:rsid w:val="0662F2C1"/>
    <w:rsid w:val="0690CE0A"/>
    <w:rsid w:val="06955C2C"/>
    <w:rsid w:val="069EFCB0"/>
    <w:rsid w:val="07394D12"/>
    <w:rsid w:val="075ACFF4"/>
    <w:rsid w:val="07653B4E"/>
    <w:rsid w:val="07E92245"/>
    <w:rsid w:val="08888708"/>
    <w:rsid w:val="0958B340"/>
    <w:rsid w:val="0AA3BFA2"/>
    <w:rsid w:val="0B395E94"/>
    <w:rsid w:val="0B5A8CE5"/>
    <w:rsid w:val="0B9A7A7B"/>
    <w:rsid w:val="0BB9E332"/>
    <w:rsid w:val="0C34AF10"/>
    <w:rsid w:val="0CA65048"/>
    <w:rsid w:val="0D230727"/>
    <w:rsid w:val="0DB055E7"/>
    <w:rsid w:val="0DBB848B"/>
    <w:rsid w:val="0DF2205A"/>
    <w:rsid w:val="0E017FD5"/>
    <w:rsid w:val="0EFCB1B7"/>
    <w:rsid w:val="0F9E51EA"/>
    <w:rsid w:val="0FD37999"/>
    <w:rsid w:val="101F6788"/>
    <w:rsid w:val="105C4F41"/>
    <w:rsid w:val="10693021"/>
    <w:rsid w:val="10764CBF"/>
    <w:rsid w:val="10E3EDD6"/>
    <w:rsid w:val="11090525"/>
    <w:rsid w:val="112FE12D"/>
    <w:rsid w:val="1168D128"/>
    <w:rsid w:val="116DE496"/>
    <w:rsid w:val="11B8B502"/>
    <w:rsid w:val="129DC4FD"/>
    <w:rsid w:val="12ED9B84"/>
    <w:rsid w:val="13B23E17"/>
    <w:rsid w:val="13B5567D"/>
    <w:rsid w:val="13F22E58"/>
    <w:rsid w:val="148AE440"/>
    <w:rsid w:val="148CFE21"/>
    <w:rsid w:val="14C2C35C"/>
    <w:rsid w:val="14D9C260"/>
    <w:rsid w:val="14E3BECA"/>
    <w:rsid w:val="15029F02"/>
    <w:rsid w:val="1571D46C"/>
    <w:rsid w:val="157802D7"/>
    <w:rsid w:val="157CF396"/>
    <w:rsid w:val="16A7238B"/>
    <w:rsid w:val="17AC4830"/>
    <w:rsid w:val="17B031BB"/>
    <w:rsid w:val="188DD844"/>
    <w:rsid w:val="18D21F47"/>
    <w:rsid w:val="1978969D"/>
    <w:rsid w:val="19A1403B"/>
    <w:rsid w:val="19DF0FCC"/>
    <w:rsid w:val="19F98C82"/>
    <w:rsid w:val="1A2F66BC"/>
    <w:rsid w:val="1AF8C86D"/>
    <w:rsid w:val="1B25A070"/>
    <w:rsid w:val="1B63CD2C"/>
    <w:rsid w:val="1B7C3A3D"/>
    <w:rsid w:val="1C8F489B"/>
    <w:rsid w:val="1CA93A25"/>
    <w:rsid w:val="1CDC298E"/>
    <w:rsid w:val="1D2E36EB"/>
    <w:rsid w:val="1D3087CB"/>
    <w:rsid w:val="1DD4B754"/>
    <w:rsid w:val="1DF9DED7"/>
    <w:rsid w:val="1E9AE158"/>
    <w:rsid w:val="1EA2BA12"/>
    <w:rsid w:val="1EC349DA"/>
    <w:rsid w:val="1EDCD683"/>
    <w:rsid w:val="1F0FD75A"/>
    <w:rsid w:val="1F481948"/>
    <w:rsid w:val="1F8C41EC"/>
    <w:rsid w:val="1FBD8256"/>
    <w:rsid w:val="1FBF2B0A"/>
    <w:rsid w:val="200629DE"/>
    <w:rsid w:val="200DC7BA"/>
    <w:rsid w:val="203E33C2"/>
    <w:rsid w:val="2076D85F"/>
    <w:rsid w:val="219A1E55"/>
    <w:rsid w:val="21D679A0"/>
    <w:rsid w:val="22394BEE"/>
    <w:rsid w:val="22781ED7"/>
    <w:rsid w:val="228D9626"/>
    <w:rsid w:val="22A60A60"/>
    <w:rsid w:val="22CA5243"/>
    <w:rsid w:val="22F79B82"/>
    <w:rsid w:val="23173E5D"/>
    <w:rsid w:val="239DC485"/>
    <w:rsid w:val="2432DC62"/>
    <w:rsid w:val="245316D7"/>
    <w:rsid w:val="2472FB98"/>
    <w:rsid w:val="24C79682"/>
    <w:rsid w:val="258758A1"/>
    <w:rsid w:val="25A400B2"/>
    <w:rsid w:val="260027D7"/>
    <w:rsid w:val="26740A6D"/>
    <w:rsid w:val="26A04D53"/>
    <w:rsid w:val="26E0D3D8"/>
    <w:rsid w:val="27783724"/>
    <w:rsid w:val="27BFB8E2"/>
    <w:rsid w:val="27EC80B6"/>
    <w:rsid w:val="2822FEF8"/>
    <w:rsid w:val="28F0079D"/>
    <w:rsid w:val="2990A6A4"/>
    <w:rsid w:val="2A078CE5"/>
    <w:rsid w:val="2A147C93"/>
    <w:rsid w:val="2A1F2CAC"/>
    <w:rsid w:val="2A89B62E"/>
    <w:rsid w:val="2B0B1524"/>
    <w:rsid w:val="2BF02B95"/>
    <w:rsid w:val="2BFBC2EC"/>
    <w:rsid w:val="2C17490C"/>
    <w:rsid w:val="2C2291D4"/>
    <w:rsid w:val="2C5DE6C9"/>
    <w:rsid w:val="2C5EB4C3"/>
    <w:rsid w:val="2CE5B68B"/>
    <w:rsid w:val="2CE7AB68"/>
    <w:rsid w:val="2CED32CA"/>
    <w:rsid w:val="2D03C09B"/>
    <w:rsid w:val="2D117392"/>
    <w:rsid w:val="2D261291"/>
    <w:rsid w:val="2D385E9C"/>
    <w:rsid w:val="2D603B93"/>
    <w:rsid w:val="2D9C585A"/>
    <w:rsid w:val="2DE0E5BA"/>
    <w:rsid w:val="2E39E996"/>
    <w:rsid w:val="2F270DC0"/>
    <w:rsid w:val="2FF7D539"/>
    <w:rsid w:val="309943C5"/>
    <w:rsid w:val="30DF820C"/>
    <w:rsid w:val="3102C10B"/>
    <w:rsid w:val="3109D6C3"/>
    <w:rsid w:val="31158A8A"/>
    <w:rsid w:val="3142F036"/>
    <w:rsid w:val="31809B5A"/>
    <w:rsid w:val="31B270E5"/>
    <w:rsid w:val="322E82E0"/>
    <w:rsid w:val="325315A0"/>
    <w:rsid w:val="325E952D"/>
    <w:rsid w:val="32B0D407"/>
    <w:rsid w:val="32CAF9D8"/>
    <w:rsid w:val="32F1DD00"/>
    <w:rsid w:val="330FFA50"/>
    <w:rsid w:val="337B65EC"/>
    <w:rsid w:val="33DECB45"/>
    <w:rsid w:val="34D1C0E6"/>
    <w:rsid w:val="34E7CC6B"/>
    <w:rsid w:val="34F4C299"/>
    <w:rsid w:val="3510AC48"/>
    <w:rsid w:val="352292B4"/>
    <w:rsid w:val="352B888E"/>
    <w:rsid w:val="356B211B"/>
    <w:rsid w:val="3574E5A6"/>
    <w:rsid w:val="35AB7380"/>
    <w:rsid w:val="35C9B9E9"/>
    <w:rsid w:val="35CDC50F"/>
    <w:rsid w:val="35F9B58D"/>
    <w:rsid w:val="35FF070B"/>
    <w:rsid w:val="360A1BC9"/>
    <w:rsid w:val="360E4B56"/>
    <w:rsid w:val="36BEB360"/>
    <w:rsid w:val="36BEEF30"/>
    <w:rsid w:val="36D9C78B"/>
    <w:rsid w:val="3703449A"/>
    <w:rsid w:val="377834FE"/>
    <w:rsid w:val="377E2A80"/>
    <w:rsid w:val="378521CF"/>
    <w:rsid w:val="380EED0B"/>
    <w:rsid w:val="380F26D7"/>
    <w:rsid w:val="38348651"/>
    <w:rsid w:val="3882A629"/>
    <w:rsid w:val="38A1DF6A"/>
    <w:rsid w:val="39359011"/>
    <w:rsid w:val="393D4B0B"/>
    <w:rsid w:val="397DA7CF"/>
    <w:rsid w:val="39ABD53B"/>
    <w:rsid w:val="39CAC31B"/>
    <w:rsid w:val="3A1FF0BF"/>
    <w:rsid w:val="3A68B97D"/>
    <w:rsid w:val="3ABBA875"/>
    <w:rsid w:val="3AEE0482"/>
    <w:rsid w:val="3BB5589E"/>
    <w:rsid w:val="3BBA16AF"/>
    <w:rsid w:val="3BFD564D"/>
    <w:rsid w:val="3C1A9E71"/>
    <w:rsid w:val="3C1E6890"/>
    <w:rsid w:val="3C957F21"/>
    <w:rsid w:val="3CECBB5B"/>
    <w:rsid w:val="3D3A995E"/>
    <w:rsid w:val="3D647CBD"/>
    <w:rsid w:val="3DBF5DF4"/>
    <w:rsid w:val="3DE85865"/>
    <w:rsid w:val="3E351938"/>
    <w:rsid w:val="3E5C2B9B"/>
    <w:rsid w:val="3EE616CB"/>
    <w:rsid w:val="3FBEB509"/>
    <w:rsid w:val="4017B15C"/>
    <w:rsid w:val="4033DB4A"/>
    <w:rsid w:val="40BDF95C"/>
    <w:rsid w:val="40C8815E"/>
    <w:rsid w:val="41204976"/>
    <w:rsid w:val="4125D4B4"/>
    <w:rsid w:val="41744614"/>
    <w:rsid w:val="41A60ED2"/>
    <w:rsid w:val="41CDDACF"/>
    <w:rsid w:val="42067A6A"/>
    <w:rsid w:val="422489F5"/>
    <w:rsid w:val="4239903A"/>
    <w:rsid w:val="423FA722"/>
    <w:rsid w:val="426BA556"/>
    <w:rsid w:val="42EC7D9A"/>
    <w:rsid w:val="435DB15A"/>
    <w:rsid w:val="4361C193"/>
    <w:rsid w:val="437B23BD"/>
    <w:rsid w:val="4387EA1E"/>
    <w:rsid w:val="4410D808"/>
    <w:rsid w:val="44ABE777"/>
    <w:rsid w:val="44D8841B"/>
    <w:rsid w:val="45255AD5"/>
    <w:rsid w:val="453A5779"/>
    <w:rsid w:val="458073FC"/>
    <w:rsid w:val="45870849"/>
    <w:rsid w:val="46735FCC"/>
    <w:rsid w:val="4684D5FD"/>
    <w:rsid w:val="46CBBEBD"/>
    <w:rsid w:val="47340BC3"/>
    <w:rsid w:val="477895C0"/>
    <w:rsid w:val="47901A1F"/>
    <w:rsid w:val="47CAC6D3"/>
    <w:rsid w:val="48591927"/>
    <w:rsid w:val="48803BF1"/>
    <w:rsid w:val="492515C6"/>
    <w:rsid w:val="499FFB9C"/>
    <w:rsid w:val="49D8DD30"/>
    <w:rsid w:val="49DA1749"/>
    <w:rsid w:val="49F0FE89"/>
    <w:rsid w:val="4A4B74EE"/>
    <w:rsid w:val="4A6C1362"/>
    <w:rsid w:val="4AFD5E0E"/>
    <w:rsid w:val="4B48BA5C"/>
    <w:rsid w:val="4B5C16FE"/>
    <w:rsid w:val="4BFF5A30"/>
    <w:rsid w:val="4C2C5A6E"/>
    <w:rsid w:val="4C4B1DBE"/>
    <w:rsid w:val="4C4D8AFE"/>
    <w:rsid w:val="4C8A382B"/>
    <w:rsid w:val="4CDBAFD6"/>
    <w:rsid w:val="4CF9604E"/>
    <w:rsid w:val="4D905F16"/>
    <w:rsid w:val="4D971FFE"/>
    <w:rsid w:val="4F18B65D"/>
    <w:rsid w:val="4F1F55AF"/>
    <w:rsid w:val="4F497705"/>
    <w:rsid w:val="4F5A3303"/>
    <w:rsid w:val="4F918A40"/>
    <w:rsid w:val="4FC06AC2"/>
    <w:rsid w:val="4FC20712"/>
    <w:rsid w:val="4FCDC34B"/>
    <w:rsid w:val="500B1F49"/>
    <w:rsid w:val="501DD56D"/>
    <w:rsid w:val="5031EAFF"/>
    <w:rsid w:val="503D05FD"/>
    <w:rsid w:val="50452760"/>
    <w:rsid w:val="508AEAAE"/>
    <w:rsid w:val="509F0D6D"/>
    <w:rsid w:val="50C0A7E6"/>
    <w:rsid w:val="50CFC2C5"/>
    <w:rsid w:val="50FCAC9F"/>
    <w:rsid w:val="51358FB8"/>
    <w:rsid w:val="513934A6"/>
    <w:rsid w:val="513EECA5"/>
    <w:rsid w:val="5142EB10"/>
    <w:rsid w:val="5149140C"/>
    <w:rsid w:val="5160BF42"/>
    <w:rsid w:val="51DC18AB"/>
    <w:rsid w:val="521C946E"/>
    <w:rsid w:val="5256B9D7"/>
    <w:rsid w:val="526F49F7"/>
    <w:rsid w:val="528C4FA9"/>
    <w:rsid w:val="52961C79"/>
    <w:rsid w:val="5312E465"/>
    <w:rsid w:val="537243D8"/>
    <w:rsid w:val="539B6F58"/>
    <w:rsid w:val="53A174CF"/>
    <w:rsid w:val="546EBB69"/>
    <w:rsid w:val="54785362"/>
    <w:rsid w:val="54F1D94B"/>
    <w:rsid w:val="550E49E7"/>
    <w:rsid w:val="5510C876"/>
    <w:rsid w:val="559B6B45"/>
    <w:rsid w:val="55D52A5B"/>
    <w:rsid w:val="5633D6CC"/>
    <w:rsid w:val="5681D056"/>
    <w:rsid w:val="56FCF761"/>
    <w:rsid w:val="570781DE"/>
    <w:rsid w:val="571F5C3D"/>
    <w:rsid w:val="574C4CB7"/>
    <w:rsid w:val="576C16A4"/>
    <w:rsid w:val="580C0D79"/>
    <w:rsid w:val="5812D165"/>
    <w:rsid w:val="5828AF2B"/>
    <w:rsid w:val="58762643"/>
    <w:rsid w:val="589CD13F"/>
    <w:rsid w:val="58CBDA03"/>
    <w:rsid w:val="58D5BF8A"/>
    <w:rsid w:val="58DB20DE"/>
    <w:rsid w:val="58E81042"/>
    <w:rsid w:val="58EBA6F0"/>
    <w:rsid w:val="591A5ADB"/>
    <w:rsid w:val="594B22A2"/>
    <w:rsid w:val="5982F454"/>
    <w:rsid w:val="5A2A8D41"/>
    <w:rsid w:val="5A3BE35A"/>
    <w:rsid w:val="5A80B071"/>
    <w:rsid w:val="5A8B604B"/>
    <w:rsid w:val="5A967425"/>
    <w:rsid w:val="5ADE3E6A"/>
    <w:rsid w:val="5B1C7DE8"/>
    <w:rsid w:val="5B5A664D"/>
    <w:rsid w:val="5B69AD49"/>
    <w:rsid w:val="5BA87C42"/>
    <w:rsid w:val="5BE6294B"/>
    <w:rsid w:val="5C0EF3D0"/>
    <w:rsid w:val="5C20C4C9"/>
    <w:rsid w:val="5C2AF543"/>
    <w:rsid w:val="5C340839"/>
    <w:rsid w:val="5C460938"/>
    <w:rsid w:val="5C773A3D"/>
    <w:rsid w:val="5D09774F"/>
    <w:rsid w:val="5E1EAB2D"/>
    <w:rsid w:val="5E614B91"/>
    <w:rsid w:val="5EA79916"/>
    <w:rsid w:val="5F38C6FB"/>
    <w:rsid w:val="5FB706C2"/>
    <w:rsid w:val="5FF301AD"/>
    <w:rsid w:val="60003392"/>
    <w:rsid w:val="60761761"/>
    <w:rsid w:val="60D03F2D"/>
    <w:rsid w:val="618C88F6"/>
    <w:rsid w:val="61A638EA"/>
    <w:rsid w:val="6211644A"/>
    <w:rsid w:val="6221C161"/>
    <w:rsid w:val="62A2C66D"/>
    <w:rsid w:val="62A59454"/>
    <w:rsid w:val="62E06D72"/>
    <w:rsid w:val="633036F9"/>
    <w:rsid w:val="638104BD"/>
    <w:rsid w:val="6393DA62"/>
    <w:rsid w:val="6396028B"/>
    <w:rsid w:val="64491790"/>
    <w:rsid w:val="646ACCDA"/>
    <w:rsid w:val="64967E8B"/>
    <w:rsid w:val="64DA897D"/>
    <w:rsid w:val="65350B02"/>
    <w:rsid w:val="654733A6"/>
    <w:rsid w:val="66337236"/>
    <w:rsid w:val="66989349"/>
    <w:rsid w:val="66A9EAFD"/>
    <w:rsid w:val="66E535B5"/>
    <w:rsid w:val="6807FC1A"/>
    <w:rsid w:val="6834EFFE"/>
    <w:rsid w:val="685381C0"/>
    <w:rsid w:val="687FA104"/>
    <w:rsid w:val="69373938"/>
    <w:rsid w:val="69451BFF"/>
    <w:rsid w:val="696BADB7"/>
    <w:rsid w:val="6980C3ED"/>
    <w:rsid w:val="699B3E1B"/>
    <w:rsid w:val="6A23323F"/>
    <w:rsid w:val="6AD61213"/>
    <w:rsid w:val="6AE6AF27"/>
    <w:rsid w:val="6B2C6D1D"/>
    <w:rsid w:val="6B32B990"/>
    <w:rsid w:val="6B7E6940"/>
    <w:rsid w:val="6C058733"/>
    <w:rsid w:val="6C132DF4"/>
    <w:rsid w:val="6C5D2AE1"/>
    <w:rsid w:val="6CB73721"/>
    <w:rsid w:val="6CBB56E0"/>
    <w:rsid w:val="6CD73E79"/>
    <w:rsid w:val="6D91B7BB"/>
    <w:rsid w:val="6DDDEAE5"/>
    <w:rsid w:val="6E321475"/>
    <w:rsid w:val="6E53A4F3"/>
    <w:rsid w:val="6F01917F"/>
    <w:rsid w:val="704B4939"/>
    <w:rsid w:val="70595597"/>
    <w:rsid w:val="7088D802"/>
    <w:rsid w:val="70D4D155"/>
    <w:rsid w:val="71188202"/>
    <w:rsid w:val="7121481B"/>
    <w:rsid w:val="7121EBE0"/>
    <w:rsid w:val="712363E6"/>
    <w:rsid w:val="7126F4EC"/>
    <w:rsid w:val="71302029"/>
    <w:rsid w:val="71791D7B"/>
    <w:rsid w:val="71FAA18F"/>
    <w:rsid w:val="723B15FD"/>
    <w:rsid w:val="723ED391"/>
    <w:rsid w:val="72879F55"/>
    <w:rsid w:val="73FF3BD4"/>
    <w:rsid w:val="743A335A"/>
    <w:rsid w:val="748933CB"/>
    <w:rsid w:val="74DC60D8"/>
    <w:rsid w:val="7502B73C"/>
    <w:rsid w:val="75100318"/>
    <w:rsid w:val="755C9F64"/>
    <w:rsid w:val="75605E03"/>
    <w:rsid w:val="756B1E3F"/>
    <w:rsid w:val="7584D3A3"/>
    <w:rsid w:val="75FDFC38"/>
    <w:rsid w:val="761CCA01"/>
    <w:rsid w:val="7666E641"/>
    <w:rsid w:val="76B79C1B"/>
    <w:rsid w:val="76C18E50"/>
    <w:rsid w:val="76DB3E96"/>
    <w:rsid w:val="76FB2400"/>
    <w:rsid w:val="7753D6A6"/>
    <w:rsid w:val="778604C3"/>
    <w:rsid w:val="779A868C"/>
    <w:rsid w:val="77A9FA18"/>
    <w:rsid w:val="77C074A3"/>
    <w:rsid w:val="77CBCE0D"/>
    <w:rsid w:val="783F2B5A"/>
    <w:rsid w:val="78417AE9"/>
    <w:rsid w:val="78430DF4"/>
    <w:rsid w:val="7875A2B2"/>
    <w:rsid w:val="79057266"/>
    <w:rsid w:val="797F1EF5"/>
    <w:rsid w:val="79BCD117"/>
    <w:rsid w:val="7A2FF421"/>
    <w:rsid w:val="7A48AEE7"/>
    <w:rsid w:val="7A873C2D"/>
    <w:rsid w:val="7A99E260"/>
    <w:rsid w:val="7AF36E4E"/>
    <w:rsid w:val="7B48628D"/>
    <w:rsid w:val="7B629222"/>
    <w:rsid w:val="7BFE6C7F"/>
    <w:rsid w:val="7C84A0D2"/>
    <w:rsid w:val="7CA0C6C0"/>
    <w:rsid w:val="7CA3E3D1"/>
    <w:rsid w:val="7DB8F875"/>
    <w:rsid w:val="7DF77F56"/>
    <w:rsid w:val="7F5A23E3"/>
    <w:rsid w:val="7F97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D407"/>
  <w15:chartTrackingRefBased/>
  <w15:docId w15:val="{41DD6AB0-C11E-4A71-8F45-CA2AD6C9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B25A0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CE5B6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B25A07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B25A070"/>
    <w:pPr>
      <w:ind w:left="720"/>
      <w:contextualSpacing/>
    </w:pPr>
  </w:style>
  <w:style w:type="paragraph" w:styleId="Header">
    <w:name w:val="header"/>
    <w:basedOn w:val="Normal"/>
    <w:uiPriority w:val="99"/>
    <w:unhideWhenUsed/>
    <w:rsid w:val="1B25A070"/>
    <w:pPr>
      <w:tabs>
        <w:tab w:val="center" w:pos="4680"/>
        <w:tab w:val="right" w:pos="9360"/>
      </w:tabs>
      <w:spacing w:after="0" w:line="240" w:lineRule="auto"/>
    </w:pPr>
  </w:style>
  <w:style w:type="paragraph" w:styleId="Footer">
    <w:name w:val="footer"/>
    <w:basedOn w:val="Normal"/>
    <w:uiPriority w:val="99"/>
    <w:unhideWhenUsed/>
    <w:rsid w:val="1B25A070"/>
    <w:pPr>
      <w:tabs>
        <w:tab w:val="center" w:pos="4680"/>
        <w:tab w:val="right" w:pos="9360"/>
      </w:tabs>
      <w:spacing w:after="0" w:line="240" w:lineRule="auto"/>
    </w:pPr>
  </w:style>
  <w:style w:type="paragraph" w:customStyle="1" w:styleId="Default">
    <w:name w:val="Default"/>
    <w:basedOn w:val="Normal"/>
    <w:uiPriority w:val="1"/>
    <w:rsid w:val="1B25A070"/>
    <w:rPr>
      <w:rFonts w:ascii="Arial" w:hAnsi="Arial" w:cs="Arial"/>
      <w:color w:val="000000" w:themeColor="text1"/>
      <w:lang w:eastAsia="en-GB"/>
    </w:rPr>
  </w:style>
  <w:style w:type="paragraph" w:styleId="Title">
    <w:name w:val="Title"/>
    <w:basedOn w:val="Normal"/>
    <w:next w:val="Normal"/>
    <w:uiPriority w:val="10"/>
    <w:qFormat/>
    <w:rsid w:val="1B25A070"/>
    <w:pPr>
      <w:spacing w:after="80" w:line="240" w:lineRule="auto"/>
      <w:contextualSpacing/>
    </w:pPr>
    <w:rPr>
      <w:rFonts w:asciiTheme="majorHAnsi" w:eastAsiaTheme="majorEastAsia" w:hAnsiTheme="majorHAnsi" w:cstheme="majorBidi"/>
      <w:sz w:val="56"/>
      <w:szCs w:val="56"/>
    </w:rPr>
  </w:style>
  <w:style w:type="character" w:styleId="Hyperlink">
    <w:name w:val="Hyperlink"/>
    <w:basedOn w:val="DefaultParagraphFont"/>
    <w:uiPriority w:val="99"/>
    <w:unhideWhenUsed/>
    <w:rsid w:val="1B25A070"/>
    <w:rPr>
      <w:color w:val="467886"/>
      <w:u w:val="single"/>
    </w:rPr>
  </w:style>
  <w:style w:type="paragraph" w:customStyle="1" w:styleId="IEEE-Author">
    <w:name w:val="IEEE-Author"/>
    <w:basedOn w:val="Normal"/>
    <w:link w:val="IEEE-AuthorChar"/>
    <w:uiPriority w:val="1"/>
    <w:qFormat/>
    <w:rsid w:val="1B25A070"/>
    <w:pPr>
      <w:jc w:val="center"/>
    </w:pPr>
    <w:rPr>
      <w:sz w:val="22"/>
      <w:szCs w:val="22"/>
    </w:rPr>
  </w:style>
  <w:style w:type="character" w:customStyle="1" w:styleId="IEEE-AuthorChar">
    <w:name w:val="IEEE-Author Char"/>
    <w:basedOn w:val="DefaultParagraphFont"/>
    <w:link w:val="IEEE-Author"/>
    <w:uiPriority w:val="1"/>
    <w:rsid w:val="1B25A070"/>
    <w:rPr>
      <w:rFonts w:asciiTheme="minorHAnsi" w:eastAsiaTheme="minorEastAsia" w:hAnsiTheme="minorHAnsi" w:cstheme="minorBidi"/>
      <w:sz w:val="22"/>
      <w:szCs w:val="22"/>
    </w:rPr>
  </w:style>
  <w:style w:type="paragraph" w:customStyle="1" w:styleId="IEEE-Affil">
    <w:name w:val="IEEE-Affil."/>
    <w:basedOn w:val="Normal"/>
    <w:link w:val="IEEE-AffilChar"/>
    <w:uiPriority w:val="1"/>
    <w:qFormat/>
    <w:rsid w:val="1B25A070"/>
    <w:pPr>
      <w:jc w:val="center"/>
    </w:pPr>
    <w:rPr>
      <w:i/>
      <w:iCs/>
      <w:sz w:val="20"/>
      <w:szCs w:val="20"/>
    </w:rPr>
  </w:style>
  <w:style w:type="character" w:customStyle="1" w:styleId="IEEE-AffilChar">
    <w:name w:val="IEEE-Affil. Char"/>
    <w:basedOn w:val="DefaultParagraphFont"/>
    <w:link w:val="IEEE-Affil"/>
    <w:uiPriority w:val="1"/>
    <w:rsid w:val="1B25A070"/>
    <w:rPr>
      <w:rFonts w:asciiTheme="minorHAnsi" w:eastAsiaTheme="minorEastAsia" w:hAnsiTheme="minorHAnsi" w:cstheme="minorBidi"/>
      <w:i/>
      <w:iCs/>
      <w:sz w:val="20"/>
      <w:szCs w:val="20"/>
    </w:rPr>
  </w:style>
  <w:style w:type="character" w:customStyle="1" w:styleId="Heading2Char">
    <w:name w:val="Heading 2 Char"/>
    <w:basedOn w:val="DefaultParagraphFont"/>
    <w:link w:val="Heading2"/>
    <w:uiPriority w:val="9"/>
    <w:rsid w:val="1B25A070"/>
    <w:rPr>
      <w:rFonts w:asciiTheme="majorHAnsi" w:eastAsiaTheme="majorEastAsia" w:hAnsiTheme="majorHAnsi" w:cstheme="majorBidi"/>
      <w:color w:val="0F4761" w:themeColor="accent1" w:themeShade="BF"/>
      <w:sz w:val="32"/>
      <w:szCs w:val="32"/>
    </w:rPr>
  </w:style>
  <w:style w:type="paragraph" w:styleId="TOC1">
    <w:name w:val="toc 1"/>
    <w:basedOn w:val="Normal"/>
    <w:next w:val="Normal"/>
    <w:uiPriority w:val="39"/>
    <w:unhideWhenUsed/>
    <w:rsid w:val="1B25A070"/>
    <w:pPr>
      <w:spacing w:after="100"/>
    </w:pPr>
  </w:style>
  <w:style w:type="paragraph" w:styleId="TOC2">
    <w:name w:val="toc 2"/>
    <w:basedOn w:val="Normal"/>
    <w:next w:val="Normal"/>
    <w:uiPriority w:val="39"/>
    <w:unhideWhenUsed/>
    <w:rsid w:val="1B25A070"/>
    <w:pPr>
      <w:spacing w:after="100"/>
      <w:ind w:left="220"/>
    </w:pPr>
  </w:style>
  <w:style w:type="paragraph" w:styleId="TOC3">
    <w:name w:val="toc 3"/>
    <w:basedOn w:val="Normal"/>
    <w:next w:val="Normal"/>
    <w:uiPriority w:val="39"/>
    <w:unhideWhenUsed/>
    <w:rsid w:val="1B25A070"/>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opa.europa.eu/digital-operational-resilience-act-dora_e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tuition.com/how-to-navigate-gdpr-compliance-challenges/" TargetMode="External"/><Relationship Id="rId12" Type="http://schemas.openxmlformats.org/officeDocument/2006/relationships/hyperlink" Target="https://www.cloudflare.com/learning/ai/data-poison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lex.europa.eu/legal-content/EN/TXT/?uri=CELEX:32022L255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ur-lex.europa.eu/eli/dir/2022/2556/oj/eng" TargetMode="External"/><Relationship Id="rId4" Type="http://schemas.openxmlformats.org/officeDocument/2006/relationships/webSettings" Target="webSettings.xml"/><Relationship Id="rId9" Type="http://schemas.openxmlformats.org/officeDocument/2006/relationships/hyperlink" Target="https://digital-strategy.ec.europa.eu/en/policies/nis2-directiv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1802</Words>
  <Characters>10274</Characters>
  <Application>Microsoft Office Word</Application>
  <DocSecurity>0</DocSecurity>
  <Lines>85</Lines>
  <Paragraphs>24</Paragraphs>
  <ScaleCrop>false</ScaleCrop>
  <Company/>
  <LinksUpToDate>false</LinksUpToDate>
  <CharactersWithSpaces>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Kempton (2411039)</dc:creator>
  <cp:keywords/>
  <dc:description/>
  <cp:lastModifiedBy>Dylan Kempton (2411039)</cp:lastModifiedBy>
  <cp:revision>9</cp:revision>
  <dcterms:created xsi:type="dcterms:W3CDTF">2026-01-15T12:17:00Z</dcterms:created>
  <dcterms:modified xsi:type="dcterms:W3CDTF">2026-06-06T13:20:00Z</dcterms:modified>
</cp:coreProperties>
</file>