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53302" w14:textId="77777777" w:rsidR="00D62652" w:rsidRDefault="00D62652">
      <w:pPr>
        <w:rPr>
          <w:rFonts w:ascii="Arial" w:hAnsi="Arial" w:cs="Arial"/>
          <w:sz w:val="22"/>
          <w:szCs w:val="22"/>
        </w:rPr>
      </w:pPr>
      <w:r>
        <w:rPr>
          <w:rFonts w:ascii="Arial" w:hAnsi="Arial" w:cs="Arial"/>
          <w:sz w:val="22"/>
          <w:szCs w:val="22"/>
        </w:rPr>
        <w:t xml:space="preserve">Name: </w:t>
      </w:r>
      <w:proofErr w:type="spellStart"/>
      <w:r>
        <w:rPr>
          <w:rFonts w:ascii="Arial" w:hAnsi="Arial" w:cs="Arial"/>
          <w:sz w:val="22"/>
          <w:szCs w:val="22"/>
        </w:rPr>
        <w:t>Affsana</w:t>
      </w:r>
      <w:proofErr w:type="spellEnd"/>
      <w:r>
        <w:rPr>
          <w:rFonts w:ascii="Arial" w:hAnsi="Arial" w:cs="Arial"/>
          <w:sz w:val="22"/>
          <w:szCs w:val="22"/>
        </w:rPr>
        <w:t xml:space="preserve"> </w:t>
      </w:r>
      <w:proofErr w:type="spellStart"/>
      <w:r>
        <w:rPr>
          <w:rFonts w:ascii="Arial" w:hAnsi="Arial" w:cs="Arial"/>
          <w:sz w:val="22"/>
          <w:szCs w:val="22"/>
        </w:rPr>
        <w:t>Ghumra</w:t>
      </w:r>
      <w:proofErr w:type="spellEnd"/>
    </w:p>
    <w:p w14:paraId="1B5AFB98" w14:textId="77777777" w:rsidR="00D62652" w:rsidRDefault="00D62652">
      <w:pPr>
        <w:rPr>
          <w:rFonts w:ascii="Arial" w:hAnsi="Arial" w:cs="Arial"/>
          <w:sz w:val="22"/>
          <w:szCs w:val="22"/>
        </w:rPr>
      </w:pPr>
    </w:p>
    <w:p w14:paraId="5E68A59C" w14:textId="77777777" w:rsidR="00D62652" w:rsidRDefault="00D62652">
      <w:pPr>
        <w:rPr>
          <w:rFonts w:ascii="Arial" w:hAnsi="Arial" w:cs="Arial"/>
          <w:sz w:val="22"/>
          <w:szCs w:val="22"/>
        </w:rPr>
      </w:pPr>
      <w:r>
        <w:rPr>
          <w:rFonts w:ascii="Arial" w:hAnsi="Arial" w:cs="Arial"/>
          <w:sz w:val="22"/>
          <w:szCs w:val="22"/>
        </w:rPr>
        <w:t>Student ID: 2530121</w:t>
      </w:r>
    </w:p>
    <w:p w14:paraId="54FFB0D7" w14:textId="77777777" w:rsidR="00D62652" w:rsidRDefault="00D62652">
      <w:pPr>
        <w:rPr>
          <w:rFonts w:ascii="Arial" w:hAnsi="Arial" w:cs="Arial"/>
          <w:sz w:val="22"/>
          <w:szCs w:val="22"/>
        </w:rPr>
      </w:pPr>
    </w:p>
    <w:p w14:paraId="538F3499" w14:textId="52E05161" w:rsidR="00D62652" w:rsidRDefault="00D62652">
      <w:pPr>
        <w:rPr>
          <w:rFonts w:ascii="Arial" w:hAnsi="Arial" w:cs="Arial"/>
          <w:sz w:val="22"/>
          <w:szCs w:val="22"/>
        </w:rPr>
      </w:pPr>
      <w:r>
        <w:rPr>
          <w:rFonts w:ascii="Arial" w:hAnsi="Arial" w:cs="Arial"/>
          <w:sz w:val="22"/>
          <w:szCs w:val="22"/>
        </w:rPr>
        <w:t>Module Code: LCHS400</w:t>
      </w:r>
      <w:r w:rsidR="00CE4173">
        <w:rPr>
          <w:rFonts w:ascii="Arial" w:hAnsi="Arial" w:cs="Arial"/>
          <w:sz w:val="22"/>
          <w:szCs w:val="22"/>
        </w:rPr>
        <w:t>7</w:t>
      </w:r>
    </w:p>
    <w:p w14:paraId="65FEB0FA" w14:textId="77777777" w:rsidR="00D62652" w:rsidRDefault="00D62652">
      <w:pPr>
        <w:rPr>
          <w:rFonts w:ascii="Arial" w:hAnsi="Arial" w:cs="Arial"/>
          <w:sz w:val="22"/>
          <w:szCs w:val="22"/>
        </w:rPr>
      </w:pPr>
    </w:p>
    <w:p w14:paraId="641AA929" w14:textId="64CDF5CF" w:rsidR="00D62652" w:rsidRDefault="00D62652">
      <w:pPr>
        <w:rPr>
          <w:rFonts w:ascii="Arial" w:hAnsi="Arial" w:cs="Arial"/>
          <w:sz w:val="22"/>
          <w:szCs w:val="22"/>
        </w:rPr>
      </w:pPr>
      <w:r>
        <w:rPr>
          <w:rFonts w:ascii="Arial" w:hAnsi="Arial" w:cs="Arial"/>
          <w:sz w:val="22"/>
          <w:szCs w:val="22"/>
        </w:rPr>
        <w:t xml:space="preserve">Module: </w:t>
      </w:r>
      <w:r w:rsidR="00CE4173">
        <w:rPr>
          <w:rFonts w:ascii="Arial" w:hAnsi="Arial" w:cs="Arial"/>
          <w:sz w:val="22"/>
          <w:szCs w:val="22"/>
        </w:rPr>
        <w:t>digital skills</w:t>
      </w:r>
    </w:p>
    <w:p w14:paraId="248D7168" w14:textId="77777777" w:rsidR="00D62652" w:rsidRDefault="00D62652">
      <w:pPr>
        <w:rPr>
          <w:rFonts w:ascii="Arial" w:hAnsi="Arial" w:cs="Arial"/>
          <w:sz w:val="22"/>
          <w:szCs w:val="22"/>
        </w:rPr>
      </w:pPr>
    </w:p>
    <w:p w14:paraId="60AC238C" w14:textId="6EB3A1AA" w:rsidR="00D62652" w:rsidRDefault="00D62652">
      <w:pPr>
        <w:rPr>
          <w:rFonts w:ascii="Arial" w:hAnsi="Arial" w:cs="Arial"/>
          <w:sz w:val="22"/>
          <w:szCs w:val="22"/>
        </w:rPr>
      </w:pPr>
      <w:r>
        <w:rPr>
          <w:rFonts w:ascii="Arial" w:hAnsi="Arial" w:cs="Arial"/>
          <w:sz w:val="22"/>
          <w:szCs w:val="22"/>
        </w:rPr>
        <w:t xml:space="preserve">Lecturer: </w:t>
      </w:r>
      <w:proofErr w:type="spellStart"/>
      <w:r>
        <w:rPr>
          <w:rFonts w:ascii="Arial" w:hAnsi="Arial" w:cs="Arial"/>
          <w:sz w:val="22"/>
          <w:szCs w:val="22"/>
        </w:rPr>
        <w:t>markus</w:t>
      </w:r>
      <w:proofErr w:type="spellEnd"/>
      <w:r>
        <w:rPr>
          <w:rFonts w:ascii="Arial" w:hAnsi="Arial" w:cs="Arial"/>
          <w:sz w:val="22"/>
          <w:szCs w:val="22"/>
        </w:rPr>
        <w:t xml:space="preserve"> </w:t>
      </w:r>
      <w:proofErr w:type="spellStart"/>
      <w:r w:rsidR="00CE4173">
        <w:rPr>
          <w:rFonts w:ascii="Arial" w:hAnsi="Arial" w:cs="Arial"/>
          <w:sz w:val="22"/>
          <w:szCs w:val="22"/>
        </w:rPr>
        <w:t>klingelfuss</w:t>
      </w:r>
      <w:proofErr w:type="spellEnd"/>
    </w:p>
    <w:p w14:paraId="1594C774" w14:textId="77777777" w:rsidR="00D62652" w:rsidRDefault="00D62652">
      <w:pPr>
        <w:rPr>
          <w:rFonts w:ascii="Arial" w:hAnsi="Arial" w:cs="Arial"/>
          <w:sz w:val="22"/>
          <w:szCs w:val="22"/>
        </w:rPr>
      </w:pPr>
    </w:p>
    <w:p w14:paraId="311416FB" w14:textId="3CD12B49" w:rsidR="007D4D1B" w:rsidRDefault="007D4D1B">
      <w:pPr>
        <w:rPr>
          <w:rFonts w:ascii="Arial" w:hAnsi="Arial" w:cs="Arial"/>
          <w:sz w:val="22"/>
          <w:szCs w:val="22"/>
        </w:rPr>
      </w:pPr>
    </w:p>
    <w:p w14:paraId="50D3FE37" w14:textId="77777777" w:rsidR="00F30753" w:rsidRPr="004D3E74" w:rsidRDefault="00F30753">
      <w:pPr>
        <w:rPr>
          <w:rFonts w:ascii="Arial" w:hAnsi="Arial" w:cs="Arial"/>
          <w:sz w:val="22"/>
          <w:szCs w:val="22"/>
        </w:rPr>
      </w:pPr>
    </w:p>
    <w:p w14:paraId="4CAF77DB" w14:textId="09658C35" w:rsidR="00EF0BC2" w:rsidRPr="004D3E74" w:rsidRDefault="00EF0BC2" w:rsidP="00EF0BC2">
      <w:pPr>
        <w:spacing w:line="360" w:lineRule="auto"/>
        <w:jc w:val="center"/>
        <w:rPr>
          <w:rFonts w:ascii="Arial" w:hAnsi="Arial" w:cs="Arial"/>
          <w:b/>
          <w:bCs/>
          <w:sz w:val="22"/>
          <w:szCs w:val="22"/>
        </w:rPr>
      </w:pPr>
      <w:r w:rsidRPr="004D3E74">
        <w:rPr>
          <w:rFonts w:ascii="Arial" w:hAnsi="Arial" w:cs="Arial"/>
          <w:b/>
          <w:bCs/>
          <w:sz w:val="22"/>
          <w:szCs w:val="22"/>
        </w:rPr>
        <w:t>The impact of</w:t>
      </w:r>
      <w:r w:rsidR="00882560">
        <w:rPr>
          <w:rFonts w:ascii="Arial" w:hAnsi="Arial" w:cs="Arial"/>
          <w:b/>
          <w:bCs/>
          <w:sz w:val="22"/>
          <w:szCs w:val="22"/>
        </w:rPr>
        <w:t xml:space="preserve"> sta</w:t>
      </w:r>
      <w:r w:rsidR="007319E1">
        <w:rPr>
          <w:rFonts w:ascii="Arial" w:hAnsi="Arial" w:cs="Arial"/>
          <w:b/>
          <w:bCs/>
          <w:sz w:val="22"/>
          <w:szCs w:val="22"/>
        </w:rPr>
        <w:t>ff</w:t>
      </w:r>
      <w:r w:rsidRPr="004D3E74">
        <w:rPr>
          <w:rFonts w:ascii="Arial" w:hAnsi="Arial" w:cs="Arial"/>
          <w:b/>
          <w:bCs/>
          <w:sz w:val="22"/>
          <w:szCs w:val="22"/>
        </w:rPr>
        <w:t xml:space="preserve"> burnout</w:t>
      </w:r>
      <w:r w:rsidR="004D3E74">
        <w:rPr>
          <w:rFonts w:ascii="Arial" w:hAnsi="Arial" w:cs="Arial"/>
          <w:b/>
          <w:bCs/>
          <w:sz w:val="22"/>
          <w:szCs w:val="22"/>
        </w:rPr>
        <w:t xml:space="preserve"> in Health and Social Care</w:t>
      </w:r>
      <w:r w:rsidRPr="004D3E74">
        <w:rPr>
          <w:rFonts w:ascii="Arial" w:hAnsi="Arial" w:cs="Arial"/>
          <w:b/>
          <w:bCs/>
          <w:sz w:val="22"/>
          <w:szCs w:val="22"/>
        </w:rPr>
        <w:t xml:space="preserve"> </w:t>
      </w:r>
    </w:p>
    <w:p w14:paraId="49D1BE74" w14:textId="77777777" w:rsidR="00EF0BC2" w:rsidRPr="004D3E74" w:rsidRDefault="00EF0BC2" w:rsidP="00EF0BC2">
      <w:pPr>
        <w:spacing w:line="360" w:lineRule="auto"/>
        <w:rPr>
          <w:rFonts w:ascii="Arial" w:hAnsi="Arial" w:cs="Arial"/>
          <w:sz w:val="22"/>
          <w:szCs w:val="22"/>
        </w:rPr>
      </w:pPr>
    </w:p>
    <w:p w14:paraId="0317E089" w14:textId="719DEFDB"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 xml:space="preserve">Introduction </w:t>
      </w:r>
    </w:p>
    <w:p w14:paraId="3E0D2EDB" w14:textId="0BF3278F" w:rsidR="004D3E74" w:rsidRPr="004D3E74" w:rsidRDefault="004D3E74" w:rsidP="004D3E74">
      <w:pPr>
        <w:spacing w:line="360" w:lineRule="auto"/>
        <w:rPr>
          <w:rFonts w:ascii="Arial" w:hAnsi="Arial" w:cs="Arial"/>
          <w:sz w:val="22"/>
          <w:szCs w:val="22"/>
        </w:rPr>
      </w:pPr>
      <w:r w:rsidRPr="004D3E74">
        <w:rPr>
          <w:rFonts w:ascii="Arial" w:hAnsi="Arial" w:cs="Arial"/>
          <w:sz w:val="22"/>
          <w:szCs w:val="22"/>
        </w:rPr>
        <w:t>Burnout has become a significant issue in workplace environments, particularly in healthcare settings where emotional demands and prolonged stress are prevalent</w:t>
      </w:r>
      <w:r>
        <w:rPr>
          <w:rFonts w:ascii="Arial" w:hAnsi="Arial" w:cs="Arial"/>
          <w:sz w:val="22"/>
          <w:szCs w:val="22"/>
        </w:rPr>
        <w:t xml:space="preserve"> </w:t>
      </w:r>
      <w:r w:rsidRPr="004D3E74">
        <w:rPr>
          <w:rFonts w:ascii="Arial" w:hAnsi="Arial" w:cs="Arial"/>
          <w:sz w:val="22"/>
          <w:szCs w:val="22"/>
        </w:rPr>
        <w:t>The Kinds Fund, 20</w:t>
      </w:r>
      <w:r>
        <w:rPr>
          <w:rFonts w:ascii="Arial" w:hAnsi="Arial" w:cs="Arial"/>
          <w:sz w:val="22"/>
          <w:szCs w:val="22"/>
        </w:rPr>
        <w:t>25)</w:t>
      </w:r>
      <w:r w:rsidRPr="004D3E74">
        <w:rPr>
          <w:rFonts w:ascii="Arial" w:hAnsi="Arial" w:cs="Arial"/>
          <w:sz w:val="22"/>
          <w:szCs w:val="22"/>
        </w:rPr>
        <w:t>. The World Health Organi</w:t>
      </w:r>
      <w:r>
        <w:rPr>
          <w:rFonts w:ascii="Arial" w:hAnsi="Arial" w:cs="Arial"/>
          <w:sz w:val="22"/>
          <w:szCs w:val="22"/>
        </w:rPr>
        <w:t>s</w:t>
      </w:r>
      <w:r w:rsidRPr="004D3E74">
        <w:rPr>
          <w:rFonts w:ascii="Arial" w:hAnsi="Arial" w:cs="Arial"/>
          <w:sz w:val="22"/>
          <w:szCs w:val="22"/>
        </w:rPr>
        <w:t xml:space="preserve">ation (WHO) </w:t>
      </w:r>
      <w:r>
        <w:rPr>
          <w:rFonts w:ascii="Arial" w:hAnsi="Arial" w:cs="Arial"/>
          <w:sz w:val="22"/>
          <w:szCs w:val="22"/>
        </w:rPr>
        <w:t xml:space="preserve">(2016) </w:t>
      </w:r>
      <w:r w:rsidRPr="004D3E74">
        <w:rPr>
          <w:rFonts w:ascii="Arial" w:hAnsi="Arial" w:cs="Arial"/>
          <w:sz w:val="22"/>
          <w:szCs w:val="22"/>
        </w:rPr>
        <w:t>recogni</w:t>
      </w:r>
      <w:r>
        <w:rPr>
          <w:rFonts w:ascii="Arial" w:hAnsi="Arial" w:cs="Arial"/>
          <w:sz w:val="22"/>
          <w:szCs w:val="22"/>
        </w:rPr>
        <w:t>s</w:t>
      </w:r>
      <w:r w:rsidRPr="004D3E74">
        <w:rPr>
          <w:rFonts w:ascii="Arial" w:hAnsi="Arial" w:cs="Arial"/>
          <w:sz w:val="22"/>
          <w:szCs w:val="22"/>
        </w:rPr>
        <w:t xml:space="preserve">es burnout as an occupational phenomenon </w:t>
      </w:r>
      <w:r>
        <w:rPr>
          <w:rFonts w:ascii="Arial" w:hAnsi="Arial" w:cs="Arial"/>
          <w:sz w:val="22"/>
          <w:szCs w:val="22"/>
        </w:rPr>
        <w:t>deriving</w:t>
      </w:r>
      <w:r w:rsidRPr="004D3E74">
        <w:rPr>
          <w:rFonts w:ascii="Arial" w:hAnsi="Arial" w:cs="Arial"/>
          <w:sz w:val="22"/>
          <w:szCs w:val="22"/>
        </w:rPr>
        <w:t xml:space="preserve"> from chronic workplace stress that has not been successfully managed. This condition leads to physical, emotional, and cognitive exhaustion, which can severely impact healthcare professionals’ ability to provide safe and effective care</w:t>
      </w:r>
      <w:r>
        <w:rPr>
          <w:rFonts w:ascii="Arial" w:hAnsi="Arial" w:cs="Arial"/>
          <w:sz w:val="22"/>
          <w:szCs w:val="22"/>
        </w:rPr>
        <w:t xml:space="preserve"> </w:t>
      </w:r>
      <w:r w:rsidRPr="004D3E74">
        <w:rPr>
          <w:rFonts w:ascii="Arial" w:hAnsi="Arial" w:cs="Arial"/>
          <w:sz w:val="22"/>
          <w:szCs w:val="22"/>
        </w:rPr>
        <w:t>(</w:t>
      </w:r>
      <w:proofErr w:type="spellStart"/>
      <w:r w:rsidRPr="004D3E74">
        <w:rPr>
          <w:rFonts w:ascii="Arial" w:hAnsi="Arial" w:cs="Arial"/>
          <w:sz w:val="22"/>
          <w:szCs w:val="22"/>
        </w:rPr>
        <w:t>Toker</w:t>
      </w:r>
      <w:proofErr w:type="spellEnd"/>
      <w:r w:rsidRPr="004D3E74">
        <w:rPr>
          <w:rFonts w:ascii="Arial" w:hAnsi="Arial" w:cs="Arial"/>
          <w:sz w:val="22"/>
          <w:szCs w:val="22"/>
        </w:rPr>
        <w:t xml:space="preserve">, </w:t>
      </w:r>
      <w:proofErr w:type="spellStart"/>
      <w:r w:rsidRPr="004D3E74">
        <w:rPr>
          <w:rFonts w:ascii="Arial" w:hAnsi="Arial" w:cs="Arial"/>
          <w:sz w:val="22"/>
          <w:szCs w:val="22"/>
        </w:rPr>
        <w:t>Melamed</w:t>
      </w:r>
      <w:proofErr w:type="spellEnd"/>
      <w:r w:rsidRPr="004D3E74">
        <w:rPr>
          <w:rFonts w:ascii="Arial" w:hAnsi="Arial" w:cs="Arial"/>
          <w:sz w:val="22"/>
          <w:szCs w:val="22"/>
        </w:rPr>
        <w:t xml:space="preserve">, Berliner, </w:t>
      </w:r>
      <w:proofErr w:type="spellStart"/>
      <w:r w:rsidRPr="004D3E74">
        <w:rPr>
          <w:rFonts w:ascii="Arial" w:hAnsi="Arial" w:cs="Arial"/>
          <w:sz w:val="22"/>
          <w:szCs w:val="22"/>
        </w:rPr>
        <w:t>Zeltser</w:t>
      </w:r>
      <w:proofErr w:type="spellEnd"/>
      <w:r w:rsidRPr="004D3E74">
        <w:rPr>
          <w:rFonts w:ascii="Arial" w:hAnsi="Arial" w:cs="Arial"/>
          <w:sz w:val="22"/>
          <w:szCs w:val="22"/>
        </w:rPr>
        <w:t xml:space="preserve">, </w:t>
      </w:r>
      <w:proofErr w:type="spellStart"/>
      <w:r w:rsidRPr="004D3E74">
        <w:rPr>
          <w:rFonts w:ascii="Arial" w:hAnsi="Arial" w:cs="Arial"/>
          <w:sz w:val="22"/>
          <w:szCs w:val="22"/>
        </w:rPr>
        <w:t>Shapira</w:t>
      </w:r>
      <w:proofErr w:type="spellEnd"/>
      <w:r w:rsidRPr="004D3E74">
        <w:rPr>
          <w:rFonts w:ascii="Arial" w:hAnsi="Arial" w:cs="Arial"/>
          <w:sz w:val="22"/>
          <w:szCs w:val="22"/>
        </w:rPr>
        <w:t>, 2024 and Nash, 2025).</w:t>
      </w:r>
    </w:p>
    <w:p w14:paraId="2CC26218" w14:textId="6A64385B" w:rsidR="004D3E74" w:rsidRPr="004D3E74" w:rsidRDefault="004D3E74" w:rsidP="004D3E74">
      <w:pPr>
        <w:spacing w:line="360" w:lineRule="auto"/>
        <w:rPr>
          <w:rFonts w:ascii="Arial" w:hAnsi="Arial" w:cs="Arial"/>
          <w:sz w:val="22"/>
          <w:szCs w:val="22"/>
        </w:rPr>
      </w:pPr>
      <w:r w:rsidRPr="004D3E74">
        <w:rPr>
          <w:rFonts w:ascii="Arial" w:hAnsi="Arial" w:cs="Arial"/>
          <w:sz w:val="22"/>
          <w:szCs w:val="22"/>
        </w:rPr>
        <w:t xml:space="preserve">This report examines the impact of burnout on NHS staff, explores the health and operational consequences, and reviews current research methodologies used to study burnout. </w:t>
      </w:r>
      <w:r>
        <w:rPr>
          <w:rFonts w:ascii="Arial" w:hAnsi="Arial" w:cs="Arial"/>
          <w:sz w:val="22"/>
          <w:szCs w:val="22"/>
        </w:rPr>
        <w:t xml:space="preserve">In addition, the paper </w:t>
      </w:r>
      <w:r w:rsidRPr="004D3E74">
        <w:rPr>
          <w:rFonts w:ascii="Arial" w:hAnsi="Arial" w:cs="Arial"/>
          <w:sz w:val="22"/>
          <w:szCs w:val="22"/>
        </w:rPr>
        <w:t xml:space="preserve">also discusses preventative strategies aimed at </w:t>
      </w:r>
      <w:r>
        <w:rPr>
          <w:rFonts w:ascii="Arial" w:hAnsi="Arial" w:cs="Arial"/>
          <w:sz w:val="22"/>
          <w:szCs w:val="22"/>
        </w:rPr>
        <w:t xml:space="preserve">lowering </w:t>
      </w:r>
      <w:r w:rsidRPr="004D3E74">
        <w:rPr>
          <w:rFonts w:ascii="Arial" w:hAnsi="Arial" w:cs="Arial"/>
          <w:sz w:val="22"/>
          <w:szCs w:val="22"/>
        </w:rPr>
        <w:t>burnout and improving</w:t>
      </w:r>
      <w:r>
        <w:rPr>
          <w:rFonts w:ascii="Arial" w:hAnsi="Arial" w:cs="Arial"/>
          <w:sz w:val="22"/>
          <w:szCs w:val="22"/>
        </w:rPr>
        <w:t xml:space="preserve"> </w:t>
      </w:r>
      <w:r w:rsidRPr="004D3E74">
        <w:rPr>
          <w:rFonts w:ascii="Arial" w:hAnsi="Arial" w:cs="Arial"/>
          <w:sz w:val="22"/>
          <w:szCs w:val="22"/>
        </w:rPr>
        <w:t>staff wellbeing and patient safety.</w:t>
      </w:r>
    </w:p>
    <w:p w14:paraId="6C819457" w14:textId="170E8520" w:rsidR="00DA06CE" w:rsidRPr="004D3E74" w:rsidRDefault="00DA06CE" w:rsidP="00EF0BC2">
      <w:pPr>
        <w:spacing w:line="360" w:lineRule="auto"/>
        <w:rPr>
          <w:rFonts w:ascii="Arial" w:hAnsi="Arial" w:cs="Arial"/>
          <w:sz w:val="22"/>
          <w:szCs w:val="22"/>
        </w:rPr>
      </w:pPr>
    </w:p>
    <w:p w14:paraId="2315EDA0" w14:textId="39AB09A6" w:rsidR="00DA06CE" w:rsidRPr="004D3E74" w:rsidRDefault="00DA06CE" w:rsidP="00EF0BC2">
      <w:pPr>
        <w:spacing w:line="360" w:lineRule="auto"/>
        <w:rPr>
          <w:rFonts w:ascii="Arial" w:hAnsi="Arial" w:cs="Arial"/>
          <w:sz w:val="22"/>
          <w:szCs w:val="22"/>
        </w:rPr>
      </w:pPr>
      <w:r w:rsidRPr="004D3E74">
        <w:rPr>
          <w:rFonts w:ascii="Arial" w:hAnsi="Arial" w:cs="Arial"/>
          <w:sz w:val="22"/>
          <w:szCs w:val="22"/>
        </w:rPr>
        <w:t>Burnout</w:t>
      </w:r>
    </w:p>
    <w:p w14:paraId="2616EC55" w14:textId="0E844356" w:rsidR="007D4D1B" w:rsidRPr="004D3E74" w:rsidRDefault="007D4D1B" w:rsidP="00EF0BC2">
      <w:pPr>
        <w:spacing w:line="360" w:lineRule="auto"/>
        <w:rPr>
          <w:rFonts w:ascii="Arial" w:hAnsi="Arial" w:cs="Arial"/>
          <w:sz w:val="22"/>
          <w:szCs w:val="22"/>
        </w:rPr>
      </w:pPr>
      <w:r w:rsidRPr="004D3E74">
        <w:rPr>
          <w:rFonts w:ascii="Arial" w:hAnsi="Arial" w:cs="Arial"/>
          <w:sz w:val="22"/>
          <w:szCs w:val="22"/>
        </w:rPr>
        <w:t>The World Health Organisation 2019 (WHO) states burnout is a condition related to workplace environments and prolong occupational stress. It is common among health care professionals due to high emotional demands and constant interaction with people (WHO,2019). In healthcare workers, burnout often leads to physical and emotional exhaustion during working hours (WHO,2019), which can reduce their ability to provide effective and safe care (Nash,2025). Therefore, burnout can negatively affect both patient safety and the overall quality of health services (</w:t>
      </w:r>
      <w:proofErr w:type="spellStart"/>
      <w:r w:rsidRPr="004D3E74">
        <w:rPr>
          <w:rFonts w:ascii="Arial" w:hAnsi="Arial" w:cs="Arial"/>
          <w:sz w:val="22"/>
          <w:szCs w:val="22"/>
        </w:rPr>
        <w:t>Toker</w:t>
      </w:r>
      <w:proofErr w:type="spellEnd"/>
      <w:r w:rsidRPr="004D3E74">
        <w:rPr>
          <w:rFonts w:ascii="Arial" w:hAnsi="Arial" w:cs="Arial"/>
          <w:sz w:val="22"/>
          <w:szCs w:val="22"/>
        </w:rPr>
        <w:t xml:space="preserve">, </w:t>
      </w:r>
      <w:proofErr w:type="spellStart"/>
      <w:r w:rsidRPr="004D3E74">
        <w:rPr>
          <w:rFonts w:ascii="Arial" w:hAnsi="Arial" w:cs="Arial"/>
          <w:sz w:val="22"/>
          <w:szCs w:val="22"/>
        </w:rPr>
        <w:t>Melamed</w:t>
      </w:r>
      <w:proofErr w:type="spellEnd"/>
      <w:r w:rsidRPr="004D3E74">
        <w:rPr>
          <w:rFonts w:ascii="Arial" w:hAnsi="Arial" w:cs="Arial"/>
          <w:sz w:val="22"/>
          <w:szCs w:val="22"/>
        </w:rPr>
        <w:t xml:space="preserve">, Berliner, </w:t>
      </w:r>
      <w:proofErr w:type="spellStart"/>
      <w:r w:rsidRPr="004D3E74">
        <w:rPr>
          <w:rFonts w:ascii="Arial" w:hAnsi="Arial" w:cs="Arial"/>
          <w:sz w:val="22"/>
          <w:szCs w:val="22"/>
        </w:rPr>
        <w:t>Zeltser</w:t>
      </w:r>
      <w:proofErr w:type="spellEnd"/>
      <w:r w:rsidRPr="004D3E74">
        <w:rPr>
          <w:rFonts w:ascii="Arial" w:hAnsi="Arial" w:cs="Arial"/>
          <w:sz w:val="22"/>
          <w:szCs w:val="22"/>
        </w:rPr>
        <w:t xml:space="preserve">, </w:t>
      </w:r>
      <w:proofErr w:type="spellStart"/>
      <w:r w:rsidRPr="004D3E74">
        <w:rPr>
          <w:rFonts w:ascii="Arial" w:hAnsi="Arial" w:cs="Arial"/>
          <w:sz w:val="22"/>
          <w:szCs w:val="22"/>
        </w:rPr>
        <w:t>Shapira</w:t>
      </w:r>
      <w:proofErr w:type="spellEnd"/>
      <w:r w:rsidRPr="004D3E74">
        <w:rPr>
          <w:rFonts w:ascii="Arial" w:hAnsi="Arial" w:cs="Arial"/>
          <w:sz w:val="22"/>
          <w:szCs w:val="22"/>
        </w:rPr>
        <w:t>, 2024 and Nash, 2025).</w:t>
      </w:r>
    </w:p>
    <w:p w14:paraId="649D3A96" w14:textId="05B372A5" w:rsidR="007D4D1B" w:rsidRPr="004D3E74" w:rsidRDefault="007D4D1B" w:rsidP="00EF0BC2">
      <w:pPr>
        <w:spacing w:line="360" w:lineRule="auto"/>
        <w:rPr>
          <w:rFonts w:ascii="Arial" w:hAnsi="Arial" w:cs="Arial"/>
          <w:sz w:val="22"/>
          <w:szCs w:val="22"/>
        </w:rPr>
      </w:pPr>
      <w:r w:rsidRPr="004D3E74">
        <w:rPr>
          <w:rFonts w:ascii="Arial" w:hAnsi="Arial" w:cs="Arial"/>
          <w:sz w:val="22"/>
          <w:szCs w:val="22"/>
        </w:rPr>
        <w:t>Moreover, beyond exhaustion, Burnout can have a serve health consequence causing high blood pressure (ref). In addition to a 79% higher risk of coronary heart disease (</w:t>
      </w:r>
      <w:proofErr w:type="spellStart"/>
      <w:r w:rsidRPr="004D3E74">
        <w:rPr>
          <w:rFonts w:ascii="Arial" w:hAnsi="Arial" w:cs="Arial"/>
          <w:sz w:val="22"/>
          <w:szCs w:val="22"/>
        </w:rPr>
        <w:t>Toker</w:t>
      </w:r>
      <w:proofErr w:type="spellEnd"/>
      <w:r w:rsidRPr="004D3E74">
        <w:rPr>
          <w:rFonts w:ascii="Arial" w:hAnsi="Arial" w:cs="Arial"/>
          <w:sz w:val="22"/>
          <w:szCs w:val="22"/>
        </w:rPr>
        <w:t xml:space="preserve">, </w:t>
      </w:r>
      <w:proofErr w:type="spellStart"/>
      <w:r w:rsidRPr="004D3E74">
        <w:rPr>
          <w:rFonts w:ascii="Arial" w:hAnsi="Arial" w:cs="Arial"/>
          <w:sz w:val="22"/>
          <w:szCs w:val="22"/>
        </w:rPr>
        <w:t>Melamed</w:t>
      </w:r>
      <w:proofErr w:type="spellEnd"/>
      <w:r w:rsidRPr="004D3E74">
        <w:rPr>
          <w:rFonts w:ascii="Arial" w:hAnsi="Arial" w:cs="Arial"/>
          <w:sz w:val="22"/>
          <w:szCs w:val="22"/>
        </w:rPr>
        <w:t xml:space="preserve">, Berliner, </w:t>
      </w:r>
      <w:proofErr w:type="spellStart"/>
      <w:r w:rsidRPr="004D3E74">
        <w:rPr>
          <w:rFonts w:ascii="Arial" w:hAnsi="Arial" w:cs="Arial"/>
          <w:sz w:val="22"/>
          <w:szCs w:val="22"/>
        </w:rPr>
        <w:t>Zeltser</w:t>
      </w:r>
      <w:proofErr w:type="spellEnd"/>
      <w:r w:rsidRPr="004D3E74">
        <w:rPr>
          <w:rFonts w:ascii="Arial" w:hAnsi="Arial" w:cs="Arial"/>
          <w:sz w:val="22"/>
          <w:szCs w:val="22"/>
        </w:rPr>
        <w:t xml:space="preserve">, </w:t>
      </w:r>
      <w:proofErr w:type="spellStart"/>
      <w:r w:rsidRPr="004D3E74">
        <w:rPr>
          <w:rFonts w:ascii="Arial" w:hAnsi="Arial" w:cs="Arial"/>
          <w:sz w:val="22"/>
          <w:szCs w:val="22"/>
        </w:rPr>
        <w:t>Shapira</w:t>
      </w:r>
      <w:proofErr w:type="spellEnd"/>
      <w:r w:rsidRPr="004D3E74">
        <w:rPr>
          <w:rFonts w:ascii="Arial" w:hAnsi="Arial" w:cs="Arial"/>
          <w:sz w:val="22"/>
          <w:szCs w:val="22"/>
        </w:rPr>
        <w:t>, 2024</w:t>
      </w:r>
      <w:r w:rsidR="00EF0BC2" w:rsidRPr="004D3E74">
        <w:rPr>
          <w:rFonts w:ascii="Arial" w:hAnsi="Arial" w:cs="Arial"/>
          <w:sz w:val="22"/>
          <w:szCs w:val="22"/>
        </w:rPr>
        <w:t>. Furthermore, burnout impairs cognitive function, causing brain fog, poor memory and difficulty concentrating (ref), which can lead to lower quality work and increased absenteeism (</w:t>
      </w:r>
      <w:proofErr w:type="spellStart"/>
      <w:r w:rsidR="00EF0BC2" w:rsidRPr="004D3E74">
        <w:rPr>
          <w:rFonts w:ascii="Arial" w:hAnsi="Arial" w:cs="Arial"/>
          <w:sz w:val="22"/>
          <w:szCs w:val="22"/>
        </w:rPr>
        <w:t>Toker</w:t>
      </w:r>
      <w:proofErr w:type="spellEnd"/>
      <w:r w:rsidR="00EF0BC2" w:rsidRPr="004D3E74">
        <w:rPr>
          <w:rFonts w:ascii="Arial" w:hAnsi="Arial" w:cs="Arial"/>
          <w:sz w:val="22"/>
          <w:szCs w:val="22"/>
        </w:rPr>
        <w:t xml:space="preserve">, </w:t>
      </w:r>
      <w:proofErr w:type="spellStart"/>
      <w:r w:rsidR="00EF0BC2" w:rsidRPr="004D3E74">
        <w:rPr>
          <w:rFonts w:ascii="Arial" w:hAnsi="Arial" w:cs="Arial"/>
          <w:sz w:val="22"/>
          <w:szCs w:val="22"/>
        </w:rPr>
        <w:t>Melamed</w:t>
      </w:r>
      <w:proofErr w:type="spellEnd"/>
      <w:r w:rsidR="00EF0BC2" w:rsidRPr="004D3E74">
        <w:rPr>
          <w:rFonts w:ascii="Arial" w:hAnsi="Arial" w:cs="Arial"/>
          <w:sz w:val="22"/>
          <w:szCs w:val="22"/>
        </w:rPr>
        <w:t xml:space="preserve">, Berliner, </w:t>
      </w:r>
      <w:proofErr w:type="spellStart"/>
      <w:r w:rsidR="00EF0BC2" w:rsidRPr="004D3E74">
        <w:rPr>
          <w:rFonts w:ascii="Arial" w:hAnsi="Arial" w:cs="Arial"/>
          <w:sz w:val="22"/>
          <w:szCs w:val="22"/>
        </w:rPr>
        <w:t>Zeltser</w:t>
      </w:r>
      <w:proofErr w:type="spellEnd"/>
      <w:r w:rsidR="00EF0BC2" w:rsidRPr="004D3E74">
        <w:rPr>
          <w:rFonts w:ascii="Arial" w:hAnsi="Arial" w:cs="Arial"/>
          <w:sz w:val="22"/>
          <w:szCs w:val="22"/>
        </w:rPr>
        <w:t xml:space="preserve">, </w:t>
      </w:r>
      <w:proofErr w:type="spellStart"/>
      <w:r w:rsidR="00EF0BC2" w:rsidRPr="004D3E74">
        <w:rPr>
          <w:rFonts w:ascii="Arial" w:hAnsi="Arial" w:cs="Arial"/>
          <w:sz w:val="22"/>
          <w:szCs w:val="22"/>
        </w:rPr>
        <w:t>Shapira</w:t>
      </w:r>
      <w:proofErr w:type="spellEnd"/>
      <w:r w:rsidR="00EF0BC2" w:rsidRPr="004D3E74">
        <w:rPr>
          <w:rFonts w:ascii="Arial" w:hAnsi="Arial" w:cs="Arial"/>
          <w:sz w:val="22"/>
          <w:szCs w:val="22"/>
        </w:rPr>
        <w:t>, 2024)</w:t>
      </w:r>
    </w:p>
    <w:p w14:paraId="53C56D31" w14:textId="433FB078"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According to The Kings Fund (2025) 30% of National Health Service (NHS) staff reported experiencing burnout; Impacting both wellbeing and their ability to effectively work. For example, mental health problems such as depression heightened risk of anxiety and emotional exhaustion (Nash, 2025). Furthermore, exhausted, or disengaged staff may struggle to provide thorough, compassionate, and patient-centred care (WHO, 2016).</w:t>
      </w:r>
    </w:p>
    <w:p w14:paraId="422C0A03" w14:textId="03AAE0D6"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 xml:space="preserve"> In addition, physical health issues such as Chronic fatigue, and weakened immunity to name a few. Resulting on patient support and the healthcare structure. Burn out does no</w:t>
      </w:r>
      <w:r w:rsidR="004D3E74">
        <w:rPr>
          <w:rFonts w:ascii="Arial" w:hAnsi="Arial" w:cs="Arial"/>
          <w:sz w:val="22"/>
          <w:szCs w:val="22"/>
        </w:rPr>
        <w:t>t j</w:t>
      </w:r>
      <w:r w:rsidRPr="004D3E74">
        <w:rPr>
          <w:rFonts w:ascii="Arial" w:hAnsi="Arial" w:cs="Arial"/>
          <w:sz w:val="22"/>
          <w:szCs w:val="22"/>
        </w:rPr>
        <w:t>ust effect NHS staff (Nash, 2025), patient safety is at risk (</w:t>
      </w:r>
      <w:proofErr w:type="spellStart"/>
      <w:r w:rsidRPr="004D3E74">
        <w:rPr>
          <w:rFonts w:ascii="Arial" w:hAnsi="Arial" w:cs="Arial"/>
          <w:sz w:val="22"/>
          <w:szCs w:val="22"/>
        </w:rPr>
        <w:t>Toker</w:t>
      </w:r>
      <w:proofErr w:type="spellEnd"/>
      <w:r w:rsidRPr="004D3E74">
        <w:rPr>
          <w:rFonts w:ascii="Arial" w:hAnsi="Arial" w:cs="Arial"/>
          <w:sz w:val="22"/>
          <w:szCs w:val="22"/>
        </w:rPr>
        <w:t xml:space="preserve">, </w:t>
      </w:r>
      <w:proofErr w:type="spellStart"/>
      <w:r w:rsidRPr="004D3E74">
        <w:rPr>
          <w:rFonts w:ascii="Arial" w:hAnsi="Arial" w:cs="Arial"/>
          <w:sz w:val="22"/>
          <w:szCs w:val="22"/>
        </w:rPr>
        <w:t>Melamed</w:t>
      </w:r>
      <w:proofErr w:type="spellEnd"/>
      <w:r w:rsidRPr="004D3E74">
        <w:rPr>
          <w:rFonts w:ascii="Arial" w:hAnsi="Arial" w:cs="Arial"/>
          <w:sz w:val="22"/>
          <w:szCs w:val="22"/>
        </w:rPr>
        <w:t xml:space="preserve">, Berliner, </w:t>
      </w:r>
      <w:proofErr w:type="spellStart"/>
      <w:r w:rsidRPr="004D3E74">
        <w:rPr>
          <w:rFonts w:ascii="Arial" w:hAnsi="Arial" w:cs="Arial"/>
          <w:sz w:val="22"/>
          <w:szCs w:val="22"/>
        </w:rPr>
        <w:t>Zeltser</w:t>
      </w:r>
      <w:proofErr w:type="spellEnd"/>
      <w:r w:rsidRPr="004D3E74">
        <w:rPr>
          <w:rFonts w:ascii="Arial" w:hAnsi="Arial" w:cs="Arial"/>
          <w:sz w:val="22"/>
          <w:szCs w:val="22"/>
        </w:rPr>
        <w:t xml:space="preserve">, </w:t>
      </w:r>
      <w:proofErr w:type="spellStart"/>
      <w:r w:rsidRPr="004D3E74">
        <w:rPr>
          <w:rFonts w:ascii="Arial" w:hAnsi="Arial" w:cs="Arial"/>
          <w:sz w:val="22"/>
          <w:szCs w:val="22"/>
        </w:rPr>
        <w:t>Shapira</w:t>
      </w:r>
      <w:proofErr w:type="spellEnd"/>
      <w:r w:rsidRPr="004D3E74">
        <w:rPr>
          <w:rFonts w:ascii="Arial" w:hAnsi="Arial" w:cs="Arial"/>
          <w:sz w:val="22"/>
          <w:szCs w:val="22"/>
        </w:rPr>
        <w:t>, 2024 Nash, 2025) For example, high levels of burnout are associated with more adverse incidents, including avoidable harm to patients (</w:t>
      </w:r>
      <w:proofErr w:type="spellStart"/>
      <w:r w:rsidRPr="004D3E74">
        <w:rPr>
          <w:rFonts w:ascii="Arial" w:hAnsi="Arial" w:cs="Arial"/>
          <w:sz w:val="22"/>
          <w:szCs w:val="22"/>
        </w:rPr>
        <w:t>Toker</w:t>
      </w:r>
      <w:proofErr w:type="spellEnd"/>
      <w:r w:rsidRPr="004D3E74">
        <w:rPr>
          <w:rFonts w:ascii="Arial" w:hAnsi="Arial" w:cs="Arial"/>
          <w:sz w:val="22"/>
          <w:szCs w:val="22"/>
        </w:rPr>
        <w:t xml:space="preserve">, </w:t>
      </w:r>
      <w:proofErr w:type="spellStart"/>
      <w:r w:rsidRPr="004D3E74">
        <w:rPr>
          <w:rFonts w:ascii="Arial" w:hAnsi="Arial" w:cs="Arial"/>
          <w:sz w:val="22"/>
          <w:szCs w:val="22"/>
        </w:rPr>
        <w:t>Melamed</w:t>
      </w:r>
      <w:proofErr w:type="spellEnd"/>
      <w:r w:rsidRPr="004D3E74">
        <w:rPr>
          <w:rFonts w:ascii="Arial" w:hAnsi="Arial" w:cs="Arial"/>
          <w:sz w:val="22"/>
          <w:szCs w:val="22"/>
        </w:rPr>
        <w:t xml:space="preserve">, Berliner, </w:t>
      </w:r>
      <w:proofErr w:type="spellStart"/>
      <w:r w:rsidRPr="004D3E74">
        <w:rPr>
          <w:rFonts w:ascii="Arial" w:hAnsi="Arial" w:cs="Arial"/>
          <w:sz w:val="22"/>
          <w:szCs w:val="22"/>
        </w:rPr>
        <w:t>Zeltser</w:t>
      </w:r>
      <w:proofErr w:type="spellEnd"/>
      <w:r w:rsidRPr="004D3E74">
        <w:rPr>
          <w:rFonts w:ascii="Arial" w:hAnsi="Arial" w:cs="Arial"/>
          <w:sz w:val="22"/>
          <w:szCs w:val="22"/>
        </w:rPr>
        <w:t xml:space="preserve">, </w:t>
      </w:r>
      <w:proofErr w:type="spellStart"/>
      <w:r w:rsidRPr="004D3E74">
        <w:rPr>
          <w:rFonts w:ascii="Arial" w:hAnsi="Arial" w:cs="Arial"/>
          <w:sz w:val="22"/>
          <w:szCs w:val="22"/>
        </w:rPr>
        <w:t>Shapira</w:t>
      </w:r>
      <w:proofErr w:type="spellEnd"/>
      <w:r w:rsidRPr="004D3E74">
        <w:rPr>
          <w:rFonts w:ascii="Arial" w:hAnsi="Arial" w:cs="Arial"/>
          <w:sz w:val="22"/>
          <w:szCs w:val="22"/>
        </w:rPr>
        <w:t>, 2024). In addition, high workforce demands can impede services, impacting access to care in a timely manner (The Kinds Fund, 20</w:t>
      </w:r>
      <w:r w:rsidR="004D3E74">
        <w:rPr>
          <w:rFonts w:ascii="Arial" w:hAnsi="Arial" w:cs="Arial"/>
          <w:sz w:val="22"/>
          <w:szCs w:val="22"/>
        </w:rPr>
        <w:t>25</w:t>
      </w:r>
      <w:r w:rsidRPr="004D3E74">
        <w:rPr>
          <w:rFonts w:ascii="Arial" w:hAnsi="Arial" w:cs="Arial"/>
          <w:sz w:val="22"/>
          <w:szCs w:val="22"/>
        </w:rPr>
        <w:t>) there burn out directly impacts how safe, effective, and sustainable patient care is (Nash, 2025).</w:t>
      </w:r>
    </w:p>
    <w:p w14:paraId="48690E3E" w14:textId="4454C1AC"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Burn out is not linked to NHS workers but to individuals such as myself a student who aspires to work in health and social care. I find the topic scientifically fascinating because burnout links psychological stress with physical symptoms like headaches or weakened immunity (WHO, 2020).</w:t>
      </w:r>
    </w:p>
    <w:p w14:paraId="2FC6D36B" w14:textId="03D742C2"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Mandatory health checks and promoting wellbeing are integrated into everyday work practices are used as preventative initiatives to support staff to recognise and manage stress early with the NHS (</w:t>
      </w:r>
      <w:r w:rsidRPr="004D3E74">
        <w:rPr>
          <w:rStyle w:val="whitespace-normal"/>
          <w:rFonts w:ascii="Arial" w:hAnsi="Arial" w:cs="Arial"/>
          <w:sz w:val="22"/>
          <w:szCs w:val="22"/>
        </w:rPr>
        <w:t>NHS Employers</w:t>
      </w:r>
      <w:r w:rsidRPr="004D3E74">
        <w:rPr>
          <w:rFonts w:ascii="Arial" w:hAnsi="Arial" w:cs="Arial"/>
          <w:sz w:val="22"/>
          <w:szCs w:val="22"/>
        </w:rPr>
        <w:t>, 2025).</w:t>
      </w:r>
    </w:p>
    <w:p w14:paraId="7428D1EF" w14:textId="5D0AA646" w:rsidR="00EF0BC2" w:rsidRPr="004D3E74" w:rsidRDefault="00EF0BC2" w:rsidP="00EF0BC2">
      <w:pPr>
        <w:spacing w:line="360" w:lineRule="auto"/>
        <w:rPr>
          <w:rFonts w:ascii="Arial" w:hAnsi="Arial" w:cs="Arial"/>
          <w:sz w:val="22"/>
          <w:szCs w:val="22"/>
        </w:rPr>
      </w:pPr>
    </w:p>
    <w:p w14:paraId="2E9C8BC6" w14:textId="77777777"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 xml:space="preserve">Evaluation </w:t>
      </w:r>
    </w:p>
    <w:p w14:paraId="7C99AD5C" w14:textId="03E10EEA"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The World Health Organisation (2019&amp;2000) categorises burnout as a work-related circumstance caused by extended work stress. Outlining burnout's physical, cognitive, and emotional effects and its prevalence among healthcare professionals. Recognised as a world-wide authority in health standards (who), therefore giving strong credibility to the classification of burnout. The WHO (2019&amp;2020) reports provide an official framework and recognition of burnout as an occupational phenomenon.  The world organisation highlights burnout’s impact on emotional and physical exhaustion, consequently underpinning the argument about patient safety and staff wellbeing.</w:t>
      </w:r>
    </w:p>
    <w:p w14:paraId="2D3CE0A7" w14:textId="575457FE"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Nash (2025) discusses the consequences of burnout on NHS staff mental health, including but not limited to anxiety, depression and emotional exhaustion, and the resulting impact on staff ability to deliver compassionate care.</w:t>
      </w:r>
    </w:p>
    <w:p w14:paraId="2FB98764" w14:textId="02792AAC"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 xml:space="preserve">Recent sources provide a detailed insight into psychological impacts of burnout and connects them directly to staff performance and patient care quality. Supporting the topic of burn out by </w:t>
      </w:r>
      <w:r w:rsidR="004D3E74" w:rsidRPr="004D3E74">
        <w:rPr>
          <w:rFonts w:ascii="Arial" w:hAnsi="Arial" w:cs="Arial"/>
          <w:sz w:val="22"/>
          <w:szCs w:val="22"/>
        </w:rPr>
        <w:t>highlighting the</w:t>
      </w:r>
      <w:r w:rsidRPr="004D3E74">
        <w:rPr>
          <w:rFonts w:ascii="Arial" w:hAnsi="Arial" w:cs="Arial"/>
          <w:sz w:val="22"/>
          <w:szCs w:val="22"/>
        </w:rPr>
        <w:t xml:space="preserve"> correlation  between mental health problems and decreased work effectiveness, supporting the notion that burnout negatively impacts  patient care quality.</w:t>
      </w:r>
    </w:p>
    <w:p w14:paraId="4AF75CA7" w14:textId="77777777"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 xml:space="preserve">With consequences on, work effectiveness, wellbeing, and the healthcare system’s functionality 30% of NHS staff experience burnout (The Kings Fund </w:t>
      </w:r>
      <w:r w:rsidRPr="004D3E74">
        <w:rPr>
          <w:rFonts w:ascii="Arial" w:hAnsi="Arial" w:cs="Arial"/>
          <w:sz w:val="22"/>
          <w:szCs w:val="22"/>
        </w:rPr>
        <w:br/>
        <w:t>This source provides concrete, up-to-date statics that quantifies the scale of burnout within the National Health Service</w:t>
      </w:r>
    </w:p>
    <w:p w14:paraId="2C0C71B6" w14:textId="3C1B3397" w:rsidR="00EF0BC2" w:rsidRPr="004D3E74" w:rsidRDefault="00EF0BC2" w:rsidP="00EF0BC2">
      <w:pPr>
        <w:spacing w:line="360" w:lineRule="auto"/>
        <w:rPr>
          <w:rFonts w:ascii="Arial" w:hAnsi="Arial" w:cs="Arial"/>
          <w:sz w:val="22"/>
          <w:szCs w:val="22"/>
        </w:rPr>
      </w:pPr>
      <w:r w:rsidRPr="004D3E74">
        <w:rPr>
          <w:rFonts w:ascii="Arial" w:hAnsi="Arial" w:cs="Arial"/>
          <w:sz w:val="22"/>
          <w:szCs w:val="22"/>
        </w:rPr>
        <w:t xml:space="preserve">NHS </w:t>
      </w:r>
      <w:r w:rsidR="004D3E74" w:rsidRPr="004D3E74">
        <w:rPr>
          <w:rFonts w:ascii="Arial" w:hAnsi="Arial" w:cs="Arial"/>
          <w:sz w:val="22"/>
          <w:szCs w:val="22"/>
        </w:rPr>
        <w:t>Employers, (</w:t>
      </w:r>
      <w:r w:rsidRPr="004D3E74">
        <w:rPr>
          <w:rFonts w:ascii="Arial" w:hAnsi="Arial" w:cs="Arial"/>
          <w:sz w:val="22"/>
          <w:szCs w:val="22"/>
        </w:rPr>
        <w:t>2025),details preventive strategies such mandatory health checks and wellbeing education integrated into daily work practices. These provide practical, solutions from within the healthcare system, showing current commitments to alleviate burnout.</w:t>
      </w:r>
    </w:p>
    <w:p w14:paraId="0BF35821" w14:textId="1188A137" w:rsidR="00EF0BC2" w:rsidRPr="004D3E74" w:rsidRDefault="00EF0BC2" w:rsidP="00EF0BC2">
      <w:pPr>
        <w:spacing w:line="360" w:lineRule="auto"/>
        <w:rPr>
          <w:rFonts w:ascii="Arial" w:hAnsi="Arial" w:cs="Arial"/>
          <w:sz w:val="22"/>
          <w:szCs w:val="22"/>
        </w:rPr>
      </w:pPr>
    </w:p>
    <w:p w14:paraId="0602AFE5" w14:textId="6E16E727" w:rsidR="00DA06CE" w:rsidRPr="004D3E74" w:rsidRDefault="00DA06CE" w:rsidP="00EF0BC2">
      <w:pPr>
        <w:spacing w:line="360" w:lineRule="auto"/>
        <w:rPr>
          <w:rFonts w:ascii="Arial" w:hAnsi="Arial" w:cs="Arial"/>
          <w:sz w:val="22"/>
          <w:szCs w:val="22"/>
        </w:rPr>
      </w:pPr>
      <w:r w:rsidRPr="004D3E74">
        <w:rPr>
          <w:rFonts w:ascii="Arial" w:hAnsi="Arial" w:cs="Arial"/>
          <w:sz w:val="22"/>
          <w:szCs w:val="22"/>
        </w:rPr>
        <w:t>Research Methodologies</w:t>
      </w:r>
    </w:p>
    <w:p w14:paraId="4831CD7D" w14:textId="06194B1D" w:rsidR="00DA06CE" w:rsidRPr="004D3E74" w:rsidRDefault="00DA06CE" w:rsidP="00DA06CE">
      <w:pPr>
        <w:spacing w:line="360" w:lineRule="auto"/>
        <w:rPr>
          <w:rFonts w:ascii="Arial" w:hAnsi="Arial" w:cs="Arial"/>
          <w:sz w:val="22"/>
          <w:szCs w:val="22"/>
        </w:rPr>
      </w:pPr>
      <w:r w:rsidRPr="004D3E74">
        <w:rPr>
          <w:rFonts w:ascii="Arial" w:hAnsi="Arial" w:cs="Arial"/>
          <w:sz w:val="22"/>
          <w:szCs w:val="22"/>
        </w:rPr>
        <w:t>A</w:t>
      </w:r>
      <w:r w:rsidRPr="00DA06CE">
        <w:rPr>
          <w:rFonts w:ascii="Arial" w:hAnsi="Arial" w:cs="Arial"/>
          <w:sz w:val="22"/>
          <w:szCs w:val="22"/>
        </w:rPr>
        <w:t>pproaches</w:t>
      </w:r>
      <w:r w:rsidRPr="004D3E74">
        <w:rPr>
          <w:rFonts w:ascii="Arial" w:hAnsi="Arial" w:cs="Arial"/>
          <w:sz w:val="22"/>
          <w:szCs w:val="22"/>
        </w:rPr>
        <w:t xml:space="preserve"> research</w:t>
      </w:r>
      <w:r w:rsidRPr="00DA06CE">
        <w:rPr>
          <w:rFonts w:ascii="Arial" w:hAnsi="Arial" w:cs="Arial"/>
          <w:sz w:val="22"/>
          <w:szCs w:val="22"/>
        </w:rPr>
        <w:t xml:space="preserve"> can be </w:t>
      </w:r>
      <w:r w:rsidRPr="004D3E74">
        <w:rPr>
          <w:rFonts w:ascii="Arial" w:hAnsi="Arial" w:cs="Arial"/>
          <w:sz w:val="22"/>
          <w:szCs w:val="22"/>
        </w:rPr>
        <w:t>spilt</w:t>
      </w:r>
      <w:r w:rsidRPr="00DA06CE">
        <w:rPr>
          <w:rFonts w:ascii="Arial" w:hAnsi="Arial" w:cs="Arial"/>
          <w:sz w:val="22"/>
          <w:szCs w:val="22"/>
        </w:rPr>
        <w:t xml:space="preserve"> into quantitative and qualitative</w:t>
      </w:r>
      <w:r w:rsidRPr="004D3E74">
        <w:rPr>
          <w:rFonts w:ascii="Arial" w:hAnsi="Arial" w:cs="Arial"/>
          <w:sz w:val="22"/>
          <w:szCs w:val="22"/>
        </w:rPr>
        <w:t xml:space="preserve"> (</w:t>
      </w:r>
      <w:proofErr w:type="spellStart"/>
      <w:r w:rsidRPr="004D3E74">
        <w:rPr>
          <w:rFonts w:ascii="Arial" w:hAnsi="Arial" w:cs="Arial"/>
          <w:sz w:val="22"/>
          <w:szCs w:val="22"/>
        </w:rPr>
        <w:t>Denscombe</w:t>
      </w:r>
      <w:proofErr w:type="spellEnd"/>
      <w:r w:rsidRPr="004D3E74">
        <w:rPr>
          <w:rFonts w:ascii="Arial" w:hAnsi="Arial" w:cs="Arial"/>
          <w:sz w:val="22"/>
          <w:szCs w:val="22"/>
        </w:rPr>
        <w:t>, 2019)</w:t>
      </w:r>
      <w:r w:rsidRPr="00DA06CE">
        <w:rPr>
          <w:rFonts w:ascii="Arial" w:hAnsi="Arial" w:cs="Arial"/>
          <w:sz w:val="22"/>
          <w:szCs w:val="22"/>
        </w:rPr>
        <w:t xml:space="preserve">. </w:t>
      </w:r>
      <w:r w:rsidRPr="004D3E74">
        <w:rPr>
          <w:rFonts w:ascii="Arial" w:hAnsi="Arial" w:cs="Arial"/>
          <w:sz w:val="22"/>
          <w:szCs w:val="22"/>
        </w:rPr>
        <w:t>For example, q</w:t>
      </w:r>
      <w:r w:rsidRPr="00DA06CE">
        <w:rPr>
          <w:rFonts w:ascii="Arial" w:hAnsi="Arial" w:cs="Arial"/>
          <w:sz w:val="22"/>
          <w:szCs w:val="22"/>
        </w:rPr>
        <w:t xml:space="preserve">uantitative research focuses on </w:t>
      </w:r>
      <w:r w:rsidRPr="004D3E74">
        <w:rPr>
          <w:rFonts w:ascii="Arial" w:hAnsi="Arial" w:cs="Arial"/>
          <w:sz w:val="22"/>
          <w:szCs w:val="22"/>
        </w:rPr>
        <w:t>data</w:t>
      </w:r>
      <w:r w:rsidRPr="00DA06CE">
        <w:rPr>
          <w:rFonts w:ascii="Arial" w:hAnsi="Arial" w:cs="Arial"/>
          <w:sz w:val="22"/>
          <w:szCs w:val="22"/>
        </w:rPr>
        <w:t xml:space="preserve"> and </w:t>
      </w:r>
      <w:r w:rsidRPr="004D3E74">
        <w:rPr>
          <w:rFonts w:ascii="Arial" w:hAnsi="Arial" w:cs="Arial"/>
          <w:sz w:val="22"/>
          <w:szCs w:val="22"/>
        </w:rPr>
        <w:t>number (</w:t>
      </w:r>
      <w:proofErr w:type="spellStart"/>
      <w:r w:rsidRPr="004D3E74">
        <w:rPr>
          <w:rFonts w:ascii="Arial" w:hAnsi="Arial" w:cs="Arial"/>
          <w:sz w:val="22"/>
          <w:szCs w:val="22"/>
        </w:rPr>
        <w:t>Denscombe</w:t>
      </w:r>
      <w:proofErr w:type="spellEnd"/>
      <w:r w:rsidRPr="004D3E74">
        <w:rPr>
          <w:rFonts w:ascii="Arial" w:hAnsi="Arial" w:cs="Arial"/>
          <w:sz w:val="22"/>
          <w:szCs w:val="22"/>
        </w:rPr>
        <w:t>, 2019)</w:t>
      </w:r>
      <w:r w:rsidRPr="00DA06CE">
        <w:rPr>
          <w:rFonts w:ascii="Arial" w:hAnsi="Arial" w:cs="Arial"/>
          <w:sz w:val="22"/>
          <w:szCs w:val="22"/>
        </w:rPr>
        <w:t xml:space="preserve">. </w:t>
      </w:r>
      <w:r w:rsidRPr="004D3E74">
        <w:rPr>
          <w:rFonts w:ascii="Arial" w:hAnsi="Arial" w:cs="Arial"/>
          <w:sz w:val="22"/>
          <w:szCs w:val="22"/>
        </w:rPr>
        <w:t>I</w:t>
      </w:r>
      <w:r w:rsidRPr="00DA06CE">
        <w:rPr>
          <w:rFonts w:ascii="Arial" w:hAnsi="Arial" w:cs="Arial"/>
          <w:sz w:val="22"/>
          <w:szCs w:val="22"/>
        </w:rPr>
        <w:t>nvolv</w:t>
      </w:r>
      <w:r w:rsidRPr="004D3E74">
        <w:rPr>
          <w:rFonts w:ascii="Arial" w:hAnsi="Arial" w:cs="Arial"/>
          <w:sz w:val="22"/>
          <w:szCs w:val="22"/>
        </w:rPr>
        <w:t>ing</w:t>
      </w:r>
      <w:r w:rsidRPr="00DA06CE">
        <w:rPr>
          <w:rFonts w:ascii="Arial" w:hAnsi="Arial" w:cs="Arial"/>
          <w:sz w:val="22"/>
          <w:szCs w:val="22"/>
        </w:rPr>
        <w:t xml:space="preserve"> </w:t>
      </w:r>
      <w:r w:rsidRPr="004D3E74">
        <w:rPr>
          <w:rFonts w:ascii="Arial" w:hAnsi="Arial" w:cs="Arial"/>
          <w:sz w:val="22"/>
          <w:szCs w:val="22"/>
        </w:rPr>
        <w:t>the gathering of</w:t>
      </w:r>
      <w:r w:rsidRPr="00DA06CE">
        <w:rPr>
          <w:rFonts w:ascii="Arial" w:hAnsi="Arial" w:cs="Arial"/>
          <w:sz w:val="22"/>
          <w:szCs w:val="22"/>
        </w:rPr>
        <w:t xml:space="preserve"> information that can be analysed </w:t>
      </w:r>
      <w:r w:rsidRPr="004D3E74">
        <w:rPr>
          <w:rFonts w:ascii="Arial" w:hAnsi="Arial" w:cs="Arial"/>
          <w:sz w:val="22"/>
          <w:szCs w:val="22"/>
        </w:rPr>
        <w:t xml:space="preserve">and </w:t>
      </w:r>
      <w:r w:rsidRPr="00DA06CE">
        <w:rPr>
          <w:rFonts w:ascii="Arial" w:hAnsi="Arial" w:cs="Arial"/>
          <w:sz w:val="22"/>
          <w:szCs w:val="22"/>
        </w:rPr>
        <w:t>measured</w:t>
      </w:r>
      <w:r w:rsidRPr="004D3E74">
        <w:rPr>
          <w:rFonts w:ascii="Arial" w:hAnsi="Arial" w:cs="Arial"/>
          <w:sz w:val="22"/>
          <w:szCs w:val="22"/>
        </w:rPr>
        <w:t xml:space="preserve"> </w:t>
      </w:r>
      <w:r w:rsidRPr="00DA06CE">
        <w:rPr>
          <w:rFonts w:ascii="Arial" w:hAnsi="Arial" w:cs="Arial"/>
          <w:sz w:val="22"/>
          <w:szCs w:val="22"/>
        </w:rPr>
        <w:t xml:space="preserve">using statistics to find test </w:t>
      </w:r>
      <w:r w:rsidRPr="004D3E74">
        <w:rPr>
          <w:rFonts w:ascii="Arial" w:hAnsi="Arial" w:cs="Arial"/>
          <w:sz w:val="22"/>
          <w:szCs w:val="22"/>
        </w:rPr>
        <w:t>hypotheses, patterns</w:t>
      </w:r>
      <w:r w:rsidRPr="00DA06CE">
        <w:rPr>
          <w:rFonts w:ascii="Arial" w:hAnsi="Arial" w:cs="Arial"/>
          <w:sz w:val="22"/>
          <w:szCs w:val="22"/>
        </w:rPr>
        <w:t xml:space="preserve">, and </w:t>
      </w:r>
      <w:r w:rsidRPr="004D3E74">
        <w:rPr>
          <w:rFonts w:ascii="Arial" w:hAnsi="Arial" w:cs="Arial"/>
          <w:sz w:val="22"/>
          <w:szCs w:val="22"/>
        </w:rPr>
        <w:t>look at the</w:t>
      </w:r>
      <w:r w:rsidRPr="00DA06CE">
        <w:rPr>
          <w:rFonts w:ascii="Arial" w:hAnsi="Arial" w:cs="Arial"/>
          <w:sz w:val="22"/>
          <w:szCs w:val="22"/>
        </w:rPr>
        <w:t xml:space="preserve"> </w:t>
      </w:r>
      <w:r w:rsidRPr="004D3E74">
        <w:rPr>
          <w:rFonts w:ascii="Arial" w:hAnsi="Arial" w:cs="Arial"/>
          <w:sz w:val="22"/>
          <w:szCs w:val="22"/>
        </w:rPr>
        <w:t>correction</w:t>
      </w:r>
      <w:r w:rsidRPr="00DA06CE">
        <w:rPr>
          <w:rFonts w:ascii="Arial" w:hAnsi="Arial" w:cs="Arial"/>
          <w:sz w:val="22"/>
          <w:szCs w:val="22"/>
        </w:rPr>
        <w:t xml:space="preserve"> between variables</w:t>
      </w:r>
      <w:r w:rsidRPr="004D3E74">
        <w:rPr>
          <w:rFonts w:ascii="Arial" w:hAnsi="Arial" w:cs="Arial"/>
          <w:sz w:val="22"/>
          <w:szCs w:val="22"/>
        </w:rPr>
        <w:t xml:space="preserve"> (</w:t>
      </w:r>
      <w:proofErr w:type="spellStart"/>
      <w:r w:rsidRPr="004D3E74">
        <w:rPr>
          <w:rFonts w:ascii="Arial" w:hAnsi="Arial" w:cs="Arial"/>
          <w:sz w:val="22"/>
          <w:szCs w:val="22"/>
        </w:rPr>
        <w:t>Denscombe</w:t>
      </w:r>
      <w:proofErr w:type="spellEnd"/>
      <w:r w:rsidRPr="004D3E74">
        <w:rPr>
          <w:rFonts w:ascii="Arial" w:hAnsi="Arial" w:cs="Arial"/>
          <w:sz w:val="22"/>
          <w:szCs w:val="22"/>
        </w:rPr>
        <w:t>, 2019)</w:t>
      </w:r>
      <w:r w:rsidRPr="00DA06CE">
        <w:rPr>
          <w:rFonts w:ascii="Arial" w:hAnsi="Arial" w:cs="Arial"/>
          <w:sz w:val="22"/>
          <w:szCs w:val="22"/>
        </w:rPr>
        <w:t>.</w:t>
      </w:r>
      <w:r w:rsidRPr="004D3E74">
        <w:rPr>
          <w:rFonts w:ascii="Arial" w:hAnsi="Arial" w:cs="Arial"/>
          <w:sz w:val="22"/>
          <w:szCs w:val="22"/>
        </w:rPr>
        <w:t xml:space="preserve"> On the other hand, q</w:t>
      </w:r>
      <w:r w:rsidRPr="00DA06CE">
        <w:rPr>
          <w:rFonts w:ascii="Arial" w:hAnsi="Arial" w:cs="Arial"/>
          <w:sz w:val="22"/>
          <w:szCs w:val="22"/>
        </w:rPr>
        <w:t>ualitative research, focus</w:t>
      </w:r>
      <w:r w:rsidRPr="004D3E74">
        <w:rPr>
          <w:rFonts w:ascii="Arial" w:hAnsi="Arial" w:cs="Arial"/>
          <w:sz w:val="22"/>
          <w:szCs w:val="22"/>
        </w:rPr>
        <w:t>es</w:t>
      </w:r>
      <w:r w:rsidRPr="00DA06CE">
        <w:rPr>
          <w:rFonts w:ascii="Arial" w:hAnsi="Arial" w:cs="Arial"/>
          <w:sz w:val="22"/>
          <w:szCs w:val="22"/>
        </w:rPr>
        <w:t xml:space="preserve"> on understanding </w:t>
      </w:r>
      <w:r w:rsidRPr="004D3E74">
        <w:rPr>
          <w:rFonts w:ascii="Arial" w:hAnsi="Arial" w:cs="Arial"/>
          <w:sz w:val="22"/>
          <w:szCs w:val="22"/>
        </w:rPr>
        <w:t>individual’s experiences</w:t>
      </w:r>
      <w:r w:rsidRPr="00DA06CE">
        <w:rPr>
          <w:rFonts w:ascii="Arial" w:hAnsi="Arial" w:cs="Arial"/>
          <w:sz w:val="22"/>
          <w:szCs w:val="22"/>
        </w:rPr>
        <w:t xml:space="preserve">, </w:t>
      </w:r>
      <w:r w:rsidRPr="004D3E74">
        <w:rPr>
          <w:rFonts w:ascii="Arial" w:hAnsi="Arial" w:cs="Arial"/>
          <w:sz w:val="22"/>
          <w:szCs w:val="22"/>
        </w:rPr>
        <w:t>feelings,</w:t>
      </w:r>
      <w:r w:rsidRPr="00DA06CE">
        <w:rPr>
          <w:rFonts w:ascii="Arial" w:hAnsi="Arial" w:cs="Arial"/>
          <w:sz w:val="22"/>
          <w:szCs w:val="22"/>
        </w:rPr>
        <w:t xml:space="preserve"> and </w:t>
      </w:r>
      <w:r w:rsidRPr="004D3E74">
        <w:rPr>
          <w:rFonts w:ascii="Arial" w:hAnsi="Arial" w:cs="Arial"/>
          <w:sz w:val="22"/>
          <w:szCs w:val="22"/>
        </w:rPr>
        <w:t>thoughts (Creswell, 2014)</w:t>
      </w:r>
      <w:r w:rsidRPr="00DA06CE">
        <w:rPr>
          <w:rFonts w:ascii="Arial" w:hAnsi="Arial" w:cs="Arial"/>
          <w:sz w:val="22"/>
          <w:szCs w:val="22"/>
        </w:rPr>
        <w:t xml:space="preserve">. </w:t>
      </w:r>
      <w:r w:rsidRPr="004D3E74">
        <w:rPr>
          <w:rFonts w:ascii="Arial" w:hAnsi="Arial" w:cs="Arial"/>
          <w:sz w:val="22"/>
          <w:szCs w:val="22"/>
        </w:rPr>
        <w:t>Qualitative</w:t>
      </w:r>
      <w:r w:rsidRPr="00DA06CE">
        <w:rPr>
          <w:rFonts w:ascii="Arial" w:hAnsi="Arial" w:cs="Arial"/>
          <w:sz w:val="22"/>
          <w:szCs w:val="22"/>
        </w:rPr>
        <w:t xml:space="preserve"> research</w:t>
      </w:r>
      <w:r w:rsidRPr="004D3E74">
        <w:rPr>
          <w:rFonts w:ascii="Arial" w:hAnsi="Arial" w:cs="Arial"/>
          <w:sz w:val="22"/>
          <w:szCs w:val="22"/>
        </w:rPr>
        <w:t xml:space="preserve"> </w:t>
      </w:r>
      <w:r w:rsidRPr="00DA06CE">
        <w:rPr>
          <w:rFonts w:ascii="Arial" w:hAnsi="Arial" w:cs="Arial"/>
          <w:sz w:val="22"/>
          <w:szCs w:val="22"/>
        </w:rPr>
        <w:t xml:space="preserve">uses data such as interviews, observations, and open-ended questions to </w:t>
      </w:r>
      <w:r w:rsidRPr="004D3E74">
        <w:rPr>
          <w:rFonts w:ascii="Arial" w:hAnsi="Arial" w:cs="Arial"/>
          <w:sz w:val="22"/>
          <w:szCs w:val="22"/>
        </w:rPr>
        <w:t>obtain a</w:t>
      </w:r>
      <w:r w:rsidRPr="00DA06CE">
        <w:rPr>
          <w:rFonts w:ascii="Arial" w:hAnsi="Arial" w:cs="Arial"/>
          <w:sz w:val="22"/>
          <w:szCs w:val="22"/>
        </w:rPr>
        <w:t xml:space="preserve"> </w:t>
      </w:r>
      <w:r w:rsidRPr="004D3E74">
        <w:rPr>
          <w:rFonts w:ascii="Arial" w:hAnsi="Arial" w:cs="Arial"/>
          <w:sz w:val="22"/>
          <w:szCs w:val="22"/>
        </w:rPr>
        <w:t>deeper insight</w:t>
      </w:r>
      <w:r w:rsidRPr="00DA06CE">
        <w:rPr>
          <w:rFonts w:ascii="Arial" w:hAnsi="Arial" w:cs="Arial"/>
          <w:sz w:val="22"/>
          <w:szCs w:val="22"/>
        </w:rPr>
        <w:t xml:space="preserve"> into behaviour and meaning</w:t>
      </w:r>
      <w:r w:rsidRPr="004D3E74">
        <w:rPr>
          <w:rFonts w:ascii="Arial" w:hAnsi="Arial" w:cs="Arial"/>
          <w:sz w:val="22"/>
          <w:szCs w:val="22"/>
        </w:rPr>
        <w:t xml:space="preserve"> (Creswell, 2014)</w:t>
      </w:r>
      <w:r w:rsidRPr="00DA06CE">
        <w:rPr>
          <w:rFonts w:ascii="Arial" w:hAnsi="Arial" w:cs="Arial"/>
          <w:sz w:val="22"/>
          <w:szCs w:val="22"/>
        </w:rPr>
        <w:t>.</w:t>
      </w:r>
      <w:r w:rsidRPr="004D3E74">
        <w:rPr>
          <w:rFonts w:ascii="Arial" w:hAnsi="Arial" w:cs="Arial"/>
          <w:sz w:val="22"/>
          <w:szCs w:val="22"/>
        </w:rPr>
        <w:t xml:space="preserve">  For example, typical</w:t>
      </w:r>
      <w:r w:rsidRPr="00DA06CE">
        <w:rPr>
          <w:rFonts w:ascii="Arial" w:hAnsi="Arial" w:cs="Arial"/>
          <w:sz w:val="22"/>
          <w:szCs w:val="22"/>
        </w:rPr>
        <w:t xml:space="preserve"> quantitative </w:t>
      </w:r>
      <w:r w:rsidRPr="004D3E74">
        <w:rPr>
          <w:rFonts w:ascii="Arial" w:hAnsi="Arial" w:cs="Arial"/>
          <w:sz w:val="22"/>
          <w:szCs w:val="22"/>
        </w:rPr>
        <w:t xml:space="preserve">methods are surveys or </w:t>
      </w:r>
      <w:r w:rsidRPr="00DA06CE">
        <w:rPr>
          <w:rFonts w:ascii="Arial" w:hAnsi="Arial" w:cs="Arial"/>
          <w:sz w:val="22"/>
          <w:szCs w:val="22"/>
        </w:rPr>
        <w:t xml:space="preserve">questionnaires, </w:t>
      </w:r>
      <w:r w:rsidRPr="004D3E74">
        <w:rPr>
          <w:rFonts w:ascii="Arial" w:hAnsi="Arial" w:cs="Arial"/>
          <w:sz w:val="22"/>
          <w:szCs w:val="22"/>
        </w:rPr>
        <w:t xml:space="preserve">that </w:t>
      </w:r>
      <w:r w:rsidRPr="00DA06CE">
        <w:rPr>
          <w:rFonts w:ascii="Arial" w:hAnsi="Arial" w:cs="Arial"/>
          <w:sz w:val="22"/>
          <w:szCs w:val="22"/>
        </w:rPr>
        <w:t xml:space="preserve">can be </w:t>
      </w:r>
      <w:r w:rsidRPr="004D3E74">
        <w:rPr>
          <w:rFonts w:ascii="Arial" w:hAnsi="Arial" w:cs="Arial"/>
          <w:sz w:val="22"/>
          <w:szCs w:val="22"/>
        </w:rPr>
        <w:t>distributed to</w:t>
      </w:r>
      <w:r w:rsidRPr="00DA06CE">
        <w:rPr>
          <w:rFonts w:ascii="Arial" w:hAnsi="Arial" w:cs="Arial"/>
          <w:sz w:val="22"/>
          <w:szCs w:val="22"/>
        </w:rPr>
        <w:t xml:space="preserve"> many people at the same time</w:t>
      </w:r>
      <w:r w:rsidRPr="004D3E74">
        <w:rPr>
          <w:rFonts w:ascii="Arial" w:hAnsi="Arial" w:cs="Arial"/>
          <w:sz w:val="22"/>
          <w:szCs w:val="22"/>
        </w:rPr>
        <w:t>;</w:t>
      </w:r>
      <w:r w:rsidRPr="00DA06CE">
        <w:rPr>
          <w:rFonts w:ascii="Arial" w:hAnsi="Arial" w:cs="Arial"/>
          <w:sz w:val="22"/>
          <w:szCs w:val="22"/>
        </w:rPr>
        <w:t xml:space="preserve"> making it easier to study large</w:t>
      </w:r>
      <w:r w:rsidRPr="004D3E74">
        <w:rPr>
          <w:rFonts w:ascii="Arial" w:hAnsi="Arial" w:cs="Arial"/>
          <w:sz w:val="22"/>
          <w:szCs w:val="22"/>
        </w:rPr>
        <w:t xml:space="preserve"> population sizes (Creswell, 2014).</w:t>
      </w:r>
      <w:r w:rsidRPr="00DA06CE">
        <w:rPr>
          <w:rFonts w:ascii="Arial" w:hAnsi="Arial" w:cs="Arial"/>
          <w:sz w:val="22"/>
          <w:szCs w:val="22"/>
        </w:rPr>
        <w:t xml:space="preserve"> People </w:t>
      </w:r>
      <w:r w:rsidRPr="004D3E74">
        <w:rPr>
          <w:rFonts w:ascii="Arial" w:hAnsi="Arial" w:cs="Arial"/>
          <w:sz w:val="22"/>
          <w:szCs w:val="22"/>
        </w:rPr>
        <w:t>are likely to feel</w:t>
      </w:r>
      <w:r w:rsidRPr="00DA06CE">
        <w:rPr>
          <w:rFonts w:ascii="Arial" w:hAnsi="Arial" w:cs="Arial"/>
          <w:sz w:val="22"/>
          <w:szCs w:val="22"/>
        </w:rPr>
        <w:t xml:space="preserve"> more anonymous when answering surveys, which can encourage honest responses</w:t>
      </w:r>
      <w:r w:rsidRPr="004D3E74">
        <w:rPr>
          <w:rFonts w:ascii="Arial" w:hAnsi="Arial" w:cs="Arial"/>
          <w:sz w:val="22"/>
          <w:szCs w:val="22"/>
        </w:rPr>
        <w:t xml:space="preserve"> (</w:t>
      </w:r>
      <w:proofErr w:type="spellStart"/>
      <w:r w:rsidRPr="004D3E74">
        <w:rPr>
          <w:rFonts w:ascii="Arial" w:hAnsi="Arial" w:cs="Arial"/>
          <w:sz w:val="22"/>
          <w:szCs w:val="22"/>
        </w:rPr>
        <w:t>Denscombe</w:t>
      </w:r>
      <w:proofErr w:type="spellEnd"/>
      <w:r w:rsidRPr="004D3E74">
        <w:rPr>
          <w:rFonts w:ascii="Arial" w:hAnsi="Arial" w:cs="Arial"/>
          <w:sz w:val="22"/>
          <w:szCs w:val="22"/>
        </w:rPr>
        <w:t>, 2019)</w:t>
      </w:r>
      <w:r w:rsidRPr="00DA06CE">
        <w:rPr>
          <w:rFonts w:ascii="Arial" w:hAnsi="Arial" w:cs="Arial"/>
          <w:sz w:val="22"/>
          <w:szCs w:val="22"/>
        </w:rPr>
        <w:t xml:space="preserve">. </w:t>
      </w:r>
      <w:r w:rsidRPr="004D3E74">
        <w:rPr>
          <w:rFonts w:ascii="Arial" w:hAnsi="Arial" w:cs="Arial"/>
          <w:sz w:val="22"/>
          <w:szCs w:val="22"/>
        </w:rPr>
        <w:t>Therefore,</w:t>
      </w:r>
      <w:r w:rsidRPr="00DA06CE">
        <w:rPr>
          <w:rFonts w:ascii="Arial" w:hAnsi="Arial" w:cs="Arial"/>
          <w:sz w:val="22"/>
          <w:szCs w:val="22"/>
        </w:rPr>
        <w:t xml:space="preserve"> qualitative methods like interviews usually involve smaller groups but provide more detailed and in-depth information</w:t>
      </w:r>
      <w:r w:rsidRPr="004D3E74">
        <w:rPr>
          <w:rFonts w:ascii="Arial" w:hAnsi="Arial" w:cs="Arial"/>
          <w:sz w:val="22"/>
          <w:szCs w:val="22"/>
        </w:rPr>
        <w:t xml:space="preserve"> (Creswell, 2014).</w:t>
      </w:r>
    </w:p>
    <w:p w14:paraId="22EEB1BA" w14:textId="03EB65BA" w:rsidR="00DA06CE" w:rsidRPr="00DA06CE" w:rsidRDefault="00DA06CE" w:rsidP="00DA06CE">
      <w:pPr>
        <w:spacing w:line="360" w:lineRule="auto"/>
        <w:rPr>
          <w:rFonts w:ascii="Arial" w:hAnsi="Arial" w:cs="Arial"/>
          <w:sz w:val="22"/>
          <w:szCs w:val="22"/>
        </w:rPr>
      </w:pPr>
      <w:r w:rsidRPr="004D3E74">
        <w:rPr>
          <w:rFonts w:ascii="Arial" w:hAnsi="Arial" w:cs="Arial"/>
          <w:sz w:val="22"/>
          <w:szCs w:val="22"/>
        </w:rPr>
        <w:t>Mixed methods research integrates quantitative and qualitative approaches (Creswell, 2014). using both personal experiences and numbers together to produce in-depth understanding of a topic (Creswell, 2014).</w:t>
      </w:r>
    </w:p>
    <w:p w14:paraId="7FAEB7A3" w14:textId="77777777" w:rsidR="00DA06CE" w:rsidRPr="004D3E74" w:rsidRDefault="00DA06CE" w:rsidP="00EF0BC2">
      <w:pPr>
        <w:spacing w:line="360" w:lineRule="auto"/>
        <w:rPr>
          <w:rFonts w:ascii="Arial" w:hAnsi="Arial" w:cs="Arial"/>
          <w:sz w:val="22"/>
          <w:szCs w:val="22"/>
        </w:rPr>
      </w:pPr>
    </w:p>
    <w:p w14:paraId="3B4BEC63" w14:textId="45723305" w:rsidR="00EF0BC2" w:rsidRPr="004D3E74" w:rsidRDefault="00DA06CE" w:rsidP="00EF0BC2">
      <w:pPr>
        <w:spacing w:line="360" w:lineRule="auto"/>
        <w:rPr>
          <w:rFonts w:ascii="Arial" w:hAnsi="Arial" w:cs="Arial"/>
          <w:sz w:val="22"/>
          <w:szCs w:val="22"/>
        </w:rPr>
      </w:pPr>
      <w:r w:rsidRPr="004D3E74">
        <w:rPr>
          <w:rFonts w:ascii="Arial" w:hAnsi="Arial" w:cs="Arial"/>
          <w:sz w:val="22"/>
          <w:szCs w:val="22"/>
        </w:rPr>
        <w:t>Data Collection</w:t>
      </w:r>
    </w:p>
    <w:p w14:paraId="11C41FC9" w14:textId="20356889" w:rsidR="00DA06CE" w:rsidRPr="004D3E74" w:rsidRDefault="00DA06CE" w:rsidP="00EF0BC2">
      <w:pPr>
        <w:spacing w:line="360" w:lineRule="auto"/>
        <w:rPr>
          <w:rFonts w:ascii="Arial" w:hAnsi="Arial" w:cs="Arial"/>
          <w:sz w:val="22"/>
          <w:szCs w:val="22"/>
        </w:rPr>
      </w:pPr>
      <w:r w:rsidRPr="004D3E74">
        <w:rPr>
          <w:rFonts w:ascii="Arial" w:hAnsi="Arial" w:cs="Arial"/>
          <w:sz w:val="22"/>
          <w:szCs w:val="22"/>
        </w:rPr>
        <w:t xml:space="preserve">Processing the gathering of information for study or research is referred to as data collection (Kothari, 2004). Techniques for collecting data, including, interviews, surveys, and experiments observation (Creswell, 2014, </w:t>
      </w:r>
      <w:proofErr w:type="spellStart"/>
      <w:r w:rsidRPr="004D3E74">
        <w:rPr>
          <w:rFonts w:ascii="Arial" w:hAnsi="Arial" w:cs="Arial"/>
          <w:sz w:val="22"/>
          <w:szCs w:val="22"/>
        </w:rPr>
        <w:t>Denscombe</w:t>
      </w:r>
      <w:proofErr w:type="spellEnd"/>
      <w:r w:rsidRPr="004D3E74">
        <w:rPr>
          <w:rFonts w:ascii="Arial" w:hAnsi="Arial" w:cs="Arial"/>
          <w:sz w:val="22"/>
          <w:szCs w:val="22"/>
        </w:rPr>
        <w:t>, 2019 and Kothari, 2004) Classified into two types of data is generally primary and secondary (Kothari, 2004). For example, Primary data is gathered directly by the researcher for a specific purpose, such as through surveys or interviews, and is usually more accurate and relevant (Creswell, 2014). However, it can be time-consuming and costly to gather (</w:t>
      </w:r>
      <w:proofErr w:type="spellStart"/>
      <w:r w:rsidRPr="004D3E74">
        <w:rPr>
          <w:rFonts w:ascii="Arial" w:hAnsi="Arial" w:cs="Arial"/>
          <w:sz w:val="22"/>
          <w:szCs w:val="22"/>
        </w:rPr>
        <w:t>Denscombe</w:t>
      </w:r>
      <w:proofErr w:type="spellEnd"/>
      <w:r w:rsidRPr="004D3E74">
        <w:rPr>
          <w:rFonts w:ascii="Arial" w:hAnsi="Arial" w:cs="Arial"/>
          <w:sz w:val="22"/>
          <w:szCs w:val="22"/>
        </w:rPr>
        <w:t>, 2019). Secondary data, on the other hand, has already been collected by others, such as in books, reports, or online sources (Kothari, 2004). It is quicker and cheaper to obtain but may be outdated or not entirely suitable for the researcher’s specific needs Kothari, 2004).</w:t>
      </w:r>
    </w:p>
    <w:p w14:paraId="6AB85F97" w14:textId="31230145" w:rsidR="00EF0BC2" w:rsidRPr="004D3E74" w:rsidRDefault="00EF0BC2" w:rsidP="00EF0BC2">
      <w:pPr>
        <w:spacing w:line="360" w:lineRule="auto"/>
        <w:rPr>
          <w:rFonts w:ascii="Arial" w:hAnsi="Arial" w:cs="Arial"/>
          <w:sz w:val="22"/>
          <w:szCs w:val="22"/>
        </w:rPr>
      </w:pPr>
    </w:p>
    <w:p w14:paraId="4E83DBB3" w14:textId="3E006316" w:rsidR="004D3E74" w:rsidRPr="004D3E74" w:rsidRDefault="004D3E74" w:rsidP="00EF0BC2">
      <w:pPr>
        <w:spacing w:line="360" w:lineRule="auto"/>
        <w:rPr>
          <w:rFonts w:ascii="Arial" w:hAnsi="Arial" w:cs="Arial"/>
          <w:sz w:val="22"/>
          <w:szCs w:val="22"/>
        </w:rPr>
      </w:pPr>
      <w:r w:rsidRPr="004D3E74">
        <w:rPr>
          <w:rFonts w:ascii="Arial" w:hAnsi="Arial" w:cs="Arial"/>
          <w:sz w:val="22"/>
          <w:szCs w:val="22"/>
        </w:rPr>
        <w:t>Conclusion</w:t>
      </w:r>
    </w:p>
    <w:p w14:paraId="2FE61052" w14:textId="6DEDE42E" w:rsidR="004D3E74" w:rsidRPr="004D3E74" w:rsidRDefault="004D3E74" w:rsidP="00EF0BC2">
      <w:pPr>
        <w:spacing w:line="360" w:lineRule="auto"/>
        <w:rPr>
          <w:rFonts w:ascii="Arial" w:hAnsi="Arial" w:cs="Arial"/>
          <w:sz w:val="22"/>
          <w:szCs w:val="22"/>
        </w:rPr>
      </w:pPr>
      <w:r w:rsidRPr="004D3E74">
        <w:rPr>
          <w:rFonts w:ascii="Arial" w:hAnsi="Arial" w:cs="Arial"/>
          <w:sz w:val="22"/>
          <w:szCs w:val="22"/>
        </w:rPr>
        <w:t>Burnout significantly affects NHS staff (</w:t>
      </w:r>
      <w:r w:rsidRPr="004D3E74">
        <w:rPr>
          <w:rStyle w:val="whitespace-normal"/>
          <w:rFonts w:ascii="Arial" w:hAnsi="Arial" w:cs="Arial"/>
          <w:sz w:val="22"/>
          <w:szCs w:val="22"/>
        </w:rPr>
        <w:t>NHS Employers</w:t>
      </w:r>
      <w:r w:rsidRPr="004D3E74">
        <w:rPr>
          <w:rFonts w:ascii="Arial" w:hAnsi="Arial" w:cs="Arial"/>
          <w:sz w:val="22"/>
          <w:szCs w:val="22"/>
        </w:rPr>
        <w:t>, and Nast, 2025) reducing their wellbeing and the quality of patient care through emotional exhaustion, mental and physical health issues, and cognitive difficulties (</w:t>
      </w:r>
      <w:proofErr w:type="spellStart"/>
      <w:r w:rsidRPr="004D3E74">
        <w:rPr>
          <w:rFonts w:ascii="Arial" w:hAnsi="Arial" w:cs="Arial"/>
          <w:sz w:val="22"/>
          <w:szCs w:val="22"/>
        </w:rPr>
        <w:t>Toker</w:t>
      </w:r>
      <w:proofErr w:type="spellEnd"/>
      <w:r w:rsidRPr="004D3E74">
        <w:rPr>
          <w:rFonts w:ascii="Arial" w:hAnsi="Arial" w:cs="Arial"/>
          <w:sz w:val="22"/>
          <w:szCs w:val="22"/>
        </w:rPr>
        <w:t xml:space="preserve">, </w:t>
      </w:r>
      <w:proofErr w:type="spellStart"/>
      <w:r w:rsidRPr="004D3E74">
        <w:rPr>
          <w:rFonts w:ascii="Arial" w:hAnsi="Arial" w:cs="Arial"/>
          <w:sz w:val="22"/>
          <w:szCs w:val="22"/>
        </w:rPr>
        <w:t>Melamed</w:t>
      </w:r>
      <w:proofErr w:type="spellEnd"/>
      <w:r w:rsidRPr="004D3E74">
        <w:rPr>
          <w:rFonts w:ascii="Arial" w:hAnsi="Arial" w:cs="Arial"/>
          <w:sz w:val="22"/>
          <w:szCs w:val="22"/>
        </w:rPr>
        <w:t xml:space="preserve">, Berliner, </w:t>
      </w:r>
      <w:proofErr w:type="spellStart"/>
      <w:r w:rsidRPr="004D3E74">
        <w:rPr>
          <w:rFonts w:ascii="Arial" w:hAnsi="Arial" w:cs="Arial"/>
          <w:sz w:val="22"/>
          <w:szCs w:val="22"/>
        </w:rPr>
        <w:t>Zeltser</w:t>
      </w:r>
      <w:proofErr w:type="spellEnd"/>
      <w:r w:rsidRPr="004D3E74">
        <w:rPr>
          <w:rFonts w:ascii="Arial" w:hAnsi="Arial" w:cs="Arial"/>
          <w:sz w:val="22"/>
          <w:szCs w:val="22"/>
        </w:rPr>
        <w:t xml:space="preserve">, </w:t>
      </w:r>
      <w:proofErr w:type="spellStart"/>
      <w:r w:rsidRPr="004D3E74">
        <w:rPr>
          <w:rFonts w:ascii="Arial" w:hAnsi="Arial" w:cs="Arial"/>
          <w:sz w:val="22"/>
          <w:szCs w:val="22"/>
        </w:rPr>
        <w:t>Shapira</w:t>
      </w:r>
      <w:proofErr w:type="spellEnd"/>
      <w:r w:rsidRPr="004D3E74">
        <w:rPr>
          <w:rFonts w:ascii="Arial" w:hAnsi="Arial" w:cs="Arial"/>
          <w:sz w:val="22"/>
          <w:szCs w:val="22"/>
        </w:rPr>
        <w:t>, 2024 and Nash, 2025). Additionally, to study burnout effectively, mixed</w:t>
      </w:r>
      <w:r w:rsidRPr="004D3E74">
        <w:rPr>
          <w:rStyle w:val="Strong"/>
          <w:rFonts w:ascii="Arial" w:hAnsi="Arial" w:cs="Arial"/>
          <w:sz w:val="22"/>
          <w:szCs w:val="22"/>
        </w:rPr>
        <w:t xml:space="preserve"> methods research</w:t>
      </w:r>
      <w:r w:rsidRPr="004D3E74">
        <w:rPr>
          <w:rFonts w:ascii="Arial" w:hAnsi="Arial" w:cs="Arial"/>
          <w:sz w:val="22"/>
          <w:szCs w:val="22"/>
        </w:rPr>
        <w:t xml:space="preserve"> that combines surveys for quantitative data and interviews for qualitative insight may be a suitable approach, as it captures both measurable trends and personal experiences Creswell, 2014</w:t>
      </w:r>
      <w:r>
        <w:rPr>
          <w:rFonts w:ascii="Arial" w:hAnsi="Arial" w:cs="Arial"/>
          <w:sz w:val="22"/>
          <w:szCs w:val="22"/>
        </w:rPr>
        <w:t>)</w:t>
      </w:r>
      <w:r w:rsidRPr="004D3E74">
        <w:rPr>
          <w:rFonts w:ascii="Arial" w:hAnsi="Arial" w:cs="Arial"/>
          <w:sz w:val="22"/>
          <w:szCs w:val="22"/>
        </w:rPr>
        <w:t>.</w:t>
      </w:r>
      <w:r>
        <w:rPr>
          <w:rFonts w:ascii="Arial" w:hAnsi="Arial" w:cs="Arial"/>
          <w:sz w:val="22"/>
          <w:szCs w:val="22"/>
        </w:rPr>
        <w:t xml:space="preserve"> </w:t>
      </w:r>
      <w:r w:rsidRPr="004D3E74">
        <w:rPr>
          <w:rFonts w:ascii="Arial" w:hAnsi="Arial" w:cs="Arial"/>
          <w:sz w:val="22"/>
          <w:szCs w:val="22"/>
        </w:rPr>
        <w:t xml:space="preserve">This dual approach </w:t>
      </w:r>
      <w:r>
        <w:rPr>
          <w:rFonts w:ascii="Arial" w:hAnsi="Arial" w:cs="Arial"/>
          <w:sz w:val="22"/>
          <w:szCs w:val="22"/>
        </w:rPr>
        <w:t>allows</w:t>
      </w:r>
      <w:r w:rsidRPr="004D3E74">
        <w:rPr>
          <w:rFonts w:ascii="Arial" w:hAnsi="Arial" w:cs="Arial"/>
          <w:sz w:val="22"/>
          <w:szCs w:val="22"/>
        </w:rPr>
        <w:t xml:space="preserve"> researchers to develop a </w:t>
      </w:r>
      <w:r>
        <w:rPr>
          <w:rFonts w:ascii="Arial" w:hAnsi="Arial" w:cs="Arial"/>
          <w:sz w:val="22"/>
          <w:szCs w:val="22"/>
        </w:rPr>
        <w:t xml:space="preserve">suitable </w:t>
      </w:r>
      <w:r w:rsidRPr="004D3E74">
        <w:rPr>
          <w:rFonts w:ascii="Arial" w:hAnsi="Arial" w:cs="Arial"/>
          <w:sz w:val="22"/>
          <w:szCs w:val="22"/>
        </w:rPr>
        <w:t>understanding of burnout neither quantitative</w:t>
      </w:r>
      <w:r>
        <w:rPr>
          <w:rFonts w:ascii="Arial" w:hAnsi="Arial" w:cs="Arial"/>
          <w:sz w:val="22"/>
          <w:szCs w:val="22"/>
        </w:rPr>
        <w:t xml:space="preserve"> or </w:t>
      </w:r>
      <w:r w:rsidRPr="004D3E74">
        <w:rPr>
          <w:rFonts w:ascii="Arial" w:hAnsi="Arial" w:cs="Arial"/>
          <w:sz w:val="22"/>
          <w:szCs w:val="22"/>
        </w:rPr>
        <w:t>qualitative method alone could fully capture. Notably primary</w:t>
      </w:r>
      <w:r w:rsidRPr="004D3E74">
        <w:rPr>
          <w:rStyle w:val="Strong"/>
          <w:rFonts w:ascii="Arial" w:hAnsi="Arial" w:cs="Arial"/>
          <w:sz w:val="22"/>
          <w:szCs w:val="22"/>
        </w:rPr>
        <w:t xml:space="preserve"> data collection</w:t>
      </w:r>
      <w:r w:rsidRPr="004D3E74">
        <w:rPr>
          <w:rFonts w:ascii="Arial" w:hAnsi="Arial" w:cs="Arial"/>
          <w:sz w:val="22"/>
          <w:szCs w:val="22"/>
        </w:rPr>
        <w:t xml:space="preserve"> ensures accurate, relevant information (Kothari, 2004), helping healthcare systems develop targeted strategies to prevent burnout and maintain safe, sustainable patient care (</w:t>
      </w:r>
      <w:r w:rsidRPr="004D3E74">
        <w:rPr>
          <w:rStyle w:val="whitespace-normal"/>
          <w:rFonts w:ascii="Arial" w:hAnsi="Arial" w:cs="Arial"/>
          <w:sz w:val="22"/>
          <w:szCs w:val="22"/>
        </w:rPr>
        <w:t>NHS Employers</w:t>
      </w:r>
      <w:r w:rsidRPr="004D3E74">
        <w:rPr>
          <w:rFonts w:ascii="Arial" w:hAnsi="Arial" w:cs="Arial"/>
          <w:sz w:val="22"/>
          <w:szCs w:val="22"/>
        </w:rPr>
        <w:t>, 2025).</w:t>
      </w:r>
    </w:p>
    <w:p w14:paraId="69DAB40D" w14:textId="063A591A" w:rsidR="007D4D1B" w:rsidRPr="00EF0BC2" w:rsidRDefault="007D4D1B" w:rsidP="00EF0BC2">
      <w:pPr>
        <w:spacing w:line="360" w:lineRule="auto"/>
        <w:rPr>
          <w:rFonts w:ascii="Arial" w:hAnsi="Arial" w:cs="Arial"/>
          <w:sz w:val="22"/>
          <w:szCs w:val="22"/>
        </w:rPr>
      </w:pPr>
    </w:p>
    <w:p w14:paraId="59F642AD" w14:textId="77777777" w:rsidR="00EF0BC2" w:rsidRPr="00EF0BC2" w:rsidRDefault="00EF0BC2" w:rsidP="00EF0BC2">
      <w:pPr>
        <w:spacing w:line="360" w:lineRule="auto"/>
        <w:rPr>
          <w:rFonts w:ascii="Arial" w:hAnsi="Arial" w:cs="Arial"/>
          <w:sz w:val="22"/>
          <w:szCs w:val="22"/>
        </w:rPr>
      </w:pPr>
    </w:p>
    <w:p w14:paraId="4B1BE7B4" w14:textId="77777777" w:rsidR="004D3E74" w:rsidRPr="004D3E74" w:rsidRDefault="004D3E74" w:rsidP="004D3E74">
      <w:pPr>
        <w:spacing w:line="360" w:lineRule="auto"/>
        <w:rPr>
          <w:rFonts w:ascii="Arial" w:hAnsi="Arial" w:cs="Arial"/>
          <w:sz w:val="22"/>
          <w:szCs w:val="22"/>
        </w:rPr>
      </w:pPr>
    </w:p>
    <w:p w14:paraId="0894BAF0" w14:textId="77777777" w:rsidR="004D3E74" w:rsidRPr="004D3E74" w:rsidRDefault="004D3E74" w:rsidP="004D3E74">
      <w:pPr>
        <w:spacing w:line="360" w:lineRule="auto"/>
        <w:rPr>
          <w:rFonts w:ascii="Arial" w:hAnsi="Arial" w:cs="Arial"/>
          <w:sz w:val="22"/>
          <w:szCs w:val="22"/>
        </w:rPr>
      </w:pPr>
      <w:r w:rsidRPr="004D3E74">
        <w:rPr>
          <w:rFonts w:ascii="Arial" w:hAnsi="Arial" w:cs="Arial"/>
          <w:sz w:val="22"/>
          <w:szCs w:val="22"/>
        </w:rPr>
        <w:t xml:space="preserve">(2019) </w:t>
      </w:r>
      <w:r w:rsidRPr="007D4D1B">
        <w:rPr>
          <w:rFonts w:ascii="Arial" w:hAnsi="Arial" w:cs="Arial"/>
          <w:sz w:val="22"/>
          <w:szCs w:val="22"/>
        </w:rPr>
        <w:t>Burn-out an "occupational phenomenon": International Classification of Diseases</w:t>
      </w:r>
      <w:r w:rsidRPr="004D3E74">
        <w:rPr>
          <w:rFonts w:ascii="Arial" w:hAnsi="Arial" w:cs="Arial"/>
          <w:sz w:val="22"/>
          <w:szCs w:val="22"/>
        </w:rPr>
        <w:t xml:space="preserve"> Accessed on:11 March 2026 </w:t>
      </w:r>
      <w:hyperlink r:id="rId5" w:history="1">
        <w:r w:rsidRPr="004D3E74">
          <w:rPr>
            <w:rStyle w:val="Hyperlink"/>
            <w:rFonts w:ascii="Arial" w:hAnsi="Arial" w:cs="Arial"/>
            <w:sz w:val="22"/>
            <w:szCs w:val="22"/>
          </w:rPr>
          <w:t>https://www.who.int/news/item/28-05-2019-burn-out-an-occupational-phenomenon-international-classification-of-diseases</w:t>
        </w:r>
      </w:hyperlink>
      <w:r w:rsidRPr="004D3E74">
        <w:rPr>
          <w:rFonts w:ascii="Arial" w:hAnsi="Arial" w:cs="Arial"/>
          <w:sz w:val="22"/>
          <w:szCs w:val="22"/>
        </w:rPr>
        <w:t xml:space="preserve"> </w:t>
      </w:r>
    </w:p>
    <w:p w14:paraId="4CD434CC" w14:textId="77777777" w:rsidR="004D3E74" w:rsidRPr="004D3E74" w:rsidRDefault="004D3E74" w:rsidP="004D3E74">
      <w:pPr>
        <w:spacing w:line="360" w:lineRule="auto"/>
        <w:rPr>
          <w:rFonts w:ascii="Arial" w:hAnsi="Arial" w:cs="Arial"/>
          <w:sz w:val="22"/>
          <w:szCs w:val="22"/>
        </w:rPr>
      </w:pPr>
      <w:r w:rsidRPr="004D3E74">
        <w:rPr>
          <w:rFonts w:ascii="Arial" w:hAnsi="Arial" w:cs="Arial"/>
          <w:sz w:val="22"/>
          <w:szCs w:val="22"/>
        </w:rPr>
        <w:t xml:space="preserve">Creswell, J.W. (2014) </w:t>
      </w:r>
      <w:r w:rsidRPr="004D3E74">
        <w:rPr>
          <w:rStyle w:val="Emphasis"/>
          <w:rFonts w:ascii="Arial" w:hAnsi="Arial" w:cs="Arial"/>
          <w:sz w:val="22"/>
          <w:szCs w:val="22"/>
        </w:rPr>
        <w:t>Research Design: Qualitative, Quantitative, and Mixed Methods Approaches</w:t>
      </w:r>
      <w:r w:rsidRPr="004D3E74">
        <w:rPr>
          <w:rFonts w:ascii="Arial" w:hAnsi="Arial" w:cs="Arial"/>
          <w:sz w:val="22"/>
          <w:szCs w:val="22"/>
        </w:rPr>
        <w:t xml:space="preserve">. 4th </w:t>
      </w:r>
      <w:proofErr w:type="spellStart"/>
      <w:r w:rsidRPr="004D3E74">
        <w:rPr>
          <w:rFonts w:ascii="Arial" w:hAnsi="Arial" w:cs="Arial"/>
          <w:sz w:val="22"/>
          <w:szCs w:val="22"/>
        </w:rPr>
        <w:t>edn</w:t>
      </w:r>
      <w:proofErr w:type="spellEnd"/>
      <w:r w:rsidRPr="004D3E74">
        <w:rPr>
          <w:rFonts w:ascii="Arial" w:hAnsi="Arial" w:cs="Arial"/>
          <w:sz w:val="22"/>
          <w:szCs w:val="22"/>
        </w:rPr>
        <w:t>. Thousand Oaks, CA: SAGE Publications.</w:t>
      </w:r>
    </w:p>
    <w:p w14:paraId="03FA4503" w14:textId="77777777" w:rsidR="004D3E74" w:rsidRPr="004D3E74" w:rsidRDefault="004D3E74" w:rsidP="004D3E74">
      <w:pPr>
        <w:spacing w:line="360" w:lineRule="auto"/>
        <w:rPr>
          <w:rFonts w:ascii="Arial" w:hAnsi="Arial" w:cs="Arial"/>
          <w:sz w:val="22"/>
          <w:szCs w:val="22"/>
        </w:rPr>
      </w:pPr>
      <w:proofErr w:type="spellStart"/>
      <w:r w:rsidRPr="004D3E74">
        <w:rPr>
          <w:rFonts w:ascii="Arial" w:hAnsi="Arial" w:cs="Arial"/>
          <w:sz w:val="22"/>
          <w:szCs w:val="22"/>
        </w:rPr>
        <w:t>Denscombe</w:t>
      </w:r>
      <w:proofErr w:type="spellEnd"/>
      <w:r w:rsidRPr="004D3E74">
        <w:rPr>
          <w:rFonts w:ascii="Arial" w:hAnsi="Arial" w:cs="Arial"/>
          <w:sz w:val="22"/>
          <w:szCs w:val="22"/>
        </w:rPr>
        <w:t xml:space="preserve">, M., 2010. </w:t>
      </w:r>
      <w:r w:rsidRPr="004D3E74">
        <w:rPr>
          <w:rStyle w:val="Emphasis"/>
          <w:rFonts w:ascii="Arial" w:hAnsi="Arial" w:cs="Arial"/>
          <w:sz w:val="22"/>
          <w:szCs w:val="22"/>
        </w:rPr>
        <w:t>The Good Research Guide: For Small-Scale Social Research Projects</w:t>
      </w:r>
      <w:r w:rsidRPr="004D3E74">
        <w:rPr>
          <w:rFonts w:ascii="Arial" w:hAnsi="Arial" w:cs="Arial"/>
          <w:sz w:val="22"/>
          <w:szCs w:val="22"/>
        </w:rPr>
        <w:t>. 4th ed. Maidenhead: Open University Press.</w:t>
      </w:r>
    </w:p>
    <w:p w14:paraId="333641D5" w14:textId="77777777" w:rsidR="004D3E74" w:rsidRPr="007D4D1B" w:rsidRDefault="004D3E74" w:rsidP="004D3E74">
      <w:pPr>
        <w:shd w:val="clear" w:color="auto" w:fill="00383D"/>
        <w:spacing w:before="100" w:beforeAutospacing="1" w:after="100" w:afterAutospacing="1" w:line="360" w:lineRule="auto"/>
        <w:outlineLvl w:val="0"/>
        <w:rPr>
          <w:rFonts w:ascii="Arial" w:eastAsia="Times New Roman" w:hAnsi="Arial" w:cs="Arial"/>
          <w:color w:val="FFFFFF"/>
          <w:kern w:val="36"/>
          <w:sz w:val="22"/>
          <w:szCs w:val="22"/>
          <w:lang w:eastAsia="en-GB"/>
        </w:rPr>
      </w:pPr>
      <w:r w:rsidRPr="007D4D1B">
        <w:rPr>
          <w:rFonts w:ascii="Arial" w:eastAsia="Times New Roman" w:hAnsi="Arial" w:cs="Arial"/>
          <w:color w:val="FFFFFF"/>
          <w:kern w:val="36"/>
          <w:sz w:val="22"/>
          <w:szCs w:val="22"/>
          <w:lang w:eastAsia="en-GB"/>
        </w:rPr>
        <w:t>From burnout to belief: reflections on reforming the NHS from within</w:t>
      </w:r>
    </w:p>
    <w:p w14:paraId="438855A1" w14:textId="77777777" w:rsidR="004D3E74" w:rsidRPr="007D4D1B" w:rsidRDefault="004D3E74" w:rsidP="004D3E74">
      <w:pPr>
        <w:spacing w:line="360" w:lineRule="auto"/>
        <w:rPr>
          <w:rFonts w:ascii="Arial" w:hAnsi="Arial" w:cs="Arial"/>
          <w:sz w:val="22"/>
          <w:szCs w:val="22"/>
        </w:rPr>
      </w:pPr>
      <w:r w:rsidRPr="004D3E74">
        <w:rPr>
          <w:rFonts w:ascii="Arial" w:hAnsi="Arial" w:cs="Arial"/>
          <w:sz w:val="22"/>
          <w:szCs w:val="22"/>
        </w:rPr>
        <w:t>Kothari, C. R. (2004). Research Methodology: Methods and Techniques. New Age International Publishers.</w:t>
      </w:r>
    </w:p>
    <w:p w14:paraId="6049E5BE" w14:textId="77777777" w:rsidR="004D3E74" w:rsidRPr="004D3E74" w:rsidRDefault="004D3E74" w:rsidP="004D3E74">
      <w:pPr>
        <w:spacing w:line="360" w:lineRule="auto"/>
        <w:rPr>
          <w:rFonts w:ascii="Arial" w:hAnsi="Arial" w:cs="Arial"/>
          <w:sz w:val="22"/>
          <w:szCs w:val="22"/>
        </w:rPr>
      </w:pPr>
      <w:r w:rsidRPr="004D3E74">
        <w:rPr>
          <w:rFonts w:ascii="Arial" w:hAnsi="Arial" w:cs="Arial"/>
          <w:sz w:val="22"/>
          <w:szCs w:val="22"/>
        </w:rPr>
        <w:t xml:space="preserve">Nash, S (2025)“From burnout to belief: reflections on reforming the NHS from within” </w:t>
      </w:r>
      <w:hyperlink r:id="rId6" w:anchor=":~:text=The%20NHS%20is%20experiencing%20a%20crisis%20of,up%20with%20them%2C%20leading%20to%20health%20issues" w:history="1">
        <w:r w:rsidRPr="004D3E74">
          <w:rPr>
            <w:rStyle w:val="Hyperlink"/>
            <w:rFonts w:ascii="Arial" w:hAnsi="Arial" w:cs="Arial"/>
            <w:sz w:val="22"/>
            <w:szCs w:val="22"/>
          </w:rPr>
          <w:t>https://www.kingsfund.org.uk/insight-and-analysis/long-reads/burnout-belief-reforming-the-nhs#:~:text=The%20NHS%20is%20experiencing%20a%20crisis%20of,up%20with%20them%2C%20leading%20to%20health%20issues</w:t>
        </w:r>
      </w:hyperlink>
      <w:r w:rsidRPr="004D3E74">
        <w:rPr>
          <w:rFonts w:ascii="Arial" w:hAnsi="Arial" w:cs="Arial"/>
          <w:sz w:val="22"/>
          <w:szCs w:val="22"/>
        </w:rPr>
        <w:t xml:space="preserve"> </w:t>
      </w:r>
    </w:p>
    <w:p w14:paraId="0DFF8537" w14:textId="77777777" w:rsidR="004D3E74" w:rsidRPr="004D3E74" w:rsidRDefault="004D3E74" w:rsidP="004D3E74">
      <w:pPr>
        <w:spacing w:line="360" w:lineRule="auto"/>
        <w:rPr>
          <w:rFonts w:ascii="Arial" w:hAnsi="Arial" w:cs="Arial"/>
          <w:sz w:val="22"/>
          <w:szCs w:val="22"/>
        </w:rPr>
      </w:pPr>
      <w:r w:rsidRPr="004D3E74">
        <w:rPr>
          <w:rStyle w:val="whitespace-normal"/>
          <w:rFonts w:ascii="Arial" w:hAnsi="Arial" w:cs="Arial"/>
          <w:sz w:val="22"/>
          <w:szCs w:val="22"/>
        </w:rPr>
        <w:t>NHS Employers</w:t>
      </w:r>
      <w:r w:rsidRPr="004D3E74">
        <w:rPr>
          <w:rFonts w:ascii="Arial" w:hAnsi="Arial" w:cs="Arial"/>
          <w:sz w:val="22"/>
          <w:szCs w:val="22"/>
        </w:rPr>
        <w:t xml:space="preserve"> (2025) </w:t>
      </w:r>
      <w:r w:rsidRPr="004D3E74">
        <w:rPr>
          <w:rStyle w:val="Emphasis"/>
          <w:rFonts w:ascii="Arial" w:hAnsi="Arial" w:cs="Arial"/>
          <w:sz w:val="22"/>
          <w:szCs w:val="22"/>
        </w:rPr>
        <w:t>Beating burnout in the NHS</w:t>
      </w:r>
      <w:r w:rsidRPr="004D3E74">
        <w:rPr>
          <w:rFonts w:ascii="Arial" w:hAnsi="Arial" w:cs="Arial"/>
          <w:sz w:val="22"/>
          <w:szCs w:val="22"/>
        </w:rPr>
        <w:t xml:space="preserve">. NHS Employers. Available at: </w:t>
      </w:r>
      <w:hyperlink r:id="rId7" w:tgtFrame="_new" w:history="1">
        <w:r w:rsidRPr="004D3E74">
          <w:rPr>
            <w:rStyle w:val="Hyperlink"/>
            <w:rFonts w:ascii="Arial" w:hAnsi="Arial" w:cs="Arial"/>
            <w:sz w:val="22"/>
            <w:szCs w:val="22"/>
          </w:rPr>
          <w:t>https://www.nhsemployers.org/articles/beating-burnout-nhs</w:t>
        </w:r>
      </w:hyperlink>
      <w:r w:rsidRPr="004D3E74">
        <w:rPr>
          <w:rFonts w:ascii="Arial" w:hAnsi="Arial" w:cs="Arial"/>
          <w:sz w:val="22"/>
          <w:szCs w:val="22"/>
        </w:rPr>
        <w:t xml:space="preserve"> (Accessed: 3 March 2026).</w:t>
      </w:r>
    </w:p>
    <w:p w14:paraId="1EA644A2" w14:textId="77777777" w:rsidR="004D3E74" w:rsidRPr="004D3E74" w:rsidRDefault="004D3E74" w:rsidP="004D3E74">
      <w:pPr>
        <w:spacing w:line="360" w:lineRule="auto"/>
        <w:rPr>
          <w:rFonts w:ascii="Arial" w:hAnsi="Arial" w:cs="Arial"/>
          <w:sz w:val="22"/>
          <w:szCs w:val="22"/>
        </w:rPr>
      </w:pPr>
      <w:proofErr w:type="spellStart"/>
      <w:r w:rsidRPr="004D3E74">
        <w:rPr>
          <w:rFonts w:ascii="Arial" w:hAnsi="Arial" w:cs="Arial"/>
          <w:sz w:val="22"/>
          <w:szCs w:val="22"/>
        </w:rPr>
        <w:t>Toker</w:t>
      </w:r>
      <w:proofErr w:type="spellEnd"/>
      <w:r w:rsidRPr="004D3E74">
        <w:rPr>
          <w:rFonts w:ascii="Arial" w:hAnsi="Arial" w:cs="Arial"/>
          <w:sz w:val="22"/>
          <w:szCs w:val="22"/>
        </w:rPr>
        <w:t xml:space="preserve">, S, </w:t>
      </w:r>
      <w:proofErr w:type="spellStart"/>
      <w:r w:rsidRPr="004D3E74">
        <w:rPr>
          <w:rFonts w:ascii="Arial" w:hAnsi="Arial" w:cs="Arial"/>
          <w:sz w:val="22"/>
          <w:szCs w:val="22"/>
        </w:rPr>
        <w:t>Melamed</w:t>
      </w:r>
      <w:proofErr w:type="spellEnd"/>
      <w:r w:rsidRPr="004D3E74">
        <w:rPr>
          <w:rFonts w:ascii="Arial" w:hAnsi="Arial" w:cs="Arial"/>
          <w:sz w:val="22"/>
          <w:szCs w:val="22"/>
        </w:rPr>
        <w:t xml:space="preserve">, S, </w:t>
      </w:r>
      <w:proofErr w:type="spellStart"/>
      <w:r w:rsidRPr="004D3E74">
        <w:rPr>
          <w:rFonts w:ascii="Arial" w:hAnsi="Arial" w:cs="Arial"/>
          <w:sz w:val="22"/>
          <w:szCs w:val="22"/>
        </w:rPr>
        <w:t>SBerliner</w:t>
      </w:r>
      <w:proofErr w:type="spellEnd"/>
      <w:r w:rsidRPr="004D3E74">
        <w:rPr>
          <w:rFonts w:ascii="Arial" w:hAnsi="Arial" w:cs="Arial"/>
          <w:sz w:val="22"/>
          <w:szCs w:val="22"/>
        </w:rPr>
        <w:t xml:space="preserve">, S, </w:t>
      </w:r>
      <w:proofErr w:type="spellStart"/>
      <w:r w:rsidRPr="004D3E74">
        <w:rPr>
          <w:rFonts w:ascii="Arial" w:hAnsi="Arial" w:cs="Arial"/>
          <w:sz w:val="22"/>
          <w:szCs w:val="22"/>
        </w:rPr>
        <w:t>Zeltser</w:t>
      </w:r>
      <w:proofErr w:type="spellEnd"/>
      <w:r w:rsidRPr="004D3E74">
        <w:rPr>
          <w:rFonts w:ascii="Arial" w:hAnsi="Arial" w:cs="Arial"/>
          <w:sz w:val="22"/>
          <w:szCs w:val="22"/>
        </w:rPr>
        <w:t xml:space="preserve">, D,  </w:t>
      </w:r>
      <w:proofErr w:type="spellStart"/>
      <w:r w:rsidRPr="004D3E74">
        <w:rPr>
          <w:rFonts w:ascii="Arial" w:hAnsi="Arial" w:cs="Arial"/>
          <w:sz w:val="22"/>
          <w:szCs w:val="22"/>
        </w:rPr>
        <w:t>Shapira</w:t>
      </w:r>
      <w:proofErr w:type="spellEnd"/>
      <w:r w:rsidRPr="004D3E74">
        <w:rPr>
          <w:rFonts w:ascii="Arial" w:hAnsi="Arial" w:cs="Arial"/>
          <w:sz w:val="22"/>
          <w:szCs w:val="22"/>
        </w:rPr>
        <w:t>, I. (2024) “Burnout and risk of coronary heart disease: a prospective study of 8838 employees”</w:t>
      </w:r>
    </w:p>
    <w:p w14:paraId="6BA3B06C" w14:textId="77777777" w:rsidR="004D3E74" w:rsidRPr="004D3E74" w:rsidRDefault="004D3E74" w:rsidP="004D3E74">
      <w:pPr>
        <w:spacing w:line="360" w:lineRule="auto"/>
        <w:rPr>
          <w:rFonts w:ascii="Arial" w:hAnsi="Arial" w:cs="Arial"/>
          <w:sz w:val="22"/>
          <w:szCs w:val="22"/>
        </w:rPr>
      </w:pPr>
      <w:r w:rsidRPr="004D3E74">
        <w:rPr>
          <w:rFonts w:ascii="Arial" w:hAnsi="Arial" w:cs="Arial"/>
          <w:sz w:val="22"/>
          <w:szCs w:val="22"/>
        </w:rPr>
        <w:t>World Health Organization (2016) Framework on integrated, people-centred health services. Geneva: WHO.</w:t>
      </w:r>
    </w:p>
    <w:p w14:paraId="01B41A92" w14:textId="77777777" w:rsidR="004D3E74" w:rsidRPr="004D3E74" w:rsidRDefault="004D3E74" w:rsidP="004D3E74">
      <w:pPr>
        <w:spacing w:line="360" w:lineRule="auto"/>
        <w:rPr>
          <w:rFonts w:ascii="Arial" w:hAnsi="Arial" w:cs="Arial"/>
          <w:sz w:val="22"/>
          <w:szCs w:val="22"/>
        </w:rPr>
      </w:pPr>
      <w:r w:rsidRPr="004D3E74">
        <w:rPr>
          <w:rStyle w:val="whitespace-normal"/>
          <w:rFonts w:ascii="Arial" w:hAnsi="Arial" w:cs="Arial"/>
          <w:sz w:val="22"/>
          <w:szCs w:val="22"/>
        </w:rPr>
        <w:t>World Health Organization</w:t>
      </w:r>
      <w:r w:rsidRPr="004D3E74">
        <w:rPr>
          <w:rFonts w:ascii="Arial" w:hAnsi="Arial" w:cs="Arial"/>
          <w:sz w:val="22"/>
          <w:szCs w:val="22"/>
        </w:rPr>
        <w:t xml:space="preserve"> (2020) </w:t>
      </w:r>
      <w:r w:rsidRPr="004D3E74">
        <w:rPr>
          <w:rStyle w:val="Emphasis"/>
          <w:rFonts w:ascii="Arial" w:hAnsi="Arial" w:cs="Arial"/>
          <w:sz w:val="22"/>
          <w:szCs w:val="22"/>
        </w:rPr>
        <w:t>Mental health and COVID-19: Early evidence of the pandemic’s impact</w:t>
      </w:r>
      <w:r w:rsidRPr="004D3E74">
        <w:rPr>
          <w:rFonts w:ascii="Arial" w:hAnsi="Arial" w:cs="Arial"/>
          <w:sz w:val="22"/>
          <w:szCs w:val="22"/>
        </w:rPr>
        <w:t>. Geneva: WHO.</w:t>
      </w:r>
    </w:p>
    <w:sectPr w:rsidR="004D3E74" w:rsidRPr="004D3E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87588"/>
    <w:multiLevelType w:val="hybridMultilevel"/>
    <w:tmpl w:val="C05C03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1455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D1B"/>
    <w:rsid w:val="004D3E74"/>
    <w:rsid w:val="00553CD7"/>
    <w:rsid w:val="00575867"/>
    <w:rsid w:val="005E7AF6"/>
    <w:rsid w:val="007319E1"/>
    <w:rsid w:val="007D4D1B"/>
    <w:rsid w:val="00882560"/>
    <w:rsid w:val="00AC6895"/>
    <w:rsid w:val="00AE6209"/>
    <w:rsid w:val="00BE69D8"/>
    <w:rsid w:val="00CE4173"/>
    <w:rsid w:val="00D62652"/>
    <w:rsid w:val="00DA06CE"/>
    <w:rsid w:val="00EF0BC2"/>
    <w:rsid w:val="00F30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AC0DF4"/>
  <w15:chartTrackingRefBased/>
  <w15:docId w15:val="{C21CCBAC-B7DF-CC4A-8EB4-9B6489716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E74"/>
  </w:style>
  <w:style w:type="paragraph" w:styleId="Heading1">
    <w:name w:val="heading 1"/>
    <w:basedOn w:val="Normal"/>
    <w:link w:val="Heading1Char"/>
    <w:uiPriority w:val="9"/>
    <w:qFormat/>
    <w:rsid w:val="007D4D1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EF0BC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4D1B"/>
    <w:rPr>
      <w:color w:val="0563C1" w:themeColor="hyperlink"/>
      <w:u w:val="single"/>
    </w:rPr>
  </w:style>
  <w:style w:type="character" w:styleId="UnresolvedMention">
    <w:name w:val="Unresolved Mention"/>
    <w:basedOn w:val="DefaultParagraphFont"/>
    <w:uiPriority w:val="99"/>
    <w:semiHidden/>
    <w:unhideWhenUsed/>
    <w:rsid w:val="007D4D1B"/>
    <w:rPr>
      <w:color w:val="605E5C"/>
      <w:shd w:val="clear" w:color="auto" w:fill="E1DFDD"/>
    </w:rPr>
  </w:style>
  <w:style w:type="character" w:customStyle="1" w:styleId="Heading1Char">
    <w:name w:val="Heading 1 Char"/>
    <w:basedOn w:val="DefaultParagraphFont"/>
    <w:link w:val="Heading1"/>
    <w:uiPriority w:val="9"/>
    <w:rsid w:val="007D4D1B"/>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F0BC2"/>
    <w:pPr>
      <w:ind w:left="720"/>
      <w:contextualSpacing/>
    </w:pPr>
  </w:style>
  <w:style w:type="character" w:customStyle="1" w:styleId="whitespace-normal">
    <w:name w:val="whitespace-normal"/>
    <w:basedOn w:val="DefaultParagraphFont"/>
    <w:rsid w:val="00EF0BC2"/>
  </w:style>
  <w:style w:type="character" w:styleId="Emphasis">
    <w:name w:val="Emphasis"/>
    <w:basedOn w:val="DefaultParagraphFont"/>
    <w:uiPriority w:val="20"/>
    <w:qFormat/>
    <w:rsid w:val="00EF0BC2"/>
    <w:rPr>
      <w:i/>
      <w:iCs/>
    </w:rPr>
  </w:style>
  <w:style w:type="paragraph" w:styleId="NormalWeb">
    <w:name w:val="Normal (Web)"/>
    <w:basedOn w:val="Normal"/>
    <w:uiPriority w:val="99"/>
    <w:semiHidden/>
    <w:unhideWhenUsed/>
    <w:rsid w:val="00EF0BC2"/>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EF0BC2"/>
    <w:rPr>
      <w:b/>
      <w:bCs/>
    </w:rPr>
  </w:style>
  <w:style w:type="character" w:customStyle="1" w:styleId="Heading3Char">
    <w:name w:val="Heading 3 Char"/>
    <w:basedOn w:val="DefaultParagraphFont"/>
    <w:link w:val="Heading3"/>
    <w:uiPriority w:val="9"/>
    <w:semiHidden/>
    <w:rsid w:val="00EF0BC2"/>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3031">
      <w:bodyDiv w:val="1"/>
      <w:marLeft w:val="0"/>
      <w:marRight w:val="0"/>
      <w:marTop w:val="0"/>
      <w:marBottom w:val="0"/>
      <w:divBdr>
        <w:top w:val="none" w:sz="0" w:space="0" w:color="auto"/>
        <w:left w:val="none" w:sz="0" w:space="0" w:color="auto"/>
        <w:bottom w:val="none" w:sz="0" w:space="0" w:color="auto"/>
        <w:right w:val="none" w:sz="0" w:space="0" w:color="auto"/>
      </w:divBdr>
      <w:divsChild>
        <w:div w:id="590315058">
          <w:marLeft w:val="0"/>
          <w:marRight w:val="0"/>
          <w:marTop w:val="0"/>
          <w:marBottom w:val="0"/>
          <w:divBdr>
            <w:top w:val="none" w:sz="0" w:space="0" w:color="auto"/>
            <w:left w:val="none" w:sz="0" w:space="0" w:color="auto"/>
            <w:bottom w:val="none" w:sz="0" w:space="0" w:color="auto"/>
            <w:right w:val="none" w:sz="0" w:space="0" w:color="auto"/>
          </w:divBdr>
          <w:divsChild>
            <w:div w:id="1533112602">
              <w:marLeft w:val="0"/>
              <w:marRight w:val="0"/>
              <w:marTop w:val="0"/>
              <w:marBottom w:val="0"/>
              <w:divBdr>
                <w:top w:val="none" w:sz="0" w:space="0" w:color="auto"/>
                <w:left w:val="none" w:sz="0" w:space="0" w:color="auto"/>
                <w:bottom w:val="none" w:sz="0" w:space="0" w:color="auto"/>
                <w:right w:val="none" w:sz="0" w:space="0" w:color="auto"/>
              </w:divBdr>
              <w:divsChild>
                <w:div w:id="274413234">
                  <w:marLeft w:val="0"/>
                  <w:marRight w:val="0"/>
                  <w:marTop w:val="0"/>
                  <w:marBottom w:val="0"/>
                  <w:divBdr>
                    <w:top w:val="none" w:sz="0" w:space="0" w:color="auto"/>
                    <w:left w:val="none" w:sz="0" w:space="0" w:color="auto"/>
                    <w:bottom w:val="none" w:sz="0" w:space="0" w:color="auto"/>
                    <w:right w:val="none" w:sz="0" w:space="0" w:color="auto"/>
                  </w:divBdr>
                  <w:divsChild>
                    <w:div w:id="2114133598">
                      <w:marLeft w:val="0"/>
                      <w:marRight w:val="0"/>
                      <w:marTop w:val="0"/>
                      <w:marBottom w:val="0"/>
                      <w:divBdr>
                        <w:top w:val="none" w:sz="0" w:space="0" w:color="auto"/>
                        <w:left w:val="none" w:sz="0" w:space="0" w:color="auto"/>
                        <w:bottom w:val="none" w:sz="0" w:space="0" w:color="auto"/>
                        <w:right w:val="none" w:sz="0" w:space="0" w:color="auto"/>
                      </w:divBdr>
                      <w:divsChild>
                        <w:div w:id="1598169507">
                          <w:marLeft w:val="0"/>
                          <w:marRight w:val="0"/>
                          <w:marTop w:val="0"/>
                          <w:marBottom w:val="0"/>
                          <w:divBdr>
                            <w:top w:val="none" w:sz="0" w:space="0" w:color="auto"/>
                            <w:left w:val="none" w:sz="0" w:space="0" w:color="auto"/>
                            <w:bottom w:val="none" w:sz="0" w:space="0" w:color="auto"/>
                            <w:right w:val="none" w:sz="0" w:space="0" w:color="auto"/>
                          </w:divBdr>
                          <w:divsChild>
                            <w:div w:id="409351094">
                              <w:marLeft w:val="0"/>
                              <w:marRight w:val="0"/>
                              <w:marTop w:val="0"/>
                              <w:marBottom w:val="0"/>
                              <w:divBdr>
                                <w:top w:val="none" w:sz="0" w:space="0" w:color="auto"/>
                                <w:left w:val="none" w:sz="0" w:space="0" w:color="auto"/>
                                <w:bottom w:val="none" w:sz="0" w:space="0" w:color="auto"/>
                                <w:right w:val="none" w:sz="0" w:space="0" w:color="auto"/>
                              </w:divBdr>
                              <w:divsChild>
                                <w:div w:id="142745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08813">
      <w:bodyDiv w:val="1"/>
      <w:marLeft w:val="0"/>
      <w:marRight w:val="0"/>
      <w:marTop w:val="0"/>
      <w:marBottom w:val="0"/>
      <w:divBdr>
        <w:top w:val="none" w:sz="0" w:space="0" w:color="auto"/>
        <w:left w:val="none" w:sz="0" w:space="0" w:color="auto"/>
        <w:bottom w:val="none" w:sz="0" w:space="0" w:color="auto"/>
        <w:right w:val="none" w:sz="0" w:space="0" w:color="auto"/>
      </w:divBdr>
    </w:div>
    <w:div w:id="217402612">
      <w:bodyDiv w:val="1"/>
      <w:marLeft w:val="0"/>
      <w:marRight w:val="0"/>
      <w:marTop w:val="0"/>
      <w:marBottom w:val="0"/>
      <w:divBdr>
        <w:top w:val="none" w:sz="0" w:space="0" w:color="auto"/>
        <w:left w:val="none" w:sz="0" w:space="0" w:color="auto"/>
        <w:bottom w:val="none" w:sz="0" w:space="0" w:color="auto"/>
        <w:right w:val="none" w:sz="0" w:space="0" w:color="auto"/>
      </w:divBdr>
    </w:div>
    <w:div w:id="219439124">
      <w:bodyDiv w:val="1"/>
      <w:marLeft w:val="0"/>
      <w:marRight w:val="0"/>
      <w:marTop w:val="0"/>
      <w:marBottom w:val="0"/>
      <w:divBdr>
        <w:top w:val="none" w:sz="0" w:space="0" w:color="auto"/>
        <w:left w:val="none" w:sz="0" w:space="0" w:color="auto"/>
        <w:bottom w:val="none" w:sz="0" w:space="0" w:color="auto"/>
        <w:right w:val="none" w:sz="0" w:space="0" w:color="auto"/>
      </w:divBdr>
    </w:div>
    <w:div w:id="360590924">
      <w:bodyDiv w:val="1"/>
      <w:marLeft w:val="0"/>
      <w:marRight w:val="0"/>
      <w:marTop w:val="0"/>
      <w:marBottom w:val="0"/>
      <w:divBdr>
        <w:top w:val="none" w:sz="0" w:space="0" w:color="auto"/>
        <w:left w:val="none" w:sz="0" w:space="0" w:color="auto"/>
        <w:bottom w:val="none" w:sz="0" w:space="0" w:color="auto"/>
        <w:right w:val="none" w:sz="0" w:space="0" w:color="auto"/>
      </w:divBdr>
    </w:div>
    <w:div w:id="445392802">
      <w:bodyDiv w:val="1"/>
      <w:marLeft w:val="0"/>
      <w:marRight w:val="0"/>
      <w:marTop w:val="0"/>
      <w:marBottom w:val="0"/>
      <w:divBdr>
        <w:top w:val="none" w:sz="0" w:space="0" w:color="auto"/>
        <w:left w:val="none" w:sz="0" w:space="0" w:color="auto"/>
        <w:bottom w:val="none" w:sz="0" w:space="0" w:color="auto"/>
        <w:right w:val="none" w:sz="0" w:space="0" w:color="auto"/>
      </w:divBdr>
    </w:div>
    <w:div w:id="511071331">
      <w:bodyDiv w:val="1"/>
      <w:marLeft w:val="0"/>
      <w:marRight w:val="0"/>
      <w:marTop w:val="0"/>
      <w:marBottom w:val="0"/>
      <w:divBdr>
        <w:top w:val="none" w:sz="0" w:space="0" w:color="auto"/>
        <w:left w:val="none" w:sz="0" w:space="0" w:color="auto"/>
        <w:bottom w:val="none" w:sz="0" w:space="0" w:color="auto"/>
        <w:right w:val="none" w:sz="0" w:space="0" w:color="auto"/>
      </w:divBdr>
    </w:div>
    <w:div w:id="788398370">
      <w:bodyDiv w:val="1"/>
      <w:marLeft w:val="0"/>
      <w:marRight w:val="0"/>
      <w:marTop w:val="0"/>
      <w:marBottom w:val="0"/>
      <w:divBdr>
        <w:top w:val="none" w:sz="0" w:space="0" w:color="auto"/>
        <w:left w:val="none" w:sz="0" w:space="0" w:color="auto"/>
        <w:bottom w:val="none" w:sz="0" w:space="0" w:color="auto"/>
        <w:right w:val="none" w:sz="0" w:space="0" w:color="auto"/>
      </w:divBdr>
    </w:div>
    <w:div w:id="848448295">
      <w:bodyDiv w:val="1"/>
      <w:marLeft w:val="0"/>
      <w:marRight w:val="0"/>
      <w:marTop w:val="0"/>
      <w:marBottom w:val="0"/>
      <w:divBdr>
        <w:top w:val="none" w:sz="0" w:space="0" w:color="auto"/>
        <w:left w:val="none" w:sz="0" w:space="0" w:color="auto"/>
        <w:bottom w:val="none" w:sz="0" w:space="0" w:color="auto"/>
        <w:right w:val="none" w:sz="0" w:space="0" w:color="auto"/>
      </w:divBdr>
    </w:div>
    <w:div w:id="962462574">
      <w:bodyDiv w:val="1"/>
      <w:marLeft w:val="0"/>
      <w:marRight w:val="0"/>
      <w:marTop w:val="0"/>
      <w:marBottom w:val="0"/>
      <w:divBdr>
        <w:top w:val="none" w:sz="0" w:space="0" w:color="auto"/>
        <w:left w:val="none" w:sz="0" w:space="0" w:color="auto"/>
        <w:bottom w:val="none" w:sz="0" w:space="0" w:color="auto"/>
        <w:right w:val="none" w:sz="0" w:space="0" w:color="auto"/>
      </w:divBdr>
    </w:div>
    <w:div w:id="1266764672">
      <w:bodyDiv w:val="1"/>
      <w:marLeft w:val="0"/>
      <w:marRight w:val="0"/>
      <w:marTop w:val="0"/>
      <w:marBottom w:val="0"/>
      <w:divBdr>
        <w:top w:val="none" w:sz="0" w:space="0" w:color="auto"/>
        <w:left w:val="none" w:sz="0" w:space="0" w:color="auto"/>
        <w:bottom w:val="none" w:sz="0" w:space="0" w:color="auto"/>
        <w:right w:val="none" w:sz="0" w:space="0" w:color="auto"/>
      </w:divBdr>
    </w:div>
    <w:div w:id="1324049922">
      <w:bodyDiv w:val="1"/>
      <w:marLeft w:val="0"/>
      <w:marRight w:val="0"/>
      <w:marTop w:val="0"/>
      <w:marBottom w:val="0"/>
      <w:divBdr>
        <w:top w:val="none" w:sz="0" w:space="0" w:color="auto"/>
        <w:left w:val="none" w:sz="0" w:space="0" w:color="auto"/>
        <w:bottom w:val="none" w:sz="0" w:space="0" w:color="auto"/>
        <w:right w:val="none" w:sz="0" w:space="0" w:color="auto"/>
      </w:divBdr>
    </w:div>
    <w:div w:id="1447429770">
      <w:bodyDiv w:val="1"/>
      <w:marLeft w:val="0"/>
      <w:marRight w:val="0"/>
      <w:marTop w:val="0"/>
      <w:marBottom w:val="0"/>
      <w:divBdr>
        <w:top w:val="none" w:sz="0" w:space="0" w:color="auto"/>
        <w:left w:val="none" w:sz="0" w:space="0" w:color="auto"/>
        <w:bottom w:val="none" w:sz="0" w:space="0" w:color="auto"/>
        <w:right w:val="none" w:sz="0" w:space="0" w:color="auto"/>
      </w:divBdr>
    </w:div>
    <w:div w:id="1722435974">
      <w:bodyDiv w:val="1"/>
      <w:marLeft w:val="0"/>
      <w:marRight w:val="0"/>
      <w:marTop w:val="0"/>
      <w:marBottom w:val="0"/>
      <w:divBdr>
        <w:top w:val="none" w:sz="0" w:space="0" w:color="auto"/>
        <w:left w:val="none" w:sz="0" w:space="0" w:color="auto"/>
        <w:bottom w:val="none" w:sz="0" w:space="0" w:color="auto"/>
        <w:right w:val="none" w:sz="0" w:space="0" w:color="auto"/>
      </w:divBdr>
    </w:div>
    <w:div w:id="1963727944">
      <w:bodyDiv w:val="1"/>
      <w:marLeft w:val="0"/>
      <w:marRight w:val="0"/>
      <w:marTop w:val="0"/>
      <w:marBottom w:val="0"/>
      <w:divBdr>
        <w:top w:val="none" w:sz="0" w:space="0" w:color="auto"/>
        <w:left w:val="none" w:sz="0" w:space="0" w:color="auto"/>
        <w:bottom w:val="none" w:sz="0" w:space="0" w:color="auto"/>
        <w:right w:val="none" w:sz="0" w:space="0" w:color="auto"/>
      </w:divBdr>
    </w:div>
    <w:div w:id="1974823924">
      <w:bodyDiv w:val="1"/>
      <w:marLeft w:val="0"/>
      <w:marRight w:val="0"/>
      <w:marTop w:val="0"/>
      <w:marBottom w:val="0"/>
      <w:divBdr>
        <w:top w:val="none" w:sz="0" w:space="0" w:color="auto"/>
        <w:left w:val="none" w:sz="0" w:space="0" w:color="auto"/>
        <w:bottom w:val="none" w:sz="0" w:space="0" w:color="auto"/>
        <w:right w:val="none" w:sz="0" w:space="0" w:color="auto"/>
      </w:divBdr>
    </w:div>
    <w:div w:id="2068213472">
      <w:bodyDiv w:val="1"/>
      <w:marLeft w:val="0"/>
      <w:marRight w:val="0"/>
      <w:marTop w:val="0"/>
      <w:marBottom w:val="0"/>
      <w:divBdr>
        <w:top w:val="none" w:sz="0" w:space="0" w:color="auto"/>
        <w:left w:val="none" w:sz="0" w:space="0" w:color="auto"/>
        <w:bottom w:val="none" w:sz="0" w:space="0" w:color="auto"/>
        <w:right w:val="none" w:sz="0" w:space="0" w:color="auto"/>
      </w:divBdr>
    </w:div>
    <w:div w:id="213490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nhsemployers.org/articles/beating-burnout-nhs?utm_source=chatgpt.co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kingsfund.org.uk/insight-and-analysis/long-reads/burnout-belief-reforming-the-nhs" TargetMode="External" /><Relationship Id="rId5" Type="http://schemas.openxmlformats.org/officeDocument/2006/relationships/hyperlink" Target="https://www.who.int/news/item/28-05-2019-burn-out-an-occupational-phenomenon-international-classification-of-diseases"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1602</Words>
  <Characters>9134</Characters>
  <Application>Microsoft Office Word</Application>
  <DocSecurity>0</DocSecurity>
  <Lines>76</Lines>
  <Paragraphs>21</Paragraphs>
  <ScaleCrop>false</ScaleCrop>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Nadina Faulder</dc:creator>
  <cp:keywords/>
  <dc:description/>
  <cp:lastModifiedBy>Affsana Ghumra (2530121)</cp:lastModifiedBy>
  <cp:revision>9</cp:revision>
  <dcterms:created xsi:type="dcterms:W3CDTF">2026-03-24T20:19:00Z</dcterms:created>
  <dcterms:modified xsi:type="dcterms:W3CDTF">2026-03-27T19:04:00Z</dcterms:modified>
</cp:coreProperties>
</file>