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905AD5" w14:textId="77777777" w:rsidR="00E949FB" w:rsidRDefault="00E949FB"/>
    <w:p w14:paraId="0CB0C6B3" w14:textId="1B5D1F8E" w:rsidR="006A4D63" w:rsidRDefault="00D47920" w:rsidP="00343704">
      <w:pPr>
        <w:jc w:val="center"/>
      </w:pPr>
      <w:bookmarkStart w:id="0" w:name="_GoBack"/>
      <w:r>
        <w:rPr>
          <w:noProof/>
          <w:lang w:eastAsia="en-GB"/>
        </w:rPr>
        <w:drawing>
          <wp:inline distT="0" distB="0" distL="0" distR="0" wp14:anchorId="6E36FD9E" wp14:editId="0495E66D">
            <wp:extent cx="3209925" cy="1428750"/>
            <wp:effectExtent l="0" t="0" r="9525" b="0"/>
            <wp:docPr id="1322956041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bookmarkEnd w:id="0"/>
    <w:p w14:paraId="331EBD6B" w14:textId="77777777" w:rsidR="00D47920" w:rsidRDefault="00D47920"/>
    <w:p w14:paraId="165EF0F9" w14:textId="77777777" w:rsidR="00D47920" w:rsidRDefault="00D47920"/>
    <w:p w14:paraId="216B3F48" w14:textId="4B331C1C" w:rsidR="00D47920" w:rsidRPr="00D65E6A" w:rsidRDefault="00D65E6A" w:rsidP="00D65E6A">
      <w:pPr>
        <w:jc w:val="both"/>
        <w:rPr>
          <w:rFonts w:ascii="Arial" w:hAnsi="Arial" w:cs="Arial"/>
        </w:rPr>
      </w:pPr>
      <w:r w:rsidRPr="00D65E6A">
        <w:rPr>
          <w:rFonts w:ascii="Arial" w:hAnsi="Arial" w:cs="Arial"/>
        </w:rPr>
        <w:t xml:space="preserve">Title: </w:t>
      </w:r>
      <w:r w:rsidRPr="00D65E6A">
        <w:rPr>
          <w:rFonts w:ascii="Arial" w:hAnsi="Arial" w:cs="Arial"/>
        </w:rPr>
        <w:t>Reflecting on the Principles of Health and Social Care: Person-Centred Care,</w:t>
      </w:r>
      <w:r w:rsidRPr="00D65E6A">
        <w:rPr>
          <w:rFonts w:ascii="Arial" w:hAnsi="Arial" w:cs="Arial"/>
        </w:rPr>
        <w:t xml:space="preserve"> </w:t>
      </w:r>
      <w:r w:rsidRPr="00D65E6A">
        <w:rPr>
          <w:rFonts w:ascii="Arial" w:hAnsi="Arial" w:cs="Arial"/>
        </w:rPr>
        <w:t>Partnership Working, and Ethics in Social Work Practice</w:t>
      </w:r>
      <w:r w:rsidR="00D47920" w:rsidRPr="00D65E6A">
        <w:rPr>
          <w:rFonts w:ascii="Arial" w:hAnsi="Arial" w:cs="Arial"/>
        </w:rPr>
        <w:tab/>
      </w:r>
      <w:r w:rsidR="00D47920" w:rsidRPr="00D65E6A">
        <w:rPr>
          <w:rFonts w:ascii="Arial" w:hAnsi="Arial" w:cs="Arial"/>
        </w:rPr>
        <w:tab/>
      </w:r>
      <w:r w:rsidR="00D47920" w:rsidRPr="00D65E6A">
        <w:rPr>
          <w:rFonts w:ascii="Arial" w:hAnsi="Arial" w:cs="Arial"/>
        </w:rPr>
        <w:tab/>
      </w:r>
    </w:p>
    <w:p w14:paraId="61CC0C9A" w14:textId="6FB24149" w:rsidR="00D47920" w:rsidRDefault="00D47920" w:rsidP="00D65E6A">
      <w:pPr>
        <w:jc w:val="both"/>
        <w:rPr>
          <w:rFonts w:ascii="Arial" w:hAnsi="Arial" w:cs="Arial"/>
        </w:rPr>
      </w:pPr>
    </w:p>
    <w:p w14:paraId="247F7A78" w14:textId="498A0544" w:rsidR="00D65E6A" w:rsidRDefault="00D65E6A">
      <w:pPr>
        <w:rPr>
          <w:rFonts w:ascii="Arial" w:hAnsi="Arial" w:cs="Arial"/>
        </w:rPr>
      </w:pPr>
    </w:p>
    <w:p w14:paraId="4EF8D9F8" w14:textId="3BCED7E2" w:rsidR="00D65E6A" w:rsidRDefault="00D65E6A">
      <w:pPr>
        <w:rPr>
          <w:rFonts w:ascii="Arial" w:hAnsi="Arial" w:cs="Arial"/>
        </w:rPr>
      </w:pPr>
    </w:p>
    <w:p w14:paraId="093CDC4F" w14:textId="77777777" w:rsidR="00D65E6A" w:rsidRPr="00D65E6A" w:rsidRDefault="00D65E6A">
      <w:pPr>
        <w:rPr>
          <w:rFonts w:ascii="Arial" w:hAnsi="Arial" w:cs="Arial"/>
        </w:rPr>
      </w:pPr>
    </w:p>
    <w:p w14:paraId="60FF9148" w14:textId="7DF045AA" w:rsidR="00D47920" w:rsidRPr="00D65E6A" w:rsidRDefault="00D47920" w:rsidP="00CF61E4">
      <w:pPr>
        <w:spacing w:line="360" w:lineRule="auto"/>
        <w:rPr>
          <w:rFonts w:ascii="Arial" w:hAnsi="Arial" w:cs="Arial"/>
        </w:rPr>
      </w:pPr>
      <w:r w:rsidRPr="00D65E6A">
        <w:rPr>
          <w:rFonts w:ascii="Arial" w:hAnsi="Arial" w:cs="Arial"/>
        </w:rPr>
        <w:t xml:space="preserve">Name: </w:t>
      </w:r>
      <w:r w:rsidR="00E949FB" w:rsidRPr="00D65E6A">
        <w:rPr>
          <w:rFonts w:ascii="Arial" w:hAnsi="Arial" w:cs="Arial"/>
        </w:rPr>
        <w:t>Cheila Patricia Lopes Tavares</w:t>
      </w:r>
    </w:p>
    <w:p w14:paraId="1F949526" w14:textId="333F0C16" w:rsidR="00D47920" w:rsidRPr="00D65E6A" w:rsidRDefault="00D47920" w:rsidP="00CF61E4">
      <w:pPr>
        <w:spacing w:line="360" w:lineRule="auto"/>
        <w:rPr>
          <w:rFonts w:ascii="Arial" w:hAnsi="Arial" w:cs="Arial"/>
        </w:rPr>
      </w:pPr>
      <w:r w:rsidRPr="00D65E6A">
        <w:rPr>
          <w:rFonts w:ascii="Arial" w:hAnsi="Arial" w:cs="Arial"/>
        </w:rPr>
        <w:t xml:space="preserve">Student’s ID number: </w:t>
      </w:r>
      <w:r w:rsidR="00E949FB" w:rsidRPr="00D65E6A">
        <w:rPr>
          <w:rFonts w:ascii="Arial" w:hAnsi="Arial" w:cs="Arial"/>
        </w:rPr>
        <w:t>2430825</w:t>
      </w:r>
    </w:p>
    <w:p w14:paraId="28719829" w14:textId="629444EE" w:rsidR="00D47920" w:rsidRPr="00D65E6A" w:rsidRDefault="00D47920" w:rsidP="00CF61E4">
      <w:pPr>
        <w:spacing w:line="360" w:lineRule="auto"/>
        <w:rPr>
          <w:rFonts w:ascii="Arial" w:hAnsi="Arial" w:cs="Arial"/>
        </w:rPr>
      </w:pPr>
      <w:r w:rsidRPr="00D65E6A">
        <w:rPr>
          <w:rFonts w:ascii="Arial" w:hAnsi="Arial" w:cs="Arial"/>
        </w:rPr>
        <w:t>Module Code:</w:t>
      </w:r>
      <w:r w:rsidR="00E949FB" w:rsidRPr="00D65E6A">
        <w:rPr>
          <w:rFonts w:ascii="Arial" w:hAnsi="Arial" w:cs="Arial"/>
        </w:rPr>
        <w:t xml:space="preserve"> </w:t>
      </w:r>
      <w:r w:rsidR="00D65E6A" w:rsidRPr="00D65E6A">
        <w:rPr>
          <w:rFonts w:ascii="Arial" w:hAnsi="Arial" w:cs="Arial"/>
        </w:rPr>
        <w:t>BMHP5016</w:t>
      </w:r>
    </w:p>
    <w:p w14:paraId="5E96929D" w14:textId="23CF2BC4" w:rsidR="00D47920" w:rsidRPr="00D65E6A" w:rsidRDefault="00D47920" w:rsidP="00CF61E4">
      <w:pPr>
        <w:spacing w:line="360" w:lineRule="auto"/>
        <w:rPr>
          <w:rFonts w:ascii="Arial" w:hAnsi="Arial" w:cs="Arial"/>
        </w:rPr>
      </w:pPr>
      <w:r w:rsidRPr="00D65E6A">
        <w:rPr>
          <w:rFonts w:ascii="Arial" w:hAnsi="Arial" w:cs="Arial"/>
        </w:rPr>
        <w:t>Module name:</w:t>
      </w:r>
      <w:r w:rsidR="00E949FB" w:rsidRPr="00D65E6A">
        <w:rPr>
          <w:rFonts w:ascii="Arial" w:hAnsi="Arial" w:cs="Arial"/>
        </w:rPr>
        <w:t xml:space="preserve"> </w:t>
      </w:r>
      <w:r w:rsidR="00D65E6A" w:rsidRPr="00D65E6A">
        <w:rPr>
          <w:rFonts w:ascii="Arial" w:hAnsi="Arial" w:cs="Arial"/>
        </w:rPr>
        <w:t>Principles of Health and Social Care Practice</w:t>
      </w:r>
    </w:p>
    <w:p w14:paraId="6379A8C3" w14:textId="7ABB4E2D" w:rsidR="00D47920" w:rsidRPr="00D65E6A" w:rsidRDefault="00D47920" w:rsidP="00D65E6A">
      <w:pPr>
        <w:spacing w:line="360" w:lineRule="auto"/>
        <w:rPr>
          <w:rFonts w:ascii="Arial" w:hAnsi="Arial" w:cs="Arial"/>
        </w:rPr>
      </w:pPr>
      <w:r w:rsidRPr="00D65E6A">
        <w:rPr>
          <w:rFonts w:ascii="Arial" w:hAnsi="Arial" w:cs="Arial"/>
        </w:rPr>
        <w:t xml:space="preserve">Lecturer: </w:t>
      </w:r>
      <w:r w:rsidR="00D65E6A" w:rsidRPr="00D65E6A">
        <w:rPr>
          <w:rFonts w:ascii="Arial" w:hAnsi="Arial" w:cs="Arial"/>
        </w:rPr>
        <w:t>Dr Farah Wiita</w:t>
      </w:r>
    </w:p>
    <w:p w14:paraId="43D12E6D" w14:textId="77777777" w:rsidR="00D47920" w:rsidRPr="00CF61E4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487D7B86" w14:textId="77777777" w:rsidR="00D47920" w:rsidRPr="00CF61E4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2F240D71" w14:textId="77777777" w:rsidR="00D47920" w:rsidRPr="00CF61E4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3535F263" w14:textId="77777777" w:rsidR="00D47920" w:rsidRPr="00CF61E4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39AF2035" w14:textId="77777777" w:rsidR="00D47920" w:rsidRPr="00CF61E4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202E650A" w14:textId="01461255" w:rsidR="00D47920" w:rsidRPr="00CF61E4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6E1F916E" w14:textId="22DC614C" w:rsidR="00D47920" w:rsidRPr="00D65E6A" w:rsidRDefault="00D47920" w:rsidP="00CF61E4">
      <w:pPr>
        <w:spacing w:line="360" w:lineRule="auto"/>
        <w:rPr>
          <w:rFonts w:ascii="Arial" w:hAnsi="Arial" w:cs="Arial"/>
        </w:rPr>
      </w:pPr>
      <w:r w:rsidRPr="00CF61E4">
        <w:rPr>
          <w:rFonts w:ascii="Arial" w:hAnsi="Arial" w:cs="Arial"/>
          <w:sz w:val="22"/>
          <w:szCs w:val="22"/>
        </w:rPr>
        <w:tab/>
      </w:r>
      <w:r w:rsidRPr="00CF61E4">
        <w:rPr>
          <w:rFonts w:ascii="Arial" w:hAnsi="Arial" w:cs="Arial"/>
          <w:sz w:val="22"/>
          <w:szCs w:val="22"/>
        </w:rPr>
        <w:tab/>
      </w:r>
      <w:r w:rsidRPr="00CF61E4">
        <w:rPr>
          <w:rFonts w:ascii="Arial" w:hAnsi="Arial" w:cs="Arial"/>
          <w:sz w:val="22"/>
          <w:szCs w:val="22"/>
        </w:rPr>
        <w:tab/>
        <w:t xml:space="preserve">          </w:t>
      </w:r>
      <w:r w:rsidRPr="00D65E6A">
        <w:rPr>
          <w:rFonts w:ascii="Arial" w:hAnsi="Arial" w:cs="Arial"/>
        </w:rPr>
        <w:t xml:space="preserve">Submitted on: </w:t>
      </w:r>
      <w:r w:rsidR="00D65E6A" w:rsidRPr="00D65E6A">
        <w:rPr>
          <w:rFonts w:ascii="Arial" w:hAnsi="Arial" w:cs="Arial"/>
        </w:rPr>
        <w:t>12</w:t>
      </w:r>
      <w:r w:rsidR="00D65E6A" w:rsidRPr="00D65E6A">
        <w:rPr>
          <w:rFonts w:ascii="Arial" w:hAnsi="Arial" w:cs="Arial"/>
          <w:vertAlign w:val="superscript"/>
        </w:rPr>
        <w:t>th</w:t>
      </w:r>
      <w:r w:rsidR="00D65E6A" w:rsidRPr="00D65E6A">
        <w:rPr>
          <w:rFonts w:ascii="Arial" w:hAnsi="Arial" w:cs="Arial"/>
        </w:rPr>
        <w:t xml:space="preserve"> April 2026</w:t>
      </w:r>
    </w:p>
    <w:p w14:paraId="6DC2DF27" w14:textId="77777777" w:rsidR="00D47920" w:rsidRDefault="00D47920" w:rsidP="00CF61E4">
      <w:pPr>
        <w:spacing w:line="360" w:lineRule="auto"/>
      </w:pPr>
    </w:p>
    <w:p w14:paraId="566D1D6D" w14:textId="77777777" w:rsidR="00CF61E4" w:rsidRDefault="00CF61E4" w:rsidP="00CF61E4">
      <w:pPr>
        <w:spacing w:line="360" w:lineRule="auto"/>
      </w:pPr>
    </w:p>
    <w:p w14:paraId="577E6A15" w14:textId="77777777" w:rsidR="00CF61E4" w:rsidRDefault="00CF61E4" w:rsidP="00CF61E4">
      <w:pPr>
        <w:spacing w:line="360" w:lineRule="auto"/>
      </w:pPr>
    </w:p>
    <w:sdt>
      <w:sdtPr>
        <w:rPr>
          <w:rFonts w:ascii="Arial" w:eastAsiaTheme="minorEastAsia" w:hAnsi="Arial" w:cs="Arial"/>
          <w:b w:val="0"/>
          <w:bCs w:val="0"/>
          <w:color w:val="auto"/>
          <w:kern w:val="2"/>
          <w:sz w:val="22"/>
          <w:szCs w:val="22"/>
          <w:lang w:val="en-GB" w:eastAsia="zh-CN"/>
          <w14:ligatures w14:val="standardContextual"/>
        </w:rPr>
        <w:id w:val="-1902277130"/>
        <w:docPartObj>
          <w:docPartGallery w:val="Table of Contents"/>
          <w:docPartUnique/>
        </w:docPartObj>
      </w:sdtPr>
      <w:sdtEndPr/>
      <w:sdtContent>
        <w:p w14:paraId="7539A35F" w14:textId="7F391F48" w:rsidR="00CE66BB" w:rsidRPr="00C47FE6" w:rsidRDefault="00E609EE" w:rsidP="00CF61E4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  <w:sz w:val="40"/>
              <w:szCs w:val="40"/>
            </w:rPr>
          </w:pPr>
          <w:r w:rsidRPr="00C47FE6">
            <w:rPr>
              <w:rFonts w:ascii="Arial" w:hAnsi="Arial" w:cs="Arial"/>
              <w:color w:val="000000" w:themeColor="text1"/>
              <w:sz w:val="40"/>
              <w:szCs w:val="40"/>
              <w:lang w:val="en-GB"/>
            </w:rPr>
            <w:t>Table of Contents</w:t>
          </w:r>
        </w:p>
        <w:p w14:paraId="10E8B064" w14:textId="4227CC36" w:rsidR="00C47FE6" w:rsidRPr="00806FE8" w:rsidRDefault="00CE66BB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r w:rsidRPr="00CF61E4">
            <w:rPr>
              <w:rFonts w:ascii="Arial" w:hAnsi="Arial" w:cs="Arial"/>
              <w:b w:val="0"/>
              <w:bCs w:val="0"/>
              <w:sz w:val="22"/>
              <w:szCs w:val="22"/>
            </w:rPr>
            <w:fldChar w:fldCharType="begin"/>
          </w:r>
          <w:r w:rsidRPr="00CF61E4">
            <w:rPr>
              <w:rFonts w:ascii="Arial" w:hAnsi="Arial" w:cs="Arial"/>
              <w:b w:val="0"/>
              <w:bCs w:val="0"/>
              <w:sz w:val="22"/>
              <w:szCs w:val="22"/>
            </w:rPr>
            <w:instrText xml:space="preserve"> TOC \o "1-3" \h \z \u </w:instrText>
          </w:r>
          <w:r w:rsidRPr="00CF61E4">
            <w:rPr>
              <w:rFonts w:ascii="Arial" w:hAnsi="Arial" w:cs="Arial"/>
              <w:b w:val="0"/>
              <w:bCs w:val="0"/>
              <w:sz w:val="22"/>
              <w:szCs w:val="22"/>
            </w:rPr>
            <w:fldChar w:fldCharType="separate"/>
          </w:r>
          <w:hyperlink w:anchor="_Toc226908777" w:history="1">
            <w:r w:rsidR="00C47FE6" w:rsidRPr="00806FE8">
              <w:rPr>
                <w:rStyle w:val="Hyperlink"/>
                <w:rFonts w:ascii="Arial" w:hAnsi="Arial" w:cs="Arial"/>
                <w:b w:val="0"/>
                <w:noProof/>
              </w:rPr>
              <w:t>Introduction</w:t>
            </w:r>
            <w:r w:rsidR="00C47FE6" w:rsidRPr="00806FE8">
              <w:rPr>
                <w:b w:val="0"/>
                <w:noProof/>
                <w:webHidden/>
              </w:rPr>
              <w:tab/>
            </w:r>
            <w:r w:rsidR="00C47FE6" w:rsidRPr="00806FE8">
              <w:rPr>
                <w:b w:val="0"/>
                <w:noProof/>
                <w:webHidden/>
              </w:rPr>
              <w:fldChar w:fldCharType="begin"/>
            </w:r>
            <w:r w:rsidR="00C47FE6" w:rsidRPr="00806FE8">
              <w:rPr>
                <w:b w:val="0"/>
                <w:noProof/>
                <w:webHidden/>
              </w:rPr>
              <w:instrText xml:space="preserve"> PAGEREF _Toc226908777 \h </w:instrText>
            </w:r>
            <w:r w:rsidR="00C47FE6" w:rsidRPr="00806FE8">
              <w:rPr>
                <w:b w:val="0"/>
                <w:noProof/>
                <w:webHidden/>
              </w:rPr>
            </w:r>
            <w:r w:rsidR="00C47FE6" w:rsidRPr="00806FE8">
              <w:rPr>
                <w:b w:val="0"/>
                <w:noProof/>
                <w:webHidden/>
              </w:rPr>
              <w:fldChar w:fldCharType="separate"/>
            </w:r>
            <w:r w:rsidR="00C47FE6" w:rsidRPr="00806FE8">
              <w:rPr>
                <w:b w:val="0"/>
                <w:noProof/>
                <w:webHidden/>
              </w:rPr>
              <w:t>3</w:t>
            </w:r>
            <w:r w:rsidR="00C47FE6" w:rsidRPr="00806FE8">
              <w:rPr>
                <w:b w:val="0"/>
                <w:noProof/>
                <w:webHidden/>
              </w:rPr>
              <w:fldChar w:fldCharType="end"/>
            </w:r>
          </w:hyperlink>
        </w:p>
        <w:p w14:paraId="49C3B9BB" w14:textId="318B6A43" w:rsidR="00C47FE6" w:rsidRPr="00806FE8" w:rsidRDefault="00C47FE6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226908778" w:history="1">
            <w:r w:rsidRPr="00806FE8">
              <w:rPr>
                <w:rStyle w:val="Hyperlink"/>
                <w:rFonts w:ascii="Arial" w:hAnsi="Arial" w:cs="Arial"/>
                <w:b w:val="0"/>
                <w:noProof/>
              </w:rPr>
              <w:t>Task 1 Reflection on the Significance of Principles of Health and Social Care.</w:t>
            </w:r>
            <w:r w:rsidRPr="00806FE8">
              <w:rPr>
                <w:b w:val="0"/>
                <w:noProof/>
                <w:webHidden/>
              </w:rPr>
              <w:tab/>
            </w:r>
            <w:r w:rsidRPr="00806FE8">
              <w:rPr>
                <w:b w:val="0"/>
                <w:noProof/>
                <w:webHidden/>
              </w:rPr>
              <w:fldChar w:fldCharType="begin"/>
            </w:r>
            <w:r w:rsidRPr="00806FE8">
              <w:rPr>
                <w:b w:val="0"/>
                <w:noProof/>
                <w:webHidden/>
              </w:rPr>
              <w:instrText xml:space="preserve"> PAGEREF _Toc226908778 \h </w:instrText>
            </w:r>
            <w:r w:rsidRPr="00806FE8">
              <w:rPr>
                <w:b w:val="0"/>
                <w:noProof/>
                <w:webHidden/>
              </w:rPr>
            </w:r>
            <w:r w:rsidRPr="00806FE8">
              <w:rPr>
                <w:b w:val="0"/>
                <w:noProof/>
                <w:webHidden/>
              </w:rPr>
              <w:fldChar w:fldCharType="separate"/>
            </w:r>
            <w:r w:rsidRPr="00806FE8">
              <w:rPr>
                <w:b w:val="0"/>
                <w:noProof/>
                <w:webHidden/>
              </w:rPr>
              <w:t>4</w:t>
            </w:r>
            <w:r w:rsidRPr="00806FE8">
              <w:rPr>
                <w:b w:val="0"/>
                <w:noProof/>
                <w:webHidden/>
              </w:rPr>
              <w:fldChar w:fldCharType="end"/>
            </w:r>
          </w:hyperlink>
        </w:p>
        <w:p w14:paraId="74B906C2" w14:textId="256D4904" w:rsidR="00C47FE6" w:rsidRPr="00806FE8" w:rsidRDefault="00C47FE6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226908779" w:history="1">
            <w:r w:rsidRPr="00806FE8">
              <w:rPr>
                <w:rStyle w:val="Hyperlink"/>
                <w:rFonts w:ascii="Arial" w:hAnsi="Arial" w:cs="Arial"/>
                <w:b w:val="0"/>
                <w:noProof/>
              </w:rPr>
              <w:t>Task 2: Real Life Applications of Concepts.</w:t>
            </w:r>
            <w:r w:rsidRPr="00806FE8">
              <w:rPr>
                <w:b w:val="0"/>
                <w:noProof/>
                <w:webHidden/>
              </w:rPr>
              <w:tab/>
            </w:r>
            <w:r w:rsidRPr="00806FE8">
              <w:rPr>
                <w:b w:val="0"/>
                <w:noProof/>
                <w:webHidden/>
              </w:rPr>
              <w:fldChar w:fldCharType="begin"/>
            </w:r>
            <w:r w:rsidRPr="00806FE8">
              <w:rPr>
                <w:b w:val="0"/>
                <w:noProof/>
                <w:webHidden/>
              </w:rPr>
              <w:instrText xml:space="preserve"> PAGEREF _Toc226908779 \h </w:instrText>
            </w:r>
            <w:r w:rsidRPr="00806FE8">
              <w:rPr>
                <w:b w:val="0"/>
                <w:noProof/>
                <w:webHidden/>
              </w:rPr>
            </w:r>
            <w:r w:rsidRPr="00806FE8">
              <w:rPr>
                <w:b w:val="0"/>
                <w:noProof/>
                <w:webHidden/>
              </w:rPr>
              <w:fldChar w:fldCharType="separate"/>
            </w:r>
            <w:r w:rsidRPr="00806FE8">
              <w:rPr>
                <w:b w:val="0"/>
                <w:noProof/>
                <w:webHidden/>
              </w:rPr>
              <w:t>5</w:t>
            </w:r>
            <w:r w:rsidRPr="00806FE8">
              <w:rPr>
                <w:b w:val="0"/>
                <w:noProof/>
                <w:webHidden/>
              </w:rPr>
              <w:fldChar w:fldCharType="end"/>
            </w:r>
          </w:hyperlink>
        </w:p>
        <w:p w14:paraId="794539C8" w14:textId="01691741" w:rsidR="00C47FE6" w:rsidRPr="00806FE8" w:rsidRDefault="00C47FE6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226908780" w:history="1">
            <w:r w:rsidRPr="00806FE8">
              <w:rPr>
                <w:rStyle w:val="Hyperlink"/>
                <w:b w:val="0"/>
                <w:noProof/>
              </w:rPr>
              <w:t>Task 3: Reflective Cycle Analysis Gibbs: in Social Work Practice.</w:t>
            </w:r>
            <w:r w:rsidRPr="00806FE8">
              <w:rPr>
                <w:b w:val="0"/>
                <w:noProof/>
                <w:webHidden/>
              </w:rPr>
              <w:tab/>
            </w:r>
            <w:r w:rsidRPr="00806FE8">
              <w:rPr>
                <w:b w:val="0"/>
                <w:noProof/>
                <w:webHidden/>
              </w:rPr>
              <w:fldChar w:fldCharType="begin"/>
            </w:r>
            <w:r w:rsidRPr="00806FE8">
              <w:rPr>
                <w:b w:val="0"/>
                <w:noProof/>
                <w:webHidden/>
              </w:rPr>
              <w:instrText xml:space="preserve"> PAGEREF _Toc226908780 \h </w:instrText>
            </w:r>
            <w:r w:rsidRPr="00806FE8">
              <w:rPr>
                <w:b w:val="0"/>
                <w:noProof/>
                <w:webHidden/>
              </w:rPr>
            </w:r>
            <w:r w:rsidRPr="00806FE8">
              <w:rPr>
                <w:b w:val="0"/>
                <w:noProof/>
                <w:webHidden/>
              </w:rPr>
              <w:fldChar w:fldCharType="separate"/>
            </w:r>
            <w:r w:rsidRPr="00806FE8">
              <w:rPr>
                <w:b w:val="0"/>
                <w:noProof/>
                <w:webHidden/>
              </w:rPr>
              <w:t>7</w:t>
            </w:r>
            <w:r w:rsidRPr="00806FE8">
              <w:rPr>
                <w:b w:val="0"/>
                <w:noProof/>
                <w:webHidden/>
              </w:rPr>
              <w:fldChar w:fldCharType="end"/>
            </w:r>
          </w:hyperlink>
        </w:p>
        <w:p w14:paraId="6FC6B0DA" w14:textId="1D1B3B3F" w:rsidR="00C47FE6" w:rsidRPr="00806FE8" w:rsidRDefault="00C47FE6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0"/>
              <w:sz w:val="24"/>
              <w:szCs w:val="24"/>
              <w:lang w:eastAsia="en-GB"/>
              <w14:ligatures w14:val="none"/>
            </w:rPr>
          </w:pPr>
          <w:hyperlink w:anchor="_Toc226908781" w:history="1">
            <w:r w:rsidRPr="00806FE8">
              <w:rPr>
                <w:rStyle w:val="Hyperlink"/>
                <w:rFonts w:ascii="Arial" w:hAnsi="Arial" w:cs="Arial"/>
                <w:b w:val="0"/>
                <w:noProof/>
                <w:sz w:val="24"/>
                <w:szCs w:val="24"/>
              </w:rPr>
              <w:t>Description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ab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begin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instrText xml:space="preserve"> PAGEREF _Toc226908781 \h </w:instrTex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separate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>7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7B9D7F" w14:textId="1B96EDB1" w:rsidR="00C47FE6" w:rsidRPr="00806FE8" w:rsidRDefault="00C47FE6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0"/>
              <w:sz w:val="24"/>
              <w:szCs w:val="24"/>
              <w:lang w:eastAsia="en-GB"/>
              <w14:ligatures w14:val="none"/>
            </w:rPr>
          </w:pPr>
          <w:hyperlink w:anchor="_Toc226908782" w:history="1">
            <w:r w:rsidRPr="00806FE8">
              <w:rPr>
                <w:rStyle w:val="Hyperlink"/>
                <w:rFonts w:ascii="Arial" w:hAnsi="Arial" w:cs="Arial"/>
                <w:b w:val="0"/>
                <w:noProof/>
                <w:sz w:val="24"/>
                <w:szCs w:val="24"/>
              </w:rPr>
              <w:t>Feelings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ab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begin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instrText xml:space="preserve"> PAGEREF _Toc226908782 \h </w:instrTex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separate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>7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55E62F" w14:textId="56FF041E" w:rsidR="00C47FE6" w:rsidRPr="00806FE8" w:rsidRDefault="00C47FE6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0"/>
              <w:sz w:val="24"/>
              <w:szCs w:val="24"/>
              <w:lang w:eastAsia="en-GB"/>
              <w14:ligatures w14:val="none"/>
            </w:rPr>
          </w:pPr>
          <w:hyperlink w:anchor="_Toc226908783" w:history="1">
            <w:r w:rsidRPr="00806FE8">
              <w:rPr>
                <w:rStyle w:val="Hyperlink"/>
                <w:rFonts w:ascii="Arial" w:hAnsi="Arial" w:cs="Arial"/>
                <w:b w:val="0"/>
                <w:noProof/>
                <w:sz w:val="24"/>
                <w:szCs w:val="24"/>
              </w:rPr>
              <w:t>Evaluation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ab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begin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instrText xml:space="preserve"> PAGEREF _Toc226908783 \h </w:instrTex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separate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>7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6C52C5" w14:textId="00FE33B7" w:rsidR="00C47FE6" w:rsidRPr="00806FE8" w:rsidRDefault="00C47FE6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0"/>
              <w:sz w:val="24"/>
              <w:szCs w:val="24"/>
              <w:lang w:eastAsia="en-GB"/>
              <w14:ligatures w14:val="none"/>
            </w:rPr>
          </w:pPr>
          <w:hyperlink w:anchor="_Toc226908784" w:history="1">
            <w:r w:rsidRPr="00806FE8">
              <w:rPr>
                <w:rStyle w:val="Hyperlink"/>
                <w:rFonts w:ascii="Arial" w:hAnsi="Arial" w:cs="Arial"/>
                <w:b w:val="0"/>
                <w:noProof/>
                <w:sz w:val="24"/>
                <w:szCs w:val="24"/>
              </w:rPr>
              <w:t>Analysis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ab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begin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instrText xml:space="preserve"> PAGEREF _Toc226908784 \h </w:instrTex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separate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>8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B0242A" w14:textId="4E8C06B4" w:rsidR="00C47FE6" w:rsidRPr="00806FE8" w:rsidRDefault="00C47FE6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226908785" w:history="1">
            <w:r w:rsidRPr="00806FE8">
              <w:rPr>
                <w:rStyle w:val="Hyperlink"/>
                <w:rFonts w:ascii="Arial" w:hAnsi="Arial" w:cs="Arial"/>
                <w:b w:val="0"/>
                <w:noProof/>
              </w:rPr>
              <w:t>Conclusion</w:t>
            </w:r>
            <w:r w:rsidRPr="00806FE8">
              <w:rPr>
                <w:b w:val="0"/>
                <w:noProof/>
                <w:webHidden/>
              </w:rPr>
              <w:tab/>
            </w:r>
            <w:r w:rsidRPr="00806FE8">
              <w:rPr>
                <w:b w:val="0"/>
                <w:noProof/>
                <w:webHidden/>
              </w:rPr>
              <w:fldChar w:fldCharType="begin"/>
            </w:r>
            <w:r w:rsidRPr="00806FE8">
              <w:rPr>
                <w:b w:val="0"/>
                <w:noProof/>
                <w:webHidden/>
              </w:rPr>
              <w:instrText xml:space="preserve"> PAGEREF _Toc226908785 \h </w:instrText>
            </w:r>
            <w:r w:rsidRPr="00806FE8">
              <w:rPr>
                <w:b w:val="0"/>
                <w:noProof/>
                <w:webHidden/>
              </w:rPr>
            </w:r>
            <w:r w:rsidRPr="00806FE8">
              <w:rPr>
                <w:b w:val="0"/>
                <w:noProof/>
                <w:webHidden/>
              </w:rPr>
              <w:fldChar w:fldCharType="separate"/>
            </w:r>
            <w:r w:rsidRPr="00806FE8">
              <w:rPr>
                <w:b w:val="0"/>
                <w:noProof/>
                <w:webHidden/>
              </w:rPr>
              <w:t>9</w:t>
            </w:r>
            <w:r w:rsidRPr="00806FE8">
              <w:rPr>
                <w:b w:val="0"/>
                <w:noProof/>
                <w:webHidden/>
              </w:rPr>
              <w:fldChar w:fldCharType="end"/>
            </w:r>
          </w:hyperlink>
        </w:p>
        <w:p w14:paraId="21681582" w14:textId="16E76FD8" w:rsidR="00C47FE6" w:rsidRPr="00806FE8" w:rsidRDefault="00C47FE6">
          <w:pPr>
            <w:pStyle w:val="TOC2"/>
            <w:tabs>
              <w:tab w:val="right" w:leader="dot" w:pos="9016"/>
            </w:tabs>
            <w:rPr>
              <w:b w:val="0"/>
              <w:bCs w:val="0"/>
              <w:noProof/>
              <w:kern w:val="0"/>
              <w:sz w:val="24"/>
              <w:szCs w:val="24"/>
              <w:lang w:eastAsia="en-GB"/>
              <w14:ligatures w14:val="none"/>
            </w:rPr>
          </w:pPr>
          <w:hyperlink w:anchor="_Toc226908786" w:history="1">
            <w:r w:rsidRPr="00806FE8">
              <w:rPr>
                <w:rStyle w:val="Hyperlink"/>
                <w:rFonts w:ascii="Arial" w:hAnsi="Arial" w:cs="Arial"/>
                <w:b w:val="0"/>
                <w:noProof/>
                <w:sz w:val="24"/>
                <w:szCs w:val="24"/>
                <w:lang w:val="en-US"/>
              </w:rPr>
              <w:t>Action Plan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ab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begin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instrText xml:space="preserve"> PAGEREF _Toc226908786 \h </w:instrTex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separate"/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t>9</w:t>
            </w:r>
            <w:r w:rsidRPr="00806FE8">
              <w:rPr>
                <w:b w:val="0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0DE32F" w14:textId="463A910D" w:rsidR="00C47FE6" w:rsidRPr="00806FE8" w:rsidRDefault="00C47FE6">
          <w:pPr>
            <w:pStyle w:val="TOC1"/>
            <w:tabs>
              <w:tab w:val="right" w:leader="dot" w:pos="9016"/>
            </w:tabs>
            <w:rPr>
              <w:b w:val="0"/>
              <w:bCs w:val="0"/>
              <w:i w:val="0"/>
              <w:iCs w:val="0"/>
              <w:noProof/>
              <w:kern w:val="0"/>
              <w:lang w:eastAsia="en-GB"/>
              <w14:ligatures w14:val="none"/>
            </w:rPr>
          </w:pPr>
          <w:hyperlink w:anchor="_Toc226908787" w:history="1">
            <w:r w:rsidRPr="00806FE8">
              <w:rPr>
                <w:rStyle w:val="Hyperlink"/>
                <w:rFonts w:ascii="Arial" w:hAnsi="Arial" w:cs="Arial"/>
                <w:b w:val="0"/>
                <w:noProof/>
              </w:rPr>
              <w:t>Reference</w:t>
            </w:r>
            <w:r w:rsidRPr="00806FE8">
              <w:rPr>
                <w:b w:val="0"/>
                <w:noProof/>
                <w:webHidden/>
              </w:rPr>
              <w:tab/>
            </w:r>
            <w:r w:rsidRPr="00806FE8">
              <w:rPr>
                <w:b w:val="0"/>
                <w:noProof/>
                <w:webHidden/>
              </w:rPr>
              <w:fldChar w:fldCharType="begin"/>
            </w:r>
            <w:r w:rsidRPr="00806FE8">
              <w:rPr>
                <w:b w:val="0"/>
                <w:noProof/>
                <w:webHidden/>
              </w:rPr>
              <w:instrText xml:space="preserve"> PAGEREF _Toc226908787 \h </w:instrText>
            </w:r>
            <w:r w:rsidRPr="00806FE8">
              <w:rPr>
                <w:b w:val="0"/>
                <w:noProof/>
                <w:webHidden/>
              </w:rPr>
            </w:r>
            <w:r w:rsidRPr="00806FE8">
              <w:rPr>
                <w:b w:val="0"/>
                <w:noProof/>
                <w:webHidden/>
              </w:rPr>
              <w:fldChar w:fldCharType="separate"/>
            </w:r>
            <w:r w:rsidRPr="00806FE8">
              <w:rPr>
                <w:b w:val="0"/>
                <w:noProof/>
                <w:webHidden/>
              </w:rPr>
              <w:t>10</w:t>
            </w:r>
            <w:r w:rsidRPr="00806FE8">
              <w:rPr>
                <w:b w:val="0"/>
                <w:noProof/>
                <w:webHidden/>
              </w:rPr>
              <w:fldChar w:fldCharType="end"/>
            </w:r>
          </w:hyperlink>
        </w:p>
        <w:p w14:paraId="3F3D6CD2" w14:textId="083268BC" w:rsidR="00CE66BB" w:rsidRPr="00E609EE" w:rsidRDefault="00CE66BB" w:rsidP="00CF61E4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CF61E4">
            <w:rPr>
              <w:rFonts w:ascii="Arial" w:hAnsi="Arial" w:cs="Arial"/>
              <w:sz w:val="22"/>
              <w:szCs w:val="22"/>
            </w:rPr>
            <w:fldChar w:fldCharType="end"/>
          </w:r>
        </w:p>
      </w:sdtContent>
    </w:sdt>
    <w:p w14:paraId="0E6848EB" w14:textId="1B116BEB" w:rsidR="55F3C1ED" w:rsidRPr="00E609EE" w:rsidRDefault="55F3C1ED" w:rsidP="00CF61E4">
      <w:pPr>
        <w:pStyle w:val="TOCHeading"/>
        <w:spacing w:line="360" w:lineRule="auto"/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</w:rPr>
      </w:pPr>
    </w:p>
    <w:p w14:paraId="56A44A6A" w14:textId="096A12EF" w:rsidR="00B84E0F" w:rsidRPr="00E609EE" w:rsidRDefault="00B84E0F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50C2337F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08399A62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64702B27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7D756D73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74EC71C3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126E5827" w14:textId="77777777" w:rsidR="00E949FB" w:rsidRPr="00E609EE" w:rsidRDefault="00E949FB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67FB9C30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3B1BD285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721DF611" w14:textId="2CFA8D65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55FDD1ED" w14:textId="5A16D0AC" w:rsidR="00B84E0F" w:rsidRPr="00E609EE" w:rsidRDefault="00B84E0F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634D8B14" w14:textId="345AE9A0" w:rsidR="00D47920" w:rsidRPr="00913A2B" w:rsidRDefault="00B84E0F" w:rsidP="00D65E6A">
      <w:pPr>
        <w:pStyle w:val="Heading1"/>
        <w:rPr>
          <w:rFonts w:ascii="Arial" w:hAnsi="Arial" w:cs="Arial"/>
        </w:rPr>
      </w:pPr>
      <w:bookmarkStart w:id="1" w:name="_Toc1359729376"/>
      <w:r w:rsidRPr="00913A2B">
        <w:rPr>
          <w:rFonts w:ascii="Arial" w:hAnsi="Arial" w:cs="Arial"/>
        </w:rPr>
        <w:lastRenderedPageBreak/>
        <w:t xml:space="preserve"> </w:t>
      </w:r>
      <w:bookmarkStart w:id="2" w:name="_Toc226908777"/>
      <w:r w:rsidR="00D47920" w:rsidRPr="00913A2B">
        <w:rPr>
          <w:rFonts w:ascii="Arial" w:hAnsi="Arial" w:cs="Arial"/>
        </w:rPr>
        <w:t>Introduction</w:t>
      </w:r>
      <w:bookmarkEnd w:id="1"/>
      <w:bookmarkEnd w:id="2"/>
      <w:r w:rsidR="00D47920" w:rsidRPr="00913A2B">
        <w:rPr>
          <w:rFonts w:ascii="Arial" w:hAnsi="Arial" w:cs="Arial"/>
        </w:rPr>
        <w:t xml:space="preserve"> </w:t>
      </w:r>
    </w:p>
    <w:p w14:paraId="28F39265" w14:textId="77777777" w:rsidR="00F47167" w:rsidRPr="00E609EE" w:rsidRDefault="00F47167" w:rsidP="00CF61E4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5CC155D1" w14:textId="7D89B19F" w:rsidR="00E949FB" w:rsidRPr="00806FE8" w:rsidRDefault="00D65E6A" w:rsidP="00D65E6A">
      <w:pPr>
        <w:spacing w:line="360" w:lineRule="auto"/>
        <w:rPr>
          <w:rFonts w:ascii="Arial" w:hAnsi="Arial" w:cs="Arial"/>
        </w:rPr>
      </w:pPr>
      <w:r w:rsidRPr="00806FE8">
        <w:rPr>
          <w:rFonts w:ascii="Arial" w:hAnsi="Arial" w:cs="Arial"/>
        </w:rPr>
        <w:t>Person-centred care, partnership working, and ethics are not only</w:t>
      </w:r>
      <w:r w:rsidR="00913A2B" w:rsidRPr="00806FE8">
        <w:rPr>
          <w:rFonts w:ascii="Arial" w:hAnsi="Arial" w:cs="Arial"/>
        </w:rPr>
        <w:t xml:space="preserve"> the values that social workers </w:t>
      </w:r>
      <w:r w:rsidRPr="00806FE8">
        <w:rPr>
          <w:rFonts w:ascii="Arial" w:hAnsi="Arial" w:cs="Arial"/>
        </w:rPr>
        <w:t>should strive to achieve but also the key professional requirem</w:t>
      </w:r>
      <w:r w:rsidR="00913A2B" w:rsidRPr="00806FE8">
        <w:rPr>
          <w:rFonts w:ascii="Arial" w:hAnsi="Arial" w:cs="Arial"/>
        </w:rPr>
        <w:t xml:space="preserve">ents of the profession based on </w:t>
      </w:r>
      <w:r w:rsidRPr="00806FE8">
        <w:rPr>
          <w:rFonts w:ascii="Arial" w:hAnsi="Arial" w:cs="Arial"/>
        </w:rPr>
        <w:t>human rights, social justice, and protection of vulnerable peopl</w:t>
      </w:r>
      <w:r w:rsidR="00913A2B" w:rsidRPr="00806FE8">
        <w:rPr>
          <w:rFonts w:ascii="Arial" w:hAnsi="Arial" w:cs="Arial"/>
        </w:rPr>
        <w:t xml:space="preserve">e (BASW, 2021). Within the UK </w:t>
      </w:r>
      <w:r w:rsidRPr="00806FE8">
        <w:rPr>
          <w:rFonts w:ascii="Arial" w:hAnsi="Arial" w:cs="Arial"/>
        </w:rPr>
        <w:t xml:space="preserve">context of the present day, the principles are strengthened </w:t>
      </w:r>
      <w:r w:rsidR="00913A2B" w:rsidRPr="00806FE8">
        <w:rPr>
          <w:rFonts w:ascii="Arial" w:hAnsi="Arial" w:cs="Arial"/>
        </w:rPr>
        <w:t xml:space="preserve">by the Care Act 2014 and Social </w:t>
      </w:r>
      <w:r w:rsidRPr="00806FE8">
        <w:rPr>
          <w:rFonts w:ascii="Arial" w:hAnsi="Arial" w:cs="Arial"/>
        </w:rPr>
        <w:t>Work England Professional Standards (2022), which in c</w:t>
      </w:r>
      <w:r w:rsidR="00913A2B" w:rsidRPr="00806FE8">
        <w:rPr>
          <w:rFonts w:ascii="Arial" w:hAnsi="Arial" w:cs="Arial"/>
        </w:rPr>
        <w:t xml:space="preserve">ombination create the legal and </w:t>
      </w:r>
      <w:r w:rsidRPr="00806FE8">
        <w:rPr>
          <w:rFonts w:ascii="Arial" w:hAnsi="Arial" w:cs="Arial"/>
        </w:rPr>
        <w:t>regulatory framework within which the social workers are to condu</w:t>
      </w:r>
      <w:r w:rsidR="00913A2B" w:rsidRPr="00806FE8">
        <w:rPr>
          <w:rFonts w:ascii="Arial" w:hAnsi="Arial" w:cs="Arial"/>
        </w:rPr>
        <w:t xml:space="preserve">ct their work. This report will </w:t>
      </w:r>
      <w:r w:rsidRPr="00806FE8">
        <w:rPr>
          <w:rFonts w:ascii="Arial" w:hAnsi="Arial" w:cs="Arial"/>
        </w:rPr>
        <w:t>discuss the theoretical importance of these principles, then lo</w:t>
      </w:r>
      <w:r w:rsidR="00913A2B" w:rsidRPr="00806FE8">
        <w:rPr>
          <w:rFonts w:ascii="Arial" w:hAnsi="Arial" w:cs="Arial"/>
        </w:rPr>
        <w:t>ok at how they apply in a real-</w:t>
      </w:r>
      <w:r w:rsidRPr="00806FE8">
        <w:rPr>
          <w:rFonts w:ascii="Arial" w:hAnsi="Arial" w:cs="Arial"/>
        </w:rPr>
        <w:t>world adult social care situation and finally as a critical reflecti</w:t>
      </w:r>
      <w:r w:rsidR="00913A2B" w:rsidRPr="00806FE8">
        <w:rPr>
          <w:rFonts w:ascii="Arial" w:hAnsi="Arial" w:cs="Arial"/>
        </w:rPr>
        <w:t xml:space="preserve">on on how they have affected my </w:t>
      </w:r>
      <w:r w:rsidRPr="00806FE8">
        <w:rPr>
          <w:rFonts w:ascii="Arial" w:hAnsi="Arial" w:cs="Arial"/>
        </w:rPr>
        <w:t>professional growth, I shall apply the Reflective Cycle (Gibbs, 1988).</w:t>
      </w:r>
    </w:p>
    <w:p w14:paraId="1815BE6A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495D1B2D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5405428B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0DCB3F81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1ACD713A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282BBA7F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1E559E98" w14:textId="77777777" w:rsidR="007E10E3" w:rsidRPr="00E609EE" w:rsidRDefault="007E10E3" w:rsidP="00CF61E4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1922985329"/>
    </w:p>
    <w:p w14:paraId="26F13CB7" w14:textId="267009F7" w:rsidR="007E10E3" w:rsidRDefault="007E10E3" w:rsidP="00CF61E4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333AFD1B" w14:textId="790CCD5F" w:rsidR="00913A2B" w:rsidRDefault="00913A2B" w:rsidP="00913A2B"/>
    <w:p w14:paraId="7B2FAA2C" w14:textId="6EA05324" w:rsidR="00913A2B" w:rsidRDefault="00913A2B" w:rsidP="00913A2B"/>
    <w:p w14:paraId="17A28158" w14:textId="5048CAC9" w:rsidR="00913A2B" w:rsidRDefault="00913A2B" w:rsidP="00913A2B"/>
    <w:p w14:paraId="1398553E" w14:textId="560AE54B" w:rsidR="00913A2B" w:rsidRDefault="00913A2B" w:rsidP="00913A2B"/>
    <w:p w14:paraId="7B0B49CE" w14:textId="7B1B62B0" w:rsidR="00913A2B" w:rsidRDefault="00913A2B" w:rsidP="00913A2B"/>
    <w:p w14:paraId="64A5E7B5" w14:textId="4BB6E8A3" w:rsidR="00913A2B" w:rsidRDefault="00913A2B" w:rsidP="00913A2B"/>
    <w:p w14:paraId="4307A5E8" w14:textId="77777777" w:rsidR="00913A2B" w:rsidRPr="00913A2B" w:rsidRDefault="00913A2B" w:rsidP="00913A2B"/>
    <w:p w14:paraId="59513519" w14:textId="77777777" w:rsidR="00E609EE" w:rsidRDefault="00E609EE" w:rsidP="00CF61E4">
      <w:pPr>
        <w:spacing w:line="360" w:lineRule="auto"/>
      </w:pPr>
    </w:p>
    <w:p w14:paraId="2799301A" w14:textId="0B8B84B9" w:rsidR="00D65E6A" w:rsidRPr="00913A2B" w:rsidRDefault="00D65E6A" w:rsidP="00913A2B">
      <w:pPr>
        <w:pStyle w:val="Heading1"/>
        <w:rPr>
          <w:rFonts w:ascii="Arial" w:hAnsi="Arial" w:cs="Arial"/>
        </w:rPr>
      </w:pPr>
      <w:bookmarkStart w:id="4" w:name="_Toc226908778"/>
      <w:r w:rsidRPr="00913A2B">
        <w:rPr>
          <w:rFonts w:ascii="Arial" w:hAnsi="Arial" w:cs="Arial"/>
        </w:rPr>
        <w:lastRenderedPageBreak/>
        <w:t>Task 1 Reflection on th</w:t>
      </w:r>
      <w:r w:rsidR="00913A2B" w:rsidRPr="00913A2B">
        <w:rPr>
          <w:rFonts w:ascii="Arial" w:hAnsi="Arial" w:cs="Arial"/>
        </w:rPr>
        <w:t xml:space="preserve">e Significance of Principles of </w:t>
      </w:r>
      <w:r w:rsidRPr="00913A2B">
        <w:rPr>
          <w:rFonts w:ascii="Arial" w:hAnsi="Arial" w:cs="Arial"/>
        </w:rPr>
        <w:t>Health and Social Care.</w:t>
      </w:r>
      <w:bookmarkEnd w:id="4"/>
    </w:p>
    <w:p w14:paraId="25484083" w14:textId="18F4E624" w:rsidR="00D65E6A" w:rsidRDefault="00D65E6A" w:rsidP="00D65E6A">
      <w:pPr>
        <w:spacing w:line="360" w:lineRule="auto"/>
      </w:pPr>
      <w:r>
        <w:t>Person-centred care in social work is not just about ph</w:t>
      </w:r>
      <w:r w:rsidR="00913A2B">
        <w:t xml:space="preserve">ysical need management but also </w:t>
      </w:r>
      <w:r>
        <w:t>includes the approach, in which the values, goals, lived experi</w:t>
      </w:r>
      <w:r w:rsidR="00913A2B">
        <w:t xml:space="preserve">ence, and self-determination of </w:t>
      </w:r>
      <w:r>
        <w:t>the individual are at the centre of each assessment and interven</w:t>
      </w:r>
      <w:r w:rsidR="00913A2B">
        <w:t xml:space="preserve">tion. The Hierarchy of Needs by </w:t>
      </w:r>
      <w:r>
        <w:t>Maslow (1943) offers a strong theoretical background, a</w:t>
      </w:r>
      <w:r w:rsidR="00913A2B">
        <w:t xml:space="preserve">s the social workers often find </w:t>
      </w:r>
      <w:r>
        <w:t>themselves in service users who lack the basic needs (safe housing, physical secur</w:t>
      </w:r>
      <w:r w:rsidR="00913A2B">
        <w:t xml:space="preserve">ity) to be </w:t>
      </w:r>
      <w:r>
        <w:t>fulfilled, and the further levels of wellbeing cannot be achieved w</w:t>
      </w:r>
      <w:r w:rsidR="00913A2B">
        <w:t xml:space="preserve">ithout a prior objective on the </w:t>
      </w:r>
      <w:r>
        <w:t xml:space="preserve">resolution of those initial deprivations. The main conditions of </w:t>
      </w:r>
      <w:r w:rsidR="00913A2B">
        <w:t xml:space="preserve">empathy, unconditional positive </w:t>
      </w:r>
      <w:r>
        <w:t>regard and congruence described by Rogers (1961) are also</w:t>
      </w:r>
      <w:r w:rsidR="00913A2B">
        <w:t xml:space="preserve"> fundamental, as they allow the </w:t>
      </w:r>
      <w:r>
        <w:t>social worker to establish a true trust with the marginalised and d</w:t>
      </w:r>
      <w:r w:rsidR="00913A2B">
        <w:t xml:space="preserve">istrustful service users. These </w:t>
      </w:r>
      <w:r>
        <w:t>principles are established in law by the Care Act 2014, Sect</w:t>
      </w:r>
      <w:r w:rsidR="00913A2B">
        <w:t xml:space="preserve">ion 1, which places a statutory </w:t>
      </w:r>
      <w:r>
        <w:t>obligation on local authorities to advance individual wellb</w:t>
      </w:r>
      <w:r w:rsidR="00913A2B">
        <w:t xml:space="preserve">eing and entrust person-centred </w:t>
      </w:r>
      <w:r>
        <w:t>practice to law. Still, Featherstone et al. (2018) critically state tha</w:t>
      </w:r>
      <w:r w:rsidR="00913A2B">
        <w:t xml:space="preserve">t person-centred social work is </w:t>
      </w:r>
      <w:r>
        <w:t>under a cloud of eligibility levels and rationing of resources, which leads to a severe conflict</w:t>
      </w:r>
      <w:r w:rsidR="00913A2B">
        <w:t xml:space="preserve"> </w:t>
      </w:r>
      <w:r>
        <w:t>between what social work is and what organisational</w:t>
      </w:r>
      <w:r w:rsidR="00913A2B">
        <w:t xml:space="preserve"> systems can allow in practice. </w:t>
      </w:r>
      <w:r>
        <w:t>Partnership working is also core to good social work practice, whi</w:t>
      </w:r>
      <w:r w:rsidR="00913A2B">
        <w:t xml:space="preserve">ch is described as intentional, </w:t>
      </w:r>
      <w:r>
        <w:t>values-based cooperation cut across professional fields</w:t>
      </w:r>
      <w:r w:rsidR="00913A2B">
        <w:t xml:space="preserve">, statutory agencies, voluntary </w:t>
      </w:r>
      <w:r>
        <w:t xml:space="preserve">organisations, </w:t>
      </w:r>
      <w:r w:rsidR="00913A2B">
        <w:t xml:space="preserve">service users and carers. </w:t>
      </w:r>
      <w:proofErr w:type="spellStart"/>
      <w:r w:rsidR="00913A2B">
        <w:t>D’</w:t>
      </w:r>
      <w:r>
        <w:t>Amour</w:t>
      </w:r>
      <w:proofErr w:type="spellEnd"/>
      <w:r>
        <w:t xml:space="preserve"> et al. (2005</w:t>
      </w:r>
      <w:r w:rsidR="00913A2B">
        <w:t xml:space="preserve">) provide a complex theoretical </w:t>
      </w:r>
      <w:r>
        <w:t>framework of interprofessional collaboration and list four key dimension</w:t>
      </w:r>
      <w:r w:rsidR="00913A2B">
        <w:t xml:space="preserve">s of the real </w:t>
      </w:r>
      <w:r>
        <w:t>collaborative practice namely structuration, internalisation, for</w:t>
      </w:r>
      <w:r w:rsidR="00913A2B">
        <w:t xml:space="preserve">malisation, and governance, far </w:t>
      </w:r>
      <w:r>
        <w:t>beyond simplistic ideas about professionals simply cooperati</w:t>
      </w:r>
      <w:r w:rsidR="00913A2B">
        <w:t xml:space="preserve">ng with each other. This can be </w:t>
      </w:r>
      <w:r>
        <w:t>applied in social work, particularly by multi-agency saf</w:t>
      </w:r>
      <w:r w:rsidR="00913A2B">
        <w:t xml:space="preserve">eguarding hubs (MASH) and child </w:t>
      </w:r>
      <w:r>
        <w:t>protection conferences, which involve coordinated response of th</w:t>
      </w:r>
      <w:r w:rsidR="00913A2B">
        <w:t xml:space="preserve">e social worker, police, health </w:t>
      </w:r>
      <w:r>
        <w:t xml:space="preserve">professionals, and housing services. This is reinforced in </w:t>
      </w:r>
      <w:r w:rsidR="00913A2B">
        <w:t xml:space="preserve">the Health and Care Act 2022 by </w:t>
      </w:r>
      <w:r>
        <w:t>Integrated Care Systems, which establishes a legal structure</w:t>
      </w:r>
      <w:r w:rsidR="00913A2B">
        <w:t xml:space="preserve"> of partnership between the NHS </w:t>
      </w:r>
      <w:r>
        <w:t>and local government. However, as Reder and Duncan (2003)</w:t>
      </w:r>
      <w:r w:rsidR="00913A2B">
        <w:t xml:space="preserve"> reveal, partnership working is </w:t>
      </w:r>
      <w:r>
        <w:t>continuously susceptible to professional tribalism and a break</w:t>
      </w:r>
      <w:r w:rsidR="00913A2B">
        <w:t xml:space="preserve">down in communication - both of </w:t>
      </w:r>
      <w:r>
        <w:t>which are explicitly involved in high profile cases of child death, it has become evident that</w:t>
      </w:r>
      <w:r w:rsidR="00913A2B">
        <w:t xml:space="preserve"> </w:t>
      </w:r>
      <w:r>
        <w:t xml:space="preserve">structural frameworks do not ensure effective </w:t>
      </w:r>
      <w:r>
        <w:lastRenderedPageBreak/>
        <w:t>collaboration.</w:t>
      </w:r>
      <w:r w:rsidR="00913A2B">
        <w:t xml:space="preserve"> </w:t>
      </w:r>
      <w:r>
        <w:t xml:space="preserve">Ethics in social work is the moral structure wherein professional </w:t>
      </w:r>
      <w:r w:rsidR="00913A2B">
        <w:t xml:space="preserve">decisions are arrived at basing </w:t>
      </w:r>
      <w:r>
        <w:t>on social justice, human dignity and respect towards people.</w:t>
      </w:r>
      <w:r w:rsidR="00913A2B">
        <w:t xml:space="preserve"> Beauchamp and Childress (2019) </w:t>
      </w:r>
      <w:r>
        <w:t>introduce four principles of guiding ethics, including autonomy</w:t>
      </w:r>
      <w:r w:rsidR="00913A2B">
        <w:t xml:space="preserve">, beneficence, non-maleficence, </w:t>
      </w:r>
      <w:r>
        <w:t>and justice, that help clarify the ethical dilemma that arises in practice between th</w:t>
      </w:r>
      <w:r w:rsidR="00913A2B">
        <w:t xml:space="preserve">e respect of </w:t>
      </w:r>
      <w:r>
        <w:t xml:space="preserve">the right of the </w:t>
      </w:r>
      <w:proofErr w:type="spellStart"/>
      <w:r>
        <w:t>capacitous</w:t>
      </w:r>
      <w:proofErr w:type="spellEnd"/>
      <w:r>
        <w:t xml:space="preserve"> adult to make unwise choices and t</w:t>
      </w:r>
      <w:r w:rsidR="00913A2B">
        <w:t xml:space="preserve">he statutory duty of care under </w:t>
      </w:r>
      <w:r>
        <w:t>Care Act 2014, Section 42. These principles are establi</w:t>
      </w:r>
      <w:r w:rsidR="00913A2B">
        <w:t xml:space="preserve">shed in the BASW Code of Ethics </w:t>
      </w:r>
      <w:r>
        <w:t xml:space="preserve">(2021), which is based on a human rights context supported by </w:t>
      </w:r>
      <w:r w:rsidR="00913A2B">
        <w:t xml:space="preserve">the Human Rights Act 1998, </w:t>
      </w:r>
      <w:r>
        <w:t xml:space="preserve">Articles 3 and 8. The arguments of </w:t>
      </w:r>
      <w:proofErr w:type="spellStart"/>
      <w:r>
        <w:t>Gray</w:t>
      </w:r>
      <w:proofErr w:type="spellEnd"/>
      <w:r>
        <w:t xml:space="preserve"> and Webb (2013) are cri</w:t>
      </w:r>
      <w:r w:rsidR="00913A2B">
        <w:t xml:space="preserve">tical in the sense that ethical </w:t>
      </w:r>
      <w:r>
        <w:t xml:space="preserve">practice cannot be simplified to abstract principles but instead, </w:t>
      </w:r>
      <w:r w:rsidR="00913A2B">
        <w:t xml:space="preserve">should be seen as a contextual, </w:t>
      </w:r>
      <w:r>
        <w:t>relational and politically located process that requires constan</w:t>
      </w:r>
      <w:r w:rsidR="00913A2B">
        <w:t xml:space="preserve">t critical consideration of all </w:t>
      </w:r>
      <w:r>
        <w:t>practitioners.</w:t>
      </w:r>
    </w:p>
    <w:p w14:paraId="5FDFA4E0" w14:textId="77777777" w:rsidR="00D65E6A" w:rsidRDefault="00D65E6A" w:rsidP="00D65E6A">
      <w:pPr>
        <w:spacing w:line="360" w:lineRule="auto"/>
      </w:pPr>
    </w:p>
    <w:p w14:paraId="21C50390" w14:textId="77777777" w:rsidR="00D65E6A" w:rsidRPr="00913A2B" w:rsidRDefault="00D65E6A" w:rsidP="00913A2B">
      <w:pPr>
        <w:pStyle w:val="Heading1"/>
        <w:rPr>
          <w:rFonts w:ascii="Arial" w:hAnsi="Arial" w:cs="Arial"/>
        </w:rPr>
      </w:pPr>
      <w:bookmarkStart w:id="5" w:name="_Toc226908779"/>
      <w:r w:rsidRPr="00913A2B">
        <w:rPr>
          <w:rFonts w:ascii="Arial" w:hAnsi="Arial" w:cs="Arial"/>
        </w:rPr>
        <w:t>Task 2: Real Life Applications of Concepts.</w:t>
      </w:r>
      <w:bookmarkEnd w:id="5"/>
    </w:p>
    <w:p w14:paraId="1768500C" w14:textId="3CB3F39D" w:rsidR="00D65E6A" w:rsidRDefault="00D65E6A" w:rsidP="00D65E6A">
      <w:pPr>
        <w:spacing w:line="360" w:lineRule="auto"/>
      </w:pPr>
      <w:r>
        <w:t>This part is based on a case scenario of a local adult social care</w:t>
      </w:r>
      <w:r w:rsidR="008C2B0F">
        <w:t xml:space="preserve"> team, in which a Care Act 2014 as</w:t>
      </w:r>
      <w:r>
        <w:t>sessment of Service User A, an older adult with physical disabili</w:t>
      </w:r>
      <w:r w:rsidR="008C2B0F">
        <w:t xml:space="preserve">ty, social isolation and a high </w:t>
      </w:r>
      <w:r>
        <w:t>level of Carer Stress by an adult child, Carer B, was conducted</w:t>
      </w:r>
      <w:r w:rsidR="008C2B0F">
        <w:t xml:space="preserve">. Every identifying information </w:t>
      </w:r>
      <w:r>
        <w:t>has b</w:t>
      </w:r>
      <w:r w:rsidR="008C2B0F">
        <w:t xml:space="preserve">een anonymised in its entirety. </w:t>
      </w:r>
      <w:r>
        <w:t>Person-centred care was used by utilizing a strengths-b</w:t>
      </w:r>
      <w:r w:rsidR="008C2B0F">
        <w:t xml:space="preserve">ased Care Act assessment, which </w:t>
      </w:r>
      <w:r>
        <w:t>neither focused solely on eligible care needs but the goals and dai</w:t>
      </w:r>
      <w:r w:rsidR="008C2B0F">
        <w:t xml:space="preserve">ly activities of Service User A </w:t>
      </w:r>
      <w:r>
        <w:t>and what was most important to them, which is an indicator</w:t>
      </w:r>
      <w:r w:rsidR="008C2B0F">
        <w:t xml:space="preserve"> of the statutory wellbeing and </w:t>
      </w:r>
      <w:r>
        <w:t>outcomes framework, as laid out in Care Act 2014, Section 1. A personal budget was planned in</w:t>
      </w:r>
      <w:r w:rsidR="008C2B0F">
        <w:t xml:space="preserve"> </w:t>
      </w:r>
      <w:r>
        <w:t>relation to direct payments of the Care Act, providing Service Us</w:t>
      </w:r>
      <w:r w:rsidR="008C2B0F">
        <w:t xml:space="preserve">er A with the actual control of </w:t>
      </w:r>
      <w:r>
        <w:t>the organisation of support, instead of being proposed a standard pac</w:t>
      </w:r>
      <w:r w:rsidR="008C2B0F">
        <w:t xml:space="preserve">kage. The presumption of </w:t>
      </w:r>
      <w:r>
        <w:t>capacity which is contained in the Mental Capacity Act 2005 provi</w:t>
      </w:r>
      <w:r w:rsidR="008C2B0F">
        <w:t xml:space="preserve">ded that all the decisions were </w:t>
      </w:r>
      <w:r>
        <w:t>Service User A-led. According to Ellis (2007), however, p</w:t>
      </w:r>
      <w:r w:rsidR="008C2B0F">
        <w:t xml:space="preserve">erson-centred assessment can be </w:t>
      </w:r>
      <w:r>
        <w:t>often undermined to a bureaucratic exercise in the identifica</w:t>
      </w:r>
      <w:r w:rsidR="008C2B0F">
        <w:t xml:space="preserve">tion of eligibility by the care </w:t>
      </w:r>
      <w:r>
        <w:t>management processes, which undermines its transformative pote</w:t>
      </w:r>
      <w:r w:rsidR="008C2B0F">
        <w:t xml:space="preserve">ntial. This is in line with the </w:t>
      </w:r>
      <w:r>
        <w:t>Care Quality Commission (2024) revelation that person-centre</w:t>
      </w:r>
      <w:r w:rsidR="008C2B0F">
        <w:t xml:space="preserve">d practice in adult social care </w:t>
      </w:r>
      <w:r>
        <w:t xml:space="preserve">remains undermined by workforce demands and budgetary </w:t>
      </w:r>
      <w:r w:rsidR="008C2B0F">
        <w:t xml:space="preserve">limitations, with the disparity </w:t>
      </w:r>
      <w:r>
        <w:t>between the inten</w:t>
      </w:r>
      <w:r w:rsidR="008C2B0F">
        <w:t xml:space="preserve">t and reality of service </w:t>
      </w:r>
      <w:r w:rsidR="008C2B0F">
        <w:lastRenderedPageBreak/>
        <w:t xml:space="preserve">users. </w:t>
      </w:r>
      <w:r>
        <w:t>Partnering in practice was engaged after the issues regarding t</w:t>
      </w:r>
      <w:r w:rsidR="008C2B0F">
        <w:t xml:space="preserve">he safety of the Service User A </w:t>
      </w:r>
      <w:r>
        <w:t>evoked a Section 42 safeguarding investigation under Care A</w:t>
      </w:r>
      <w:r w:rsidR="008C2B0F">
        <w:t xml:space="preserve">ct 2014, and the social worker, </w:t>
      </w:r>
      <w:r>
        <w:t>GP, district nurse, housing officer, and police were to be engage</w:t>
      </w:r>
      <w:r w:rsidR="008C2B0F">
        <w:t xml:space="preserve">d in the process. The strategic </w:t>
      </w:r>
      <w:r>
        <w:t>multi-agency framework within which this response was org</w:t>
      </w:r>
      <w:r w:rsidR="008C2B0F">
        <w:t xml:space="preserve">anized was offered by the local </w:t>
      </w:r>
      <w:r>
        <w:t>Safeguarding Adults Board. The approach was informed by Making Safeguarding Personal</w:t>
      </w:r>
      <w:r w:rsidR="008C2B0F">
        <w:t xml:space="preserve"> </w:t>
      </w:r>
      <w:r>
        <w:t>(LGA/ADASS, 2019) which made sure that the safeguardin</w:t>
      </w:r>
      <w:r w:rsidR="008C2B0F">
        <w:t xml:space="preserve">g processes were person-centred </w:t>
      </w:r>
      <w:r>
        <w:t>and outcome-oriented as opposed to merely procedural. Howe</w:t>
      </w:r>
      <w:r w:rsidR="008C2B0F">
        <w:t xml:space="preserve">ver, as </w:t>
      </w:r>
      <w:proofErr w:type="spellStart"/>
      <w:r w:rsidR="008C2B0F">
        <w:t>Manthorpe</w:t>
      </w:r>
      <w:proofErr w:type="spellEnd"/>
      <w:r w:rsidR="008C2B0F">
        <w:t xml:space="preserve"> and Martineau </w:t>
      </w:r>
      <w:r>
        <w:t>(2011) in a critical manner point out, information-sharing barriers</w:t>
      </w:r>
      <w:r w:rsidR="008C2B0F">
        <w:t xml:space="preserve"> between health and social care </w:t>
      </w:r>
      <w:r>
        <w:t>(often being aggravated by the difference in professional cultu</w:t>
      </w:r>
      <w:r w:rsidR="008C2B0F">
        <w:t xml:space="preserve">res and data governance issues) </w:t>
      </w:r>
      <w:r>
        <w:t>continue to pose a consistent blocker to timely and effective partnership responses,</w:t>
      </w:r>
      <w:r w:rsidR="008C2B0F">
        <w:t xml:space="preserve"> with the </w:t>
      </w:r>
      <w:r>
        <w:t>structured inter-agency protocols not being a</w:t>
      </w:r>
      <w:r w:rsidR="008C2B0F">
        <w:t xml:space="preserve"> panacea to practical solution. </w:t>
      </w:r>
      <w:r>
        <w:t>The key ethical issue was the situation when Service User A, wh</w:t>
      </w:r>
      <w:r w:rsidR="008C2B0F">
        <w:t xml:space="preserve">o is deemed to have full mental </w:t>
      </w:r>
      <w:r>
        <w:t>capacity, decided to stay in the conditions that the social worker fo</w:t>
      </w:r>
      <w:r w:rsidR="008C2B0F">
        <w:t xml:space="preserve">und high-risk, which led to the </w:t>
      </w:r>
      <w:r>
        <w:t>direct conflict between autonomy and the duty of protecti</w:t>
      </w:r>
      <w:r w:rsidR="008C2B0F">
        <w:t xml:space="preserve">on. Using the six principles of </w:t>
      </w:r>
      <w:r>
        <w:t>safeguarding outlined in the Care Act Statutory Guidance (DHSC, 20</w:t>
      </w:r>
      <w:r w:rsidR="008C2B0F">
        <w:t xml:space="preserve">23), especially, the </w:t>
      </w:r>
      <w:r>
        <w:t xml:space="preserve">essential principles of empowerment and proportionality, </w:t>
      </w:r>
      <w:r w:rsidR="008C2B0F">
        <w:t xml:space="preserve">the social worker used the risk </w:t>
      </w:r>
      <w:r>
        <w:t>enablement tool instead of the risk elimination tool as it respects</w:t>
      </w:r>
      <w:r w:rsidR="008C2B0F">
        <w:t xml:space="preserve"> the right of Service User A to </w:t>
      </w:r>
      <w:r>
        <w:t>make an unwise decision. Houston (2010) provides very co</w:t>
      </w:r>
      <w:r w:rsidR="008C2B0F">
        <w:t xml:space="preserve">nvincing arguments that ethical </w:t>
      </w:r>
      <w:r>
        <w:t>social work practice would demand practitioners to resist risk aversion which is organised and</w:t>
      </w:r>
      <w:r w:rsidR="008C2B0F">
        <w:t xml:space="preserve"> </w:t>
      </w:r>
      <w:r>
        <w:t xml:space="preserve">instead participate in authentic moral reasoning basing on </w:t>
      </w:r>
      <w:r w:rsidR="008C2B0F">
        <w:t xml:space="preserve">values and circumstances of the </w:t>
      </w:r>
      <w:r>
        <w:t>service user.</w:t>
      </w:r>
    </w:p>
    <w:p w14:paraId="17D39469" w14:textId="77777777" w:rsidR="00D65E6A" w:rsidRDefault="00D65E6A" w:rsidP="00D65E6A">
      <w:pPr>
        <w:spacing w:line="360" w:lineRule="auto"/>
      </w:pPr>
    </w:p>
    <w:p w14:paraId="0192B53B" w14:textId="2B900DFE" w:rsidR="00D65E6A" w:rsidRPr="00913A2B" w:rsidRDefault="008C2B0F" w:rsidP="00913A2B">
      <w:pPr>
        <w:pStyle w:val="Heading1"/>
      </w:pPr>
      <w:bookmarkStart w:id="6" w:name="_Toc226908780"/>
      <w:r>
        <w:t>Task 3</w:t>
      </w:r>
      <w:r w:rsidR="00D65E6A" w:rsidRPr="00913A2B">
        <w:t>: Reflective Cycle Analysis Gibbs: in Social</w:t>
      </w:r>
      <w:r w:rsidR="00913A2B" w:rsidRPr="00913A2B">
        <w:t xml:space="preserve"> </w:t>
      </w:r>
      <w:r w:rsidR="00D65E6A" w:rsidRPr="00913A2B">
        <w:t>Work Practice.</w:t>
      </w:r>
      <w:bookmarkEnd w:id="6"/>
    </w:p>
    <w:p w14:paraId="743F5725" w14:textId="77777777" w:rsidR="00D65E6A" w:rsidRDefault="00D65E6A" w:rsidP="00D65E6A">
      <w:pPr>
        <w:spacing w:line="360" w:lineRule="auto"/>
      </w:pPr>
    </w:p>
    <w:p w14:paraId="3CFF27EB" w14:textId="77777777" w:rsidR="00D65E6A" w:rsidRPr="00913A2B" w:rsidRDefault="00D65E6A" w:rsidP="00913A2B">
      <w:pPr>
        <w:pStyle w:val="Heading2"/>
        <w:rPr>
          <w:rFonts w:ascii="Arial" w:hAnsi="Arial" w:cs="Arial"/>
        </w:rPr>
      </w:pPr>
      <w:bookmarkStart w:id="7" w:name="_Toc226908781"/>
      <w:r w:rsidRPr="00913A2B">
        <w:rPr>
          <w:rFonts w:ascii="Arial" w:hAnsi="Arial" w:cs="Arial"/>
        </w:rPr>
        <w:t>Description</w:t>
      </w:r>
      <w:bookmarkEnd w:id="7"/>
    </w:p>
    <w:p w14:paraId="1289B445" w14:textId="2D31A1DA" w:rsidR="00D65E6A" w:rsidRDefault="00D65E6A" w:rsidP="00D65E6A">
      <w:pPr>
        <w:spacing w:line="360" w:lineRule="auto"/>
      </w:pPr>
      <w:r>
        <w:t>The role I am performing is that of a support worker in an adult social care team and I am</w:t>
      </w:r>
      <w:r w:rsidR="00A1580F">
        <w:t xml:space="preserve"> </w:t>
      </w:r>
      <w:r>
        <w:t xml:space="preserve">assigned to work with qualified social workers to complete </w:t>
      </w:r>
      <w:r w:rsidR="00A1580F">
        <w:t xml:space="preserve">Care Act assessments on service </w:t>
      </w:r>
      <w:r>
        <w:t xml:space="preserve">users with complex needs. The scenario that I consider was </w:t>
      </w:r>
      <w:r>
        <w:lastRenderedPageBreak/>
        <w:t>t</w:t>
      </w:r>
      <w:r w:rsidR="00A1580F">
        <w:t xml:space="preserve">hat of a Care Act assessment of </w:t>
      </w:r>
      <w:r>
        <w:t>an elderly patient, known as Service User A, who resided al</w:t>
      </w:r>
      <w:r w:rsidR="00A1580F">
        <w:t xml:space="preserve">one and was becoming physically </w:t>
      </w:r>
      <w:r>
        <w:t>frail and socially isolated. Their adult daughter, Carer B, had very different op</w:t>
      </w:r>
      <w:r w:rsidR="00A1580F">
        <w:t xml:space="preserve">inions regarding </w:t>
      </w:r>
      <w:r>
        <w:t>the proper support arrangements. There was also a safeguardi</w:t>
      </w:r>
      <w:r w:rsidR="00A1580F">
        <w:t xml:space="preserve">ng issue that was raised before </w:t>
      </w:r>
      <w:r>
        <w:t>the evaluation. My task was to facilitate the process, communicate</w:t>
      </w:r>
      <w:r w:rsidR="00A1580F">
        <w:t xml:space="preserve"> with all the parties, and make </w:t>
      </w:r>
      <w:r>
        <w:t>some observations to the care planning conversation. Thi</w:t>
      </w:r>
      <w:r w:rsidR="00A1580F">
        <w:t xml:space="preserve">s was a case of clashing views, </w:t>
      </w:r>
      <w:r>
        <w:t>organisational eligibility standards, and real risk and is an exp</w:t>
      </w:r>
      <w:r w:rsidR="00A1580F">
        <w:t xml:space="preserve">erience that has been genuinely </w:t>
      </w:r>
      <w:r>
        <w:t>complex and hence brought about substantial learning.</w:t>
      </w:r>
    </w:p>
    <w:p w14:paraId="47D572BD" w14:textId="77777777" w:rsidR="00D65E6A" w:rsidRPr="00913A2B" w:rsidRDefault="00D65E6A" w:rsidP="00913A2B">
      <w:pPr>
        <w:pStyle w:val="Heading2"/>
        <w:rPr>
          <w:rFonts w:ascii="Arial" w:hAnsi="Arial" w:cs="Arial"/>
        </w:rPr>
      </w:pPr>
      <w:bookmarkStart w:id="8" w:name="_Toc226908782"/>
      <w:r w:rsidRPr="00913A2B">
        <w:rPr>
          <w:rFonts w:ascii="Arial" w:hAnsi="Arial" w:cs="Arial"/>
        </w:rPr>
        <w:t>Feelings</w:t>
      </w:r>
      <w:bookmarkEnd w:id="8"/>
    </w:p>
    <w:p w14:paraId="70BD3848" w14:textId="1654716B" w:rsidR="00D65E6A" w:rsidRDefault="00D65E6A" w:rsidP="00D65E6A">
      <w:pPr>
        <w:spacing w:line="360" w:lineRule="auto"/>
      </w:pPr>
      <w:r>
        <w:t>There was a real conflict between confidence and uncertai</w:t>
      </w:r>
      <w:r w:rsidR="00A1580F">
        <w:t xml:space="preserve">nty at least on my part. I was </w:t>
      </w:r>
      <w:r>
        <w:t xml:space="preserve">confident in developing relationship and keeping Service </w:t>
      </w:r>
      <w:r w:rsidR="00A1580F">
        <w:t xml:space="preserve">User A in the </w:t>
      </w:r>
      <w:proofErr w:type="spellStart"/>
      <w:r w:rsidR="00A1580F">
        <w:t>center</w:t>
      </w:r>
      <w:proofErr w:type="spellEnd"/>
      <w:r w:rsidR="00A1580F">
        <w:t xml:space="preserve"> of a tense </w:t>
      </w:r>
      <w:r>
        <w:t>conversation. Nevertheless, when Carer B pushed aggressi</w:t>
      </w:r>
      <w:r w:rsidR="00A1580F">
        <w:t xml:space="preserve">vely to insist on a residential </w:t>
      </w:r>
      <w:r>
        <w:t>placement, which Service User A had already openly refused to</w:t>
      </w:r>
      <w:r w:rsidR="00A1580F">
        <w:t xml:space="preserve"> consider several times, I felt </w:t>
      </w:r>
      <w:r>
        <w:t>very uncomfortable and did not know how to strike a balance between supporting my role and</w:t>
      </w:r>
      <w:r w:rsidR="00A1580F">
        <w:t xml:space="preserve"> </w:t>
      </w:r>
      <w:r>
        <w:t>going too far. I also became nervous when qualification requirements cam</w:t>
      </w:r>
      <w:r w:rsidR="00A1580F">
        <w:t xml:space="preserve">e about, knowing that </w:t>
      </w:r>
      <w:r>
        <w:t>I was not confident enough to state the legal standing in a clea</w:t>
      </w:r>
      <w:r w:rsidR="00A1580F">
        <w:t xml:space="preserve">r and concise manner. According </w:t>
      </w:r>
      <w:r>
        <w:t>to Goleman (1996) emotional intelligence or ability to understa</w:t>
      </w:r>
      <w:r w:rsidR="00A1580F">
        <w:t xml:space="preserve">nd and control own emotions and </w:t>
      </w:r>
      <w:r>
        <w:t>at the same time be mindful of others is one of the core compet</w:t>
      </w:r>
      <w:r w:rsidR="00A1580F">
        <w:t xml:space="preserve">encies in the profession, which </w:t>
      </w:r>
      <w:r>
        <w:t>supports the argument that emotional awareness is not an incide</w:t>
      </w:r>
      <w:r w:rsidR="00A1580F">
        <w:t xml:space="preserve">nt but a core aspect of ethical </w:t>
      </w:r>
      <w:r>
        <w:t>social work practice.</w:t>
      </w:r>
    </w:p>
    <w:p w14:paraId="26250823" w14:textId="77777777" w:rsidR="00D65E6A" w:rsidRPr="00913A2B" w:rsidRDefault="00D65E6A" w:rsidP="00913A2B">
      <w:pPr>
        <w:pStyle w:val="Heading2"/>
        <w:rPr>
          <w:rFonts w:ascii="Arial" w:hAnsi="Arial" w:cs="Arial"/>
        </w:rPr>
      </w:pPr>
      <w:bookmarkStart w:id="9" w:name="_Toc226908783"/>
      <w:r w:rsidRPr="00913A2B">
        <w:rPr>
          <w:rFonts w:ascii="Arial" w:hAnsi="Arial" w:cs="Arial"/>
        </w:rPr>
        <w:t>Evaluation</w:t>
      </w:r>
      <w:bookmarkEnd w:id="9"/>
    </w:p>
    <w:p w14:paraId="2E7E8A9C" w14:textId="58D546FF" w:rsidR="00D65E6A" w:rsidRDefault="00D65E6A" w:rsidP="00D65E6A">
      <w:pPr>
        <w:spacing w:line="360" w:lineRule="auto"/>
      </w:pPr>
      <w:r>
        <w:t>Several aspects went well. I developed an empathic and non-judgemental relat</w:t>
      </w:r>
      <w:r w:rsidR="008C2B0F">
        <w:t xml:space="preserve">ionship with </w:t>
      </w:r>
      <w:r>
        <w:t>Service User A that allowed them to share true preferen</w:t>
      </w:r>
      <w:r w:rsidR="008C2B0F">
        <w:t xml:space="preserve">ces and not submit to family or </w:t>
      </w:r>
      <w:r>
        <w:t>professional influence but adhere to the essence of the</w:t>
      </w:r>
      <w:r w:rsidR="008C2B0F">
        <w:t xml:space="preserve"> core conditions of empathy and </w:t>
      </w:r>
      <w:r>
        <w:t>unconditional positive regard as developed by Rogers (1961). I engage</w:t>
      </w:r>
      <w:r w:rsidR="008C2B0F">
        <w:t xml:space="preserve">d in communication with </w:t>
      </w:r>
      <w:r>
        <w:t>partner agencies with proper communication and helped in co</w:t>
      </w:r>
      <w:r w:rsidR="008C2B0F">
        <w:t xml:space="preserve">nstructive contribution to care </w:t>
      </w:r>
      <w:r>
        <w:t>planning. I continued to observe the right of Service User A to s</w:t>
      </w:r>
      <w:r w:rsidR="008C2B0F">
        <w:t xml:space="preserve">elf-determination even when she </w:t>
      </w:r>
      <w:r>
        <w:t>was opposed by the views of Carer B as I was practicing in line with BASW Code of Ethics</w:t>
      </w:r>
      <w:r w:rsidR="008C2B0F">
        <w:t xml:space="preserve"> </w:t>
      </w:r>
      <w:r>
        <w:t xml:space="preserve">(2021). But gaps could also be observed. I was not adequately ready </w:t>
      </w:r>
      <w:r w:rsidR="008C2B0F">
        <w:t xml:space="preserve">to clarify </w:t>
      </w:r>
      <w:r w:rsidR="008C2B0F">
        <w:lastRenderedPageBreak/>
        <w:t xml:space="preserve">eligibility decision </w:t>
      </w:r>
      <w:r>
        <w:t>to the Service User A and his family and this undermined their righ</w:t>
      </w:r>
      <w:r w:rsidR="008C2B0F">
        <w:t xml:space="preserve">t to participate in the process </w:t>
      </w:r>
      <w:r>
        <w:t>comprehensively.</w:t>
      </w:r>
    </w:p>
    <w:p w14:paraId="47986068" w14:textId="77777777" w:rsidR="00D65E6A" w:rsidRPr="00913A2B" w:rsidRDefault="00D65E6A" w:rsidP="00913A2B">
      <w:pPr>
        <w:pStyle w:val="Heading2"/>
        <w:rPr>
          <w:rFonts w:ascii="Arial" w:hAnsi="Arial" w:cs="Arial"/>
        </w:rPr>
      </w:pPr>
      <w:bookmarkStart w:id="10" w:name="_Toc226908784"/>
      <w:r w:rsidRPr="00913A2B">
        <w:rPr>
          <w:rFonts w:ascii="Arial" w:hAnsi="Arial" w:cs="Arial"/>
        </w:rPr>
        <w:t>Analysis</w:t>
      </w:r>
      <w:bookmarkEnd w:id="10"/>
    </w:p>
    <w:p w14:paraId="08BBEC9D" w14:textId="09F4F8CB" w:rsidR="00E609EE" w:rsidRDefault="00D65E6A" w:rsidP="00D65E6A">
      <w:pPr>
        <w:spacing w:line="360" w:lineRule="auto"/>
      </w:pPr>
      <w:r>
        <w:t>My person-centred approach corresponds to the fundamental c</w:t>
      </w:r>
      <w:r w:rsidR="008C2B0F">
        <w:t xml:space="preserve">onditions of Rogers (1961) as I </w:t>
      </w:r>
      <w:r>
        <w:t>was able to build trust and allow Service User A to formulate re</w:t>
      </w:r>
      <w:r w:rsidR="008C2B0F">
        <w:t xml:space="preserve">al goals instead of yielding to </w:t>
      </w:r>
      <w:r>
        <w:t xml:space="preserve">external coercion. I would support their independence in </w:t>
      </w:r>
      <w:r w:rsidR="008C2B0F">
        <w:t xml:space="preserve">the framework of Care Act 2014, </w:t>
      </w:r>
      <w:r>
        <w:t>Section 1, the wellbeing principle, and the self-determination</w:t>
      </w:r>
      <w:r w:rsidR="008C2B0F">
        <w:t xml:space="preserve"> commitment to the BASW Code of </w:t>
      </w:r>
      <w:r>
        <w:t>Ethics (2021). My interactive involvement with partner agencies i</w:t>
      </w:r>
      <w:r w:rsidR="008C2B0F">
        <w:t xml:space="preserve">s indicative of what </w:t>
      </w:r>
      <w:proofErr w:type="spellStart"/>
      <w:r w:rsidR="008C2B0F">
        <w:t>D’Amour</w:t>
      </w:r>
      <w:proofErr w:type="spellEnd"/>
      <w:r w:rsidR="008C2B0F">
        <w:t xml:space="preserve"> et </w:t>
      </w:r>
      <w:r>
        <w:t xml:space="preserve">al. (2005) term internalisation wherein practitioners are sincerely </w:t>
      </w:r>
      <w:r w:rsidR="008C2B0F">
        <w:t xml:space="preserve">interested in interprofessional </w:t>
      </w:r>
      <w:r>
        <w:t xml:space="preserve">working as a means of serving people more effectively and </w:t>
      </w:r>
      <w:r w:rsidR="008C2B0F">
        <w:t xml:space="preserve">not as an obligatory procedure. </w:t>
      </w:r>
      <w:r>
        <w:t>When making a critical analysis of my gaps, it was not just</w:t>
      </w:r>
      <w:r w:rsidR="008C2B0F">
        <w:t xml:space="preserve"> a knowledge deficit when I was </w:t>
      </w:r>
      <w:r>
        <w:t>unable to explain the eligibility framework with confid</w:t>
      </w:r>
      <w:r w:rsidR="008C2B0F">
        <w:t xml:space="preserve">ence and but had direct ethical </w:t>
      </w:r>
      <w:r>
        <w:t>implications. According to Beauchamp and Childress (2019), auton</w:t>
      </w:r>
      <w:r w:rsidR="008C2B0F">
        <w:t xml:space="preserve">omy implies active facilitation </w:t>
      </w:r>
      <w:r>
        <w:t>of informed decision-making - in case Service User A was unable to comprehend decisions that</w:t>
      </w:r>
      <w:r w:rsidR="008C2B0F">
        <w:t xml:space="preserve"> </w:t>
      </w:r>
      <w:r>
        <w:t>influenced their life their autonomy was substantively underm</w:t>
      </w:r>
      <w:r w:rsidR="008C2B0F">
        <w:t xml:space="preserve">ined despite my intentions. The </w:t>
      </w:r>
      <w:r>
        <w:t xml:space="preserve">reason I did not want to confront my senior colleague can be </w:t>
      </w:r>
      <w:r w:rsidR="008C2B0F">
        <w:t xml:space="preserve">explained by what Schoen (1983) </w:t>
      </w:r>
      <w:r>
        <w:t>refers to as the discrepancy between these two levels</w:t>
      </w:r>
      <w:r w:rsidR="008C2B0F">
        <w:t xml:space="preserve">, espoused theory, the values I </w:t>
      </w:r>
      <w:r>
        <w:t xml:space="preserve">proclaimed, and theory-in-use, which is what I actually did </w:t>
      </w:r>
      <w:r w:rsidR="008C2B0F">
        <w:t xml:space="preserve">when professional hierarchy and </w:t>
      </w:r>
      <w:r>
        <w:t>organisational pressure came to bear on a situation. Moreo</w:t>
      </w:r>
      <w:r w:rsidR="008C2B0F">
        <w:t xml:space="preserve">ver, my hesitation to implement </w:t>
      </w:r>
      <w:r>
        <w:t>Making Safeguarding Personal is consistent with the report by</w:t>
      </w:r>
      <w:r w:rsidR="008C2B0F">
        <w:t xml:space="preserve"> </w:t>
      </w:r>
      <w:proofErr w:type="spellStart"/>
      <w:r w:rsidR="008C2B0F">
        <w:t>Braye</w:t>
      </w:r>
      <w:proofErr w:type="spellEnd"/>
      <w:r w:rsidR="008C2B0F">
        <w:t xml:space="preserve"> and Preston-Shoot (2016) </w:t>
      </w:r>
      <w:r>
        <w:t>that legal and policy literacy in social work is often wanting, whi</w:t>
      </w:r>
      <w:r w:rsidR="008C2B0F">
        <w:t xml:space="preserve">ch constrains practitioners and </w:t>
      </w:r>
      <w:r>
        <w:t>allows them to advocate even when their values are correct. V</w:t>
      </w:r>
      <w:r w:rsidR="008C2B0F">
        <w:t xml:space="preserve">alues lacking knowledge are not </w:t>
      </w:r>
      <w:r>
        <w:t>enough, they demand both equally.</w:t>
      </w:r>
    </w:p>
    <w:p w14:paraId="05F58286" w14:textId="77777777" w:rsidR="00E609EE" w:rsidRDefault="00E609EE" w:rsidP="00CF61E4">
      <w:pPr>
        <w:spacing w:line="360" w:lineRule="auto"/>
      </w:pPr>
    </w:p>
    <w:p w14:paraId="4C74ED7A" w14:textId="2FCF4FCF" w:rsidR="00D47920" w:rsidRPr="008C2B0F" w:rsidRDefault="00AD5E47" w:rsidP="008C2B0F">
      <w:pPr>
        <w:pStyle w:val="Heading1"/>
        <w:rPr>
          <w:rFonts w:ascii="Arial" w:hAnsi="Arial" w:cs="Arial"/>
        </w:rPr>
      </w:pPr>
      <w:bookmarkStart w:id="11" w:name="_Toc1449786460"/>
      <w:bookmarkEnd w:id="3"/>
      <w:r w:rsidRPr="00E609EE">
        <w:br w:type="page"/>
      </w:r>
      <w:bookmarkStart w:id="12" w:name="_Toc226908785"/>
      <w:r w:rsidR="00D47920" w:rsidRPr="008C2B0F">
        <w:rPr>
          <w:rFonts w:ascii="Arial" w:hAnsi="Arial" w:cs="Arial"/>
        </w:rPr>
        <w:lastRenderedPageBreak/>
        <w:t>Conclusion</w:t>
      </w:r>
      <w:bookmarkEnd w:id="11"/>
      <w:bookmarkEnd w:id="12"/>
      <w:r w:rsidR="00D47920" w:rsidRPr="008C2B0F">
        <w:rPr>
          <w:rFonts w:ascii="Arial" w:hAnsi="Arial" w:cs="Arial"/>
        </w:rPr>
        <w:t xml:space="preserve"> </w:t>
      </w:r>
    </w:p>
    <w:p w14:paraId="70DC14D0" w14:textId="24F4E83C" w:rsidR="00D65E6A" w:rsidRPr="00806FE8" w:rsidRDefault="00D65E6A" w:rsidP="00D65E6A">
      <w:pPr>
        <w:spacing w:line="360" w:lineRule="auto"/>
        <w:rPr>
          <w:rFonts w:ascii="Arial" w:hAnsi="Arial" w:cs="Arial"/>
          <w:lang w:val="en-US"/>
        </w:rPr>
      </w:pPr>
      <w:r w:rsidRPr="00806FE8">
        <w:rPr>
          <w:rFonts w:ascii="Arial" w:hAnsi="Arial" w:cs="Arial"/>
          <w:lang w:val="en-US"/>
        </w:rPr>
        <w:t>This reflection proves that my social work values are reflect</w:t>
      </w:r>
      <w:r w:rsidR="008C2B0F" w:rsidRPr="00806FE8">
        <w:rPr>
          <w:rFonts w:ascii="Arial" w:hAnsi="Arial" w:cs="Arial"/>
          <w:lang w:val="en-US"/>
        </w:rPr>
        <w:t xml:space="preserve">ed in practice, yet the lack of </w:t>
      </w:r>
      <w:r w:rsidRPr="00806FE8">
        <w:rPr>
          <w:rFonts w:ascii="Arial" w:hAnsi="Arial" w:cs="Arial"/>
          <w:lang w:val="en-US"/>
        </w:rPr>
        <w:t>effectiveness is associated with the gaps in the legal knowled</w:t>
      </w:r>
      <w:r w:rsidR="008C2B0F" w:rsidRPr="00806FE8">
        <w:rPr>
          <w:rFonts w:ascii="Arial" w:hAnsi="Arial" w:cs="Arial"/>
          <w:lang w:val="en-US"/>
        </w:rPr>
        <w:t xml:space="preserve">ge and professional confidence. </w:t>
      </w:r>
      <w:r w:rsidRPr="00806FE8">
        <w:rPr>
          <w:rFonts w:ascii="Arial" w:hAnsi="Arial" w:cs="Arial"/>
          <w:lang w:val="en-US"/>
        </w:rPr>
        <w:t>Moon (2004) contends that the real learning involves critical questioning of o</w:t>
      </w:r>
      <w:r w:rsidR="008C2B0F" w:rsidRPr="00806FE8">
        <w:rPr>
          <w:rFonts w:ascii="Arial" w:hAnsi="Arial" w:cs="Arial"/>
          <w:lang w:val="en-US"/>
        </w:rPr>
        <w:t xml:space="preserve">ne limitation and </w:t>
      </w:r>
      <w:r w:rsidRPr="00806FE8">
        <w:rPr>
          <w:rFonts w:ascii="Arial" w:hAnsi="Arial" w:cs="Arial"/>
          <w:lang w:val="en-US"/>
        </w:rPr>
        <w:t>not its description. Social Work England CPD requirements (202</w:t>
      </w:r>
      <w:r w:rsidR="008C2B0F" w:rsidRPr="00806FE8">
        <w:rPr>
          <w:rFonts w:ascii="Arial" w:hAnsi="Arial" w:cs="Arial"/>
          <w:lang w:val="en-US"/>
        </w:rPr>
        <w:t xml:space="preserve">2) consider reflective practice </w:t>
      </w:r>
      <w:r w:rsidRPr="00806FE8">
        <w:rPr>
          <w:rFonts w:ascii="Arial" w:hAnsi="Arial" w:cs="Arial"/>
          <w:lang w:val="en-US"/>
        </w:rPr>
        <w:t>as a responsibility that continues in the professional practice.</w:t>
      </w:r>
    </w:p>
    <w:p w14:paraId="461761AE" w14:textId="77777777" w:rsidR="00D65E6A" w:rsidRPr="00D65E6A" w:rsidRDefault="00D65E6A" w:rsidP="00D65E6A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0A0B1C44" w14:textId="77777777" w:rsidR="00D65E6A" w:rsidRPr="008C2B0F" w:rsidRDefault="00D65E6A" w:rsidP="008C2B0F">
      <w:pPr>
        <w:pStyle w:val="Heading2"/>
        <w:rPr>
          <w:rFonts w:ascii="Arial" w:hAnsi="Arial" w:cs="Arial"/>
          <w:lang w:val="en-US"/>
        </w:rPr>
      </w:pPr>
      <w:bookmarkStart w:id="13" w:name="_Toc226908786"/>
      <w:r w:rsidRPr="008C2B0F">
        <w:rPr>
          <w:rFonts w:ascii="Arial" w:hAnsi="Arial" w:cs="Arial"/>
          <w:lang w:val="en-US"/>
        </w:rPr>
        <w:t>Action Plan</w:t>
      </w:r>
      <w:bookmarkEnd w:id="13"/>
    </w:p>
    <w:p w14:paraId="195C68C5" w14:textId="6C2ACBEE" w:rsidR="00AD5E47" w:rsidRPr="00806FE8" w:rsidRDefault="00D65E6A" w:rsidP="00D65E6A">
      <w:pPr>
        <w:spacing w:line="360" w:lineRule="auto"/>
        <w:rPr>
          <w:rFonts w:ascii="Arial" w:hAnsi="Arial" w:cs="Arial"/>
          <w:lang w:val="en-US"/>
        </w:rPr>
      </w:pPr>
      <w:r w:rsidRPr="00806FE8">
        <w:rPr>
          <w:rFonts w:ascii="Arial" w:hAnsi="Arial" w:cs="Arial"/>
          <w:lang w:val="en-US"/>
        </w:rPr>
        <w:t>Upon evaluating my current strengths in the area of relatio</w:t>
      </w:r>
      <w:r w:rsidR="00A1580F" w:rsidRPr="00806FE8">
        <w:rPr>
          <w:rFonts w:ascii="Arial" w:hAnsi="Arial" w:cs="Arial"/>
          <w:lang w:val="en-US"/>
        </w:rPr>
        <w:t xml:space="preserve">nship-building through empathy, </w:t>
      </w:r>
      <w:r w:rsidRPr="00806FE8">
        <w:rPr>
          <w:rFonts w:ascii="Arial" w:hAnsi="Arial" w:cs="Arial"/>
          <w:lang w:val="en-US"/>
        </w:rPr>
        <w:t>person-</w:t>
      </w:r>
      <w:proofErr w:type="spellStart"/>
      <w:r w:rsidRPr="00806FE8">
        <w:rPr>
          <w:rFonts w:ascii="Arial" w:hAnsi="Arial" w:cs="Arial"/>
          <w:lang w:val="en-US"/>
        </w:rPr>
        <w:t>centred</w:t>
      </w:r>
      <w:proofErr w:type="spellEnd"/>
      <w:r w:rsidRPr="00806FE8">
        <w:rPr>
          <w:rFonts w:ascii="Arial" w:hAnsi="Arial" w:cs="Arial"/>
          <w:lang w:val="en-US"/>
        </w:rPr>
        <w:t xml:space="preserve"> communication, and collaborative working, thre</w:t>
      </w:r>
      <w:r w:rsidR="00A1580F" w:rsidRPr="00806FE8">
        <w:rPr>
          <w:rFonts w:ascii="Arial" w:hAnsi="Arial" w:cs="Arial"/>
          <w:lang w:val="en-US"/>
        </w:rPr>
        <w:t xml:space="preserve">e areas of priority development </w:t>
      </w:r>
      <w:r w:rsidRPr="00806FE8">
        <w:rPr>
          <w:rFonts w:ascii="Arial" w:hAnsi="Arial" w:cs="Arial"/>
          <w:lang w:val="en-US"/>
        </w:rPr>
        <w:t>were identified. First, to enhance legal literacy, I will accomplish Com</w:t>
      </w:r>
      <w:r w:rsidR="00A1580F" w:rsidRPr="00806FE8">
        <w:rPr>
          <w:rFonts w:ascii="Arial" w:hAnsi="Arial" w:cs="Arial"/>
          <w:lang w:val="en-US"/>
        </w:rPr>
        <w:t xml:space="preserve">munity Care Inform legal </w:t>
      </w:r>
      <w:r w:rsidRPr="00806FE8">
        <w:rPr>
          <w:rFonts w:ascii="Arial" w:hAnsi="Arial" w:cs="Arial"/>
          <w:lang w:val="en-US"/>
        </w:rPr>
        <w:t>literacy modules in two months and local authority Care Act</w:t>
      </w:r>
      <w:r w:rsidR="00A1580F" w:rsidRPr="00806FE8">
        <w:rPr>
          <w:rFonts w:ascii="Arial" w:hAnsi="Arial" w:cs="Arial"/>
          <w:lang w:val="en-US"/>
        </w:rPr>
        <w:t xml:space="preserve"> 2014 training in three months, </w:t>
      </w:r>
      <w:r w:rsidRPr="00806FE8">
        <w:rPr>
          <w:rFonts w:ascii="Arial" w:hAnsi="Arial" w:cs="Arial"/>
          <w:lang w:val="en-US"/>
        </w:rPr>
        <w:t xml:space="preserve">which covers Social Work England Professional Standard </w:t>
      </w:r>
      <w:r w:rsidR="00A1580F" w:rsidRPr="00806FE8">
        <w:rPr>
          <w:rFonts w:ascii="Arial" w:hAnsi="Arial" w:cs="Arial"/>
          <w:lang w:val="en-US"/>
        </w:rPr>
        <w:t xml:space="preserve">4 (2022) and reflects </w:t>
      </w:r>
      <w:proofErr w:type="spellStart"/>
      <w:r w:rsidR="00A1580F" w:rsidRPr="00806FE8">
        <w:rPr>
          <w:rFonts w:ascii="Arial" w:hAnsi="Arial" w:cs="Arial"/>
          <w:lang w:val="en-US"/>
        </w:rPr>
        <w:t>Braye</w:t>
      </w:r>
      <w:proofErr w:type="spellEnd"/>
      <w:r w:rsidR="00A1580F" w:rsidRPr="00806FE8">
        <w:rPr>
          <w:rFonts w:ascii="Arial" w:hAnsi="Arial" w:cs="Arial"/>
          <w:lang w:val="en-US"/>
        </w:rPr>
        <w:t xml:space="preserve"> and </w:t>
      </w:r>
      <w:r w:rsidRPr="00806FE8">
        <w:rPr>
          <w:rFonts w:ascii="Arial" w:hAnsi="Arial" w:cs="Arial"/>
          <w:lang w:val="en-US"/>
        </w:rPr>
        <w:t>Preston-Shoot (2016) viewpoint that legal literacy can</w:t>
      </w:r>
      <w:r w:rsidR="00A1580F" w:rsidRPr="00806FE8">
        <w:rPr>
          <w:rFonts w:ascii="Arial" w:hAnsi="Arial" w:cs="Arial"/>
          <w:lang w:val="en-US"/>
        </w:rPr>
        <w:t xml:space="preserve">not be separated out of ethical </w:t>
      </w:r>
      <w:r w:rsidRPr="00806FE8">
        <w:rPr>
          <w:rFonts w:ascii="Arial" w:hAnsi="Arial" w:cs="Arial"/>
          <w:lang w:val="en-US"/>
        </w:rPr>
        <w:t>competence. Second, to enhance ethical decision-making in stressf</w:t>
      </w:r>
      <w:r w:rsidR="00A1580F" w:rsidRPr="00806FE8">
        <w:rPr>
          <w:rFonts w:ascii="Arial" w:hAnsi="Arial" w:cs="Arial"/>
          <w:lang w:val="en-US"/>
        </w:rPr>
        <w:t xml:space="preserve">ul situations, I will implement </w:t>
      </w:r>
      <w:r w:rsidRPr="00806FE8">
        <w:rPr>
          <w:rFonts w:ascii="Arial" w:hAnsi="Arial" w:cs="Arial"/>
          <w:lang w:val="en-US"/>
        </w:rPr>
        <w:t>the DECIDE model developed by Thompson (2016) i</w:t>
      </w:r>
      <w:r w:rsidR="00A1580F" w:rsidRPr="00806FE8">
        <w:rPr>
          <w:rFonts w:ascii="Arial" w:hAnsi="Arial" w:cs="Arial"/>
          <w:lang w:val="en-US"/>
        </w:rPr>
        <w:t xml:space="preserve">n monthly supervision meetings, </w:t>
      </w:r>
      <w:r w:rsidRPr="00806FE8">
        <w:rPr>
          <w:rFonts w:ascii="Arial" w:hAnsi="Arial" w:cs="Arial"/>
          <w:lang w:val="en-US"/>
        </w:rPr>
        <w:t>developing the confidence in handling the dilemma betwee</w:t>
      </w:r>
      <w:r w:rsidR="00A1580F" w:rsidRPr="00806FE8">
        <w:rPr>
          <w:rFonts w:ascii="Arial" w:hAnsi="Arial" w:cs="Arial"/>
          <w:lang w:val="en-US"/>
        </w:rPr>
        <w:t xml:space="preserve">n autonomy and protecting duty, </w:t>
      </w:r>
      <w:r w:rsidRPr="00806FE8">
        <w:rPr>
          <w:rFonts w:ascii="Arial" w:hAnsi="Arial" w:cs="Arial"/>
          <w:lang w:val="en-US"/>
        </w:rPr>
        <w:t>which is in line with the BASW Code of Ethics (2021). Third</w:t>
      </w:r>
      <w:r w:rsidR="00A1580F" w:rsidRPr="00806FE8">
        <w:rPr>
          <w:rFonts w:ascii="Arial" w:hAnsi="Arial" w:cs="Arial"/>
          <w:lang w:val="en-US"/>
        </w:rPr>
        <w:t xml:space="preserve">, in order to gain professional </w:t>
      </w:r>
      <w:r w:rsidRPr="00806FE8">
        <w:rPr>
          <w:rFonts w:ascii="Arial" w:hAnsi="Arial" w:cs="Arial"/>
          <w:lang w:val="en-US"/>
        </w:rPr>
        <w:t>assertiveness skills in a multi-agency environment, I will sh</w:t>
      </w:r>
      <w:r w:rsidR="00A1580F" w:rsidRPr="00806FE8">
        <w:rPr>
          <w:rFonts w:ascii="Arial" w:hAnsi="Arial" w:cs="Arial"/>
          <w:lang w:val="en-US"/>
        </w:rPr>
        <w:t xml:space="preserve">adow an established Independent </w:t>
      </w:r>
      <w:r w:rsidRPr="00806FE8">
        <w:rPr>
          <w:rFonts w:ascii="Arial" w:hAnsi="Arial" w:cs="Arial"/>
          <w:lang w:val="en-US"/>
        </w:rPr>
        <w:t xml:space="preserve">Mental Capacity Advocate within three months. According to </w:t>
      </w:r>
      <w:r w:rsidR="00A1580F" w:rsidRPr="00806FE8">
        <w:rPr>
          <w:rFonts w:ascii="Arial" w:hAnsi="Arial" w:cs="Arial"/>
          <w:lang w:val="en-US"/>
        </w:rPr>
        <w:t xml:space="preserve">Trevithick (2012), professional </w:t>
      </w:r>
      <w:r w:rsidRPr="00806FE8">
        <w:rPr>
          <w:rFonts w:ascii="Arial" w:hAnsi="Arial" w:cs="Arial"/>
          <w:lang w:val="en-US"/>
        </w:rPr>
        <w:t>confidence is a skill that can be developed, and these gaps can</w:t>
      </w:r>
      <w:r w:rsidR="00A1580F" w:rsidRPr="00806FE8">
        <w:rPr>
          <w:rFonts w:ascii="Arial" w:hAnsi="Arial" w:cs="Arial"/>
          <w:lang w:val="en-US"/>
        </w:rPr>
        <w:t xml:space="preserve"> be resolved, not set in stone. </w:t>
      </w:r>
      <w:r w:rsidRPr="00806FE8">
        <w:rPr>
          <w:rFonts w:ascii="Arial" w:hAnsi="Arial" w:cs="Arial"/>
          <w:lang w:val="en-US"/>
        </w:rPr>
        <w:t>The evidence of development will occur in the BASW Professional Capabilities Framework.</w:t>
      </w:r>
    </w:p>
    <w:p w14:paraId="3CC74EF1" w14:textId="77777777" w:rsidR="00D47920" w:rsidRPr="00E609EE" w:rsidRDefault="00D47920" w:rsidP="00CF61E4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7DE932D1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63D25EDE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26842E76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6529C85A" w14:textId="3F8BEACC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5DC0FEDA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55EA2F5F" w14:textId="77777777" w:rsidR="00D47920" w:rsidRPr="00E609EE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34C28E44" w14:textId="49CE5737" w:rsidR="00D47920" w:rsidRDefault="00D47920" w:rsidP="00CF61E4">
      <w:pPr>
        <w:spacing w:line="360" w:lineRule="auto"/>
        <w:rPr>
          <w:rFonts w:ascii="Arial" w:hAnsi="Arial" w:cs="Arial"/>
          <w:sz w:val="22"/>
          <w:szCs w:val="22"/>
        </w:rPr>
      </w:pPr>
    </w:p>
    <w:p w14:paraId="2EC043EC" w14:textId="1E088481" w:rsidR="00D47920" w:rsidRPr="00A1580F" w:rsidRDefault="00D47920" w:rsidP="00A1580F">
      <w:pPr>
        <w:pStyle w:val="Heading1"/>
        <w:rPr>
          <w:rFonts w:ascii="Arial" w:hAnsi="Arial" w:cs="Arial"/>
        </w:rPr>
      </w:pPr>
      <w:bookmarkStart w:id="14" w:name="_Toc893786434"/>
      <w:bookmarkStart w:id="15" w:name="_Toc226908787"/>
      <w:r w:rsidRPr="00A1580F">
        <w:rPr>
          <w:rStyle w:val="Heading1Char"/>
          <w:rFonts w:ascii="Arial" w:hAnsi="Arial" w:cs="Arial"/>
        </w:rPr>
        <w:t>Reference</w:t>
      </w:r>
      <w:bookmarkEnd w:id="15"/>
      <w:r w:rsidRPr="00A1580F">
        <w:rPr>
          <w:rFonts w:ascii="Arial" w:hAnsi="Arial" w:cs="Arial"/>
        </w:rPr>
        <w:t xml:space="preserve"> </w:t>
      </w:r>
      <w:bookmarkEnd w:id="14"/>
    </w:p>
    <w:p w14:paraId="70027E2E" w14:textId="7C2D6631" w:rsidR="00D65E6A" w:rsidRPr="00C47FE6" w:rsidRDefault="00D65E6A" w:rsidP="00C47FE6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>BASW (2021) Code of Ethics for Social Work. Birmingham</w:t>
      </w:r>
      <w:r w:rsidR="00C47FE6" w:rsidRPr="00C47FE6">
        <w:rPr>
          <w:rFonts w:ascii="Arial" w:hAnsi="Arial" w:cs="Arial"/>
          <w:lang w:val="en-US"/>
        </w:rPr>
        <w:t xml:space="preserve">: British Association of Social </w:t>
      </w:r>
      <w:r w:rsidRPr="00C47FE6">
        <w:rPr>
          <w:rFonts w:ascii="Arial" w:hAnsi="Arial" w:cs="Arial"/>
          <w:lang w:val="en-US"/>
        </w:rPr>
        <w:t xml:space="preserve">Workers. Available via </w:t>
      </w:r>
      <w:hyperlink r:id="rId7" w:history="1">
        <w:r w:rsidR="00C47FE6" w:rsidRPr="00C47FE6">
          <w:rPr>
            <w:rStyle w:val="Hyperlink"/>
            <w:rFonts w:ascii="Arial" w:hAnsi="Arial" w:cs="Arial"/>
            <w:lang w:val="en-US"/>
          </w:rPr>
          <w:t>https://basw.co.uk/policy-practice/standards/code-ethics</w:t>
        </w:r>
      </w:hyperlink>
      <w:r w:rsidR="00C47FE6" w:rsidRPr="00C47FE6">
        <w:rPr>
          <w:rFonts w:ascii="Arial" w:hAnsi="Arial" w:cs="Arial"/>
          <w:lang w:val="en-US"/>
        </w:rPr>
        <w:t xml:space="preserve"> </w:t>
      </w:r>
      <w:r w:rsidRPr="00C47FE6">
        <w:rPr>
          <w:rFonts w:ascii="Arial" w:hAnsi="Arial" w:cs="Arial"/>
          <w:lang w:val="en-US"/>
        </w:rPr>
        <w:t xml:space="preserve">(Accessed on 21 </w:t>
      </w:r>
      <w:proofErr w:type="spellStart"/>
      <w:r w:rsidRPr="00C47FE6">
        <w:rPr>
          <w:rFonts w:ascii="Arial" w:hAnsi="Arial" w:cs="Arial"/>
          <w:lang w:val="en-US"/>
        </w:rPr>
        <w:t>Marach</w:t>
      </w:r>
      <w:proofErr w:type="spellEnd"/>
      <w:r w:rsidRPr="00C47FE6">
        <w:rPr>
          <w:rFonts w:ascii="Arial" w:hAnsi="Arial" w:cs="Arial"/>
          <w:lang w:val="en-US"/>
        </w:rPr>
        <w:t xml:space="preserve"> 2026).</w:t>
      </w:r>
    </w:p>
    <w:p w14:paraId="308A4157" w14:textId="59E292E7" w:rsidR="00D65E6A" w:rsidRPr="00C47FE6" w:rsidRDefault="00D65E6A" w:rsidP="00D65E6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 xml:space="preserve">Beauchamp, T.L. and Childress, J.F. (2019) Principles of Biomedical Ethics. 8th </w:t>
      </w:r>
      <w:proofErr w:type="spellStart"/>
      <w:r w:rsidRPr="00C47FE6">
        <w:rPr>
          <w:rFonts w:ascii="Arial" w:hAnsi="Arial" w:cs="Arial"/>
          <w:lang w:val="en-US"/>
        </w:rPr>
        <w:t>edn</w:t>
      </w:r>
      <w:proofErr w:type="spellEnd"/>
      <w:r w:rsidRPr="00C47FE6">
        <w:rPr>
          <w:rFonts w:ascii="Arial" w:hAnsi="Arial" w:cs="Arial"/>
          <w:lang w:val="en-US"/>
        </w:rPr>
        <w:t>.</w:t>
      </w:r>
      <w:r w:rsidR="00C47FE6">
        <w:rPr>
          <w:rFonts w:ascii="Arial" w:hAnsi="Arial" w:cs="Arial"/>
          <w:lang w:val="en-US"/>
        </w:rPr>
        <w:t xml:space="preserve"> </w:t>
      </w:r>
      <w:r w:rsidRPr="00C47FE6">
        <w:rPr>
          <w:rFonts w:ascii="Arial" w:hAnsi="Arial" w:cs="Arial"/>
          <w:lang w:val="en-US"/>
        </w:rPr>
        <w:t>Oxford: Oxford University Press.</w:t>
      </w:r>
    </w:p>
    <w:p w14:paraId="7599AB6C" w14:textId="113016D5" w:rsidR="00D65E6A" w:rsidRPr="00C47FE6" w:rsidRDefault="00D65E6A" w:rsidP="00D65E6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lang w:val="en-US"/>
        </w:rPr>
      </w:pPr>
      <w:proofErr w:type="spellStart"/>
      <w:r w:rsidRPr="00C47FE6">
        <w:rPr>
          <w:rFonts w:ascii="Arial" w:hAnsi="Arial" w:cs="Arial"/>
          <w:lang w:val="en-US"/>
        </w:rPr>
        <w:t>Braye</w:t>
      </w:r>
      <w:proofErr w:type="spellEnd"/>
      <w:r w:rsidRPr="00C47FE6">
        <w:rPr>
          <w:rFonts w:ascii="Arial" w:hAnsi="Arial" w:cs="Arial"/>
          <w:lang w:val="en-US"/>
        </w:rPr>
        <w:t xml:space="preserve">, S. and Preston-Shoot, M. (2016) </w:t>
      </w:r>
      <w:proofErr w:type="spellStart"/>
      <w:r w:rsidRPr="00C47FE6">
        <w:rPr>
          <w:rFonts w:ascii="Arial" w:hAnsi="Arial" w:cs="Arial"/>
          <w:lang w:val="en-US"/>
        </w:rPr>
        <w:t>Practising</w:t>
      </w:r>
      <w:proofErr w:type="spellEnd"/>
      <w:r w:rsidRPr="00C47FE6">
        <w:rPr>
          <w:rFonts w:ascii="Arial" w:hAnsi="Arial" w:cs="Arial"/>
          <w:lang w:val="en-US"/>
        </w:rPr>
        <w:t xml:space="preserve"> Social Work Law. 4th </w:t>
      </w:r>
      <w:proofErr w:type="spellStart"/>
      <w:r w:rsidRPr="00C47FE6">
        <w:rPr>
          <w:rFonts w:ascii="Arial" w:hAnsi="Arial" w:cs="Arial"/>
          <w:lang w:val="en-US"/>
        </w:rPr>
        <w:t>edn</w:t>
      </w:r>
      <w:proofErr w:type="spellEnd"/>
      <w:r w:rsidRPr="00C47FE6">
        <w:rPr>
          <w:rFonts w:ascii="Arial" w:hAnsi="Arial" w:cs="Arial"/>
          <w:lang w:val="en-US"/>
        </w:rPr>
        <w:t>.</w:t>
      </w:r>
      <w:r w:rsidR="00C47FE6">
        <w:rPr>
          <w:rFonts w:ascii="Arial" w:hAnsi="Arial" w:cs="Arial"/>
          <w:lang w:val="en-US"/>
        </w:rPr>
        <w:t xml:space="preserve"> </w:t>
      </w:r>
      <w:r w:rsidRPr="00C47FE6">
        <w:rPr>
          <w:rFonts w:ascii="Arial" w:hAnsi="Arial" w:cs="Arial"/>
          <w:lang w:val="en-US"/>
        </w:rPr>
        <w:t>Basingstoke: Palgrave Macmillan.</w:t>
      </w:r>
    </w:p>
    <w:p w14:paraId="2897C4DA" w14:textId="04E20880" w:rsidR="00D65E6A" w:rsidRPr="00C47FE6" w:rsidRDefault="00D65E6A" w:rsidP="00C47FE6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>Care Act 2014. Lond</w:t>
      </w:r>
      <w:r w:rsidR="00C47FE6" w:rsidRPr="00C47FE6">
        <w:rPr>
          <w:rFonts w:ascii="Arial" w:hAnsi="Arial" w:cs="Arial"/>
          <w:lang w:val="en-US"/>
        </w:rPr>
        <w:t xml:space="preserve">on: HMSO. Available via </w:t>
      </w:r>
      <w:hyperlink r:id="rId8" w:history="1">
        <w:r w:rsidR="00C47FE6" w:rsidRPr="00C47FE6">
          <w:rPr>
            <w:rStyle w:val="Hyperlink"/>
            <w:rFonts w:ascii="Arial" w:hAnsi="Arial" w:cs="Arial"/>
            <w:lang w:val="en-US"/>
          </w:rPr>
          <w:t>https://www.legislation.gov.uk/ukpga/2014/23/contents</w:t>
        </w:r>
      </w:hyperlink>
      <w:r w:rsidR="00C47FE6" w:rsidRPr="00C47FE6">
        <w:rPr>
          <w:rFonts w:ascii="Arial" w:hAnsi="Arial" w:cs="Arial"/>
          <w:lang w:val="en-US"/>
        </w:rPr>
        <w:t xml:space="preserve"> </w:t>
      </w:r>
      <w:r w:rsidRPr="00C47FE6">
        <w:rPr>
          <w:rFonts w:ascii="Arial" w:hAnsi="Arial" w:cs="Arial"/>
          <w:lang w:val="en-US"/>
        </w:rPr>
        <w:t>(Accessed on 20 March 2026).</w:t>
      </w:r>
    </w:p>
    <w:p w14:paraId="6167A314" w14:textId="71CB2532" w:rsidR="00D65E6A" w:rsidRPr="00C47FE6" w:rsidRDefault="00D65E6A" w:rsidP="00C47FE6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>Care Quality Commission (2024) State of Care 2023/24. Newcastle: CQC.</w:t>
      </w:r>
    </w:p>
    <w:p w14:paraId="66584AE6" w14:textId="67AFFC01" w:rsidR="00D65E6A" w:rsidRPr="00C47FE6" w:rsidRDefault="00C47FE6" w:rsidP="00D65E6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lang w:val="en-US"/>
        </w:rPr>
      </w:pPr>
      <w:proofErr w:type="spellStart"/>
      <w:r w:rsidRPr="00C47FE6">
        <w:rPr>
          <w:rFonts w:ascii="Arial" w:hAnsi="Arial" w:cs="Arial"/>
          <w:lang w:val="en-US"/>
        </w:rPr>
        <w:t>D’</w:t>
      </w:r>
      <w:r>
        <w:rPr>
          <w:rFonts w:ascii="Arial" w:hAnsi="Arial" w:cs="Arial"/>
          <w:lang w:val="en-US"/>
        </w:rPr>
        <w:t>Amour</w:t>
      </w:r>
      <w:proofErr w:type="spellEnd"/>
      <w:r>
        <w:rPr>
          <w:rFonts w:ascii="Arial" w:hAnsi="Arial" w:cs="Arial"/>
          <w:lang w:val="en-US"/>
        </w:rPr>
        <w:t>, D. et al. (2005) ‘</w:t>
      </w:r>
      <w:r w:rsidR="00D65E6A" w:rsidRPr="00C47FE6">
        <w:rPr>
          <w:rFonts w:ascii="Arial" w:hAnsi="Arial" w:cs="Arial"/>
          <w:lang w:val="en-US"/>
        </w:rPr>
        <w:t xml:space="preserve">The conceptual basis for </w:t>
      </w:r>
      <w:proofErr w:type="spellStart"/>
      <w:r w:rsidR="00D65E6A" w:rsidRPr="00C47FE6">
        <w:rPr>
          <w:rFonts w:ascii="Arial" w:hAnsi="Arial" w:cs="Arial"/>
          <w:lang w:val="en-US"/>
        </w:rPr>
        <w:t>interprofessi</w:t>
      </w:r>
      <w:r>
        <w:rPr>
          <w:rFonts w:ascii="Arial" w:hAnsi="Arial" w:cs="Arial"/>
          <w:lang w:val="en-US"/>
        </w:rPr>
        <w:t>onal</w:t>
      </w:r>
      <w:proofErr w:type="spellEnd"/>
      <w:r>
        <w:rPr>
          <w:rFonts w:ascii="Arial" w:hAnsi="Arial" w:cs="Arial"/>
          <w:lang w:val="en-US"/>
        </w:rPr>
        <w:t xml:space="preserve"> collaboration’</w:t>
      </w:r>
      <w:r w:rsidR="00D65E6A" w:rsidRPr="00C47FE6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</w:t>
      </w:r>
      <w:r w:rsidR="00D65E6A" w:rsidRPr="00C47FE6">
        <w:rPr>
          <w:rFonts w:ascii="Arial" w:hAnsi="Arial" w:cs="Arial"/>
          <w:lang w:val="en-US"/>
        </w:rPr>
        <w:t xml:space="preserve">Journal of </w:t>
      </w:r>
      <w:proofErr w:type="spellStart"/>
      <w:r w:rsidR="00D65E6A" w:rsidRPr="00C47FE6">
        <w:rPr>
          <w:rFonts w:ascii="Arial" w:hAnsi="Arial" w:cs="Arial"/>
          <w:lang w:val="en-US"/>
        </w:rPr>
        <w:t>Interprofessional</w:t>
      </w:r>
      <w:proofErr w:type="spellEnd"/>
      <w:r w:rsidR="00D65E6A" w:rsidRPr="00C47FE6">
        <w:rPr>
          <w:rFonts w:ascii="Arial" w:hAnsi="Arial" w:cs="Arial"/>
          <w:lang w:val="en-US"/>
        </w:rPr>
        <w:t xml:space="preserve"> Care, 19(sup1), pp. 116–131. Available via</w:t>
      </w:r>
      <w:r>
        <w:rPr>
          <w:rFonts w:ascii="Arial" w:hAnsi="Arial" w:cs="Arial"/>
          <w:lang w:val="en-US"/>
        </w:rPr>
        <w:t xml:space="preserve"> </w:t>
      </w:r>
      <w:hyperlink r:id="rId9" w:history="1">
        <w:r w:rsidRPr="00D2706A">
          <w:rPr>
            <w:rStyle w:val="Hyperlink"/>
            <w:rFonts w:ascii="Arial" w:hAnsi="Arial" w:cs="Arial"/>
            <w:lang w:val="en-US"/>
          </w:rPr>
          <w:t>https://www.tandfonline.com/doi/abs/10.1080/13561820500082529</w:t>
        </w:r>
      </w:hyperlink>
      <w:r>
        <w:rPr>
          <w:rFonts w:ascii="Arial" w:hAnsi="Arial" w:cs="Arial"/>
          <w:lang w:val="en-US"/>
        </w:rPr>
        <w:t xml:space="preserve"> </w:t>
      </w:r>
      <w:r w:rsidR="00D65E6A" w:rsidRPr="00C47FE6">
        <w:rPr>
          <w:rFonts w:ascii="Arial" w:hAnsi="Arial" w:cs="Arial"/>
          <w:lang w:val="en-US"/>
        </w:rPr>
        <w:t>(Accessed on 17</w:t>
      </w:r>
      <w:r>
        <w:rPr>
          <w:rFonts w:ascii="Arial" w:hAnsi="Arial" w:cs="Arial"/>
          <w:lang w:val="en-US"/>
        </w:rPr>
        <w:t xml:space="preserve"> </w:t>
      </w:r>
      <w:r w:rsidR="00D65E6A" w:rsidRPr="00C47FE6">
        <w:rPr>
          <w:rFonts w:ascii="Arial" w:hAnsi="Arial" w:cs="Arial"/>
          <w:lang w:val="en-US"/>
        </w:rPr>
        <w:t>March 2026).</w:t>
      </w:r>
    </w:p>
    <w:p w14:paraId="43CC58BA" w14:textId="0B47288B" w:rsidR="00D65E6A" w:rsidRPr="00C47FE6" w:rsidRDefault="00C47FE6" w:rsidP="00D65E6A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Ellis, K. (2007) ‘</w:t>
      </w:r>
      <w:r w:rsidR="00D65E6A" w:rsidRPr="00C47FE6">
        <w:rPr>
          <w:rFonts w:ascii="Arial" w:hAnsi="Arial" w:cs="Arial"/>
          <w:lang w:val="en-US"/>
        </w:rPr>
        <w:t>Direct pay</w:t>
      </w:r>
      <w:r>
        <w:rPr>
          <w:rFonts w:ascii="Arial" w:hAnsi="Arial" w:cs="Arial"/>
          <w:lang w:val="en-US"/>
        </w:rPr>
        <w:t>ments and social work practice’</w:t>
      </w:r>
      <w:r w:rsidR="00D65E6A" w:rsidRPr="00C47FE6">
        <w:rPr>
          <w:rFonts w:ascii="Arial" w:hAnsi="Arial" w:cs="Arial"/>
          <w:lang w:val="en-US"/>
        </w:rPr>
        <w:t>, British Journal of Social Work,</w:t>
      </w:r>
      <w:r>
        <w:rPr>
          <w:rFonts w:ascii="Arial" w:hAnsi="Arial" w:cs="Arial"/>
          <w:lang w:val="en-US"/>
        </w:rPr>
        <w:t xml:space="preserve"> </w:t>
      </w:r>
      <w:r w:rsidR="00D65E6A" w:rsidRPr="00C47FE6">
        <w:rPr>
          <w:rFonts w:ascii="Arial" w:hAnsi="Arial" w:cs="Arial"/>
          <w:lang w:val="en-US"/>
        </w:rPr>
        <w:t>37(3), pp. 405–422. Available via</w:t>
      </w:r>
      <w:r>
        <w:rPr>
          <w:rFonts w:ascii="Arial" w:hAnsi="Arial" w:cs="Arial"/>
          <w:lang w:val="en-US"/>
        </w:rPr>
        <w:t xml:space="preserve"> </w:t>
      </w:r>
      <w:hyperlink r:id="rId10" w:history="1">
        <w:r w:rsidRPr="00C47FE6">
          <w:rPr>
            <w:rStyle w:val="Hyperlink"/>
            <w:rFonts w:ascii="Arial" w:hAnsi="Arial" w:cs="Arial"/>
            <w:lang w:val="en-US"/>
          </w:rPr>
          <w:t>https://academic.oup.com/bjsw/articleabstract/37/3/405/1654686</w:t>
        </w:r>
      </w:hyperlink>
      <w:r w:rsidRPr="00C47FE6">
        <w:rPr>
          <w:rFonts w:ascii="Arial" w:hAnsi="Arial" w:cs="Arial"/>
          <w:lang w:val="en-US"/>
        </w:rPr>
        <w:t xml:space="preserve"> </w:t>
      </w:r>
      <w:r w:rsidR="00D65E6A" w:rsidRPr="00C47FE6">
        <w:rPr>
          <w:rFonts w:ascii="Arial" w:hAnsi="Arial" w:cs="Arial"/>
          <w:lang w:val="en-US"/>
        </w:rPr>
        <w:t>(Accessed on 21 March 2026).</w:t>
      </w:r>
    </w:p>
    <w:p w14:paraId="1174AD84" w14:textId="0ADCE3DF" w:rsidR="00D65E6A" w:rsidRPr="00C47FE6" w:rsidRDefault="00D65E6A" w:rsidP="00C47FE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 xml:space="preserve">Featherstone, B. et al. (2018) Protecting Children: </w:t>
      </w:r>
      <w:r w:rsidR="00C47FE6" w:rsidRPr="00C47FE6">
        <w:rPr>
          <w:rFonts w:ascii="Arial" w:hAnsi="Arial" w:cs="Arial"/>
          <w:lang w:val="en-US"/>
        </w:rPr>
        <w:t xml:space="preserve">A Social Model. Bristol: Policy </w:t>
      </w:r>
      <w:r w:rsidRPr="00C47FE6">
        <w:rPr>
          <w:rFonts w:ascii="Arial" w:hAnsi="Arial" w:cs="Arial"/>
          <w:lang w:val="en-US"/>
        </w:rPr>
        <w:t>Press.</w:t>
      </w:r>
    </w:p>
    <w:p w14:paraId="3577DB00" w14:textId="2C2C10A4" w:rsidR="00D65E6A" w:rsidRPr="00C47FE6" w:rsidRDefault="00D65E6A" w:rsidP="00C47FE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>Gibbs, G. (1988) Learning by Doing: A Guide to</w:t>
      </w:r>
      <w:r w:rsidR="00C47FE6" w:rsidRPr="00C47FE6">
        <w:rPr>
          <w:rFonts w:ascii="Arial" w:hAnsi="Arial" w:cs="Arial"/>
          <w:lang w:val="en-US"/>
        </w:rPr>
        <w:t xml:space="preserve"> Teaching and Learning Methods. </w:t>
      </w:r>
      <w:r w:rsidRPr="00C47FE6">
        <w:rPr>
          <w:rFonts w:ascii="Arial" w:hAnsi="Arial" w:cs="Arial"/>
          <w:lang w:val="en-US"/>
        </w:rPr>
        <w:t>Oxford: Further Education Unit, Oxford Polytechnic.</w:t>
      </w:r>
    </w:p>
    <w:p w14:paraId="4245B814" w14:textId="1287C8B7" w:rsidR="00D65E6A" w:rsidRPr="00C47FE6" w:rsidRDefault="00D65E6A" w:rsidP="00C47FE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t>Goleman, D. (1996) Emotional Intelligence. Lo</w:t>
      </w:r>
      <w:r w:rsidR="00C47FE6" w:rsidRPr="00C47FE6">
        <w:rPr>
          <w:rFonts w:ascii="Arial" w:hAnsi="Arial" w:cs="Arial"/>
          <w:lang w:val="en-US"/>
        </w:rPr>
        <w:t xml:space="preserve">ndon: Bloomsbury. Available via </w:t>
      </w:r>
      <w:hyperlink r:id="rId11" w:history="1">
        <w:r w:rsidR="00C47FE6" w:rsidRPr="00C47FE6">
          <w:rPr>
            <w:rStyle w:val="Hyperlink"/>
            <w:rFonts w:ascii="Arial" w:hAnsi="Arial" w:cs="Arial"/>
            <w:lang w:val="en-US"/>
          </w:rPr>
          <w:t>https://www.scirp.org/reference/referencespapers?referenceid=2448126</w:t>
        </w:r>
      </w:hyperlink>
      <w:r w:rsidR="00C47FE6" w:rsidRPr="00C47FE6">
        <w:rPr>
          <w:rFonts w:ascii="Arial" w:hAnsi="Arial" w:cs="Arial"/>
          <w:lang w:val="en-US"/>
        </w:rPr>
        <w:t xml:space="preserve"> (Accessed on </w:t>
      </w:r>
      <w:r w:rsidRPr="00C47FE6">
        <w:rPr>
          <w:rFonts w:ascii="Arial" w:hAnsi="Arial" w:cs="Arial"/>
          <w:lang w:val="en-US"/>
        </w:rPr>
        <w:t>20 March 2026).</w:t>
      </w:r>
    </w:p>
    <w:p w14:paraId="11930205" w14:textId="07C30CE5" w:rsidR="00D65E6A" w:rsidRPr="00C47FE6" w:rsidRDefault="00D65E6A" w:rsidP="00C47FE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C47FE6">
        <w:rPr>
          <w:rFonts w:ascii="Arial" w:hAnsi="Arial" w:cs="Arial"/>
          <w:lang w:val="en-US"/>
        </w:rPr>
        <w:lastRenderedPageBreak/>
        <w:t>Gray, M. and Webb, S.A. (eds.) (2013) The New Politi</w:t>
      </w:r>
      <w:r w:rsidR="00C47FE6" w:rsidRPr="00C47FE6">
        <w:rPr>
          <w:rFonts w:ascii="Arial" w:hAnsi="Arial" w:cs="Arial"/>
          <w:lang w:val="en-US"/>
        </w:rPr>
        <w:t xml:space="preserve">cs of Social Work. Basingstoke: </w:t>
      </w:r>
      <w:r w:rsidRPr="00C47FE6">
        <w:rPr>
          <w:rFonts w:ascii="Arial" w:hAnsi="Arial" w:cs="Arial"/>
          <w:lang w:val="en-US"/>
        </w:rPr>
        <w:t>Palgrave Macmillan.</w:t>
      </w:r>
    </w:p>
    <w:p w14:paraId="440CC439" w14:textId="25C1F2EE" w:rsidR="00D65E6A" w:rsidRPr="00C47FE6" w:rsidRDefault="00C47FE6" w:rsidP="00C47FE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Houston, S. (2010) ‘</w:t>
      </w:r>
      <w:r w:rsidR="00D65E6A" w:rsidRPr="00C47FE6">
        <w:rPr>
          <w:rFonts w:ascii="Arial" w:hAnsi="Arial" w:cs="Arial"/>
          <w:lang w:val="en-US"/>
        </w:rPr>
        <w:t xml:space="preserve">Beyond homo </w:t>
      </w:r>
      <w:proofErr w:type="spellStart"/>
      <w:r w:rsidR="00D65E6A" w:rsidRPr="00C47FE6">
        <w:rPr>
          <w:rFonts w:ascii="Arial" w:hAnsi="Arial" w:cs="Arial"/>
          <w:lang w:val="en-US"/>
        </w:rPr>
        <w:t>economicus</w:t>
      </w:r>
      <w:proofErr w:type="spellEnd"/>
      <w:r w:rsidR="00D65E6A" w:rsidRPr="00C47FE6">
        <w:rPr>
          <w:rFonts w:ascii="Arial" w:hAnsi="Arial" w:cs="Arial"/>
          <w:lang w:val="en-US"/>
        </w:rPr>
        <w:t>: recognition, self-realization and social</w:t>
      </w:r>
      <w:r w:rsidRPr="00C47FE6">
        <w:rPr>
          <w:rFonts w:ascii="Arial" w:hAnsi="Arial" w:cs="Arial"/>
          <w:lang w:val="en-US"/>
        </w:rPr>
        <w:t xml:space="preserve"> Work’</w:t>
      </w:r>
      <w:r w:rsidR="00D65E6A" w:rsidRPr="00C47FE6">
        <w:rPr>
          <w:rFonts w:ascii="Arial" w:hAnsi="Arial" w:cs="Arial"/>
          <w:lang w:val="en-US"/>
        </w:rPr>
        <w:t>, British Journal of Social Work, 40(3), pp. 841–857.</w:t>
      </w:r>
    </w:p>
    <w:p w14:paraId="21BF1933" w14:textId="11BEFB1B" w:rsidR="00A1580F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proofErr w:type="spellStart"/>
      <w:r w:rsidRPr="00A1580F">
        <w:rPr>
          <w:rFonts w:ascii="Arial" w:hAnsi="Arial" w:cs="Arial"/>
          <w:lang w:val="en-US"/>
        </w:rPr>
        <w:t>Manthorpe</w:t>
      </w:r>
      <w:proofErr w:type="spellEnd"/>
      <w:r w:rsidRPr="00A1580F">
        <w:rPr>
          <w:rFonts w:ascii="Arial" w:hAnsi="Arial" w:cs="Arial"/>
          <w:lang w:val="en-US"/>
        </w:rPr>
        <w:t>, J</w:t>
      </w:r>
      <w:r w:rsidR="00A1580F" w:rsidRPr="00A1580F">
        <w:rPr>
          <w:rFonts w:ascii="Arial" w:hAnsi="Arial" w:cs="Arial"/>
          <w:lang w:val="en-US"/>
        </w:rPr>
        <w:t>. and Martineau, S. (2011) ‘</w:t>
      </w:r>
      <w:r w:rsidRPr="00A1580F">
        <w:rPr>
          <w:rFonts w:ascii="Arial" w:hAnsi="Arial" w:cs="Arial"/>
          <w:lang w:val="en-US"/>
        </w:rPr>
        <w:t>Serious case r</w:t>
      </w:r>
      <w:r w:rsidR="00A1580F" w:rsidRPr="00A1580F">
        <w:rPr>
          <w:rFonts w:ascii="Arial" w:hAnsi="Arial" w:cs="Arial"/>
          <w:lang w:val="en-US"/>
        </w:rPr>
        <w:t>eviews in adult safeguarding in England’</w:t>
      </w:r>
      <w:r w:rsidRPr="00A1580F">
        <w:rPr>
          <w:rFonts w:ascii="Arial" w:hAnsi="Arial" w:cs="Arial"/>
          <w:lang w:val="en-US"/>
        </w:rPr>
        <w:t>, British Journal of Social Work, 41(2), pp.</w:t>
      </w:r>
      <w:r w:rsidR="00A1580F" w:rsidRPr="00A1580F">
        <w:rPr>
          <w:rFonts w:ascii="Arial" w:hAnsi="Arial" w:cs="Arial"/>
          <w:lang w:val="en-US"/>
        </w:rPr>
        <w:t xml:space="preserve"> 224–241. </w:t>
      </w:r>
    </w:p>
    <w:p w14:paraId="72B0199D" w14:textId="35F183A5" w:rsidR="00D65E6A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A1580F">
        <w:rPr>
          <w:rFonts w:ascii="Arial" w:hAnsi="Arial" w:cs="Arial"/>
          <w:lang w:val="en-US"/>
        </w:rPr>
        <w:t>Moon, J. (2004) A Handbook of Reflective and</w:t>
      </w:r>
      <w:r w:rsidR="00A1580F" w:rsidRPr="00A1580F">
        <w:rPr>
          <w:rFonts w:ascii="Arial" w:hAnsi="Arial" w:cs="Arial"/>
          <w:lang w:val="en-US"/>
        </w:rPr>
        <w:t xml:space="preserve"> Experiential Learning. London: </w:t>
      </w:r>
      <w:r w:rsidRPr="00A1580F">
        <w:rPr>
          <w:rFonts w:ascii="Arial" w:hAnsi="Arial" w:cs="Arial"/>
          <w:lang w:val="en-US"/>
        </w:rPr>
        <w:t>Routledge.</w:t>
      </w:r>
    </w:p>
    <w:p w14:paraId="172F3827" w14:textId="79AB0E6D" w:rsidR="00D65E6A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proofErr w:type="spellStart"/>
      <w:r w:rsidRPr="00A1580F">
        <w:rPr>
          <w:rFonts w:ascii="Arial" w:hAnsi="Arial" w:cs="Arial"/>
          <w:lang w:val="en-US"/>
        </w:rPr>
        <w:t>Reder</w:t>
      </w:r>
      <w:proofErr w:type="spellEnd"/>
      <w:r w:rsidR="00A1580F" w:rsidRPr="00A1580F">
        <w:rPr>
          <w:rFonts w:ascii="Arial" w:hAnsi="Arial" w:cs="Arial"/>
          <w:lang w:val="en-US"/>
        </w:rPr>
        <w:t>, P. and Duncan, S. (2003) ‘</w:t>
      </w:r>
      <w:r w:rsidRPr="00A1580F">
        <w:rPr>
          <w:rFonts w:ascii="Arial" w:hAnsi="Arial" w:cs="Arial"/>
          <w:lang w:val="en-US"/>
        </w:rPr>
        <w:t>Understanding co</w:t>
      </w:r>
      <w:r w:rsidR="00A1580F" w:rsidRPr="00A1580F">
        <w:rPr>
          <w:rFonts w:ascii="Arial" w:hAnsi="Arial" w:cs="Arial"/>
          <w:lang w:val="en-US"/>
        </w:rPr>
        <w:t>mmunication in child protection networks’</w:t>
      </w:r>
      <w:r w:rsidRPr="00A1580F">
        <w:rPr>
          <w:rFonts w:ascii="Arial" w:hAnsi="Arial" w:cs="Arial"/>
          <w:lang w:val="en-US"/>
        </w:rPr>
        <w:t>, Child Abuse Review, 12(2), pp. 82–100.</w:t>
      </w:r>
    </w:p>
    <w:p w14:paraId="0989FC73" w14:textId="15DD6805" w:rsidR="00D65E6A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A1580F">
        <w:rPr>
          <w:rFonts w:ascii="Arial" w:hAnsi="Arial" w:cs="Arial"/>
          <w:lang w:val="en-US"/>
        </w:rPr>
        <w:t>Rogers, C. (1961) On Becoming a Person. London: Constable.</w:t>
      </w:r>
    </w:p>
    <w:p w14:paraId="797476E7" w14:textId="77777777" w:rsidR="00A1580F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proofErr w:type="spellStart"/>
      <w:r w:rsidRPr="00A1580F">
        <w:rPr>
          <w:rFonts w:ascii="Arial" w:hAnsi="Arial" w:cs="Arial"/>
          <w:lang w:val="en-US"/>
        </w:rPr>
        <w:t>Schön</w:t>
      </w:r>
      <w:proofErr w:type="spellEnd"/>
      <w:r w:rsidRPr="00A1580F">
        <w:rPr>
          <w:rFonts w:ascii="Arial" w:hAnsi="Arial" w:cs="Arial"/>
          <w:lang w:val="en-US"/>
        </w:rPr>
        <w:t>, D. (1983) The Reflective Pract</w:t>
      </w:r>
      <w:r w:rsidR="00A1580F" w:rsidRPr="00A1580F">
        <w:rPr>
          <w:rFonts w:ascii="Arial" w:hAnsi="Arial" w:cs="Arial"/>
          <w:lang w:val="en-US"/>
        </w:rPr>
        <w:t>itioner. New York: Basic Books.</w:t>
      </w:r>
    </w:p>
    <w:p w14:paraId="3595028B" w14:textId="7F36EECF" w:rsidR="00D65E6A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A1580F">
        <w:rPr>
          <w:rFonts w:ascii="Arial" w:hAnsi="Arial" w:cs="Arial"/>
          <w:lang w:val="en-US"/>
        </w:rPr>
        <w:t xml:space="preserve">Social Work England (2022) Professional Standards. </w:t>
      </w:r>
      <w:r w:rsidR="00A1580F" w:rsidRPr="00A1580F">
        <w:rPr>
          <w:rFonts w:ascii="Arial" w:hAnsi="Arial" w:cs="Arial"/>
          <w:lang w:val="en-US"/>
        </w:rPr>
        <w:t xml:space="preserve">Sheffield: Social Work England. </w:t>
      </w:r>
      <w:r w:rsidRPr="00A1580F">
        <w:rPr>
          <w:rFonts w:ascii="Arial" w:hAnsi="Arial" w:cs="Arial"/>
          <w:lang w:val="en-US"/>
        </w:rPr>
        <w:t xml:space="preserve">Available via </w:t>
      </w:r>
      <w:hyperlink r:id="rId12" w:history="1">
        <w:r w:rsidR="00A1580F" w:rsidRPr="00A1580F">
          <w:rPr>
            <w:rStyle w:val="Hyperlink"/>
            <w:rFonts w:ascii="Arial" w:hAnsi="Arial" w:cs="Arial"/>
            <w:lang w:val="en-US"/>
          </w:rPr>
          <w:t>https://www.socialworkengland.org.uk/standards/</w:t>
        </w:r>
      </w:hyperlink>
      <w:r w:rsidR="00A1580F" w:rsidRPr="00A1580F">
        <w:rPr>
          <w:rFonts w:ascii="Arial" w:hAnsi="Arial" w:cs="Arial"/>
          <w:lang w:val="en-US"/>
        </w:rPr>
        <w:t xml:space="preserve"> </w:t>
      </w:r>
      <w:r w:rsidRPr="00A1580F">
        <w:rPr>
          <w:rFonts w:ascii="Arial" w:hAnsi="Arial" w:cs="Arial"/>
          <w:lang w:val="en-US"/>
        </w:rPr>
        <w:t>(Accessed on 19 March</w:t>
      </w:r>
      <w:r w:rsidR="00A1580F" w:rsidRPr="00A1580F">
        <w:rPr>
          <w:rFonts w:ascii="Arial" w:hAnsi="Arial" w:cs="Arial"/>
          <w:lang w:val="en-US"/>
        </w:rPr>
        <w:t xml:space="preserve"> </w:t>
      </w:r>
      <w:r w:rsidRPr="00A1580F">
        <w:rPr>
          <w:rFonts w:ascii="Arial" w:hAnsi="Arial" w:cs="Arial"/>
          <w:lang w:val="en-US"/>
        </w:rPr>
        <w:t>2026).</w:t>
      </w:r>
    </w:p>
    <w:p w14:paraId="1E5C0277" w14:textId="43751806" w:rsidR="00A1580F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A1580F">
        <w:rPr>
          <w:rFonts w:ascii="Arial" w:hAnsi="Arial" w:cs="Arial"/>
          <w:lang w:val="en-US"/>
        </w:rPr>
        <w:t>Thompson, N. (2016) The Professional Social Worker.</w:t>
      </w:r>
      <w:r w:rsidR="00A1580F" w:rsidRPr="00A1580F">
        <w:rPr>
          <w:rFonts w:ascii="Arial" w:hAnsi="Arial" w:cs="Arial"/>
          <w:lang w:val="en-US"/>
        </w:rPr>
        <w:t xml:space="preserve"> 2nd </w:t>
      </w:r>
      <w:proofErr w:type="spellStart"/>
      <w:r w:rsidR="00A1580F" w:rsidRPr="00A1580F">
        <w:rPr>
          <w:rFonts w:ascii="Arial" w:hAnsi="Arial" w:cs="Arial"/>
          <w:lang w:val="en-US"/>
        </w:rPr>
        <w:t>edn</w:t>
      </w:r>
      <w:proofErr w:type="spellEnd"/>
      <w:r w:rsidR="00A1580F" w:rsidRPr="00A1580F">
        <w:rPr>
          <w:rFonts w:ascii="Arial" w:hAnsi="Arial" w:cs="Arial"/>
          <w:lang w:val="en-US"/>
        </w:rPr>
        <w:t>. Basingstoke: Palgrave Macmillan.</w:t>
      </w:r>
    </w:p>
    <w:p w14:paraId="4054932D" w14:textId="362E03FE" w:rsidR="00343704" w:rsidRPr="00A1580F" w:rsidRDefault="00D65E6A" w:rsidP="00A1580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A1580F">
        <w:rPr>
          <w:rFonts w:ascii="Arial" w:hAnsi="Arial" w:cs="Arial"/>
          <w:lang w:val="en-US"/>
        </w:rPr>
        <w:t>Trevithick, P. (2012) Social Work Skills and Knowl</w:t>
      </w:r>
      <w:r w:rsidR="00A1580F" w:rsidRPr="00A1580F">
        <w:rPr>
          <w:rFonts w:ascii="Arial" w:hAnsi="Arial" w:cs="Arial"/>
          <w:lang w:val="en-US"/>
        </w:rPr>
        <w:t xml:space="preserve">edge. 3rd </w:t>
      </w:r>
      <w:proofErr w:type="spellStart"/>
      <w:r w:rsidR="00A1580F" w:rsidRPr="00A1580F">
        <w:rPr>
          <w:rFonts w:ascii="Arial" w:hAnsi="Arial" w:cs="Arial"/>
          <w:lang w:val="en-US"/>
        </w:rPr>
        <w:t>edn</w:t>
      </w:r>
      <w:proofErr w:type="spellEnd"/>
      <w:r w:rsidR="00A1580F" w:rsidRPr="00A1580F">
        <w:rPr>
          <w:rFonts w:ascii="Arial" w:hAnsi="Arial" w:cs="Arial"/>
          <w:lang w:val="en-US"/>
        </w:rPr>
        <w:t xml:space="preserve">. Maidenhead: Open </w:t>
      </w:r>
      <w:r w:rsidRPr="00A1580F">
        <w:rPr>
          <w:rFonts w:ascii="Arial" w:hAnsi="Arial" w:cs="Arial"/>
          <w:lang w:val="en-US"/>
        </w:rPr>
        <w:t>University Press.</w:t>
      </w:r>
    </w:p>
    <w:p w14:paraId="079F0137" w14:textId="77777777" w:rsidR="00343704" w:rsidRPr="00A1580F" w:rsidRDefault="00343704" w:rsidP="00CF61E4">
      <w:pPr>
        <w:spacing w:line="360" w:lineRule="auto"/>
        <w:rPr>
          <w:rFonts w:ascii="Arial" w:hAnsi="Arial" w:cs="Arial"/>
        </w:rPr>
      </w:pPr>
    </w:p>
    <w:p w14:paraId="79FE429D" w14:textId="77777777" w:rsidR="00343704" w:rsidRPr="00A1580F" w:rsidRDefault="00343704" w:rsidP="00CF61E4">
      <w:pPr>
        <w:spacing w:line="360" w:lineRule="auto"/>
        <w:rPr>
          <w:rFonts w:ascii="Arial" w:hAnsi="Arial" w:cs="Arial"/>
        </w:rPr>
      </w:pPr>
    </w:p>
    <w:p w14:paraId="2A4E849C" w14:textId="77777777" w:rsidR="00343704" w:rsidRPr="00343704" w:rsidRDefault="00343704" w:rsidP="00CF61E4">
      <w:pPr>
        <w:spacing w:line="360" w:lineRule="auto"/>
        <w:rPr>
          <w:b/>
        </w:rPr>
      </w:pPr>
    </w:p>
    <w:p w14:paraId="21422D04" w14:textId="77777777" w:rsidR="00343704" w:rsidRPr="00343704" w:rsidRDefault="00343704" w:rsidP="00CF61E4">
      <w:pPr>
        <w:spacing w:line="360" w:lineRule="auto"/>
        <w:rPr>
          <w:b/>
        </w:rPr>
      </w:pPr>
    </w:p>
    <w:p w14:paraId="02C5ABDA" w14:textId="77777777" w:rsidR="00343704" w:rsidRPr="00343704" w:rsidRDefault="00343704" w:rsidP="00CF61E4">
      <w:pPr>
        <w:spacing w:line="360" w:lineRule="auto"/>
        <w:rPr>
          <w:b/>
        </w:rPr>
      </w:pPr>
    </w:p>
    <w:p w14:paraId="745E82EA" w14:textId="77777777" w:rsidR="00343704" w:rsidRPr="00343704" w:rsidRDefault="00343704" w:rsidP="00CF61E4">
      <w:pPr>
        <w:spacing w:line="360" w:lineRule="auto"/>
        <w:rPr>
          <w:b/>
        </w:rPr>
      </w:pPr>
    </w:p>
    <w:p w14:paraId="55C6D5DA" w14:textId="77777777" w:rsidR="00343704" w:rsidRPr="00343704" w:rsidRDefault="00343704" w:rsidP="00CF61E4">
      <w:pPr>
        <w:spacing w:line="360" w:lineRule="auto"/>
      </w:pPr>
    </w:p>
    <w:p w14:paraId="3D7F7745" w14:textId="77777777" w:rsidR="00D47920" w:rsidRDefault="00D47920" w:rsidP="00CF61E4">
      <w:pPr>
        <w:spacing w:line="360" w:lineRule="auto"/>
      </w:pPr>
    </w:p>
    <w:sectPr w:rsidR="00D47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71326C"/>
    <w:multiLevelType w:val="hybridMultilevel"/>
    <w:tmpl w:val="E96A2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FC3120"/>
    <w:multiLevelType w:val="multilevel"/>
    <w:tmpl w:val="057837C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2DE15874"/>
    <w:multiLevelType w:val="hybridMultilevel"/>
    <w:tmpl w:val="4A0C3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D9055B"/>
    <w:multiLevelType w:val="multilevel"/>
    <w:tmpl w:val="4CD8543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4" w15:restartNumberingAfterBreak="0">
    <w:nsid w:val="62285111"/>
    <w:multiLevelType w:val="hybridMultilevel"/>
    <w:tmpl w:val="83A01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6B31E89"/>
    <w:multiLevelType w:val="hybridMultilevel"/>
    <w:tmpl w:val="AE3A9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5"/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7920"/>
    <w:rsid w:val="00025553"/>
    <w:rsid w:val="000B66E0"/>
    <w:rsid w:val="00272F8C"/>
    <w:rsid w:val="00343704"/>
    <w:rsid w:val="003516B8"/>
    <w:rsid w:val="003B1FDA"/>
    <w:rsid w:val="003D43F4"/>
    <w:rsid w:val="003F5CB4"/>
    <w:rsid w:val="00443EF4"/>
    <w:rsid w:val="00506ABA"/>
    <w:rsid w:val="00583CDE"/>
    <w:rsid w:val="006A4D63"/>
    <w:rsid w:val="00750C8C"/>
    <w:rsid w:val="007D1FAF"/>
    <w:rsid w:val="007E10E3"/>
    <w:rsid w:val="00806FE8"/>
    <w:rsid w:val="008C2B0F"/>
    <w:rsid w:val="008E63C9"/>
    <w:rsid w:val="00913A2B"/>
    <w:rsid w:val="00A1580F"/>
    <w:rsid w:val="00AD5E47"/>
    <w:rsid w:val="00AD7DDA"/>
    <w:rsid w:val="00B00AC4"/>
    <w:rsid w:val="00B07076"/>
    <w:rsid w:val="00B82B31"/>
    <w:rsid w:val="00B84E0F"/>
    <w:rsid w:val="00BC49E7"/>
    <w:rsid w:val="00C3477A"/>
    <w:rsid w:val="00C47FE6"/>
    <w:rsid w:val="00CE66BB"/>
    <w:rsid w:val="00CF61E4"/>
    <w:rsid w:val="00D07C71"/>
    <w:rsid w:val="00D40A31"/>
    <w:rsid w:val="00D47920"/>
    <w:rsid w:val="00D65E6A"/>
    <w:rsid w:val="00D96FFF"/>
    <w:rsid w:val="00DD76BC"/>
    <w:rsid w:val="00E067F8"/>
    <w:rsid w:val="00E609EE"/>
    <w:rsid w:val="00E949FB"/>
    <w:rsid w:val="00EE574D"/>
    <w:rsid w:val="00F05551"/>
    <w:rsid w:val="00F46D89"/>
    <w:rsid w:val="00F47167"/>
    <w:rsid w:val="00F53755"/>
    <w:rsid w:val="00F54E79"/>
    <w:rsid w:val="06AE6BAC"/>
    <w:rsid w:val="10B9B44E"/>
    <w:rsid w:val="13702EAD"/>
    <w:rsid w:val="55F3C1ED"/>
    <w:rsid w:val="5A8AF2BF"/>
    <w:rsid w:val="6E805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306C1"/>
  <w15:chartTrackingRefBased/>
  <w15:docId w15:val="{33C252E9-CC6F-4D4A-838B-BAF844950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79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9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9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9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9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9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9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9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79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79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79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79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79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79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79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9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9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79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79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79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79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79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79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79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79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79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79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792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84E0F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4E0F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B84E0F"/>
    <w:pPr>
      <w:spacing w:before="120" w:after="0"/>
      <w:ind w:left="240"/>
    </w:pPr>
    <w:rPr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B84E0F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B84E0F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84E0F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84E0F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84E0F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84E0F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84E0F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84E0F"/>
    <w:pPr>
      <w:spacing w:after="0"/>
      <w:ind w:left="1920"/>
    </w:pPr>
    <w:rPr>
      <w:sz w:val="20"/>
      <w:szCs w:val="20"/>
    </w:rPr>
  </w:style>
  <w:style w:type="character" w:styleId="Strong">
    <w:name w:val="Strong"/>
    <w:basedOn w:val="DefaultParagraphFont"/>
    <w:uiPriority w:val="22"/>
    <w:qFormat/>
    <w:rsid w:val="00583CDE"/>
    <w:rPr>
      <w:b/>
      <w:bCs/>
    </w:rPr>
  </w:style>
  <w:style w:type="character" w:styleId="Emphasis">
    <w:name w:val="Emphasis"/>
    <w:basedOn w:val="DefaultParagraphFont"/>
    <w:uiPriority w:val="20"/>
    <w:qFormat/>
    <w:rsid w:val="00583CD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8715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0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2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4/23/content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basw.co.uk/policy-practice/standards/code-ethics" TargetMode="External"/><Relationship Id="rId12" Type="http://schemas.openxmlformats.org/officeDocument/2006/relationships/hyperlink" Target="https://www.socialworkengland.org.uk/standards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scirp.org/reference/referencespapers?referenceid=2448126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academic.oup.com/bjsw/articleabstract/37/3/405/165468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andfonline.com/doi/abs/10.1080/1356182050008252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6A3BF-4687-46D8-8759-586748F7CE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2787</Words>
  <Characters>15890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HP</cp:lastModifiedBy>
  <cp:revision>2</cp:revision>
  <dcterms:created xsi:type="dcterms:W3CDTF">2026-04-12T16:59:00Z</dcterms:created>
  <dcterms:modified xsi:type="dcterms:W3CDTF">2026-04-12T16:59:00Z</dcterms:modified>
</cp:coreProperties>
</file>