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89D50" w14:textId="77777777" w:rsidR="000E7AE9" w:rsidRDefault="000E7AE9" w:rsidP="000E7AE9">
      <w:pPr>
        <w:pStyle w:val="TableParagraph"/>
        <w:spacing w:before="139"/>
        <w:ind w:left="117"/>
        <w:jc w:val="center"/>
        <w:rPr>
          <w:b/>
        </w:rPr>
      </w:pPr>
      <w:r w:rsidRPr="009876F8">
        <w:rPr>
          <w:b/>
          <w:bCs/>
        </w:rPr>
        <w:t xml:space="preserve">Module Title: </w:t>
      </w:r>
      <w:r>
        <w:rPr>
          <w:b/>
          <w:bCs/>
        </w:rPr>
        <w:t xml:space="preserve">Principles of Health and Social Care Practice </w:t>
      </w:r>
    </w:p>
    <w:p w14:paraId="5557C3E1" w14:textId="77777777" w:rsidR="000E7AE9" w:rsidRDefault="000E7AE9" w:rsidP="000E7AE9">
      <w:pPr>
        <w:rPr>
          <w:rFonts w:ascii="Arial" w:hAnsi="Arial" w:cs="Arial"/>
          <w:b/>
          <w:bCs/>
        </w:rPr>
      </w:pPr>
    </w:p>
    <w:p w14:paraId="230262F6" w14:textId="77777777" w:rsidR="000E7AE9" w:rsidRPr="009876F8" w:rsidRDefault="000E7AE9" w:rsidP="000E7AE9">
      <w:pPr>
        <w:rPr>
          <w:rFonts w:ascii="Arial" w:hAnsi="Arial" w:cs="Arial"/>
          <w:b/>
          <w:bCs/>
        </w:rPr>
      </w:pPr>
    </w:p>
    <w:p w14:paraId="2D9B3123" w14:textId="77777777" w:rsidR="000E7AE9" w:rsidRPr="009876F8" w:rsidRDefault="000E7AE9" w:rsidP="000E7AE9">
      <w:pPr>
        <w:jc w:val="center"/>
        <w:rPr>
          <w:rFonts w:ascii="Arial" w:hAnsi="Arial" w:cs="Arial"/>
          <w:b/>
          <w:bCs/>
        </w:rPr>
      </w:pPr>
      <w:r w:rsidRPr="009876F8">
        <w:rPr>
          <w:rFonts w:ascii="Arial" w:hAnsi="Arial" w:cs="Arial"/>
          <w:b/>
          <w:bCs/>
        </w:rPr>
        <w:t xml:space="preserve">Module Code: </w:t>
      </w:r>
      <w:r>
        <w:rPr>
          <w:rFonts w:ascii="Arial" w:hAnsi="Arial" w:cs="Arial"/>
          <w:b/>
          <w:bCs/>
        </w:rPr>
        <w:t>BMHP5016</w:t>
      </w:r>
    </w:p>
    <w:p w14:paraId="35B8E747" w14:textId="77777777" w:rsidR="000E7AE9" w:rsidRPr="009876F8" w:rsidRDefault="000E7AE9" w:rsidP="000E7AE9">
      <w:pPr>
        <w:jc w:val="center"/>
        <w:rPr>
          <w:rFonts w:ascii="Arial" w:hAnsi="Arial" w:cs="Arial"/>
          <w:b/>
          <w:bCs/>
        </w:rPr>
      </w:pPr>
    </w:p>
    <w:p w14:paraId="118D6749" w14:textId="087BF720" w:rsidR="000E7AE9" w:rsidRPr="009876F8" w:rsidRDefault="000E7AE9" w:rsidP="000E7AE9">
      <w:pPr>
        <w:jc w:val="center"/>
        <w:rPr>
          <w:rFonts w:ascii="Arial" w:hAnsi="Arial" w:cs="Arial"/>
          <w:b/>
          <w:bCs/>
        </w:rPr>
      </w:pPr>
      <w:r w:rsidRPr="009876F8">
        <w:rPr>
          <w:rFonts w:ascii="Arial" w:hAnsi="Arial" w:cs="Arial"/>
          <w:b/>
          <w:bCs/>
        </w:rPr>
        <w:t>Assignment Title:</w:t>
      </w:r>
      <w:r>
        <w:rPr>
          <w:rFonts w:ascii="Arial" w:hAnsi="Arial" w:cs="Arial"/>
          <w:b/>
          <w:bCs/>
        </w:rPr>
        <w:t xml:space="preserve"> Written Assignment Report </w:t>
      </w:r>
    </w:p>
    <w:p w14:paraId="78C022D9" w14:textId="77777777" w:rsidR="000E7AE9" w:rsidRPr="009876F8" w:rsidRDefault="000E7AE9" w:rsidP="000E7AE9">
      <w:pPr>
        <w:jc w:val="center"/>
        <w:rPr>
          <w:rFonts w:ascii="Arial" w:hAnsi="Arial" w:cs="Arial"/>
          <w:b/>
          <w:bCs/>
        </w:rPr>
      </w:pPr>
    </w:p>
    <w:p w14:paraId="7E05DC09" w14:textId="77777777" w:rsidR="000E7AE9" w:rsidRPr="009876F8" w:rsidRDefault="000E7AE9" w:rsidP="000E7AE9">
      <w:pPr>
        <w:jc w:val="center"/>
        <w:rPr>
          <w:rFonts w:ascii="Arial" w:hAnsi="Arial" w:cs="Arial"/>
          <w:b/>
          <w:bCs/>
        </w:rPr>
      </w:pPr>
      <w:r w:rsidRPr="009876F8">
        <w:rPr>
          <w:rFonts w:ascii="Arial" w:hAnsi="Arial" w:cs="Arial"/>
          <w:b/>
          <w:bCs/>
        </w:rPr>
        <w:t>Student Name: Shelina Begum</w:t>
      </w:r>
    </w:p>
    <w:p w14:paraId="41D73331" w14:textId="77777777" w:rsidR="000E7AE9" w:rsidRPr="009876F8" w:rsidRDefault="000E7AE9" w:rsidP="000E7AE9">
      <w:pPr>
        <w:jc w:val="center"/>
        <w:rPr>
          <w:rFonts w:ascii="Arial" w:hAnsi="Arial" w:cs="Arial"/>
          <w:b/>
          <w:bCs/>
        </w:rPr>
      </w:pPr>
    </w:p>
    <w:p w14:paraId="77D3A442" w14:textId="77777777" w:rsidR="000E7AE9" w:rsidRPr="009876F8" w:rsidRDefault="000E7AE9" w:rsidP="000E7AE9">
      <w:pPr>
        <w:jc w:val="center"/>
        <w:rPr>
          <w:rFonts w:ascii="Arial" w:hAnsi="Arial" w:cs="Arial"/>
          <w:b/>
          <w:bCs/>
        </w:rPr>
      </w:pPr>
      <w:r w:rsidRPr="009876F8">
        <w:rPr>
          <w:rFonts w:ascii="Arial" w:hAnsi="Arial" w:cs="Arial"/>
          <w:b/>
          <w:bCs/>
        </w:rPr>
        <w:t>Student ID: 2434784</w:t>
      </w:r>
    </w:p>
    <w:p w14:paraId="0D51606E" w14:textId="77777777" w:rsidR="000E7AE9" w:rsidRPr="009876F8" w:rsidRDefault="000E7AE9" w:rsidP="000E7AE9">
      <w:pPr>
        <w:jc w:val="center"/>
        <w:rPr>
          <w:rFonts w:ascii="Arial" w:hAnsi="Arial" w:cs="Arial"/>
          <w:b/>
          <w:bCs/>
        </w:rPr>
      </w:pPr>
    </w:p>
    <w:p w14:paraId="05ED1788" w14:textId="77777777" w:rsidR="000E7AE9" w:rsidRDefault="000E7AE9" w:rsidP="000E7AE9">
      <w:pPr>
        <w:jc w:val="center"/>
        <w:rPr>
          <w:rFonts w:ascii="Arial" w:hAnsi="Arial" w:cs="Arial"/>
          <w:b/>
          <w:bCs/>
        </w:rPr>
      </w:pPr>
      <w:r w:rsidRPr="009876F8">
        <w:rPr>
          <w:rFonts w:ascii="Arial" w:hAnsi="Arial" w:cs="Arial"/>
          <w:b/>
          <w:bCs/>
        </w:rPr>
        <w:t>Lecturer’s Name:</w:t>
      </w:r>
      <w:r>
        <w:rPr>
          <w:rFonts w:ascii="Arial" w:hAnsi="Arial" w:cs="Arial"/>
          <w:b/>
          <w:bCs/>
        </w:rPr>
        <w:t xml:space="preserve"> Azida Zainol</w:t>
      </w:r>
    </w:p>
    <w:p w14:paraId="73AC7F64" w14:textId="77777777" w:rsidR="000E7AE9" w:rsidRDefault="000E7AE9" w:rsidP="000E7AE9">
      <w:pPr>
        <w:jc w:val="center"/>
        <w:rPr>
          <w:rFonts w:ascii="Arial" w:hAnsi="Arial" w:cs="Arial"/>
          <w:b/>
          <w:bCs/>
        </w:rPr>
      </w:pPr>
    </w:p>
    <w:p w14:paraId="00550186" w14:textId="03196934" w:rsidR="00C72978" w:rsidRDefault="000E7AE9" w:rsidP="000E7AE9">
      <w:pPr>
        <w:jc w:val="center"/>
        <w:rPr>
          <w:rFonts w:ascii="Arial" w:hAnsi="Arial" w:cs="Arial"/>
          <w:b/>
          <w:bCs/>
        </w:rPr>
      </w:pPr>
      <w:r>
        <w:rPr>
          <w:rFonts w:ascii="Arial" w:hAnsi="Arial" w:cs="Arial"/>
          <w:b/>
          <w:bCs/>
        </w:rPr>
        <w:t>Date: 26</w:t>
      </w:r>
      <w:r w:rsidRPr="000E7AE9">
        <w:rPr>
          <w:rFonts w:ascii="Arial" w:hAnsi="Arial" w:cs="Arial"/>
          <w:b/>
          <w:bCs/>
          <w:vertAlign w:val="superscript"/>
        </w:rPr>
        <w:t>th</w:t>
      </w:r>
      <w:r>
        <w:rPr>
          <w:rFonts w:ascii="Arial" w:hAnsi="Arial" w:cs="Arial"/>
          <w:b/>
          <w:bCs/>
        </w:rPr>
        <w:t xml:space="preserve"> July 2026</w:t>
      </w:r>
    </w:p>
    <w:p w14:paraId="03A4CA36" w14:textId="77777777" w:rsidR="000E7AE9" w:rsidRDefault="000E7AE9" w:rsidP="000E7AE9">
      <w:pPr>
        <w:jc w:val="center"/>
        <w:rPr>
          <w:rFonts w:ascii="Arial" w:hAnsi="Arial" w:cs="Arial"/>
          <w:b/>
          <w:bCs/>
        </w:rPr>
      </w:pPr>
    </w:p>
    <w:p w14:paraId="45138E92" w14:textId="77777777" w:rsidR="000E7AE9" w:rsidRDefault="000E7AE9" w:rsidP="000E7AE9">
      <w:pPr>
        <w:jc w:val="center"/>
        <w:rPr>
          <w:rFonts w:ascii="Arial" w:hAnsi="Arial" w:cs="Arial"/>
          <w:b/>
          <w:bCs/>
        </w:rPr>
      </w:pPr>
    </w:p>
    <w:p w14:paraId="3AD54DB7" w14:textId="77777777" w:rsidR="000E7AE9" w:rsidRDefault="000E7AE9" w:rsidP="000E7AE9">
      <w:pPr>
        <w:jc w:val="center"/>
        <w:rPr>
          <w:rFonts w:ascii="Arial" w:hAnsi="Arial" w:cs="Arial"/>
          <w:b/>
          <w:bCs/>
        </w:rPr>
      </w:pPr>
    </w:p>
    <w:p w14:paraId="1099682A" w14:textId="77777777" w:rsidR="000E7AE9" w:rsidRDefault="000E7AE9" w:rsidP="000E7AE9">
      <w:pPr>
        <w:jc w:val="center"/>
        <w:rPr>
          <w:rFonts w:ascii="Arial" w:hAnsi="Arial" w:cs="Arial"/>
          <w:b/>
          <w:bCs/>
        </w:rPr>
      </w:pPr>
    </w:p>
    <w:p w14:paraId="254008FF" w14:textId="77777777" w:rsidR="000E7AE9" w:rsidRDefault="000E7AE9" w:rsidP="000E7AE9">
      <w:pPr>
        <w:jc w:val="center"/>
        <w:rPr>
          <w:rFonts w:ascii="Arial" w:hAnsi="Arial" w:cs="Arial"/>
          <w:b/>
          <w:bCs/>
        </w:rPr>
      </w:pPr>
    </w:p>
    <w:p w14:paraId="0B7431F0" w14:textId="77777777" w:rsidR="000E7AE9" w:rsidRDefault="000E7AE9" w:rsidP="000E7AE9">
      <w:pPr>
        <w:jc w:val="center"/>
        <w:rPr>
          <w:rFonts w:ascii="Arial" w:hAnsi="Arial" w:cs="Arial"/>
          <w:b/>
          <w:bCs/>
        </w:rPr>
      </w:pPr>
    </w:p>
    <w:p w14:paraId="0D7703E7" w14:textId="77777777" w:rsidR="000E7AE9" w:rsidRDefault="000E7AE9" w:rsidP="000E7AE9">
      <w:pPr>
        <w:jc w:val="center"/>
        <w:rPr>
          <w:rFonts w:ascii="Arial" w:hAnsi="Arial" w:cs="Arial"/>
          <w:b/>
          <w:bCs/>
        </w:rPr>
      </w:pPr>
    </w:p>
    <w:p w14:paraId="2FBE080F" w14:textId="77777777" w:rsidR="000E7AE9" w:rsidRDefault="000E7AE9" w:rsidP="000E7AE9">
      <w:pPr>
        <w:jc w:val="center"/>
        <w:rPr>
          <w:rFonts w:ascii="Arial" w:hAnsi="Arial" w:cs="Arial"/>
          <w:b/>
          <w:bCs/>
        </w:rPr>
      </w:pPr>
    </w:p>
    <w:p w14:paraId="6E1B5D68" w14:textId="77777777" w:rsidR="000E7AE9" w:rsidRDefault="000E7AE9" w:rsidP="000E7AE9">
      <w:pPr>
        <w:jc w:val="center"/>
        <w:rPr>
          <w:rFonts w:ascii="Arial" w:hAnsi="Arial" w:cs="Arial"/>
          <w:b/>
          <w:bCs/>
        </w:rPr>
      </w:pPr>
    </w:p>
    <w:p w14:paraId="385CCED2" w14:textId="77777777" w:rsidR="000E7AE9" w:rsidRDefault="000E7AE9" w:rsidP="000E7AE9">
      <w:pPr>
        <w:jc w:val="center"/>
        <w:rPr>
          <w:rFonts w:ascii="Arial" w:hAnsi="Arial" w:cs="Arial"/>
          <w:b/>
          <w:bCs/>
        </w:rPr>
      </w:pPr>
    </w:p>
    <w:p w14:paraId="046DF59F" w14:textId="77777777" w:rsidR="000E7AE9" w:rsidRDefault="000E7AE9" w:rsidP="000E7AE9">
      <w:pPr>
        <w:jc w:val="center"/>
        <w:rPr>
          <w:rFonts w:ascii="Arial" w:hAnsi="Arial" w:cs="Arial"/>
          <w:b/>
          <w:bCs/>
        </w:rPr>
      </w:pPr>
    </w:p>
    <w:p w14:paraId="5819ACA1" w14:textId="77777777" w:rsidR="000E7AE9" w:rsidRDefault="000E7AE9" w:rsidP="000E7AE9">
      <w:pPr>
        <w:jc w:val="center"/>
        <w:rPr>
          <w:rFonts w:ascii="Arial" w:hAnsi="Arial" w:cs="Arial"/>
          <w:b/>
          <w:bCs/>
        </w:rPr>
      </w:pPr>
    </w:p>
    <w:p w14:paraId="6CD037C2" w14:textId="77777777" w:rsidR="000E7AE9" w:rsidRDefault="000E7AE9" w:rsidP="000E7AE9">
      <w:pPr>
        <w:jc w:val="center"/>
        <w:rPr>
          <w:rFonts w:ascii="Arial" w:hAnsi="Arial" w:cs="Arial"/>
          <w:b/>
          <w:bCs/>
        </w:rPr>
      </w:pPr>
    </w:p>
    <w:p w14:paraId="65E483FA" w14:textId="77777777" w:rsidR="000E7AE9" w:rsidRDefault="000E7AE9" w:rsidP="000E7AE9">
      <w:pPr>
        <w:jc w:val="center"/>
        <w:rPr>
          <w:rFonts w:ascii="Arial" w:hAnsi="Arial" w:cs="Arial"/>
          <w:b/>
          <w:bCs/>
        </w:rPr>
      </w:pPr>
    </w:p>
    <w:p w14:paraId="6AC1BE46" w14:textId="77777777" w:rsidR="000E7AE9" w:rsidRDefault="000E7AE9" w:rsidP="000E7AE9">
      <w:pPr>
        <w:jc w:val="center"/>
        <w:rPr>
          <w:rFonts w:ascii="Arial" w:hAnsi="Arial" w:cs="Arial"/>
          <w:b/>
          <w:bCs/>
        </w:rPr>
      </w:pPr>
    </w:p>
    <w:p w14:paraId="0A8067F8" w14:textId="77777777" w:rsidR="000E7AE9" w:rsidRDefault="000E7AE9" w:rsidP="000E7AE9">
      <w:pPr>
        <w:jc w:val="center"/>
        <w:rPr>
          <w:rFonts w:ascii="Arial" w:hAnsi="Arial" w:cs="Arial"/>
          <w:b/>
          <w:bCs/>
        </w:rPr>
      </w:pPr>
    </w:p>
    <w:p w14:paraId="48962771" w14:textId="77777777" w:rsidR="000E7AE9" w:rsidRDefault="000E7AE9" w:rsidP="000E7AE9">
      <w:pPr>
        <w:jc w:val="center"/>
        <w:rPr>
          <w:rFonts w:ascii="Arial" w:hAnsi="Arial" w:cs="Arial"/>
          <w:b/>
          <w:bCs/>
        </w:rPr>
      </w:pPr>
    </w:p>
    <w:p w14:paraId="5C9617D4" w14:textId="77777777" w:rsidR="000E7AE9" w:rsidRDefault="000E7AE9" w:rsidP="000E7AE9">
      <w:pPr>
        <w:jc w:val="center"/>
        <w:rPr>
          <w:rFonts w:ascii="Arial" w:hAnsi="Arial" w:cs="Arial"/>
          <w:b/>
          <w:bCs/>
        </w:rPr>
      </w:pPr>
    </w:p>
    <w:p w14:paraId="483EE377" w14:textId="2B3535E5" w:rsidR="000E7AE9" w:rsidRDefault="008D10FD" w:rsidP="008D10FD">
      <w:pPr>
        <w:jc w:val="center"/>
        <w:rPr>
          <w:rFonts w:ascii="Arial" w:hAnsi="Arial" w:cs="Arial"/>
          <w:b/>
          <w:bCs/>
          <w:u w:val="single"/>
        </w:rPr>
      </w:pPr>
      <w:r>
        <w:rPr>
          <w:rFonts w:ascii="Arial" w:hAnsi="Arial" w:cs="Arial"/>
          <w:b/>
          <w:bCs/>
          <w:u w:val="single"/>
        </w:rPr>
        <w:lastRenderedPageBreak/>
        <w:t xml:space="preserve">Report </w:t>
      </w:r>
    </w:p>
    <w:p w14:paraId="376F6F23" w14:textId="77777777" w:rsidR="008D10FD" w:rsidRDefault="008D10FD" w:rsidP="008D10FD">
      <w:pPr>
        <w:rPr>
          <w:rFonts w:ascii="Arial" w:hAnsi="Arial" w:cs="Arial"/>
          <w:b/>
          <w:bCs/>
          <w:u w:val="single"/>
        </w:rPr>
      </w:pPr>
    </w:p>
    <w:p w14:paraId="3AC1CEC3" w14:textId="5858B9A4" w:rsidR="008D10FD" w:rsidRDefault="008D10FD" w:rsidP="008D10FD">
      <w:pPr>
        <w:rPr>
          <w:rFonts w:ascii="Arial" w:hAnsi="Arial" w:cs="Arial"/>
          <w:b/>
          <w:bCs/>
          <w:u w:val="single"/>
        </w:rPr>
      </w:pPr>
      <w:r>
        <w:rPr>
          <w:rFonts w:ascii="Arial" w:hAnsi="Arial" w:cs="Arial"/>
          <w:b/>
          <w:bCs/>
          <w:u w:val="single"/>
        </w:rPr>
        <w:t xml:space="preserve">Introduction </w:t>
      </w:r>
    </w:p>
    <w:p w14:paraId="36A4D7A7" w14:textId="484A6669" w:rsidR="008D10FD" w:rsidRPr="008D10FD" w:rsidRDefault="008D10FD" w:rsidP="008D10FD">
      <w:pPr>
        <w:rPr>
          <w:rFonts w:ascii="Arial" w:hAnsi="Arial" w:cs="Arial"/>
        </w:rPr>
      </w:pPr>
      <w:r>
        <w:rPr>
          <w:rFonts w:ascii="Arial" w:hAnsi="Arial" w:cs="Arial"/>
        </w:rPr>
        <w:t xml:space="preserve">Person centred care is about </w:t>
      </w:r>
      <w:r w:rsidR="00AB6DE8">
        <w:rPr>
          <w:rFonts w:ascii="Arial" w:hAnsi="Arial" w:cs="Arial"/>
        </w:rPr>
        <w:t>delivering</w:t>
      </w:r>
      <w:r>
        <w:rPr>
          <w:rFonts w:ascii="Arial" w:hAnsi="Arial" w:cs="Arial"/>
        </w:rPr>
        <w:t xml:space="preserve"> the care that </w:t>
      </w:r>
      <w:r w:rsidR="001945BC">
        <w:rPr>
          <w:rFonts w:ascii="Arial" w:hAnsi="Arial" w:cs="Arial"/>
        </w:rPr>
        <w:t>an</w:t>
      </w:r>
      <w:r>
        <w:rPr>
          <w:rFonts w:ascii="Arial" w:hAnsi="Arial" w:cs="Arial"/>
        </w:rPr>
        <w:t xml:space="preserve"> individual needs, </w:t>
      </w:r>
      <w:r w:rsidR="001945BC">
        <w:rPr>
          <w:rFonts w:ascii="Arial" w:hAnsi="Arial" w:cs="Arial"/>
        </w:rPr>
        <w:t>making</w:t>
      </w:r>
      <w:r>
        <w:rPr>
          <w:rFonts w:ascii="Arial" w:hAnsi="Arial" w:cs="Arial"/>
        </w:rPr>
        <w:t xml:space="preserve"> sure that peoples </w:t>
      </w:r>
      <w:r w:rsidR="001945BC">
        <w:rPr>
          <w:rFonts w:ascii="Arial" w:hAnsi="Arial" w:cs="Arial"/>
        </w:rPr>
        <w:t>likings</w:t>
      </w:r>
      <w:r>
        <w:rPr>
          <w:rFonts w:ascii="Arial" w:hAnsi="Arial" w:cs="Arial"/>
        </w:rPr>
        <w:t xml:space="preserve">, </w:t>
      </w:r>
      <w:r w:rsidR="007032C3">
        <w:rPr>
          <w:rFonts w:ascii="Arial" w:hAnsi="Arial" w:cs="Arial"/>
        </w:rPr>
        <w:t xml:space="preserve">preferences, </w:t>
      </w:r>
      <w:r>
        <w:rPr>
          <w:rFonts w:ascii="Arial" w:hAnsi="Arial" w:cs="Arial"/>
        </w:rPr>
        <w:t xml:space="preserve">needs and values guide clinical decisions. Providing care </w:t>
      </w:r>
      <w:r w:rsidR="004E3A23">
        <w:rPr>
          <w:rFonts w:ascii="Arial" w:hAnsi="Arial" w:cs="Arial"/>
        </w:rPr>
        <w:t>that is respectful. Health and wellbeing outcomes are most effective when co-produced by individuals and health and care professionals working in partnership. Research indicates that this approach improves patient outcomes and is more cost effective for health and care systems.</w:t>
      </w:r>
    </w:p>
    <w:p w14:paraId="6E82ED9D" w14:textId="4F00530B" w:rsidR="008D10FD" w:rsidRDefault="00B76CF8" w:rsidP="008D10FD">
      <w:pPr>
        <w:rPr>
          <w:rFonts w:ascii="Arial" w:hAnsi="Arial" w:cs="Arial"/>
        </w:rPr>
      </w:pPr>
      <w:r>
        <w:rPr>
          <w:rFonts w:ascii="Arial" w:hAnsi="Arial" w:cs="Arial"/>
        </w:rPr>
        <w:t>P</w:t>
      </w:r>
      <w:r w:rsidR="007032C3">
        <w:rPr>
          <w:rFonts w:ascii="Arial" w:hAnsi="Arial" w:cs="Arial"/>
        </w:rPr>
        <w:t>utting</w:t>
      </w:r>
      <w:r w:rsidR="00F11ECA">
        <w:rPr>
          <w:rFonts w:ascii="Arial" w:hAnsi="Arial" w:cs="Arial"/>
        </w:rPr>
        <w:t xml:space="preserve"> people at the centre of their care and involving them in decisions about their health is fundamental to delivering high quality health and care services. Person centred approaches enhance individuals experience of care, improve access to the most appropriate servi</w:t>
      </w:r>
      <w:r w:rsidR="00206AB2">
        <w:rPr>
          <w:rFonts w:ascii="Arial" w:hAnsi="Arial" w:cs="Arial"/>
        </w:rPr>
        <w:t xml:space="preserve">ces, encourage healthier lifestyle choices, and ensure support is tailored to their unique needs, preferences and goals. These </w:t>
      </w:r>
      <w:r>
        <w:rPr>
          <w:rFonts w:ascii="Arial" w:hAnsi="Arial" w:cs="Arial"/>
        </w:rPr>
        <w:t>methods</w:t>
      </w:r>
      <w:r w:rsidR="00206AB2">
        <w:rPr>
          <w:rFonts w:ascii="Arial" w:hAnsi="Arial" w:cs="Arial"/>
        </w:rPr>
        <w:t xml:space="preserve"> are also associated with safer and more effective care, have the potential to reduce health inequalities and can make more efficient use of health and social care resources.</w:t>
      </w:r>
    </w:p>
    <w:p w14:paraId="7E3A226C" w14:textId="6FE27D2D" w:rsidR="00206AB2" w:rsidRDefault="003A7B98" w:rsidP="008D10FD">
      <w:pPr>
        <w:rPr>
          <w:rFonts w:ascii="Arial" w:hAnsi="Arial" w:cs="Arial"/>
        </w:rPr>
      </w:pPr>
      <w:r>
        <w:rPr>
          <w:rFonts w:ascii="Arial" w:hAnsi="Arial" w:cs="Arial"/>
        </w:rPr>
        <w:t xml:space="preserve">Person centred care is an approach to health and social care that </w:t>
      </w:r>
      <w:r w:rsidR="004C4612">
        <w:rPr>
          <w:rFonts w:ascii="Arial" w:hAnsi="Arial" w:cs="Arial"/>
        </w:rPr>
        <w:t>assigns</w:t>
      </w:r>
      <w:r>
        <w:rPr>
          <w:rFonts w:ascii="Arial" w:hAnsi="Arial" w:cs="Arial"/>
        </w:rPr>
        <w:t xml:space="preserve"> individuals at the centre of planning, delivering and evaluating their care. It recognises that every person has unique values, preferences, beliefs and goals and encourage healthcare professionals to work in partnership with them when making decisions. Rather than focusing only </w:t>
      </w:r>
      <w:r w:rsidR="008F0B12">
        <w:rPr>
          <w:rFonts w:ascii="Arial" w:hAnsi="Arial" w:cs="Arial"/>
        </w:rPr>
        <w:t xml:space="preserve">on treating illness, person centred care considers the whole person including their physical, emotional, psychological, social and cultural needs. This </w:t>
      </w:r>
      <w:r w:rsidR="004A2BC6">
        <w:rPr>
          <w:rFonts w:ascii="Arial" w:hAnsi="Arial" w:cs="Arial"/>
        </w:rPr>
        <w:t>method</w:t>
      </w:r>
      <w:r w:rsidR="008F0B12">
        <w:rPr>
          <w:rFonts w:ascii="Arial" w:hAnsi="Arial" w:cs="Arial"/>
        </w:rPr>
        <w:t xml:space="preserve"> promotes dignity, respect, compassion and shared </w:t>
      </w:r>
      <w:r w:rsidR="0036645C">
        <w:rPr>
          <w:rFonts w:ascii="Arial" w:hAnsi="Arial" w:cs="Arial"/>
        </w:rPr>
        <w:t>decision-making</w:t>
      </w:r>
      <w:r w:rsidR="008F0B12">
        <w:rPr>
          <w:rFonts w:ascii="Arial" w:hAnsi="Arial" w:cs="Arial"/>
        </w:rPr>
        <w:t xml:space="preserve"> enabling individuals to take an active role in managing their own health and </w:t>
      </w:r>
      <w:r w:rsidR="0036645C">
        <w:rPr>
          <w:rFonts w:ascii="Arial" w:hAnsi="Arial" w:cs="Arial"/>
        </w:rPr>
        <w:t>well-being</w:t>
      </w:r>
      <w:r w:rsidR="008F0B12">
        <w:rPr>
          <w:rFonts w:ascii="Arial" w:hAnsi="Arial" w:cs="Arial"/>
        </w:rPr>
        <w:t>.</w:t>
      </w:r>
    </w:p>
    <w:p w14:paraId="594D15F5" w14:textId="71850F17" w:rsidR="002F7AAE" w:rsidRDefault="00405B26" w:rsidP="008D10FD">
      <w:pPr>
        <w:rPr>
          <w:rFonts w:ascii="Arial" w:hAnsi="Arial" w:cs="Arial"/>
        </w:rPr>
      </w:pPr>
      <w:r>
        <w:rPr>
          <w:rFonts w:ascii="Arial" w:hAnsi="Arial" w:cs="Arial"/>
        </w:rPr>
        <w:t xml:space="preserve">Person centred care </w:t>
      </w:r>
      <w:r w:rsidR="00A36EC4">
        <w:rPr>
          <w:rFonts w:ascii="Arial" w:hAnsi="Arial" w:cs="Arial"/>
        </w:rPr>
        <w:t>offers</w:t>
      </w:r>
      <w:r>
        <w:rPr>
          <w:rFonts w:ascii="Arial" w:hAnsi="Arial" w:cs="Arial"/>
        </w:rPr>
        <w:t xml:space="preserve"> several important benefits for both individuals and healthcare professionals. </w:t>
      </w:r>
      <w:r w:rsidR="004A2BC6">
        <w:rPr>
          <w:rFonts w:ascii="Arial" w:hAnsi="Arial" w:cs="Arial"/>
        </w:rPr>
        <w:t>Involving</w:t>
      </w:r>
      <w:r>
        <w:rPr>
          <w:rFonts w:ascii="Arial" w:hAnsi="Arial" w:cs="Arial"/>
        </w:rPr>
        <w:t xml:space="preserve"> people in decisions about their care improves communication and </w:t>
      </w:r>
      <w:r w:rsidR="00F20149">
        <w:rPr>
          <w:rFonts w:ascii="Arial" w:hAnsi="Arial" w:cs="Arial"/>
        </w:rPr>
        <w:t>creates</w:t>
      </w:r>
      <w:r>
        <w:rPr>
          <w:rFonts w:ascii="Arial" w:hAnsi="Arial" w:cs="Arial"/>
        </w:rPr>
        <w:t xml:space="preserve"> trust between patients and healthcare professionals and increases patient satisfaction. </w:t>
      </w:r>
      <w:r w:rsidR="004A2BC6">
        <w:rPr>
          <w:rFonts w:ascii="Arial" w:hAnsi="Arial" w:cs="Arial"/>
        </w:rPr>
        <w:t>Parties</w:t>
      </w:r>
      <w:r>
        <w:rPr>
          <w:rFonts w:ascii="Arial" w:hAnsi="Arial" w:cs="Arial"/>
        </w:rPr>
        <w:t xml:space="preserve"> who understand and agree with their treatment plans are more likely to follow medical advice, resulting in improved health outcomes and better self-management of long-term conditions (NICE, 2021). </w:t>
      </w:r>
      <w:r w:rsidR="00A36EC4">
        <w:rPr>
          <w:rFonts w:ascii="Arial" w:hAnsi="Arial" w:cs="Arial"/>
        </w:rPr>
        <w:t>Modifying</w:t>
      </w:r>
      <w:r>
        <w:rPr>
          <w:rFonts w:ascii="Arial" w:hAnsi="Arial" w:cs="Arial"/>
        </w:rPr>
        <w:t xml:space="preserve"> care to individuals needs can also reduce unnecessary intervention, improve the quality and safety</w:t>
      </w:r>
      <w:r w:rsidR="002F7AAE">
        <w:rPr>
          <w:rFonts w:ascii="Arial" w:hAnsi="Arial" w:cs="Arial"/>
        </w:rPr>
        <w:t xml:space="preserve"> of care and make more efficient use of healthcare services, potentially lowering the healthcare costs (The King’s Fund, 2014).</w:t>
      </w:r>
    </w:p>
    <w:p w14:paraId="24D5269C" w14:textId="635D4641" w:rsidR="008F0B12" w:rsidRDefault="00A36EC4" w:rsidP="008D10FD">
      <w:pPr>
        <w:rPr>
          <w:rFonts w:ascii="Arial" w:hAnsi="Arial" w:cs="Arial"/>
        </w:rPr>
      </w:pPr>
      <w:r>
        <w:rPr>
          <w:rFonts w:ascii="Arial" w:hAnsi="Arial" w:cs="Arial"/>
        </w:rPr>
        <w:t>Regardless of</w:t>
      </w:r>
      <w:r w:rsidR="002F7AAE">
        <w:rPr>
          <w:rFonts w:ascii="Arial" w:hAnsi="Arial" w:cs="Arial"/>
        </w:rPr>
        <w:t xml:space="preserve"> these advantages implementing person centred care can present several challenges</w:t>
      </w:r>
      <w:r w:rsidR="00E34860">
        <w:rPr>
          <w:rFonts w:ascii="Arial" w:hAnsi="Arial" w:cs="Arial"/>
        </w:rPr>
        <w:t xml:space="preserve">. </w:t>
      </w:r>
      <w:r w:rsidR="004A2BC6">
        <w:rPr>
          <w:rFonts w:ascii="Arial" w:hAnsi="Arial" w:cs="Arial"/>
        </w:rPr>
        <w:t>Significant</w:t>
      </w:r>
      <w:r w:rsidR="00E34860">
        <w:rPr>
          <w:rFonts w:ascii="Arial" w:hAnsi="Arial" w:cs="Arial"/>
        </w:rPr>
        <w:t xml:space="preserve"> discussions and shared decision making require additional time, which may be difficult in busy healthcare settings. Limited staffing and financial pressures can also restrict the ability of organisations to provide individualised care. Some individuals may have difficulty participating in decision making due to cognitive impairment, communication barriers or severe illness. Healthcare professionals also require appropriate training and ongoing support and development. They also develop communication and interpersonal skills that are needed to deliver person centred care effectively. There may be situations where an individual’s </w:t>
      </w:r>
      <w:r w:rsidR="0036645C">
        <w:rPr>
          <w:rFonts w:ascii="Arial" w:hAnsi="Arial" w:cs="Arial"/>
        </w:rPr>
        <w:t>preferences differ from evidence based clinical recommendations, requiring healthcare professionals to balance respect for patient autonomy with their duty to provide safe and effective care.</w:t>
      </w:r>
      <w:r w:rsidR="00E34860">
        <w:rPr>
          <w:rFonts w:ascii="Arial" w:hAnsi="Arial" w:cs="Arial"/>
        </w:rPr>
        <w:t xml:space="preserve"> </w:t>
      </w:r>
    </w:p>
    <w:p w14:paraId="11C199B8" w14:textId="68B538A7" w:rsidR="00EE0B2D" w:rsidRPr="00EE0B2D" w:rsidRDefault="00EE0B2D" w:rsidP="00EE0B2D">
      <w:pPr>
        <w:rPr>
          <w:rFonts w:ascii="Arial" w:hAnsi="Arial" w:cs="Arial"/>
        </w:rPr>
      </w:pPr>
      <w:r>
        <w:rPr>
          <w:rFonts w:ascii="Arial" w:hAnsi="Arial" w:cs="Arial"/>
        </w:rPr>
        <w:t xml:space="preserve">Abraham Maslow </w:t>
      </w:r>
      <w:r w:rsidRPr="00EE0B2D">
        <w:rPr>
          <w:rFonts w:ascii="Arial" w:hAnsi="Arial" w:cs="Arial"/>
        </w:rPr>
        <w:t>introduced the</w:t>
      </w:r>
      <w:r w:rsidR="00F47679">
        <w:rPr>
          <w:rFonts w:ascii="Arial" w:hAnsi="Arial" w:cs="Arial"/>
        </w:rPr>
        <w:t xml:space="preserve"> Hierarchy of need </w:t>
      </w:r>
      <w:r w:rsidRPr="00EE0B2D">
        <w:rPr>
          <w:rFonts w:ascii="Arial" w:hAnsi="Arial" w:cs="Arial"/>
        </w:rPr>
        <w:t xml:space="preserve">in 1943 as a theory to explain what motivates human behaviour. According to Maslow, people have five categories of needs that </w:t>
      </w:r>
      <w:r w:rsidRPr="00EE0B2D">
        <w:rPr>
          <w:rFonts w:ascii="Arial" w:hAnsi="Arial" w:cs="Arial"/>
        </w:rPr>
        <w:lastRenderedPageBreak/>
        <w:t xml:space="preserve">influence their health and wellbeing. These </w:t>
      </w:r>
      <w:r w:rsidR="004A2BC6" w:rsidRPr="00EE0B2D">
        <w:rPr>
          <w:rFonts w:ascii="Arial" w:hAnsi="Arial" w:cs="Arial"/>
        </w:rPr>
        <w:t>contain</w:t>
      </w:r>
      <w:r w:rsidRPr="00EE0B2D">
        <w:rPr>
          <w:rFonts w:ascii="Arial" w:hAnsi="Arial" w:cs="Arial"/>
        </w:rPr>
        <w:t xml:space="preserve"> </w:t>
      </w:r>
      <w:r w:rsidRPr="00F47679">
        <w:rPr>
          <w:rFonts w:ascii="Arial" w:hAnsi="Arial" w:cs="Arial"/>
        </w:rPr>
        <w:t>physiological needs,</w:t>
      </w:r>
      <w:r w:rsidRPr="00EE0B2D">
        <w:rPr>
          <w:rFonts w:ascii="Arial" w:hAnsi="Arial" w:cs="Arial"/>
        </w:rPr>
        <w:t xml:space="preserve"> such as food, water, sleep and shelter; </w:t>
      </w:r>
      <w:r w:rsidRPr="00F47679">
        <w:rPr>
          <w:rFonts w:ascii="Arial" w:hAnsi="Arial" w:cs="Arial"/>
        </w:rPr>
        <w:t>safety needs</w:t>
      </w:r>
      <w:r w:rsidRPr="00EE0B2D">
        <w:rPr>
          <w:rFonts w:ascii="Arial" w:hAnsi="Arial" w:cs="Arial"/>
        </w:rPr>
        <w:t>, including protection and financial security</w:t>
      </w:r>
      <w:r w:rsidRPr="00F47679">
        <w:rPr>
          <w:rFonts w:ascii="Arial" w:hAnsi="Arial" w:cs="Arial"/>
        </w:rPr>
        <w:t>; love and belonging needs</w:t>
      </w:r>
      <w:r w:rsidRPr="00EE0B2D">
        <w:rPr>
          <w:rFonts w:ascii="Arial" w:hAnsi="Arial" w:cs="Arial"/>
        </w:rPr>
        <w:t>, which involve supportive relationships and social connections</w:t>
      </w:r>
      <w:r w:rsidRPr="00F47679">
        <w:rPr>
          <w:rFonts w:ascii="Arial" w:hAnsi="Arial" w:cs="Arial"/>
        </w:rPr>
        <w:t>; esteem</w:t>
      </w:r>
      <w:r w:rsidRPr="00EE0B2D">
        <w:rPr>
          <w:rFonts w:ascii="Arial" w:hAnsi="Arial" w:cs="Arial"/>
          <w:b/>
          <w:bCs/>
        </w:rPr>
        <w:t xml:space="preserve"> </w:t>
      </w:r>
      <w:r w:rsidRPr="00F47679">
        <w:rPr>
          <w:rFonts w:ascii="Arial" w:hAnsi="Arial" w:cs="Arial"/>
        </w:rPr>
        <w:t>needs,</w:t>
      </w:r>
      <w:r w:rsidRPr="00EE0B2D">
        <w:rPr>
          <w:rFonts w:ascii="Arial" w:hAnsi="Arial" w:cs="Arial"/>
        </w:rPr>
        <w:t xml:space="preserve"> such as confidence, achievement and respect from others; and </w:t>
      </w:r>
      <w:r w:rsidRPr="00F47679">
        <w:rPr>
          <w:rFonts w:ascii="Arial" w:hAnsi="Arial" w:cs="Arial"/>
        </w:rPr>
        <w:t>self-actualisation,</w:t>
      </w:r>
      <w:r w:rsidRPr="00EE0B2D">
        <w:rPr>
          <w:rFonts w:ascii="Arial" w:hAnsi="Arial" w:cs="Arial"/>
        </w:rPr>
        <w:t xml:space="preserve"> which refers to reaching one's full potential and pursuing personal goals (Maslow, 1943).</w:t>
      </w:r>
    </w:p>
    <w:p w14:paraId="4B32D254" w14:textId="5DDFC299" w:rsidR="00EE0B2D" w:rsidRPr="00EE0B2D" w:rsidRDefault="00EE0B2D" w:rsidP="00EE0B2D">
      <w:pPr>
        <w:rPr>
          <w:rFonts w:ascii="Arial" w:hAnsi="Arial" w:cs="Arial"/>
        </w:rPr>
      </w:pPr>
      <w:r w:rsidRPr="00EE0B2D">
        <w:rPr>
          <w:rFonts w:ascii="Arial" w:hAnsi="Arial" w:cs="Arial"/>
        </w:rPr>
        <w:t xml:space="preserve">The theory is widely used to support </w:t>
      </w:r>
      <w:r w:rsidRPr="00F47679">
        <w:rPr>
          <w:rFonts w:ascii="Arial" w:hAnsi="Arial" w:cs="Arial"/>
        </w:rPr>
        <w:t>person-centred care</w:t>
      </w:r>
      <w:r w:rsidRPr="00EE0B2D">
        <w:rPr>
          <w:rFonts w:ascii="Arial" w:hAnsi="Arial" w:cs="Arial"/>
        </w:rPr>
        <w:t xml:space="preserve"> because it </w:t>
      </w:r>
      <w:r w:rsidR="004A2BC6" w:rsidRPr="00EE0B2D">
        <w:rPr>
          <w:rFonts w:ascii="Arial" w:hAnsi="Arial" w:cs="Arial"/>
        </w:rPr>
        <w:t>supports</w:t>
      </w:r>
      <w:r w:rsidRPr="00EE0B2D">
        <w:rPr>
          <w:rFonts w:ascii="Arial" w:hAnsi="Arial" w:cs="Arial"/>
        </w:rPr>
        <w:t xml:space="preserve"> health and social care professionals to understand the individual </w:t>
      </w:r>
      <w:proofErr w:type="gramStart"/>
      <w:r w:rsidRPr="00EE0B2D">
        <w:rPr>
          <w:rFonts w:ascii="Arial" w:hAnsi="Arial" w:cs="Arial"/>
        </w:rPr>
        <w:t>as a whole rather</w:t>
      </w:r>
      <w:proofErr w:type="gramEnd"/>
      <w:r w:rsidRPr="00EE0B2D">
        <w:rPr>
          <w:rFonts w:ascii="Arial" w:hAnsi="Arial" w:cs="Arial"/>
        </w:rPr>
        <w:t xml:space="preserve"> than focusing only on their medical condition. Person-centred care recognises that every person has unique needs, values and preferences, and these should guide decisions about their care. For example, while meeting a patient's physical needs through medication and nutrition is essential, healthcare professionals should also provide emotional support, encourage independence, involve family members where appropriate and help individuals participate in decisions about their treatment. This holistic approach reflects the principles promoted by the NHS and NICE, which emphasise dignity, choice and personalised care (NICE, 2023; NHS England, 2024).</w:t>
      </w:r>
    </w:p>
    <w:p w14:paraId="77DAA760" w14:textId="2B474FFC" w:rsidR="00EE0B2D" w:rsidRDefault="00EE0B2D" w:rsidP="00EE0B2D">
      <w:pPr>
        <w:rPr>
          <w:rFonts w:ascii="Arial" w:hAnsi="Arial" w:cs="Arial"/>
        </w:rPr>
      </w:pPr>
      <w:r w:rsidRPr="00EE0B2D">
        <w:rPr>
          <w:rFonts w:ascii="Arial" w:hAnsi="Arial" w:cs="Arial"/>
        </w:rPr>
        <w:t>Maslow's Hierarchy of Needs remains a useful model in health and social care. It provides professionals with a framework for carrying out holistic assessments and identifying the factors that affect a person's overall wellbeing. When combined with evidence-based practice, effective communication and shared decision-making, the theory supports the delivery of person-centred care that respects individuality, promotes independence and improves health outcomes</w:t>
      </w:r>
      <w:r w:rsidR="00C654E3">
        <w:rPr>
          <w:rFonts w:ascii="Arial" w:hAnsi="Arial" w:cs="Arial"/>
        </w:rPr>
        <w:t>.</w:t>
      </w:r>
    </w:p>
    <w:p w14:paraId="60AA91A8" w14:textId="5B6ED458" w:rsidR="004D097E" w:rsidRPr="004D097E" w:rsidRDefault="004D097E" w:rsidP="004D097E">
      <w:pPr>
        <w:rPr>
          <w:rFonts w:ascii="Arial" w:hAnsi="Arial" w:cs="Arial"/>
        </w:rPr>
      </w:pPr>
      <w:r w:rsidRPr="004D097E">
        <w:rPr>
          <w:rFonts w:ascii="Arial" w:hAnsi="Arial" w:cs="Arial"/>
        </w:rPr>
        <w:t xml:space="preserve">Ethical principles are </w:t>
      </w:r>
      <w:r w:rsidR="000F7AC2" w:rsidRPr="004D097E">
        <w:rPr>
          <w:rFonts w:ascii="Arial" w:hAnsi="Arial" w:cs="Arial"/>
        </w:rPr>
        <w:t>necessary</w:t>
      </w:r>
      <w:r w:rsidRPr="004D097E">
        <w:rPr>
          <w:rFonts w:ascii="Arial" w:hAnsi="Arial" w:cs="Arial"/>
        </w:rPr>
        <w:t xml:space="preserve"> in health and social care because they provide a framework for delivering safe, respectful and person-centred care. They help healthcare professionals make appropriate decisions while protecting the rights, dignity and wellbeing of individuals receiving care. The four key ethical principles are </w:t>
      </w:r>
      <w:r w:rsidRPr="00513CDC">
        <w:rPr>
          <w:rFonts w:ascii="Arial" w:hAnsi="Arial" w:cs="Arial"/>
        </w:rPr>
        <w:t>autonomy, beneficence, non-maleficence and justice</w:t>
      </w:r>
      <w:r w:rsidRPr="004D097E">
        <w:rPr>
          <w:rFonts w:ascii="Arial" w:hAnsi="Arial" w:cs="Arial"/>
        </w:rPr>
        <w:t>, which together support ethical decision-making in healthcare practice (Beauchamp and Childress, 2019).</w:t>
      </w:r>
    </w:p>
    <w:p w14:paraId="0AA2CC00" w14:textId="29E0C6AD" w:rsidR="004D097E" w:rsidRPr="004D097E" w:rsidRDefault="004D097E" w:rsidP="004D097E">
      <w:pPr>
        <w:rPr>
          <w:rFonts w:ascii="Arial" w:hAnsi="Arial" w:cs="Arial"/>
        </w:rPr>
      </w:pPr>
      <w:r w:rsidRPr="00513CDC">
        <w:rPr>
          <w:rFonts w:ascii="Arial" w:hAnsi="Arial" w:cs="Arial"/>
        </w:rPr>
        <w:t>Autonomy</w:t>
      </w:r>
      <w:r w:rsidRPr="004D097E">
        <w:rPr>
          <w:rFonts w:ascii="Arial" w:hAnsi="Arial" w:cs="Arial"/>
        </w:rPr>
        <w:t xml:space="preserve"> is the principle of </w:t>
      </w:r>
      <w:r w:rsidR="00F12DBC" w:rsidRPr="004D097E">
        <w:rPr>
          <w:rFonts w:ascii="Arial" w:hAnsi="Arial" w:cs="Arial"/>
        </w:rPr>
        <w:t>acknowledging</w:t>
      </w:r>
      <w:r w:rsidRPr="004D097E">
        <w:rPr>
          <w:rFonts w:ascii="Arial" w:hAnsi="Arial" w:cs="Arial"/>
        </w:rPr>
        <w:t xml:space="preserve"> an individual's right to make informed choices about their own health and care. Healthcare professionals should provide clear, accurate and accessible information to enable individuals to make decisions that reflect their personal values, beliefs and preferences. This principle is fundamental to person-centred care because it </w:t>
      </w:r>
      <w:r w:rsidR="00F12DBC" w:rsidRPr="004D097E">
        <w:rPr>
          <w:rFonts w:ascii="Arial" w:hAnsi="Arial" w:cs="Arial"/>
        </w:rPr>
        <w:t>supports</w:t>
      </w:r>
      <w:r w:rsidRPr="004D097E">
        <w:rPr>
          <w:rFonts w:ascii="Arial" w:hAnsi="Arial" w:cs="Arial"/>
        </w:rPr>
        <w:t xml:space="preserve"> individuals to take an active role in planning and managing their care. However, when a person is unable to make informed decisions due to impaired mental capacity, professionals must follow the </w:t>
      </w:r>
      <w:r w:rsidRPr="00513CDC">
        <w:rPr>
          <w:rFonts w:ascii="Arial" w:hAnsi="Arial" w:cs="Arial"/>
        </w:rPr>
        <w:t>Mental Capacity Act 2005</w:t>
      </w:r>
      <w:r w:rsidRPr="004D097E">
        <w:rPr>
          <w:rFonts w:ascii="Arial" w:hAnsi="Arial" w:cs="Arial"/>
        </w:rPr>
        <w:t>, ensuring that any decisions made are in the person's best interests while involving them as much as possible.</w:t>
      </w:r>
    </w:p>
    <w:p w14:paraId="2278DA0B" w14:textId="77777777" w:rsidR="004D097E" w:rsidRPr="004D097E" w:rsidRDefault="004D097E" w:rsidP="004D097E">
      <w:pPr>
        <w:rPr>
          <w:rFonts w:ascii="Arial" w:hAnsi="Arial" w:cs="Arial"/>
        </w:rPr>
      </w:pPr>
      <w:r w:rsidRPr="00513CDC">
        <w:rPr>
          <w:rFonts w:ascii="Arial" w:hAnsi="Arial" w:cs="Arial"/>
        </w:rPr>
        <w:t>Beneficence</w:t>
      </w:r>
      <w:r w:rsidRPr="004D097E">
        <w:rPr>
          <w:rFonts w:ascii="Arial" w:hAnsi="Arial" w:cs="Arial"/>
        </w:rPr>
        <w:t xml:space="preserve"> focuses on promoting the wellbeing of individuals by acting in ways that benefit them. Health and social care professionals are expected to provide high-quality, evidence-based care that improves health outcomes, relieves suffering and enhances quality of life. This may include delivering appropriate treatment, offering emotional support and providing health education to encourage healthy lifestyles. Beneficence reflects the values of person-centred care because it ensures that care is tailored to the individual's specific needs, preferences and circumstances.</w:t>
      </w:r>
    </w:p>
    <w:p w14:paraId="11519AC3" w14:textId="77777777" w:rsidR="004D097E" w:rsidRPr="004D097E" w:rsidRDefault="004D097E" w:rsidP="004D097E">
      <w:pPr>
        <w:rPr>
          <w:rFonts w:ascii="Arial" w:hAnsi="Arial" w:cs="Arial"/>
        </w:rPr>
      </w:pPr>
      <w:r w:rsidRPr="00513CDC">
        <w:rPr>
          <w:rFonts w:ascii="Arial" w:hAnsi="Arial" w:cs="Arial"/>
        </w:rPr>
        <w:t>Non-maleficence</w:t>
      </w:r>
      <w:r w:rsidRPr="004D097E">
        <w:rPr>
          <w:rFonts w:ascii="Arial" w:hAnsi="Arial" w:cs="Arial"/>
        </w:rPr>
        <w:t xml:space="preserve">, often described as the principle of "do no harm", requires professionals to avoid actions that could cause unnecessary injury or harm. This includes practising safely, following clinical guidelines, maintaining professional competence and identifying potential risks before they affect individuals. Examples include administering medicines accurately, following infection prevention procedures and responding promptly to safeguarding </w:t>
      </w:r>
      <w:r w:rsidRPr="004D097E">
        <w:rPr>
          <w:rFonts w:ascii="Arial" w:hAnsi="Arial" w:cs="Arial"/>
        </w:rPr>
        <w:lastRenderedPageBreak/>
        <w:t>concerns. Although healthcare interventions are intended to improve health, professionals must carefully weigh the potential benefits against any possible risks to ensure that harm is minimised.</w:t>
      </w:r>
    </w:p>
    <w:p w14:paraId="02AAD840" w14:textId="20E95EB9" w:rsidR="004D097E" w:rsidRPr="004D097E" w:rsidRDefault="004D097E" w:rsidP="004D097E">
      <w:pPr>
        <w:rPr>
          <w:rFonts w:ascii="Arial" w:hAnsi="Arial" w:cs="Arial"/>
        </w:rPr>
      </w:pPr>
      <w:r w:rsidRPr="004D097E">
        <w:rPr>
          <w:rFonts w:ascii="Arial" w:hAnsi="Arial" w:cs="Arial"/>
        </w:rPr>
        <w:t xml:space="preserve">Justice is concerned with fairness and equality in the </w:t>
      </w:r>
      <w:r w:rsidR="002511AC" w:rsidRPr="004D097E">
        <w:rPr>
          <w:rFonts w:ascii="Arial" w:hAnsi="Arial" w:cs="Arial"/>
        </w:rPr>
        <w:t>distribution</w:t>
      </w:r>
      <w:r w:rsidRPr="004D097E">
        <w:rPr>
          <w:rFonts w:ascii="Arial" w:hAnsi="Arial" w:cs="Arial"/>
        </w:rPr>
        <w:t xml:space="preserve"> of health and social care services. It </w:t>
      </w:r>
      <w:r w:rsidR="002511AC" w:rsidRPr="004D097E">
        <w:rPr>
          <w:rFonts w:ascii="Arial" w:hAnsi="Arial" w:cs="Arial"/>
        </w:rPr>
        <w:t>needs</w:t>
      </w:r>
      <w:r w:rsidRPr="004D097E">
        <w:rPr>
          <w:rFonts w:ascii="Arial" w:hAnsi="Arial" w:cs="Arial"/>
        </w:rPr>
        <w:t xml:space="preserve"> professionals to treat individuals fairly and ensure that everyone has equal access to care regardless of factors such as age, gender, ethnicity, disability, religion or socioeconomic status. This principle is reflected in the Equality Act 2010, which aims to prevent discrimination and promote equal opportunities. Justice also involves the responsible allocation of limited healthcare resources so that services are distributed fairly while maintaining high standards of care.</w:t>
      </w:r>
    </w:p>
    <w:p w14:paraId="6F36C592" w14:textId="3E847DF8" w:rsidR="004D097E" w:rsidRPr="004D097E" w:rsidRDefault="002511AC" w:rsidP="004D097E">
      <w:pPr>
        <w:rPr>
          <w:rFonts w:ascii="Arial" w:hAnsi="Arial" w:cs="Arial"/>
        </w:rPr>
      </w:pPr>
      <w:r w:rsidRPr="004D097E">
        <w:rPr>
          <w:rFonts w:ascii="Arial" w:hAnsi="Arial" w:cs="Arial"/>
        </w:rPr>
        <w:t>Granting</w:t>
      </w:r>
      <w:r w:rsidR="004D097E" w:rsidRPr="004D097E">
        <w:rPr>
          <w:rFonts w:ascii="Arial" w:hAnsi="Arial" w:cs="Arial"/>
        </w:rPr>
        <w:t xml:space="preserve"> these ethical principles guide professional practice, situations can arise where they conflict. For example, a competent patient may choose to refuse life-saving treatment, exercising their autonomy, even though healthcare professionals believe that accepting treatment would provide the greatest benefit. In these circumstances, professionals must carefully balance ethical responsibilities with legal requirements, professional standards and the individual's wishes to reach an appropriate and ethical decision.</w:t>
      </w:r>
    </w:p>
    <w:p w14:paraId="5E73AE26" w14:textId="61D09D85" w:rsidR="00EC155F" w:rsidRPr="00EC155F" w:rsidRDefault="00EC155F" w:rsidP="00EC155F">
      <w:pPr>
        <w:rPr>
          <w:rFonts w:ascii="Arial" w:hAnsi="Arial" w:cs="Arial"/>
        </w:rPr>
      </w:pPr>
      <w:r w:rsidRPr="00EC155F">
        <w:rPr>
          <w:rFonts w:ascii="Arial" w:hAnsi="Arial" w:cs="Arial"/>
        </w:rPr>
        <w:t xml:space="preserve">Partnership working is a </w:t>
      </w:r>
      <w:r w:rsidR="002511AC" w:rsidRPr="00EC155F">
        <w:rPr>
          <w:rFonts w:ascii="Arial" w:hAnsi="Arial" w:cs="Arial"/>
        </w:rPr>
        <w:t>tactic</w:t>
      </w:r>
      <w:r w:rsidRPr="00EC155F">
        <w:rPr>
          <w:rFonts w:ascii="Arial" w:hAnsi="Arial" w:cs="Arial"/>
        </w:rPr>
        <w:t xml:space="preserve"> in which health and social care professionals, organisations, service users and their families work together to plan, deliver and review care. Its purpose is to provide coordinated, person-centred support that meets an individual's physical, emotional, psychological and social needs. Collaboration between professionals allows knowledge and expertise to be shared, helping to improve the quality and continuity of care (Glasby and Dickinson, 2021).</w:t>
      </w:r>
    </w:p>
    <w:p w14:paraId="16ECCF5C" w14:textId="77777777" w:rsidR="00EC155F" w:rsidRDefault="00EC155F" w:rsidP="00EC155F">
      <w:pPr>
        <w:rPr>
          <w:rFonts w:ascii="Arial" w:hAnsi="Arial" w:cs="Arial"/>
        </w:rPr>
      </w:pPr>
      <w:r w:rsidRPr="00EC155F">
        <w:rPr>
          <w:rFonts w:ascii="Arial" w:hAnsi="Arial" w:cs="Arial"/>
        </w:rPr>
        <w:t>One of the main benefits of partnership working is improved communication, which enables professionals to share relevant information and make informed decisions. This helps reduce errors, prevents duplication of services and ensures that care is delivered consistently. Involving service users and their families in decision-making also promotes independence, choice and dignity, which are key principles of person-centred care (NICE, 2023).</w:t>
      </w:r>
    </w:p>
    <w:p w14:paraId="37EAC2B9" w14:textId="699A5C37" w:rsidR="00B83C17" w:rsidRPr="00B83C17" w:rsidRDefault="00B83C17" w:rsidP="00B83C17">
      <w:pPr>
        <w:rPr>
          <w:rFonts w:ascii="Arial" w:hAnsi="Arial" w:cs="Arial"/>
        </w:rPr>
      </w:pPr>
      <w:r w:rsidRPr="00B83C17">
        <w:rPr>
          <w:rFonts w:ascii="Arial" w:hAnsi="Arial" w:cs="Arial"/>
        </w:rPr>
        <w:t xml:space="preserve">Partnership working is a </w:t>
      </w:r>
      <w:r w:rsidR="00FF7815" w:rsidRPr="00B83C17">
        <w:rPr>
          <w:rFonts w:ascii="Arial" w:hAnsi="Arial" w:cs="Arial"/>
        </w:rPr>
        <w:t>crucial</w:t>
      </w:r>
      <w:r w:rsidRPr="00B83C17">
        <w:rPr>
          <w:rFonts w:ascii="Arial" w:hAnsi="Arial" w:cs="Arial"/>
        </w:rPr>
        <w:t xml:space="preserve"> part of how hospitals provide care. It involves different healthcare professionals working together with patients and their families to make sure the best possible care is given. Rather than one professional making all the decisions, doctors, nurses, physiotherapists, occupational therapists, pharmacists, dietitians and social workers all work as a team. Each professional has a different role, but they share information and support each other to meet the patient's needs.</w:t>
      </w:r>
    </w:p>
    <w:p w14:paraId="469E8C1F" w14:textId="77777777" w:rsidR="007F5965" w:rsidRPr="007F5965" w:rsidRDefault="007F5965" w:rsidP="007F5965">
      <w:pPr>
        <w:rPr>
          <w:rFonts w:ascii="Arial" w:hAnsi="Arial" w:cs="Arial"/>
        </w:rPr>
      </w:pPr>
      <w:r w:rsidRPr="007F5965">
        <w:rPr>
          <w:rFonts w:ascii="Arial" w:hAnsi="Arial" w:cs="Arial"/>
        </w:rPr>
        <w:t>For example, if a patient is admitted to hospital after having a stroke, they will receive support from a range of healthcare professionals. Doctors are responsible for diagnosing and treating the stroke, nurses provide ongoing care and monitor the patient's condition, physiotherapists help improve mobility and strength, occupational therapists assist with regaining everyday skills, and social workers help arrange any support or services needed once the patient leaves hospital. By working together and sharing information, the healthcare team can provide care that is tailored to the patient's individual needs.</w:t>
      </w:r>
    </w:p>
    <w:p w14:paraId="4B72545B" w14:textId="77777777" w:rsidR="007F5965" w:rsidRPr="007F5965" w:rsidRDefault="007F5965" w:rsidP="007F5965">
      <w:pPr>
        <w:rPr>
          <w:rFonts w:ascii="Arial" w:hAnsi="Arial" w:cs="Arial"/>
        </w:rPr>
      </w:pPr>
      <w:r w:rsidRPr="007F5965">
        <w:rPr>
          <w:rFonts w:ascii="Arial" w:hAnsi="Arial" w:cs="Arial"/>
        </w:rPr>
        <w:t>Patients and their families are also an important part of partnership working. They are encouraged to take part in discussions about their care, ask questions, and share their preferences and concerns. This helps healthcare professionals understand what is important to the patient, allowing them to provide care that reflects the individual's needs, wishes, and personal goals.</w:t>
      </w:r>
    </w:p>
    <w:p w14:paraId="638847A9" w14:textId="77777777" w:rsidR="007F5965" w:rsidRDefault="007F5965" w:rsidP="001916CA">
      <w:pPr>
        <w:rPr>
          <w:rFonts w:ascii="Arial" w:hAnsi="Arial" w:cs="Arial"/>
        </w:rPr>
      </w:pPr>
    </w:p>
    <w:p w14:paraId="6999D46F" w14:textId="23573490" w:rsidR="008258C8" w:rsidRDefault="008258C8" w:rsidP="001916CA">
      <w:pPr>
        <w:rPr>
          <w:rFonts w:ascii="Arial" w:hAnsi="Arial" w:cs="Arial"/>
        </w:rPr>
      </w:pPr>
      <w:r w:rsidRPr="008258C8">
        <w:rPr>
          <w:rFonts w:ascii="Arial" w:hAnsi="Arial" w:cs="Arial"/>
        </w:rPr>
        <w:lastRenderedPageBreak/>
        <w:t>While partnership working has many benefits, it is not always easy to put into practice. Hospitals can be fast-paced and demanding, which means staff may have limited time to communicate with one another. Different healthcare professionals may also have different ideas about the most suitable treatment or care for a patient. Despite these challenges, working together, communicating clearly, and respecting each other's knowledge and responsibilities can help provide safe, effective, and person-centred care.</w:t>
      </w:r>
    </w:p>
    <w:p w14:paraId="542068F3" w14:textId="235406E9" w:rsidR="00895A75" w:rsidRDefault="00895A75" w:rsidP="001916CA">
      <w:pPr>
        <w:rPr>
          <w:rFonts w:ascii="Arial" w:hAnsi="Arial" w:cs="Arial"/>
        </w:rPr>
      </w:pPr>
      <w:r w:rsidRPr="00895A75">
        <w:rPr>
          <w:rFonts w:ascii="Arial" w:hAnsi="Arial" w:cs="Arial"/>
        </w:rPr>
        <w:t>Person-centred care and partnership working are supported by different laws and policies that help make sure people receive safe, respectful and well-coordinated care. The Health and Care Act 2022 promote the NHS, local councils, and other health and social care services to work together more closely. By working in partnership, services can provide better support, avoid unnecessary delays, and reduce duplication, helping people get the care they need more efficiently.</w:t>
      </w:r>
    </w:p>
    <w:p w14:paraId="5C463391" w14:textId="39718C4E" w:rsidR="00CB13F7" w:rsidRDefault="00CB13F7" w:rsidP="001916CA">
      <w:pPr>
        <w:rPr>
          <w:rFonts w:ascii="Arial" w:hAnsi="Arial" w:cs="Arial"/>
        </w:rPr>
      </w:pPr>
      <w:r w:rsidRPr="00CB13F7">
        <w:rPr>
          <w:rFonts w:ascii="Arial" w:hAnsi="Arial" w:cs="Arial"/>
        </w:rPr>
        <w:t>The Care Act 2014 places individuals at the heart of planning and delivering their care and support. It requires health and social care professionals to involve people in decisions that affect them, while promoting their independence, dignity, and wellbeing. This legislation supports a person-centred approach by recognising that every individual has unique needs, preferences, and personal circumstances, which should be reflected in the care they receive.</w:t>
      </w:r>
    </w:p>
    <w:p w14:paraId="1199F0E4" w14:textId="361B9C41" w:rsidR="00EF6693" w:rsidRPr="001916CA" w:rsidRDefault="00EF6693" w:rsidP="001916CA">
      <w:pPr>
        <w:rPr>
          <w:rFonts w:ascii="Arial" w:hAnsi="Arial" w:cs="Arial"/>
        </w:rPr>
      </w:pPr>
      <w:r w:rsidRPr="00EF6693">
        <w:rPr>
          <w:rFonts w:ascii="Arial" w:hAnsi="Arial" w:cs="Arial"/>
        </w:rPr>
        <w:t xml:space="preserve">Another significant piece of legislation is the Mental Capacity Act 2005, which provides legal protection for individuals who may be unable to make certain decisions independently. The Act promotes a person-centred approach by ensuring that people are given all appropriate support to make their own decisions wherever possible. If an individual is unable to </w:t>
      </w:r>
      <w:proofErr w:type="gramStart"/>
      <w:r w:rsidRPr="00EF6693">
        <w:rPr>
          <w:rFonts w:ascii="Arial" w:hAnsi="Arial" w:cs="Arial"/>
        </w:rPr>
        <w:t>make a decision</w:t>
      </w:r>
      <w:proofErr w:type="gramEnd"/>
      <w:r w:rsidRPr="00EF6693">
        <w:rPr>
          <w:rFonts w:ascii="Arial" w:hAnsi="Arial" w:cs="Arial"/>
        </w:rPr>
        <w:t>, any action taken on their behalf must be in their best interests and respect their rights and preferences as much as possible. In addition, the Equality Act 2010 reinforces person-centred care and partnership working by protecting individuals from discrimination and promoting equal access to health and social care services. It requires organisations to treat everyone with dignity, respect, and fairness, regardless of characteristics such as age, disability, race, religion or belief, or sex.</w:t>
      </w:r>
    </w:p>
    <w:p w14:paraId="359FD063" w14:textId="4B6E772F" w:rsidR="001E0C6B" w:rsidRPr="001916CA" w:rsidRDefault="00627AFA" w:rsidP="001916CA">
      <w:pPr>
        <w:rPr>
          <w:rFonts w:ascii="Arial" w:hAnsi="Arial" w:cs="Arial"/>
        </w:rPr>
      </w:pPr>
      <w:r w:rsidRPr="00627AFA">
        <w:rPr>
          <w:rFonts w:ascii="Arial" w:hAnsi="Arial" w:cs="Arial"/>
        </w:rPr>
        <w:t>To further enhance person-centred care and partnership working within the UK, health and social care organisations should continue to promote effective collaboration and communication between healthcare professionals, individuals receiving care, and their families. Increased investment in education and professional development will equip staff with the knowledge and skills required to deliver high-quality, person-centred services. Expanding the use of integrated digital health records and modern technologies can improve information sharing, support coordinated care and minimise delays in treatment. In addition, greater investment in recruiting and retaining healthcare professionals is essential to address workforce shortages and improve the quality of care. Ensuring that individuals are actively involved in decisions about their care, while regularly seeking and acting on their feedback, will enable services to become more responsive, personalised, and effective.</w:t>
      </w:r>
    </w:p>
    <w:p w14:paraId="0F6D8B0A" w14:textId="77777777" w:rsidR="005733B7" w:rsidRPr="00EC155F" w:rsidRDefault="005733B7" w:rsidP="00EC155F">
      <w:pPr>
        <w:rPr>
          <w:rFonts w:ascii="Arial" w:hAnsi="Arial" w:cs="Arial"/>
        </w:rPr>
      </w:pPr>
    </w:p>
    <w:p w14:paraId="005B54C2" w14:textId="77777777" w:rsidR="00EC155F" w:rsidRDefault="00EC155F" w:rsidP="004D097E">
      <w:pPr>
        <w:rPr>
          <w:rFonts w:ascii="Arial" w:hAnsi="Arial" w:cs="Arial"/>
        </w:rPr>
      </w:pPr>
    </w:p>
    <w:p w14:paraId="5220DA53" w14:textId="77777777" w:rsidR="00225D07" w:rsidRDefault="00225D07" w:rsidP="008D10FD">
      <w:pPr>
        <w:rPr>
          <w:rFonts w:ascii="Arial" w:hAnsi="Arial" w:cs="Arial"/>
        </w:rPr>
      </w:pPr>
    </w:p>
    <w:p w14:paraId="367DC4FB" w14:textId="77777777" w:rsidR="00EE7A99" w:rsidRDefault="00EE7A99" w:rsidP="008D10FD">
      <w:pPr>
        <w:rPr>
          <w:rFonts w:ascii="Arial" w:hAnsi="Arial" w:cs="Arial"/>
        </w:rPr>
      </w:pPr>
    </w:p>
    <w:p w14:paraId="7AB36952" w14:textId="77777777" w:rsidR="00933BEC" w:rsidRDefault="00933BEC" w:rsidP="008D10FD">
      <w:pPr>
        <w:rPr>
          <w:rFonts w:ascii="Arial" w:hAnsi="Arial" w:cs="Arial"/>
        </w:rPr>
      </w:pPr>
    </w:p>
    <w:p w14:paraId="3DDCF2B2" w14:textId="77777777" w:rsidR="00225D07" w:rsidRDefault="00225D07" w:rsidP="008D10FD">
      <w:pPr>
        <w:rPr>
          <w:rFonts w:ascii="Arial" w:hAnsi="Arial" w:cs="Arial"/>
        </w:rPr>
      </w:pPr>
    </w:p>
    <w:p w14:paraId="132831B2" w14:textId="17E3E3B0" w:rsidR="00225D07" w:rsidRDefault="00225D07" w:rsidP="008D10FD">
      <w:pPr>
        <w:rPr>
          <w:rFonts w:ascii="Arial" w:hAnsi="Arial" w:cs="Arial"/>
          <w:b/>
          <w:bCs/>
          <w:u w:val="single"/>
        </w:rPr>
      </w:pPr>
      <w:r>
        <w:rPr>
          <w:rFonts w:ascii="Arial" w:hAnsi="Arial" w:cs="Arial"/>
          <w:b/>
          <w:bCs/>
          <w:u w:val="single"/>
        </w:rPr>
        <w:lastRenderedPageBreak/>
        <w:t xml:space="preserve">References </w:t>
      </w:r>
    </w:p>
    <w:p w14:paraId="21A501B1" w14:textId="135D9B7E" w:rsidR="00225D07" w:rsidRDefault="00225D07" w:rsidP="008D10FD">
      <w:pPr>
        <w:rPr>
          <w:rFonts w:ascii="Arial" w:hAnsi="Arial" w:cs="Arial"/>
          <w:b/>
          <w:bCs/>
          <w:u w:val="single"/>
        </w:rPr>
      </w:pPr>
      <w:hyperlink r:id="rId5" w:anchor="shared-decision-making" w:history="1">
        <w:r w:rsidRPr="00225D07">
          <w:rPr>
            <w:rStyle w:val="Hyperlink"/>
            <w:rFonts w:ascii="Arial" w:hAnsi="Arial" w:cs="Arial"/>
            <w:b/>
            <w:bCs/>
          </w:rPr>
          <w:t>Recommendations | Shared decision making | Guidance | NICE</w:t>
        </w:r>
      </w:hyperlink>
    </w:p>
    <w:p w14:paraId="403A55F7" w14:textId="4A6DE005" w:rsidR="003A7B98" w:rsidRDefault="003A7B98" w:rsidP="008D10FD">
      <w:pPr>
        <w:rPr>
          <w:rFonts w:ascii="Arial" w:hAnsi="Arial" w:cs="Arial"/>
          <w:b/>
          <w:bCs/>
          <w:u w:val="single"/>
        </w:rPr>
      </w:pPr>
      <w:hyperlink r:id="rId6" w:history="1">
        <w:r w:rsidRPr="003A7B98">
          <w:rPr>
            <w:rStyle w:val="Hyperlink"/>
            <w:rFonts w:ascii="Arial" w:hAnsi="Arial" w:cs="Arial"/>
            <w:b/>
            <w:bCs/>
          </w:rPr>
          <w:t>From vision to action: making patient-centred care a reality | The King's Fund</w:t>
        </w:r>
      </w:hyperlink>
    </w:p>
    <w:p w14:paraId="42682955" w14:textId="723DD428" w:rsidR="00A3211A" w:rsidRDefault="00A3211A" w:rsidP="008D10FD">
      <w:pPr>
        <w:rPr>
          <w:rFonts w:ascii="Arial" w:hAnsi="Arial" w:cs="Arial"/>
          <w:b/>
          <w:bCs/>
          <w:u w:val="single"/>
        </w:rPr>
      </w:pPr>
      <w:hyperlink r:id="rId7" w:history="1">
        <w:r w:rsidRPr="00A3211A">
          <w:rPr>
            <w:rStyle w:val="Hyperlink"/>
            <w:rFonts w:ascii="Arial" w:hAnsi="Arial" w:cs="Arial"/>
            <w:b/>
            <w:bCs/>
          </w:rPr>
          <w:t>Motivation.PDF</w:t>
        </w:r>
      </w:hyperlink>
    </w:p>
    <w:p w14:paraId="2F0BFD35" w14:textId="26AEAED6" w:rsidR="00C654E3" w:rsidRDefault="00C654E3" w:rsidP="008D10FD">
      <w:pPr>
        <w:rPr>
          <w:rFonts w:ascii="Arial" w:hAnsi="Arial" w:cs="Arial"/>
          <w:b/>
          <w:bCs/>
          <w:u w:val="single"/>
        </w:rPr>
      </w:pPr>
      <w:hyperlink r:id="rId8" w:history="1">
        <w:r w:rsidRPr="00C654E3">
          <w:rPr>
            <w:rStyle w:val="Hyperlink"/>
            <w:rFonts w:ascii="Arial" w:hAnsi="Arial" w:cs="Arial"/>
            <w:b/>
            <w:bCs/>
          </w:rPr>
          <w:t>Overview | Patient experience in adult NHS services: improving the experience of care for people using adult NHS services | Guidance | NICE</w:t>
        </w:r>
      </w:hyperlink>
    </w:p>
    <w:p w14:paraId="6F59EFA8" w14:textId="21F56EC8" w:rsidR="00723E05" w:rsidRDefault="00723E05" w:rsidP="008D10FD">
      <w:pPr>
        <w:rPr>
          <w:rFonts w:ascii="Arial" w:hAnsi="Arial" w:cs="Arial"/>
          <w:b/>
          <w:bCs/>
          <w:u w:val="single"/>
        </w:rPr>
      </w:pPr>
      <w:hyperlink r:id="rId9" w:history="1">
        <w:r w:rsidRPr="00723E05">
          <w:rPr>
            <w:rStyle w:val="Hyperlink"/>
            <w:rFonts w:ascii="Arial" w:hAnsi="Arial" w:cs="Arial"/>
            <w:b/>
            <w:bCs/>
          </w:rPr>
          <w:t>Mental Capacity Act 2005 Code of Practice, including the Liberty Protection Safeguards</w:t>
        </w:r>
      </w:hyperlink>
    </w:p>
    <w:p w14:paraId="3DE6D6BD" w14:textId="4FA26AAC" w:rsidR="0027641F" w:rsidRDefault="0027641F" w:rsidP="008D10FD">
      <w:pPr>
        <w:rPr>
          <w:rFonts w:ascii="Arial" w:hAnsi="Arial" w:cs="Arial"/>
          <w:b/>
          <w:bCs/>
          <w:u w:val="single"/>
        </w:rPr>
      </w:pPr>
      <w:hyperlink r:id="rId10" w:history="1">
        <w:r w:rsidRPr="0027641F">
          <w:rPr>
            <w:rStyle w:val="Hyperlink"/>
            <w:rFonts w:ascii="Arial" w:hAnsi="Arial" w:cs="Arial"/>
            <w:b/>
            <w:bCs/>
          </w:rPr>
          <w:t>The Code: Professional standards of practice and behaviour for nurses, midwives and nursing associates - The Nursing and Midwifery Council</w:t>
        </w:r>
      </w:hyperlink>
    </w:p>
    <w:p w14:paraId="6CE33B38" w14:textId="13A3539C" w:rsidR="00EB13FC" w:rsidRDefault="00EB13FC" w:rsidP="008D10FD">
      <w:pPr>
        <w:rPr>
          <w:rFonts w:ascii="Arial" w:hAnsi="Arial" w:cs="Arial"/>
          <w:b/>
          <w:bCs/>
          <w:u w:val="single"/>
        </w:rPr>
      </w:pPr>
      <w:hyperlink r:id="rId11" w:history="1">
        <w:r w:rsidRPr="00EB13FC">
          <w:rPr>
            <w:rStyle w:val="Hyperlink"/>
            <w:rFonts w:ascii="Arial" w:hAnsi="Arial" w:cs="Arial"/>
            <w:b/>
            <w:bCs/>
          </w:rPr>
          <w:t>Care Act 2014</w:t>
        </w:r>
      </w:hyperlink>
    </w:p>
    <w:p w14:paraId="21CC7740" w14:textId="04F3A3A9" w:rsidR="007910C6" w:rsidRPr="00225D07" w:rsidRDefault="007910C6" w:rsidP="008D10FD">
      <w:pPr>
        <w:rPr>
          <w:rFonts w:ascii="Arial" w:hAnsi="Arial" w:cs="Arial"/>
          <w:b/>
          <w:bCs/>
          <w:u w:val="single"/>
        </w:rPr>
      </w:pPr>
      <w:hyperlink r:id="rId12" w:history="1">
        <w:r w:rsidRPr="007910C6">
          <w:rPr>
            <w:rStyle w:val="Hyperlink"/>
            <w:rFonts w:ascii="Arial" w:hAnsi="Arial" w:cs="Arial"/>
            <w:b/>
            <w:bCs/>
          </w:rPr>
          <w:t>Equality Act 2010</w:t>
        </w:r>
      </w:hyperlink>
    </w:p>
    <w:sectPr w:rsidR="007910C6" w:rsidRPr="00225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AE9"/>
    <w:rsid w:val="000E7AE9"/>
    <w:rsid w:val="000F7AC2"/>
    <w:rsid w:val="001916CA"/>
    <w:rsid w:val="001945BC"/>
    <w:rsid w:val="001E0C6B"/>
    <w:rsid w:val="00206AB2"/>
    <w:rsid w:val="00225D07"/>
    <w:rsid w:val="002511AC"/>
    <w:rsid w:val="0027641F"/>
    <w:rsid w:val="002C2B5D"/>
    <w:rsid w:val="002D7ED2"/>
    <w:rsid w:val="002F7AAE"/>
    <w:rsid w:val="0036645C"/>
    <w:rsid w:val="00381C3B"/>
    <w:rsid w:val="003A7B98"/>
    <w:rsid w:val="00405B26"/>
    <w:rsid w:val="004A2BC6"/>
    <w:rsid w:val="004C4612"/>
    <w:rsid w:val="004D097E"/>
    <w:rsid w:val="004E3A23"/>
    <w:rsid w:val="00513CDC"/>
    <w:rsid w:val="005733B7"/>
    <w:rsid w:val="005F3C4F"/>
    <w:rsid w:val="00627AFA"/>
    <w:rsid w:val="00647218"/>
    <w:rsid w:val="0067443B"/>
    <w:rsid w:val="006940CC"/>
    <w:rsid w:val="007032C3"/>
    <w:rsid w:val="00723E05"/>
    <w:rsid w:val="00770A1E"/>
    <w:rsid w:val="007910C6"/>
    <w:rsid w:val="007F5965"/>
    <w:rsid w:val="007F5A83"/>
    <w:rsid w:val="008258C8"/>
    <w:rsid w:val="00895A75"/>
    <w:rsid w:val="008B401E"/>
    <w:rsid w:val="008D10FD"/>
    <w:rsid w:val="008F0B12"/>
    <w:rsid w:val="00933BEC"/>
    <w:rsid w:val="009A0F4A"/>
    <w:rsid w:val="009F3E32"/>
    <w:rsid w:val="00A20C1A"/>
    <w:rsid w:val="00A3211A"/>
    <w:rsid w:val="00A36EC4"/>
    <w:rsid w:val="00A45BA4"/>
    <w:rsid w:val="00AB6DE8"/>
    <w:rsid w:val="00B0579F"/>
    <w:rsid w:val="00B76B4D"/>
    <w:rsid w:val="00B76CF8"/>
    <w:rsid w:val="00B83C17"/>
    <w:rsid w:val="00C654E3"/>
    <w:rsid w:val="00C72978"/>
    <w:rsid w:val="00CB13F7"/>
    <w:rsid w:val="00D45F6B"/>
    <w:rsid w:val="00E34860"/>
    <w:rsid w:val="00EB13FC"/>
    <w:rsid w:val="00EC155F"/>
    <w:rsid w:val="00EE0B2D"/>
    <w:rsid w:val="00EE7A99"/>
    <w:rsid w:val="00EF6693"/>
    <w:rsid w:val="00F1159F"/>
    <w:rsid w:val="00F11ECA"/>
    <w:rsid w:val="00F12DBC"/>
    <w:rsid w:val="00F20149"/>
    <w:rsid w:val="00F41B72"/>
    <w:rsid w:val="00F47679"/>
    <w:rsid w:val="00FC099B"/>
    <w:rsid w:val="00FF7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C1DC"/>
  <w15:chartTrackingRefBased/>
  <w15:docId w15:val="{4B45C3E7-0324-4AD3-AA2A-77E2E09A6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AE9"/>
  </w:style>
  <w:style w:type="paragraph" w:styleId="Heading1">
    <w:name w:val="heading 1"/>
    <w:basedOn w:val="Normal"/>
    <w:next w:val="Normal"/>
    <w:link w:val="Heading1Char"/>
    <w:uiPriority w:val="9"/>
    <w:qFormat/>
    <w:rsid w:val="000E7A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E7A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7A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7A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7A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7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A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E7A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7A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7A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7A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7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AE9"/>
    <w:rPr>
      <w:rFonts w:eastAsiaTheme="majorEastAsia" w:cstheme="majorBidi"/>
      <w:color w:val="272727" w:themeColor="text1" w:themeTint="D8"/>
    </w:rPr>
  </w:style>
  <w:style w:type="paragraph" w:styleId="Title">
    <w:name w:val="Title"/>
    <w:basedOn w:val="Normal"/>
    <w:next w:val="Normal"/>
    <w:link w:val="TitleChar"/>
    <w:uiPriority w:val="10"/>
    <w:qFormat/>
    <w:rsid w:val="000E7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AE9"/>
    <w:pPr>
      <w:spacing w:before="160"/>
      <w:jc w:val="center"/>
    </w:pPr>
    <w:rPr>
      <w:i/>
      <w:iCs/>
      <w:color w:val="404040" w:themeColor="text1" w:themeTint="BF"/>
    </w:rPr>
  </w:style>
  <w:style w:type="character" w:customStyle="1" w:styleId="QuoteChar">
    <w:name w:val="Quote Char"/>
    <w:basedOn w:val="DefaultParagraphFont"/>
    <w:link w:val="Quote"/>
    <w:uiPriority w:val="29"/>
    <w:rsid w:val="000E7AE9"/>
    <w:rPr>
      <w:i/>
      <w:iCs/>
      <w:color w:val="404040" w:themeColor="text1" w:themeTint="BF"/>
    </w:rPr>
  </w:style>
  <w:style w:type="paragraph" w:styleId="ListParagraph">
    <w:name w:val="List Paragraph"/>
    <w:basedOn w:val="Normal"/>
    <w:uiPriority w:val="34"/>
    <w:qFormat/>
    <w:rsid w:val="000E7AE9"/>
    <w:pPr>
      <w:ind w:left="720"/>
      <w:contextualSpacing/>
    </w:pPr>
  </w:style>
  <w:style w:type="character" w:styleId="IntenseEmphasis">
    <w:name w:val="Intense Emphasis"/>
    <w:basedOn w:val="DefaultParagraphFont"/>
    <w:uiPriority w:val="21"/>
    <w:qFormat/>
    <w:rsid w:val="000E7AE9"/>
    <w:rPr>
      <w:i/>
      <w:iCs/>
      <w:color w:val="2F5496" w:themeColor="accent1" w:themeShade="BF"/>
    </w:rPr>
  </w:style>
  <w:style w:type="paragraph" w:styleId="IntenseQuote">
    <w:name w:val="Intense Quote"/>
    <w:basedOn w:val="Normal"/>
    <w:next w:val="Normal"/>
    <w:link w:val="IntenseQuoteChar"/>
    <w:uiPriority w:val="30"/>
    <w:qFormat/>
    <w:rsid w:val="000E7A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7AE9"/>
    <w:rPr>
      <w:i/>
      <w:iCs/>
      <w:color w:val="2F5496" w:themeColor="accent1" w:themeShade="BF"/>
    </w:rPr>
  </w:style>
  <w:style w:type="character" w:styleId="IntenseReference">
    <w:name w:val="Intense Reference"/>
    <w:basedOn w:val="DefaultParagraphFont"/>
    <w:uiPriority w:val="32"/>
    <w:qFormat/>
    <w:rsid w:val="000E7AE9"/>
    <w:rPr>
      <w:b/>
      <w:bCs/>
      <w:smallCaps/>
      <w:color w:val="2F5496" w:themeColor="accent1" w:themeShade="BF"/>
      <w:spacing w:val="5"/>
    </w:rPr>
  </w:style>
  <w:style w:type="paragraph" w:customStyle="1" w:styleId="TableParagraph">
    <w:name w:val="Table Paragraph"/>
    <w:basedOn w:val="Normal"/>
    <w:uiPriority w:val="1"/>
    <w:qFormat/>
    <w:rsid w:val="000E7AE9"/>
    <w:pPr>
      <w:widowControl w:val="0"/>
      <w:autoSpaceDE w:val="0"/>
      <w:autoSpaceDN w:val="0"/>
      <w:spacing w:after="0" w:line="240" w:lineRule="auto"/>
    </w:pPr>
    <w:rPr>
      <w:rFonts w:ascii="Arial" w:eastAsia="Arial" w:hAnsi="Arial" w:cs="Arial"/>
      <w:kern w:val="0"/>
      <w:lang w:val="en-US"/>
      <w14:ligatures w14:val="none"/>
    </w:rPr>
  </w:style>
  <w:style w:type="character" w:styleId="Hyperlink">
    <w:name w:val="Hyperlink"/>
    <w:basedOn w:val="DefaultParagraphFont"/>
    <w:uiPriority w:val="99"/>
    <w:unhideWhenUsed/>
    <w:rsid w:val="00225D07"/>
    <w:rPr>
      <w:color w:val="0563C1" w:themeColor="hyperlink"/>
      <w:u w:val="single"/>
    </w:rPr>
  </w:style>
  <w:style w:type="character" w:styleId="UnresolvedMention">
    <w:name w:val="Unresolved Mention"/>
    <w:basedOn w:val="DefaultParagraphFont"/>
    <w:uiPriority w:val="99"/>
    <w:semiHidden/>
    <w:unhideWhenUsed/>
    <w:rsid w:val="00225D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CG13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n721800.ca.archive.org/0/items/Maslow_A_H_-_A_Theory_of_Human_Motivation/Maslow_A_H_-_A_Theory_of_Human_Motivation.pdf" TargetMode="External"/><Relationship Id="rId12" Type="http://schemas.openxmlformats.org/officeDocument/2006/relationships/hyperlink" Target="https://www.legislation.gov.uk/ukpga/2010/15/section/4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kingsfund.org.uk/insight-and-analysis/reports/vision-action-making-patient-centred-care-reality" TargetMode="External"/><Relationship Id="rId11" Type="http://schemas.openxmlformats.org/officeDocument/2006/relationships/hyperlink" Target="https://www.legislation.gov.uk/ukpga/2014/23/part/1/crossheading/duties-and-powers-to-meet-needs" TargetMode="External"/><Relationship Id="rId5" Type="http://schemas.openxmlformats.org/officeDocument/2006/relationships/hyperlink" Target="https://www.nice.org.uk/guidance/ng197/chapter/recommendations" TargetMode="External"/><Relationship Id="rId10" Type="http://schemas.openxmlformats.org/officeDocument/2006/relationships/hyperlink" Target="https://www.nmc.org.uk/standards/code/" TargetMode="External"/><Relationship Id="rId4" Type="http://schemas.openxmlformats.org/officeDocument/2006/relationships/webSettings" Target="webSettings.xml"/><Relationship Id="rId9" Type="http://schemas.openxmlformats.org/officeDocument/2006/relationships/hyperlink" Target="https://assets.publishing.service.gov.uk/media/62962d1f8fa8f50395c0a054/draft-mental-capacity-act-code-of-practi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9DCFE7-87B7-4711-988D-496F95CB6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2494</TotalTime>
  <Pages>6</Pages>
  <Words>2411</Words>
  <Characters>13744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dc:creator>
  <cp:keywords/>
  <dc:description/>
  <cp:lastModifiedBy>shelina begum</cp:lastModifiedBy>
  <cp:revision>47</cp:revision>
  <dcterms:created xsi:type="dcterms:W3CDTF">2026-07-22T20:23:00Z</dcterms:created>
  <dcterms:modified xsi:type="dcterms:W3CDTF">2026-07-24T14:26:00Z</dcterms:modified>
</cp:coreProperties>
</file>