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A9A7FA" w14:textId="356445F9" w:rsidR="5A453747" w:rsidRDefault="00012B16">
      <w:r>
        <w:rPr>
          <w:noProof/>
        </w:rPr>
        <w:drawing>
          <wp:inline distT="0" distB="0" distL="0" distR="0" wp14:anchorId="02F2A5C9" wp14:editId="6F442787">
            <wp:extent cx="2028825" cy="704850"/>
            <wp:effectExtent l="0" t="0" r="0" b="0"/>
            <wp:docPr id="2007465704" name="Picture 200746570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28825" cy="704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03AB61" w14:textId="77777777" w:rsidR="00563B58" w:rsidRPr="00A47621" w:rsidRDefault="00563B58" w:rsidP="0040668F">
      <w:pPr>
        <w:rPr>
          <w:rFonts w:ascii="Times New Roman" w:hAnsi="Times New Roman" w:cs="Times New Roman"/>
          <w:sz w:val="24"/>
          <w:szCs w:val="24"/>
        </w:rPr>
      </w:pPr>
    </w:p>
    <w:p w14:paraId="1ED29290" w14:textId="77777777" w:rsidR="00F927A1" w:rsidRPr="00F927A1" w:rsidRDefault="00F927A1" w:rsidP="00FF7EBB">
      <w:pPr>
        <w:overflowPunct/>
        <w:autoSpaceDE/>
        <w:autoSpaceDN/>
        <w:adjustRightInd/>
        <w:textAlignment w:val="auto"/>
        <w:rPr>
          <w:rFonts w:ascii="Times New Roman" w:hAnsi="Times New Roman"/>
          <w:b/>
          <w:bCs/>
          <w:color w:val="auto"/>
          <w:sz w:val="48"/>
          <w:szCs w:val="48"/>
        </w:rPr>
      </w:pPr>
      <w:r w:rsidRPr="00F927A1">
        <w:rPr>
          <w:rFonts w:ascii="Times New Roman" w:hAnsi="Times New Roman" w:cs="Times New Roman"/>
          <w:b/>
          <w:color w:val="auto"/>
          <w:sz w:val="48"/>
          <w:szCs w:val="48"/>
        </w:rPr>
        <w:t xml:space="preserve">GRADUATE CERTIFICATE in </w:t>
      </w:r>
      <w:r w:rsidRPr="00F927A1">
        <w:rPr>
          <w:rFonts w:ascii="Times New Roman" w:hAnsi="Times New Roman"/>
          <w:b/>
          <w:bCs/>
          <w:color w:val="auto"/>
          <w:sz w:val="48"/>
          <w:szCs w:val="48"/>
        </w:rPr>
        <w:t>Consolidation of Social Work Practice</w:t>
      </w:r>
    </w:p>
    <w:p w14:paraId="0F4D6E7D" w14:textId="7C8C0132" w:rsidR="0085230E" w:rsidRPr="00DC2924" w:rsidRDefault="0085230E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 w:rsidRPr="00DC2924">
        <w:rPr>
          <w:rFonts w:ascii="Times New Roman" w:hAnsi="Times New Roman" w:cs="Times New Roman"/>
          <w:b/>
          <w:color w:val="auto"/>
          <w:sz w:val="48"/>
        </w:rPr>
        <w:t>LEVEL 6 - 60 Credits</w:t>
      </w:r>
    </w:p>
    <w:p w14:paraId="2216C5B7" w14:textId="5A138451" w:rsidR="00706BB5" w:rsidRPr="0085230E" w:rsidRDefault="00706BB5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 w:rsidRPr="00DC2924">
        <w:rPr>
          <w:rFonts w:ascii="Times New Roman" w:hAnsi="Times New Roman" w:cs="Times New Roman"/>
          <w:b/>
          <w:color w:val="auto"/>
          <w:sz w:val="48"/>
        </w:rPr>
        <w:t>BMPF6044</w:t>
      </w:r>
    </w:p>
    <w:p w14:paraId="28947286" w14:textId="77777777" w:rsidR="00F927A1" w:rsidRDefault="00F927A1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</w:p>
    <w:p w14:paraId="61FA5299" w14:textId="77777777" w:rsidR="00F927A1" w:rsidRPr="00FE5F90" w:rsidRDefault="00F927A1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8"/>
          <w:szCs w:val="2"/>
        </w:rPr>
      </w:pPr>
    </w:p>
    <w:p w14:paraId="5B3FA234" w14:textId="77777777" w:rsidR="00F927A1" w:rsidRPr="00F927A1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>
        <w:rPr>
          <w:rFonts w:ascii="Times New Roman" w:hAnsi="Times New Roman" w:cs="Times New Roman"/>
          <w:b/>
          <w:color w:val="auto"/>
          <w:sz w:val="48"/>
        </w:rPr>
        <w:t xml:space="preserve">LEARNER </w:t>
      </w:r>
      <w:r w:rsidR="00F927A1">
        <w:rPr>
          <w:rFonts w:ascii="Times New Roman" w:hAnsi="Times New Roman" w:cs="Times New Roman"/>
          <w:b/>
          <w:color w:val="auto"/>
          <w:sz w:val="48"/>
        </w:rPr>
        <w:t>PORTFOLIO</w:t>
      </w:r>
    </w:p>
    <w:p w14:paraId="333E90F0" w14:textId="62DD2FD5" w:rsidR="00F927A1" w:rsidRPr="00706BB5" w:rsidRDefault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bCs/>
          <w:color w:val="auto"/>
          <w:sz w:val="48"/>
          <w:szCs w:val="48"/>
        </w:rPr>
      </w:pPr>
      <w:r w:rsidRPr="00F15354">
        <w:rPr>
          <w:rFonts w:ascii="Times New Roman" w:hAnsi="Times New Roman" w:cs="Times New Roman"/>
          <w:b/>
          <w:bCs/>
          <w:color w:val="auto"/>
          <w:sz w:val="48"/>
          <w:szCs w:val="48"/>
        </w:rPr>
        <w:t>(PORTH AGORED and U</w:t>
      </w:r>
      <w:r w:rsidR="6E4F6729" w:rsidRPr="00F15354">
        <w:rPr>
          <w:rFonts w:ascii="Times New Roman" w:hAnsi="Times New Roman" w:cs="Times New Roman"/>
          <w:b/>
          <w:bCs/>
          <w:color w:val="auto"/>
          <w:sz w:val="48"/>
          <w:szCs w:val="48"/>
        </w:rPr>
        <w:t>NIVERSITY OF WALES TRINITY SAINT DAVID</w:t>
      </w:r>
      <w:r w:rsidRPr="00F15354">
        <w:rPr>
          <w:rFonts w:ascii="Times New Roman" w:hAnsi="Times New Roman" w:cs="Times New Roman"/>
          <w:b/>
          <w:bCs/>
          <w:color w:val="auto"/>
          <w:sz w:val="48"/>
          <w:szCs w:val="48"/>
        </w:rPr>
        <w:t>)</w:t>
      </w:r>
    </w:p>
    <w:p w14:paraId="024B1E2F" w14:textId="77777777" w:rsidR="0085230E" w:rsidRPr="00FE5F90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4"/>
          <w:szCs w:val="2"/>
        </w:rPr>
      </w:pPr>
    </w:p>
    <w:p w14:paraId="16D1A022" w14:textId="77777777" w:rsidR="0085230E" w:rsidRPr="00F927A1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</w:p>
    <w:tbl>
      <w:tblPr>
        <w:tblW w:w="1091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0910"/>
      </w:tblGrid>
      <w:tr w:rsidR="00F927A1" w:rsidRPr="005D3F07" w14:paraId="68CAA39D" w14:textId="77777777" w:rsidTr="005D267B">
        <w:tc>
          <w:tcPr>
            <w:tcW w:w="10910" w:type="dxa"/>
          </w:tcPr>
          <w:p w14:paraId="02F8EE88" w14:textId="0DEB4A9E" w:rsidR="00986B43" w:rsidRDefault="00986B43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>
              <w:rPr>
                <w:rFonts w:ascii="Times New Roman" w:hAnsi="Times New Roman" w:cs="Times New Roman"/>
                <w:b/>
                <w:color w:val="auto"/>
                <w:sz w:val="48"/>
              </w:rPr>
              <w:t>Learner’s name:</w:t>
            </w:r>
            <w:r w:rsidR="00247265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 </w:t>
            </w:r>
            <w:r w:rsidR="005D267B">
              <w:rPr>
                <w:rFonts w:ascii="Times New Roman" w:hAnsi="Times New Roman" w:cs="Times New Roman"/>
                <w:b/>
                <w:color w:val="auto"/>
                <w:sz w:val="48"/>
              </w:rPr>
              <w:t>Rhodri O Jones</w:t>
            </w:r>
          </w:p>
          <w:p w14:paraId="0B6CD0DB" w14:textId="689515B5" w:rsidR="009C337F" w:rsidRDefault="009C337F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</w:p>
          <w:p w14:paraId="3A6EAAC7" w14:textId="7364D4EC" w:rsidR="009C337F" w:rsidRDefault="009C337F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>
              <w:rPr>
                <w:rFonts w:ascii="Times New Roman" w:hAnsi="Times New Roman" w:cs="Times New Roman"/>
                <w:b/>
                <w:color w:val="auto"/>
                <w:sz w:val="48"/>
              </w:rPr>
              <w:t>Email address:</w:t>
            </w:r>
            <w:r w:rsidR="005D267B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 </w:t>
            </w:r>
            <w:r w:rsidR="005D267B" w:rsidRPr="005D267B">
              <w:rPr>
                <w:rFonts w:ascii="Times New Roman" w:hAnsi="Times New Roman" w:cs="Times New Roman"/>
                <w:b/>
                <w:color w:val="auto"/>
                <w:sz w:val="48"/>
              </w:rPr>
              <w:t>2316855@student.uwtsd.ac.uk</w:t>
            </w:r>
          </w:p>
          <w:p w14:paraId="22E38809" w14:textId="77777777" w:rsidR="00986B43" w:rsidRDefault="00986B43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</w:p>
          <w:p w14:paraId="0DE696B2" w14:textId="4C6A2F67" w:rsidR="00F927A1" w:rsidRPr="005D3F07" w:rsidRDefault="0085230E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 w:rsidRPr="005D3F07">
              <w:rPr>
                <w:rFonts w:ascii="Times New Roman" w:hAnsi="Times New Roman" w:cs="Times New Roman"/>
                <w:b/>
                <w:color w:val="auto"/>
                <w:sz w:val="48"/>
              </w:rPr>
              <w:t>Learner’s University Registration</w:t>
            </w:r>
            <w:r w:rsidR="00F927A1" w:rsidRPr="005D3F07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 Number:</w:t>
            </w:r>
            <w:r w:rsidR="005D267B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 2316855</w:t>
            </w:r>
          </w:p>
          <w:p w14:paraId="622FD17A" w14:textId="77777777" w:rsidR="0085230E" w:rsidRPr="005D3F07" w:rsidRDefault="0085230E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</w:p>
          <w:p w14:paraId="5F84129B" w14:textId="048C9EAF" w:rsidR="0085230E" w:rsidRPr="005D3F07" w:rsidRDefault="00706BB5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 w:rsidRPr="00DC2924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Cohort: </w:t>
            </w:r>
            <w:r w:rsidR="00B037B0">
              <w:rPr>
                <w:rFonts w:ascii="Times New Roman" w:hAnsi="Times New Roman" w:cs="Times New Roman"/>
                <w:b/>
                <w:color w:val="auto"/>
                <w:sz w:val="48"/>
              </w:rPr>
              <w:t>21</w:t>
            </w:r>
            <w:r w:rsidR="00AE6231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 onwards</w:t>
            </w:r>
          </w:p>
        </w:tc>
      </w:tr>
    </w:tbl>
    <w:p w14:paraId="40F3C009" w14:textId="77777777" w:rsidR="00F927A1" w:rsidRPr="00F927A1" w:rsidRDefault="008420E1" w:rsidP="00986B43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>
        <w:rPr>
          <w:rFonts w:ascii="Times New Roman" w:hAnsi="Times New Roman" w:cs="Times New Roman"/>
          <w:b/>
          <w:color w:val="auto"/>
          <w:sz w:val="48"/>
        </w:rPr>
        <w:t xml:space="preserve"> </w:t>
      </w:r>
    </w:p>
    <w:p w14:paraId="621AF8BA" w14:textId="77777777" w:rsidR="00F927A1" w:rsidRPr="00F927A1" w:rsidRDefault="00F927A1" w:rsidP="00F927A1">
      <w:pPr>
        <w:overflowPunct/>
        <w:autoSpaceDE/>
        <w:autoSpaceDN/>
        <w:adjustRightInd/>
        <w:textAlignment w:val="auto"/>
        <w:rPr>
          <w:rFonts w:ascii="Times New Roman" w:hAnsi="Times New Roman" w:cs="Times New Roman"/>
          <w:color w:val="auto"/>
          <w:sz w:val="24"/>
        </w:rPr>
      </w:pPr>
    </w:p>
    <w:p w14:paraId="3FC4E125" w14:textId="77777777" w:rsidR="00F927A1" w:rsidRPr="00F927A1" w:rsidRDefault="00F927A1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</w:p>
    <w:p w14:paraId="025CB5FE" w14:textId="1EB157DC" w:rsidR="00E559CE" w:rsidRDefault="00E83F91" w:rsidP="005B3A2D">
      <w:pPr>
        <w:jc w:val="center"/>
        <w:rPr>
          <w:b/>
          <w:sz w:val="24"/>
          <w:szCs w:val="24"/>
        </w:rPr>
      </w:pPr>
      <w:r>
        <w:rPr>
          <w:b/>
          <w:sz w:val="24"/>
          <w:szCs w:val="24"/>
        </w:rPr>
        <w:br w:type="page"/>
      </w:r>
    </w:p>
    <w:p w14:paraId="70797153" w14:textId="77777777" w:rsidR="007F312E" w:rsidRDefault="007F312E" w:rsidP="005F64AA">
      <w:pPr>
        <w:jc w:val="center"/>
        <w:rPr>
          <w:b/>
          <w:sz w:val="28"/>
          <w:szCs w:val="28"/>
        </w:rPr>
      </w:pPr>
    </w:p>
    <w:p w14:paraId="1D68DA91" w14:textId="77777777" w:rsidR="00D3203C" w:rsidRDefault="00D3203C" w:rsidP="00EE5BC3">
      <w:pPr>
        <w:jc w:val="center"/>
        <w:rPr>
          <w:b/>
          <w:sz w:val="24"/>
          <w:szCs w:val="24"/>
        </w:rPr>
      </w:pPr>
    </w:p>
    <w:p w14:paraId="5A670606" w14:textId="63DC81B5" w:rsidR="00F546D1" w:rsidRPr="00EE5BC3" w:rsidRDefault="007374EF" w:rsidP="00EE5BC3">
      <w:pPr>
        <w:jc w:val="center"/>
        <w:rPr>
          <w:sz w:val="28"/>
          <w:szCs w:val="28"/>
        </w:rPr>
      </w:pPr>
      <w:r w:rsidRPr="00EE5BC3">
        <w:rPr>
          <w:b/>
          <w:sz w:val="28"/>
          <w:szCs w:val="28"/>
        </w:rPr>
        <w:t>Task 3</w:t>
      </w:r>
    </w:p>
    <w:p w14:paraId="3D5F0C24" w14:textId="77777777" w:rsidR="00F546D1" w:rsidRPr="00EE5BC3" w:rsidRDefault="00F546D1" w:rsidP="00EE5BC3">
      <w:pPr>
        <w:jc w:val="center"/>
        <w:rPr>
          <w:b/>
          <w:sz w:val="28"/>
          <w:szCs w:val="28"/>
        </w:rPr>
      </w:pPr>
    </w:p>
    <w:p w14:paraId="02619381" w14:textId="77777777" w:rsidR="00A12F22" w:rsidRPr="00EE5BC3" w:rsidRDefault="00E559CE" w:rsidP="00EE5BC3">
      <w:pPr>
        <w:jc w:val="center"/>
        <w:rPr>
          <w:b/>
          <w:color w:val="auto"/>
          <w:sz w:val="28"/>
          <w:szCs w:val="28"/>
        </w:rPr>
      </w:pPr>
      <w:r w:rsidRPr="00EE5BC3">
        <w:rPr>
          <w:b/>
          <w:color w:val="auto"/>
          <w:sz w:val="28"/>
          <w:szCs w:val="28"/>
        </w:rPr>
        <w:t>Safeguarding and working in complex situations</w:t>
      </w:r>
      <w:r w:rsidR="00002C7A" w:rsidRPr="00EE5BC3">
        <w:rPr>
          <w:b/>
          <w:color w:val="auto"/>
          <w:sz w:val="28"/>
          <w:szCs w:val="28"/>
        </w:rPr>
        <w:t xml:space="preserve"> – Case Study</w:t>
      </w:r>
    </w:p>
    <w:p w14:paraId="746467D8" w14:textId="77777777" w:rsidR="007C5ABE" w:rsidRDefault="007C5ABE" w:rsidP="0093018C">
      <w:pPr>
        <w:rPr>
          <w:b/>
          <w:color w:val="auto"/>
          <w:sz w:val="24"/>
          <w:szCs w:val="24"/>
        </w:rPr>
      </w:pPr>
    </w:p>
    <w:p w14:paraId="4AF0BB36" w14:textId="77777777" w:rsidR="00D0503D" w:rsidRDefault="00D0503D" w:rsidP="0093018C">
      <w:pPr>
        <w:rPr>
          <w:b/>
          <w:color w:val="auto"/>
          <w:sz w:val="24"/>
          <w:szCs w:val="24"/>
        </w:rPr>
      </w:pPr>
      <w:r>
        <w:rPr>
          <w:b/>
          <w:color w:val="auto"/>
          <w:sz w:val="24"/>
          <w:szCs w:val="24"/>
        </w:rPr>
        <w:t>Guidance</w:t>
      </w:r>
      <w:r w:rsidR="00084DA6">
        <w:rPr>
          <w:b/>
          <w:color w:val="auto"/>
          <w:sz w:val="24"/>
          <w:szCs w:val="24"/>
        </w:rPr>
        <w:t>;</w:t>
      </w:r>
    </w:p>
    <w:p w14:paraId="104AED32" w14:textId="7E0942CD" w:rsidR="007C5ABE" w:rsidRPr="00706BB5" w:rsidRDefault="00084DA6">
      <w:pPr>
        <w:jc w:val="both"/>
        <w:rPr>
          <w:i/>
          <w:iCs/>
          <w:sz w:val="24"/>
          <w:szCs w:val="24"/>
        </w:rPr>
      </w:pPr>
      <w:r w:rsidRPr="00F15354">
        <w:rPr>
          <w:i/>
          <w:iCs/>
          <w:sz w:val="24"/>
          <w:szCs w:val="24"/>
        </w:rPr>
        <w:t xml:space="preserve">Please ensure that you </w:t>
      </w:r>
      <w:r w:rsidR="00F45521" w:rsidRPr="00F15354">
        <w:rPr>
          <w:i/>
          <w:iCs/>
          <w:sz w:val="24"/>
          <w:szCs w:val="24"/>
        </w:rPr>
        <w:t>meet</w:t>
      </w:r>
      <w:r w:rsidRPr="006179BB">
        <w:rPr>
          <w:i/>
          <w:iCs/>
          <w:sz w:val="24"/>
          <w:szCs w:val="24"/>
        </w:rPr>
        <w:t xml:space="preserve"> the </w:t>
      </w:r>
      <w:r w:rsidR="00AA7960" w:rsidRPr="006179BB">
        <w:rPr>
          <w:i/>
          <w:iCs/>
          <w:sz w:val="24"/>
          <w:szCs w:val="24"/>
        </w:rPr>
        <w:t xml:space="preserve">National Occupational Standards and assigned </w:t>
      </w:r>
      <w:r w:rsidRPr="00A5656A">
        <w:rPr>
          <w:i/>
          <w:iCs/>
          <w:sz w:val="24"/>
          <w:szCs w:val="24"/>
        </w:rPr>
        <w:t>Learning Outcomes for this task</w:t>
      </w:r>
      <w:r w:rsidR="00AA7960" w:rsidRPr="00A5656A">
        <w:rPr>
          <w:i/>
          <w:iCs/>
          <w:sz w:val="24"/>
          <w:szCs w:val="24"/>
        </w:rPr>
        <w:t xml:space="preserve"> (s</w:t>
      </w:r>
      <w:r w:rsidRPr="00A5656A">
        <w:rPr>
          <w:i/>
          <w:iCs/>
          <w:sz w:val="24"/>
          <w:szCs w:val="24"/>
        </w:rPr>
        <w:t xml:space="preserve">ee appendix </w:t>
      </w:r>
      <w:r w:rsidR="6D1B720D" w:rsidRPr="00A5656A">
        <w:rPr>
          <w:i/>
          <w:iCs/>
          <w:sz w:val="24"/>
          <w:szCs w:val="24"/>
        </w:rPr>
        <w:t>5 and 6 of the handbook</w:t>
      </w:r>
      <w:r w:rsidR="00AA7960" w:rsidRPr="00A5656A">
        <w:rPr>
          <w:i/>
          <w:iCs/>
          <w:sz w:val="24"/>
          <w:szCs w:val="24"/>
        </w:rPr>
        <w:t>)</w:t>
      </w:r>
      <w:r w:rsidR="007374EF" w:rsidRPr="00A5656A">
        <w:rPr>
          <w:i/>
          <w:iCs/>
          <w:sz w:val="24"/>
          <w:szCs w:val="24"/>
        </w:rPr>
        <w:t>.</w:t>
      </w:r>
      <w:r w:rsidR="00540EEC" w:rsidRPr="009C7342">
        <w:rPr>
          <w:i/>
          <w:iCs/>
          <w:sz w:val="24"/>
          <w:szCs w:val="24"/>
        </w:rPr>
        <w:t xml:space="preserve"> </w:t>
      </w:r>
    </w:p>
    <w:p w14:paraId="257A6431" w14:textId="77777777" w:rsidR="008B28E7" w:rsidRDefault="008B28E7" w:rsidP="00FF7EBB">
      <w:pPr>
        <w:jc w:val="both"/>
        <w:rPr>
          <w:b/>
          <w:color w:val="auto"/>
          <w:sz w:val="24"/>
          <w:szCs w:val="24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031"/>
      </w:tblGrid>
      <w:tr w:rsidR="008B28E7" w:rsidRPr="008B28E7" w14:paraId="2E129DEE" w14:textId="77777777" w:rsidTr="7B2CF1A9">
        <w:tc>
          <w:tcPr>
            <w:tcW w:w="10031" w:type="dxa"/>
          </w:tcPr>
          <w:p w14:paraId="63627B26" w14:textId="64A7A177" w:rsidR="006872A0" w:rsidRPr="006872A0" w:rsidRDefault="006872A0" w:rsidP="00064063">
            <w:pPr>
              <w:jc w:val="both"/>
              <w:rPr>
                <w:b/>
                <w:sz w:val="24"/>
                <w:szCs w:val="24"/>
              </w:rPr>
            </w:pPr>
            <w:r w:rsidRPr="006872A0">
              <w:rPr>
                <w:b/>
                <w:sz w:val="24"/>
                <w:szCs w:val="24"/>
              </w:rPr>
              <w:t>Question</w:t>
            </w:r>
            <w:r w:rsidR="007A628F">
              <w:rPr>
                <w:b/>
                <w:sz w:val="24"/>
                <w:szCs w:val="24"/>
              </w:rPr>
              <w:t>:</w:t>
            </w:r>
          </w:p>
          <w:p w14:paraId="541B485B" w14:textId="4CB44B06" w:rsidR="00C77FA5" w:rsidRPr="00706BB5" w:rsidRDefault="000A584A">
            <w:pPr>
              <w:jc w:val="both"/>
              <w:rPr>
                <w:sz w:val="24"/>
                <w:szCs w:val="24"/>
              </w:rPr>
            </w:pPr>
            <w:r w:rsidRPr="008B28E7">
              <w:rPr>
                <w:sz w:val="24"/>
                <w:szCs w:val="24"/>
              </w:rPr>
              <w:t xml:space="preserve">Complete a critically reflective case study </w:t>
            </w:r>
            <w:r w:rsidR="00D0503D" w:rsidRPr="008B28E7">
              <w:rPr>
                <w:sz w:val="24"/>
                <w:szCs w:val="24"/>
              </w:rPr>
              <w:t>based</w:t>
            </w:r>
            <w:r w:rsidRPr="008B28E7">
              <w:rPr>
                <w:sz w:val="24"/>
                <w:szCs w:val="24"/>
              </w:rPr>
              <w:t xml:space="preserve"> on</w:t>
            </w:r>
            <w:r w:rsidR="00696A88">
              <w:rPr>
                <w:sz w:val="24"/>
                <w:szCs w:val="24"/>
              </w:rPr>
              <w:t xml:space="preserve"> </w:t>
            </w:r>
            <w:r w:rsidR="00411EF7" w:rsidRPr="008B28E7">
              <w:rPr>
                <w:sz w:val="24"/>
                <w:szCs w:val="24"/>
              </w:rPr>
              <w:t xml:space="preserve">an </w:t>
            </w:r>
            <w:r w:rsidR="00411EF7" w:rsidRPr="00EE5BC3">
              <w:rPr>
                <w:sz w:val="24"/>
                <w:szCs w:val="24"/>
              </w:rPr>
              <w:t>assessment</w:t>
            </w:r>
            <w:r w:rsidR="007F312E">
              <w:rPr>
                <w:sz w:val="24"/>
                <w:szCs w:val="24"/>
              </w:rPr>
              <w:t xml:space="preserve"> </w:t>
            </w:r>
            <w:r w:rsidR="007C5ABE" w:rsidRPr="00EE5BC3">
              <w:rPr>
                <w:sz w:val="24"/>
                <w:szCs w:val="24"/>
              </w:rPr>
              <w:t>that</w:t>
            </w:r>
            <w:r w:rsidR="007C5ABE">
              <w:rPr>
                <w:sz w:val="24"/>
                <w:szCs w:val="24"/>
              </w:rPr>
              <w:t xml:space="preserve"> you have </w:t>
            </w:r>
            <w:r>
              <w:rPr>
                <w:sz w:val="24"/>
                <w:szCs w:val="24"/>
              </w:rPr>
              <w:t>u</w:t>
            </w:r>
            <w:r w:rsidRPr="008B28E7">
              <w:rPr>
                <w:sz w:val="24"/>
                <w:szCs w:val="24"/>
              </w:rPr>
              <w:t>ndertake</w:t>
            </w:r>
            <w:r>
              <w:rPr>
                <w:sz w:val="24"/>
                <w:szCs w:val="24"/>
              </w:rPr>
              <w:t>n</w:t>
            </w:r>
            <w:r w:rsidRPr="008B28E7">
              <w:rPr>
                <w:sz w:val="24"/>
                <w:szCs w:val="24"/>
              </w:rPr>
              <w:t xml:space="preserve"> with </w:t>
            </w:r>
            <w:r w:rsidR="00D0503D" w:rsidRPr="008B28E7">
              <w:rPr>
                <w:sz w:val="24"/>
                <w:szCs w:val="24"/>
              </w:rPr>
              <w:t>others</w:t>
            </w:r>
            <w:r w:rsidR="00D0503D">
              <w:rPr>
                <w:sz w:val="24"/>
                <w:szCs w:val="24"/>
              </w:rPr>
              <w:t>,</w:t>
            </w:r>
            <w:r w:rsidR="00D0503D" w:rsidRPr="00F15354">
              <w:rPr>
                <w:b/>
                <w:bCs/>
                <w:sz w:val="24"/>
                <w:szCs w:val="24"/>
              </w:rPr>
              <w:t xml:space="preserve"> </w:t>
            </w:r>
            <w:r w:rsidR="00D0503D" w:rsidRPr="00064063">
              <w:rPr>
                <w:sz w:val="24"/>
                <w:szCs w:val="24"/>
              </w:rPr>
              <w:t>in</w:t>
            </w:r>
            <w:r w:rsidR="0002440E" w:rsidRPr="00064063">
              <w:rPr>
                <w:sz w:val="24"/>
                <w:szCs w:val="24"/>
              </w:rPr>
              <w:t xml:space="preserve"> your own area of work</w:t>
            </w:r>
            <w:r w:rsidR="00D0503D" w:rsidRPr="00D0503D">
              <w:rPr>
                <w:sz w:val="24"/>
                <w:szCs w:val="24"/>
              </w:rPr>
              <w:t xml:space="preserve">, </w:t>
            </w:r>
            <w:r w:rsidR="00587923">
              <w:rPr>
                <w:sz w:val="24"/>
                <w:szCs w:val="24"/>
              </w:rPr>
              <w:t>c</w:t>
            </w:r>
            <w:r w:rsidR="008B28E7" w:rsidRPr="008B28E7">
              <w:rPr>
                <w:sz w:val="24"/>
                <w:szCs w:val="24"/>
              </w:rPr>
              <w:t>oncerning the safeguarding of either an adult or a child</w:t>
            </w:r>
            <w:r>
              <w:rPr>
                <w:sz w:val="24"/>
                <w:szCs w:val="24"/>
              </w:rPr>
              <w:t xml:space="preserve">. </w:t>
            </w:r>
            <w:r w:rsidR="00216563">
              <w:rPr>
                <w:sz w:val="24"/>
                <w:szCs w:val="24"/>
              </w:rPr>
              <w:t xml:space="preserve">You must demonstrate how </w:t>
            </w:r>
            <w:r w:rsidR="00F34C86">
              <w:rPr>
                <w:sz w:val="24"/>
                <w:szCs w:val="24"/>
              </w:rPr>
              <w:t xml:space="preserve">the case relates to or could relate to safeguarding </w:t>
            </w:r>
            <w:r w:rsidR="00216563">
              <w:rPr>
                <w:sz w:val="24"/>
                <w:szCs w:val="24"/>
              </w:rPr>
              <w:t>legislation, policies</w:t>
            </w:r>
            <w:r w:rsidR="00F34C86">
              <w:rPr>
                <w:sz w:val="24"/>
                <w:szCs w:val="24"/>
              </w:rPr>
              <w:t>, strategies and procedures</w:t>
            </w:r>
            <w:r w:rsidR="7AAB400D">
              <w:rPr>
                <w:sz w:val="24"/>
                <w:szCs w:val="24"/>
              </w:rPr>
              <w:t xml:space="preserve"> </w:t>
            </w:r>
            <w:r w:rsidR="623F2A43">
              <w:rPr>
                <w:sz w:val="24"/>
                <w:szCs w:val="24"/>
              </w:rPr>
              <w:t>(</w:t>
            </w:r>
            <w:r w:rsidR="7AAB400D">
              <w:rPr>
                <w:sz w:val="24"/>
                <w:szCs w:val="24"/>
              </w:rPr>
              <w:t>i</w:t>
            </w:r>
            <w:r w:rsidR="623F2A43" w:rsidRPr="00706BB5">
              <w:rPr>
                <w:sz w:val="24"/>
                <w:szCs w:val="24"/>
              </w:rPr>
              <w:t xml:space="preserve">ncluding </w:t>
            </w:r>
            <w:r w:rsidR="322513AD" w:rsidRPr="00706BB5">
              <w:rPr>
                <w:sz w:val="24"/>
                <w:szCs w:val="24"/>
              </w:rPr>
              <w:t>d</w:t>
            </w:r>
            <w:r w:rsidR="7E97696C" w:rsidRPr="00706BB5">
              <w:rPr>
                <w:sz w:val="24"/>
                <w:szCs w:val="24"/>
              </w:rPr>
              <w:t xml:space="preserve">emonstrating an understanding of </w:t>
            </w:r>
            <w:r w:rsidR="623F2A43" w:rsidRPr="00706BB5">
              <w:rPr>
                <w:sz w:val="24"/>
                <w:szCs w:val="24"/>
              </w:rPr>
              <w:t>the</w:t>
            </w:r>
            <w:r w:rsidR="350F702B">
              <w:rPr>
                <w:sz w:val="24"/>
                <w:szCs w:val="24"/>
              </w:rPr>
              <w:t xml:space="preserve"> </w:t>
            </w:r>
            <w:r w:rsidR="3B2446CA" w:rsidRPr="00706BB5">
              <w:rPr>
                <w:rFonts w:eastAsia="Arial"/>
                <w:color w:val="000000" w:themeColor="text1"/>
                <w:sz w:val="24"/>
                <w:szCs w:val="24"/>
              </w:rPr>
              <w:t xml:space="preserve">interface </w:t>
            </w:r>
            <w:r w:rsidR="534A9052" w:rsidRPr="00706BB5">
              <w:rPr>
                <w:rFonts w:eastAsia="Arial"/>
                <w:color w:val="000000" w:themeColor="text1"/>
                <w:sz w:val="24"/>
                <w:szCs w:val="24"/>
              </w:rPr>
              <w:t>between social services provision in Wales with the United Kingdom, the European Union</w:t>
            </w:r>
            <w:r w:rsidR="007A628F">
              <w:rPr>
                <w:rFonts w:eastAsia="Arial"/>
                <w:color w:val="000000" w:themeColor="text1"/>
                <w:sz w:val="24"/>
                <w:szCs w:val="24"/>
              </w:rPr>
              <w:t xml:space="preserve"> (EU)</w:t>
            </w:r>
            <w:r w:rsidR="534A9052" w:rsidRPr="00706BB5">
              <w:rPr>
                <w:rFonts w:eastAsia="Arial"/>
                <w:color w:val="000000" w:themeColor="text1"/>
                <w:sz w:val="24"/>
                <w:szCs w:val="24"/>
              </w:rPr>
              <w:t xml:space="preserve"> and outside the EU</w:t>
            </w:r>
            <w:r w:rsidR="623F2A43" w:rsidRPr="00706BB5">
              <w:rPr>
                <w:rFonts w:eastAsia="Arial"/>
                <w:color w:val="000000" w:themeColor="text1"/>
                <w:sz w:val="24"/>
                <w:szCs w:val="24"/>
              </w:rPr>
              <w:t>)</w:t>
            </w:r>
            <w:r w:rsidR="00411EF7">
              <w:rPr>
                <w:sz w:val="24"/>
                <w:szCs w:val="24"/>
              </w:rPr>
              <w:t>.</w:t>
            </w:r>
            <w:r w:rsidR="00354B6D">
              <w:rPr>
                <w:sz w:val="24"/>
                <w:szCs w:val="24"/>
              </w:rPr>
              <w:t xml:space="preserve"> </w:t>
            </w:r>
            <w:r w:rsidR="102A3950">
              <w:rPr>
                <w:sz w:val="24"/>
                <w:szCs w:val="24"/>
              </w:rPr>
              <w:t>You</w:t>
            </w:r>
            <w:r w:rsidR="00354B6D">
              <w:rPr>
                <w:sz w:val="24"/>
                <w:szCs w:val="24"/>
              </w:rPr>
              <w:t xml:space="preserve"> must</w:t>
            </w:r>
            <w:r w:rsidR="00411EF7">
              <w:rPr>
                <w:sz w:val="24"/>
                <w:szCs w:val="24"/>
              </w:rPr>
              <w:t xml:space="preserve"> </w:t>
            </w:r>
            <w:r w:rsidR="00354B6D">
              <w:rPr>
                <w:sz w:val="24"/>
                <w:szCs w:val="24"/>
              </w:rPr>
              <w:t>demonstrate your understanding of</w:t>
            </w:r>
            <w:r w:rsidR="00F34C86">
              <w:rPr>
                <w:sz w:val="24"/>
                <w:szCs w:val="24"/>
              </w:rPr>
              <w:t xml:space="preserve"> </w:t>
            </w:r>
            <w:r w:rsidR="00411EF7">
              <w:rPr>
                <w:sz w:val="24"/>
                <w:szCs w:val="24"/>
              </w:rPr>
              <w:t xml:space="preserve">the </w:t>
            </w:r>
            <w:r w:rsidR="00216563">
              <w:rPr>
                <w:sz w:val="24"/>
                <w:szCs w:val="24"/>
              </w:rPr>
              <w:t xml:space="preserve">integration of </w:t>
            </w:r>
            <w:r w:rsidR="6A854C79">
              <w:rPr>
                <w:sz w:val="24"/>
                <w:szCs w:val="24"/>
              </w:rPr>
              <w:t>analysis in asses</w:t>
            </w:r>
            <w:r w:rsidR="0F77E214">
              <w:rPr>
                <w:sz w:val="24"/>
                <w:szCs w:val="24"/>
              </w:rPr>
              <w:t>sment, collabo</w:t>
            </w:r>
            <w:r w:rsidR="6A854C79">
              <w:rPr>
                <w:sz w:val="24"/>
                <w:szCs w:val="24"/>
              </w:rPr>
              <w:t>rative work</w:t>
            </w:r>
            <w:r w:rsidR="0F77E214">
              <w:rPr>
                <w:sz w:val="24"/>
                <w:szCs w:val="24"/>
              </w:rPr>
              <w:t>ing</w:t>
            </w:r>
            <w:r w:rsidR="6A854C79">
              <w:rPr>
                <w:sz w:val="24"/>
                <w:szCs w:val="24"/>
              </w:rPr>
              <w:t xml:space="preserve"> a</w:t>
            </w:r>
            <w:r w:rsidR="0F77E214">
              <w:rPr>
                <w:sz w:val="24"/>
                <w:szCs w:val="24"/>
              </w:rPr>
              <w:t xml:space="preserve">nd </w:t>
            </w:r>
            <w:r w:rsidR="6A854C79">
              <w:rPr>
                <w:sz w:val="24"/>
                <w:szCs w:val="24"/>
              </w:rPr>
              <w:t>professional</w:t>
            </w:r>
            <w:r w:rsidR="00F34C86">
              <w:rPr>
                <w:sz w:val="24"/>
                <w:szCs w:val="24"/>
              </w:rPr>
              <w:t xml:space="preserve"> </w:t>
            </w:r>
            <w:r w:rsidR="00216563">
              <w:rPr>
                <w:sz w:val="24"/>
                <w:szCs w:val="24"/>
              </w:rPr>
              <w:t>judgements</w:t>
            </w:r>
            <w:r w:rsidR="0F77E214">
              <w:rPr>
                <w:sz w:val="24"/>
                <w:szCs w:val="24"/>
              </w:rPr>
              <w:t xml:space="preserve"> in increasingly complex situations </w:t>
            </w:r>
            <w:r w:rsidR="00E5498A" w:rsidRPr="007374EF">
              <w:rPr>
                <w:sz w:val="24"/>
                <w:szCs w:val="24"/>
              </w:rPr>
              <w:t>and</w:t>
            </w:r>
            <w:r w:rsidR="1D6670C0" w:rsidRPr="007374EF">
              <w:rPr>
                <w:sz w:val="24"/>
                <w:szCs w:val="24"/>
              </w:rPr>
              <w:t xml:space="preserve"> </w:t>
            </w:r>
            <w:r w:rsidR="39C47EB7" w:rsidRPr="007374EF">
              <w:rPr>
                <w:sz w:val="24"/>
                <w:szCs w:val="24"/>
              </w:rPr>
              <w:t>the</w:t>
            </w:r>
            <w:r w:rsidR="25F327FB" w:rsidRPr="007374EF">
              <w:rPr>
                <w:sz w:val="24"/>
                <w:szCs w:val="24"/>
              </w:rPr>
              <w:t xml:space="preserve"> </w:t>
            </w:r>
            <w:r w:rsidR="00F34C86">
              <w:rPr>
                <w:sz w:val="24"/>
                <w:szCs w:val="24"/>
              </w:rPr>
              <w:t>use of social work theories</w:t>
            </w:r>
            <w:r w:rsidR="756EEE2D">
              <w:rPr>
                <w:sz w:val="24"/>
                <w:szCs w:val="24"/>
              </w:rPr>
              <w:t>.</w:t>
            </w:r>
            <w:r w:rsidR="00216563">
              <w:rPr>
                <w:sz w:val="24"/>
                <w:szCs w:val="24"/>
              </w:rPr>
              <w:t xml:space="preserve"> </w:t>
            </w:r>
            <w:r w:rsidR="756EEE2D">
              <w:rPr>
                <w:sz w:val="24"/>
                <w:szCs w:val="24"/>
              </w:rPr>
              <w:t>You</w:t>
            </w:r>
            <w:r w:rsidR="00216563">
              <w:rPr>
                <w:sz w:val="24"/>
                <w:szCs w:val="24"/>
              </w:rPr>
              <w:t xml:space="preserve"> </w:t>
            </w:r>
            <w:r w:rsidR="00E5498A" w:rsidRPr="00FC0334">
              <w:rPr>
                <w:sz w:val="24"/>
                <w:szCs w:val="24"/>
              </w:rPr>
              <w:t>must</w:t>
            </w:r>
            <w:r w:rsidR="00E5498A">
              <w:rPr>
                <w:sz w:val="24"/>
                <w:szCs w:val="24"/>
              </w:rPr>
              <w:t xml:space="preserve"> </w:t>
            </w:r>
            <w:r w:rsidR="00F030D4">
              <w:rPr>
                <w:sz w:val="24"/>
                <w:szCs w:val="24"/>
              </w:rPr>
              <w:t>refer to</w:t>
            </w:r>
            <w:r w:rsidR="00216563">
              <w:rPr>
                <w:sz w:val="24"/>
                <w:szCs w:val="24"/>
              </w:rPr>
              <w:t xml:space="preserve"> </w:t>
            </w:r>
            <w:r w:rsidR="00F34C86">
              <w:rPr>
                <w:sz w:val="24"/>
                <w:szCs w:val="24"/>
              </w:rPr>
              <w:t>the specific dimensions of working in Wales</w:t>
            </w:r>
            <w:r w:rsidR="00411EF7">
              <w:rPr>
                <w:sz w:val="24"/>
                <w:szCs w:val="24"/>
              </w:rPr>
              <w:t xml:space="preserve">. </w:t>
            </w:r>
          </w:p>
          <w:p w14:paraId="2F8A7CA5" w14:textId="6EDC9DFB" w:rsidR="008D5999" w:rsidRDefault="008D5999" w:rsidP="00064063">
            <w:pPr>
              <w:jc w:val="both"/>
              <w:rPr>
                <w:sz w:val="24"/>
                <w:szCs w:val="24"/>
              </w:rPr>
            </w:pPr>
          </w:p>
          <w:p w14:paraId="20A5906F" w14:textId="77777777" w:rsidR="008D5999" w:rsidRDefault="008D5999" w:rsidP="00064063">
            <w:pPr>
              <w:jc w:val="both"/>
              <w:rPr>
                <w:sz w:val="24"/>
                <w:szCs w:val="24"/>
              </w:rPr>
            </w:pPr>
          </w:p>
          <w:p w14:paraId="51AF4546" w14:textId="476CB9AF" w:rsidR="00D3203C" w:rsidRDefault="00045C40" w:rsidP="00FF7EBB">
            <w:pPr>
              <w:pBdr>
                <w:bottom w:val="single" w:sz="12" w:space="1" w:color="auto"/>
              </w:pBdr>
              <w:jc w:val="both"/>
              <w:rPr>
                <w:i/>
                <w:sz w:val="24"/>
                <w:szCs w:val="24"/>
              </w:rPr>
            </w:pPr>
            <w:r>
              <w:rPr>
                <w:i/>
                <w:sz w:val="24"/>
                <w:szCs w:val="24"/>
              </w:rPr>
              <w:t xml:space="preserve">4000 </w:t>
            </w:r>
            <w:r w:rsidR="008B28E7" w:rsidRPr="008B28E7">
              <w:rPr>
                <w:i/>
                <w:sz w:val="24"/>
                <w:szCs w:val="24"/>
              </w:rPr>
              <w:t>words</w:t>
            </w:r>
            <w:r w:rsidR="008B28E7" w:rsidRPr="008B28E7">
              <w:rPr>
                <w:sz w:val="24"/>
                <w:szCs w:val="24"/>
              </w:rPr>
              <w:t xml:space="preserve"> </w:t>
            </w:r>
            <w:r w:rsidR="008B28E7" w:rsidRPr="008B28E7">
              <w:rPr>
                <w:i/>
                <w:sz w:val="24"/>
                <w:szCs w:val="24"/>
              </w:rPr>
              <w:t>(+/- 10%: include your actual word count at the end of each section)</w:t>
            </w:r>
            <w:r w:rsidR="007A628F">
              <w:rPr>
                <w:i/>
                <w:sz w:val="24"/>
                <w:szCs w:val="24"/>
              </w:rPr>
              <w:t>.</w:t>
            </w:r>
          </w:p>
          <w:p w14:paraId="352257E5" w14:textId="77777777" w:rsidR="00620699" w:rsidRDefault="00620699" w:rsidP="00FF7EBB">
            <w:pPr>
              <w:pBdr>
                <w:bottom w:val="single" w:sz="12" w:space="1" w:color="auto"/>
              </w:pBdr>
              <w:jc w:val="both"/>
              <w:rPr>
                <w:i/>
                <w:sz w:val="24"/>
                <w:szCs w:val="24"/>
              </w:rPr>
            </w:pPr>
          </w:p>
          <w:p w14:paraId="7248A31D" w14:textId="77777777" w:rsidR="005E16C7" w:rsidRDefault="005E16C7" w:rsidP="00FF7EBB">
            <w:pPr>
              <w:jc w:val="both"/>
              <w:rPr>
                <w:i/>
                <w:sz w:val="24"/>
                <w:szCs w:val="24"/>
              </w:rPr>
            </w:pPr>
          </w:p>
          <w:p w14:paraId="48EBE68F" w14:textId="77777777" w:rsidR="00F60929" w:rsidRPr="0047170A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b/>
                <w:bCs/>
                <w:color w:val="auto"/>
                <w:kern w:val="2"/>
                <w:sz w:val="24"/>
                <w:szCs w:val="24"/>
                <w:u w:val="single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b/>
                <w:bCs/>
                <w:color w:val="auto"/>
                <w:kern w:val="2"/>
                <w:sz w:val="24"/>
                <w:szCs w:val="24"/>
                <w:u w:val="single"/>
                <w:lang w:eastAsia="en-US"/>
                <w14:ligatures w14:val="standardContextual"/>
              </w:rPr>
              <w:t>Introduction &amp; Background</w:t>
            </w:r>
          </w:p>
          <w:p w14:paraId="721225C8" w14:textId="6486BFC6" w:rsidR="002C7B01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I work as a Community Social Worker (</w:t>
            </w:r>
            <w:r w:rsidR="00924812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Adults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) in a Welsh local authority, and this </w:t>
            </w:r>
          </w:p>
          <w:p w14:paraId="66C04191" w14:textId="77777777" w:rsidR="002C7B01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assignment will aim to critically reflect upon a recent case study, concerning the </w:t>
            </w:r>
          </w:p>
          <w:p w14:paraId="37DCE0FE" w14:textId="77777777" w:rsidR="002C7B01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safeguarding of a vulnerable adult. The assignment will focus on demonstrating how the </w:t>
            </w:r>
          </w:p>
          <w:p w14:paraId="178B5E0F" w14:textId="5FC705B3" w:rsidR="002C7B01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case study relates to legislation, policies, strategies</w:t>
            </w:r>
            <w:r w:rsidR="00924812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,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and procedures within the UK and </w:t>
            </w:r>
          </w:p>
          <w:p w14:paraId="29491A30" w14:textId="77777777" w:rsidR="002C7B01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further afield.  In addition, this assignment will demonstrate how I applied professional </w:t>
            </w:r>
          </w:p>
          <w:p w14:paraId="2F93CCC4" w14:textId="77777777" w:rsidR="002C7B01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analysis and judgment in my assessments, concerning a complex case study, coupled with </w:t>
            </w:r>
          </w:p>
          <w:p w14:paraId="28630599" w14:textId="747E6273" w:rsidR="00F60929" w:rsidRPr="0047170A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reference to examples of collaborative working and references to social work theories. </w:t>
            </w:r>
          </w:p>
          <w:p w14:paraId="6751FD65" w14:textId="57E66890" w:rsidR="002C7B01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The statutory framework for </w:t>
            </w:r>
            <w:r w:rsidR="006A2FC0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adult 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safeguarding cases in Wales is detailed in the Social </w:t>
            </w:r>
          </w:p>
          <w:p w14:paraId="08B6833C" w14:textId="77777777" w:rsidR="002C7B01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Services and Well Being Act (2014)</w:t>
            </w:r>
            <w:r w:rsidR="009632B4"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with reference to the </w:t>
            </w:r>
            <w:r w:rsidR="009632B4" w:rsidRPr="0047170A">
              <w:rPr>
                <w:sz w:val="24"/>
                <w:szCs w:val="24"/>
              </w:rPr>
              <w:t>Human Rights Act (1998)</w:t>
            </w:r>
            <w:r w:rsidR="009632B4"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and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</w:t>
            </w:r>
          </w:p>
          <w:p w14:paraId="7B8D8AC1" w14:textId="77777777" w:rsidR="002C7B01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establishes safeguarding measures for statutory services via s126 enquiries, in relation to</w:t>
            </w:r>
          </w:p>
          <w:p w14:paraId="2B30B639" w14:textId="77777777" w:rsidR="002C7B01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the welfare of vulnerable individuals, at risk, whilst also </w:t>
            </w:r>
            <w:r w:rsidR="006A2FC0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advocating for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the rights</w:t>
            </w:r>
            <w:r w:rsidR="006A2FC0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, wishes </w:t>
            </w:r>
          </w:p>
          <w:p w14:paraId="4706038F" w14:textId="42182A22" w:rsidR="002C7B01" w:rsidRDefault="006A2FC0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lastRenderedPageBreak/>
              <w:t xml:space="preserve">and feelings </w:t>
            </w:r>
            <w:r w:rsidR="00F60929"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of these same individuals</w:t>
            </w:r>
            <w:r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, in a </w:t>
            </w:r>
            <w:r w:rsidR="002C443D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self-empowering</w:t>
            </w:r>
            <w:r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manner</w:t>
            </w:r>
            <w:r w:rsidR="00F60929"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. Safeguarding case</w:t>
            </w:r>
          </w:p>
          <w:p w14:paraId="7D1E284D" w14:textId="77777777" w:rsidR="002C7B01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studies often </w:t>
            </w:r>
            <w:r w:rsidR="009632B4"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involve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complex ethical considerations and </w:t>
            </w:r>
            <w:r w:rsidR="00E9106A"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real-life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practical measures, and </w:t>
            </w:r>
          </w:p>
          <w:p w14:paraId="719AA40D" w14:textId="77777777" w:rsidR="002C7B01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social work practitioners are required to be as </w:t>
            </w:r>
            <w:r w:rsidR="00E9106A"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equipped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as possible, with the most </w:t>
            </w:r>
          </w:p>
          <w:p w14:paraId="60EF2515" w14:textId="77777777" w:rsidR="002C7B01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appropriate knowledge and skills, in order to be able to manage </w:t>
            </w:r>
            <w:r w:rsidR="006A2FC0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more 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complex safeguarding</w:t>
            </w:r>
          </w:p>
          <w:p w14:paraId="4F6D22B4" w14:textId="54948640" w:rsidR="00F60929" w:rsidRPr="0047170A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cases (Owens, R. et al., 2023 &amp; Philips, C., 2016). </w:t>
            </w:r>
          </w:p>
          <w:p w14:paraId="5DDECDD9" w14:textId="77777777" w:rsidR="002C7B01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In addition, and with a particular focus upon Wales, social work practitioners must also </w:t>
            </w:r>
          </w:p>
          <w:p w14:paraId="5BAF89B7" w14:textId="77777777" w:rsidR="002C7B01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i/>
                <w:iCs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understand the cultural and language differences that exist within Wales. </w:t>
            </w:r>
            <w:r w:rsidR="006A2FC0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e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.g. the “</w:t>
            </w:r>
            <w:r w:rsidRPr="0047170A">
              <w:rPr>
                <w:rFonts w:eastAsia="Aptos"/>
                <w:i/>
                <w:iCs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Active </w:t>
            </w:r>
          </w:p>
          <w:p w14:paraId="3FEDB0C3" w14:textId="77777777" w:rsidR="002C7B01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i/>
                <w:iCs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Welsh Language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” is central to </w:t>
            </w:r>
            <w:r w:rsidR="006A2FC0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social care 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work (</w:t>
            </w:r>
            <w:r w:rsidRPr="0047170A">
              <w:rPr>
                <w:rFonts w:eastAsia="Aptos"/>
                <w:i/>
                <w:iCs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Welsh Language Measure, 2011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) and </w:t>
            </w:r>
          </w:p>
          <w:p w14:paraId="3448E348" w14:textId="77777777" w:rsidR="002C7B01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follows the guidance as </w:t>
            </w:r>
            <w:r w:rsidR="006A2FC0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prescribed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in the “</w:t>
            </w:r>
            <w:r w:rsidRPr="0047170A">
              <w:rPr>
                <w:rFonts w:eastAsia="Aptos"/>
                <w:i/>
                <w:iCs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Safeguarding Wales Procedures”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(2019). This </w:t>
            </w:r>
          </w:p>
          <w:p w14:paraId="2CBB921B" w14:textId="77777777" w:rsidR="002C7B01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offer provides services in a client’s preferred language, i.e. in English or in Welsh, and is key</w:t>
            </w:r>
          </w:p>
          <w:p w14:paraId="2D55E919" w14:textId="77777777" w:rsidR="004C6253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when social work practitioners work with clients in their preferred language, as </w:t>
            </w:r>
            <w:r w:rsidR="004C6253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highlighted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in </w:t>
            </w:r>
          </w:p>
          <w:p w14:paraId="6CE6FA02" w14:textId="27561AFB" w:rsidR="004C6253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the Social Services and Well Being Act (2014). I am able to offer this</w:t>
            </w:r>
            <w:r w:rsidR="004C6253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service proactively</w:t>
            </w:r>
            <w:r w:rsidR="004C6253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as I </w:t>
            </w:r>
          </w:p>
          <w:p w14:paraId="716BB5B9" w14:textId="1EEC5E36" w:rsidR="004C6253" w:rsidRDefault="004C6253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speak Welsh fluently</w:t>
            </w:r>
            <w:r w:rsidR="00F60929"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, and I value the research </w:t>
            </w:r>
            <w:r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that</w:t>
            </w:r>
            <w:r w:rsidR="00F60929"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underpins this offer, which aims to </w:t>
            </w:r>
          </w:p>
          <w:p w14:paraId="7920A584" w14:textId="4C3E4D69" w:rsidR="00F60929" w:rsidRPr="0047170A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uphold the voice of the individual.</w:t>
            </w:r>
          </w:p>
          <w:p w14:paraId="32FE0044" w14:textId="77777777" w:rsidR="00D44058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The case study in this assignment involves an elderly client (84 yrs), who will be referred to </w:t>
            </w:r>
          </w:p>
          <w:p w14:paraId="697F154D" w14:textId="77777777" w:rsidR="00D44058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as client 1 in this assignment, who suffers from advanced vascular dementia and a bipolar </w:t>
            </w:r>
          </w:p>
          <w:p w14:paraId="66C2B18C" w14:textId="77777777" w:rsidR="00D44058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diagnosis, and has been under the auspices and support</w:t>
            </w:r>
            <w:r w:rsidR="006A2FC0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of the local Older People’s Mental </w:t>
            </w:r>
          </w:p>
          <w:p w14:paraId="7A4D9556" w14:textId="77777777" w:rsidR="00D44058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Health Services (OPMHS) for over three years. The OPMHS team has been supporting the</w:t>
            </w:r>
          </w:p>
          <w:p w14:paraId="44F431A5" w14:textId="77777777" w:rsidR="00D44058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client with their “</w:t>
            </w:r>
            <w:r w:rsidRPr="006A2FC0">
              <w:rPr>
                <w:rFonts w:eastAsia="Aptos"/>
                <w:i/>
                <w:iCs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Stay &amp; Safe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” service during this period of time, where some carer support </w:t>
            </w:r>
          </w:p>
          <w:p w14:paraId="076240A2" w14:textId="77777777" w:rsidR="00D44058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has been undertaken, and in relation to regular monitoring around client 1’s regular </w:t>
            </w:r>
          </w:p>
          <w:p w14:paraId="09A3DEB8" w14:textId="77777777" w:rsidR="00D44058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prescribed medication, with reference to Client 1’s vascular dementia and </w:t>
            </w:r>
            <w:proofErr w:type="gramStart"/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bi polar</w:t>
            </w:r>
            <w:proofErr w:type="gramEnd"/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diagnosis. </w:t>
            </w:r>
          </w:p>
          <w:p w14:paraId="203B0825" w14:textId="77777777" w:rsidR="00D44058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In addition, the option of admission to an older people’s mental health ward has also been</w:t>
            </w:r>
          </w:p>
          <w:p w14:paraId="06255EEB" w14:textId="77777777" w:rsidR="00D44058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discussed and remains an option. The client, a devout Christian, lives with his married </w:t>
            </w:r>
          </w:p>
          <w:p w14:paraId="262A8E31" w14:textId="77777777" w:rsidR="00D44058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partner and his adult aged son, support client 1 as best as possible, and they live in an </w:t>
            </w:r>
          </w:p>
          <w:p w14:paraId="43CFFDF5" w14:textId="77777777" w:rsidR="00D44058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urban town setting, in a privately owned home, within walking distance to the local town </w:t>
            </w:r>
          </w:p>
          <w:p w14:paraId="68CD0C4F" w14:textId="77777777" w:rsidR="00D44058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centre. There is no Lasting Power of Attorney for health and finances in place. A social work </w:t>
            </w:r>
          </w:p>
          <w:p w14:paraId="3E2A83C0" w14:textId="77777777" w:rsidR="00D44058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lastRenderedPageBreak/>
              <w:t xml:space="preserve">assessment referral was made via the OPMHS team and completed in English (Client 1’s </w:t>
            </w:r>
          </w:p>
          <w:p w14:paraId="15FF9003" w14:textId="77777777" w:rsidR="00D44058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language of choice), in order to ascertain if </w:t>
            </w:r>
            <w:r w:rsidR="006A2FC0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the client would be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eligible </w:t>
            </w:r>
            <w:r w:rsidR="006A2FC0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for carer support from</w:t>
            </w:r>
          </w:p>
          <w:p w14:paraId="48BB9304" w14:textId="77777777" w:rsidR="00D44058" w:rsidRDefault="006A2FC0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the local authority, </w:t>
            </w:r>
            <w:r w:rsidR="00F60929"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and if the client and his family felt that they required additional support </w:t>
            </w:r>
          </w:p>
          <w:p w14:paraId="2B8D1E7E" w14:textId="08448C00" w:rsidR="00F60929" w:rsidRPr="0047170A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from the local authority.</w:t>
            </w:r>
          </w:p>
          <w:p w14:paraId="5FD797DF" w14:textId="77777777" w:rsidR="00F60929" w:rsidRPr="0047170A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</w:p>
          <w:p w14:paraId="6CEA2684" w14:textId="77777777" w:rsidR="00F60929" w:rsidRPr="0047170A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b/>
                <w:bCs/>
                <w:color w:val="auto"/>
                <w:kern w:val="2"/>
                <w:sz w:val="24"/>
                <w:szCs w:val="24"/>
                <w:u w:val="single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b/>
                <w:bCs/>
                <w:color w:val="auto"/>
                <w:kern w:val="2"/>
                <w:sz w:val="24"/>
                <w:szCs w:val="24"/>
                <w:u w:val="single"/>
                <w:lang w:eastAsia="en-US"/>
                <w14:ligatures w14:val="standardContextual"/>
              </w:rPr>
              <w:t>Overview of Steps Completed &amp; Collaborative Working</w:t>
            </w:r>
          </w:p>
          <w:p w14:paraId="328A50FB" w14:textId="77777777" w:rsidR="00D44058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The wider academic literature has previously noted that vulnerable adults who have a </w:t>
            </w:r>
          </w:p>
          <w:p w14:paraId="720CAD02" w14:textId="77777777" w:rsidR="00D44058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diagnosis of psychiatric disorders </w:t>
            </w:r>
            <w:proofErr w:type="gramStart"/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have</w:t>
            </w:r>
            <w:proofErr w:type="gramEnd"/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a greater risk of developing a form of dementia in </w:t>
            </w:r>
          </w:p>
          <w:p w14:paraId="63056CB0" w14:textId="77777777" w:rsidR="00D44058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later life as well. Stevenson-Hoare, J., et al</w:t>
            </w:r>
            <w:r w:rsidR="00BF25A9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(2024), state that data in the wider academic </w:t>
            </w:r>
          </w:p>
          <w:p w14:paraId="232273D3" w14:textId="6AA36722" w:rsidR="00D44058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literature notes that the most common psychiatric disorder that often leads to a diagnosis of</w:t>
            </w:r>
          </w:p>
          <w:p w14:paraId="61420D89" w14:textId="49B79424" w:rsidR="00D44058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dementia </w:t>
            </w:r>
            <w:r w:rsidR="00924812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are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depression and schizophrenia. In addition, Stevenson-Hoare, J., et al (2024) </w:t>
            </w:r>
          </w:p>
          <w:p w14:paraId="426F72AF" w14:textId="25E39F8B" w:rsidR="00D44058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also mention that bipolar disorder can also lead to an increased risk of receiving a </w:t>
            </w:r>
          </w:p>
          <w:p w14:paraId="4249EE82" w14:textId="607B9C2F" w:rsidR="00D44058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diagnosis of dementia in later life but such occurrences are considered to be less </w:t>
            </w:r>
          </w:p>
          <w:p w14:paraId="7761837F" w14:textId="77777777" w:rsidR="00D44058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common compared to having a comorbid diagnosis of depression and/or schizophrenia with </w:t>
            </w:r>
          </w:p>
          <w:p w14:paraId="19695355" w14:textId="294FD9C1" w:rsidR="00F60929" w:rsidRPr="0047170A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dementia. </w:t>
            </w:r>
          </w:p>
          <w:p w14:paraId="2CD1E2C0" w14:textId="77777777" w:rsidR="00D44058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The wider academic literature in relation to the impact of a diagnosis of dementia and </w:t>
            </w:r>
          </w:p>
          <w:p w14:paraId="316C6B44" w14:textId="77777777" w:rsidR="00924812" w:rsidRDefault="00E9106A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bipolar</w:t>
            </w:r>
            <w:r w:rsidR="00F60929"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</w:t>
            </w:r>
            <w:r w:rsidR="00924812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disorder </w:t>
            </w:r>
            <w:r w:rsidR="00F60929"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amongst the elderly population, also states that such a diagnosis can have</w:t>
            </w:r>
          </w:p>
          <w:p w14:paraId="2093A14D" w14:textId="3D77A11B" w:rsidR="00D44058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a significant impact upon an </w:t>
            </w:r>
            <w:r w:rsidR="00E9106A"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individual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and their </w:t>
            </w:r>
            <w:proofErr w:type="spellStart"/>
            <w:r w:rsidR="00BF25A9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carers</w:t>
            </w:r>
            <w:proofErr w:type="spellEnd"/>
            <w:r w:rsidR="00BF25A9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, and 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the number of individuals </w:t>
            </w:r>
          </w:p>
          <w:p w14:paraId="41E52438" w14:textId="5C64DF88" w:rsidR="00D44058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receiving such a </w:t>
            </w:r>
            <w:r w:rsidR="00924812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co-morbidity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diagnosis continues to rise around the world (Rafael del </w:t>
            </w:r>
          </w:p>
          <w:p w14:paraId="5C4634B6" w14:textId="77777777" w:rsidR="00D44058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Casado, P et al.  2021). Moreover, increasing attention is being afforded to the connection</w:t>
            </w:r>
          </w:p>
          <w:p w14:paraId="73BB784B" w14:textId="77777777" w:rsidR="00924812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between </w:t>
            </w:r>
            <w:r w:rsidR="00924812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co-morbid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diagnoses, such as dementia and </w:t>
            </w:r>
            <w:r w:rsidR="00E9106A"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bipolar</w:t>
            </w:r>
            <w:r w:rsidR="00924812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disorder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, with particular </w:t>
            </w:r>
          </w:p>
          <w:p w14:paraId="51E6A96C" w14:textId="77777777" w:rsidR="00924812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reference to the elderly population. As mentioned above, increasing focus is now being </w:t>
            </w:r>
          </w:p>
          <w:p w14:paraId="768F0104" w14:textId="77777777" w:rsidR="00924812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given as to how the elderly with a complex co-morbidity diagnosis, such as vascular </w:t>
            </w:r>
          </w:p>
          <w:p w14:paraId="5B89AB85" w14:textId="472F4193" w:rsidR="00924812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dementia and </w:t>
            </w:r>
            <w:r w:rsidR="00E9106A"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bipolar</w:t>
            </w:r>
            <w:r w:rsidR="00924812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disorder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can be better supported in the community </w:t>
            </w:r>
            <w:r w:rsidR="00924812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for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their care needs </w:t>
            </w:r>
          </w:p>
          <w:p w14:paraId="6D65FFA7" w14:textId="77777777" w:rsidR="00924812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212121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to be better met, without </w:t>
            </w:r>
            <w:r w:rsidR="00BF25A9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necessarily 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having to consider a long-term care placement (</w:t>
            </w:r>
            <w:r w:rsidRPr="0047170A">
              <w:rPr>
                <w:rFonts w:eastAsia="Aptos"/>
                <w:color w:val="212121"/>
                <w:kern w:val="2"/>
                <w:sz w:val="24"/>
                <w:szCs w:val="24"/>
                <w:lang w:eastAsia="en-US"/>
                <w14:ligatures w14:val="standardContextual"/>
              </w:rPr>
              <w:t>Munoz-</w:t>
            </w:r>
          </w:p>
          <w:p w14:paraId="617C0EB3" w14:textId="4B85F71D" w:rsidR="00F60929" w:rsidRPr="0047170A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212121"/>
                <w:kern w:val="2"/>
                <w:sz w:val="24"/>
                <w:szCs w:val="24"/>
                <w:lang w:eastAsia="en-US"/>
                <w14:ligatures w14:val="standardContextual"/>
              </w:rPr>
              <w:t>Cruz, J.C.</w:t>
            </w:r>
            <w:r w:rsidR="00924812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</w:t>
            </w:r>
            <w:r w:rsidRPr="0047170A">
              <w:rPr>
                <w:rFonts w:eastAsia="Aptos"/>
                <w:color w:val="212121"/>
                <w:kern w:val="2"/>
                <w:sz w:val="24"/>
                <w:szCs w:val="24"/>
                <w:lang w:eastAsia="en-US"/>
                <w14:ligatures w14:val="standardContextual"/>
              </w:rPr>
              <w:t>et al., 2024).</w:t>
            </w:r>
          </w:p>
          <w:p w14:paraId="5D570453" w14:textId="77777777" w:rsidR="00D44058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lastRenderedPageBreak/>
              <w:t xml:space="preserve">As part of my role as the allocated social worker with client 1, I contacted client 1’s married </w:t>
            </w:r>
          </w:p>
          <w:p w14:paraId="371CCF58" w14:textId="599E1BAB" w:rsidR="00D44058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partner and </w:t>
            </w:r>
            <w:r w:rsidR="00924812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adult-aged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son and arranged for a social work assessment to be completed at </w:t>
            </w:r>
          </w:p>
          <w:p w14:paraId="4A57BAAB" w14:textId="77777777" w:rsidR="00D44058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client 1’s home. When the referral was made to adult social services, the case was </w:t>
            </w:r>
            <w:r w:rsidR="00BF25A9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already </w:t>
            </w:r>
          </w:p>
          <w:p w14:paraId="707F0005" w14:textId="674B2F05" w:rsidR="00F60929" w:rsidRPr="0047170A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subject to safeguarding oversight</w:t>
            </w:r>
            <w:r w:rsidR="00BF25A9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.</w:t>
            </w:r>
          </w:p>
          <w:p w14:paraId="15EA7E56" w14:textId="77777777" w:rsidR="00D44058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According to the Welsh Government, nearly 60, 180 adults in Wales were receiving care and</w:t>
            </w:r>
          </w:p>
          <w:p w14:paraId="18DD2DDC" w14:textId="77777777" w:rsidR="00D44058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support from social services between 2023-2024, with approximately 1, 931 of these </w:t>
            </w:r>
            <w:r w:rsidR="00BF25A9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adults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</w:t>
            </w:r>
          </w:p>
          <w:p w14:paraId="261BC18A" w14:textId="77777777" w:rsidR="00D44058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subject to safeguarding enquiries via the s126 process of the Social Services and Well </w:t>
            </w:r>
          </w:p>
          <w:p w14:paraId="531FF646" w14:textId="059C4EFC" w:rsidR="00D44058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Being Act (2014). In addition, it </w:t>
            </w:r>
            <w:r w:rsidR="00C8319E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notes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that </w:t>
            </w:r>
            <w:r w:rsidR="00924812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two-thirds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of the s126 enquiries involved adults </w:t>
            </w:r>
          </w:p>
          <w:p w14:paraId="3ABCDAF5" w14:textId="11DC7FD0" w:rsidR="00F60929" w:rsidRPr="0047170A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over 65 yrs (Welsh Government Statistics, 2025). </w:t>
            </w:r>
          </w:p>
          <w:p w14:paraId="29EBDC9F" w14:textId="77777777" w:rsidR="00924812" w:rsidRDefault="00F60929" w:rsidP="00924812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The social work assessment which I undertook had a </w:t>
            </w:r>
            <w:r w:rsidR="00E9106A"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person-centred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focus, with a </w:t>
            </w:r>
            <w:r w:rsidR="00924812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strength-</w:t>
            </w:r>
          </w:p>
          <w:p w14:paraId="03E3E9EF" w14:textId="67A11692" w:rsidR="00D44058" w:rsidRDefault="00924812" w:rsidP="00924812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based</w:t>
            </w:r>
            <w:r w:rsidR="00F60929"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and </w:t>
            </w:r>
            <w:r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outcome-focused</w:t>
            </w:r>
            <w:r w:rsidR="00F60929"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approach (Murphy, D., 2012). During the completion of the</w:t>
            </w:r>
          </w:p>
          <w:p w14:paraId="571382F9" w14:textId="77777777" w:rsidR="00D44058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assessment, it was apparent that Client 1 found it challenging to follow the conversation </w:t>
            </w:r>
          </w:p>
          <w:p w14:paraId="31658E75" w14:textId="77777777" w:rsidR="00D44058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and it was decided that another mental capacity assessment would be required, as part of </w:t>
            </w:r>
          </w:p>
          <w:p w14:paraId="282608FA" w14:textId="77777777" w:rsidR="00D44058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the assessment. The mental capacity assessment was completed with the client, and his </w:t>
            </w:r>
          </w:p>
          <w:p w14:paraId="02122B1C" w14:textId="77777777" w:rsidR="00D44058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adult aged son and married partner in attendance, in order to support the client. Additionally,</w:t>
            </w:r>
          </w:p>
          <w:p w14:paraId="129CD6B9" w14:textId="587B83B8" w:rsidR="00D44058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the assessment took place during the morning as Client 1’s family had reported that the </w:t>
            </w:r>
          </w:p>
          <w:p w14:paraId="097EF312" w14:textId="77777777" w:rsidR="00D44058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client was more alert during the late morning period. The Mental Capacity Act Code of </w:t>
            </w:r>
          </w:p>
          <w:p w14:paraId="32D7AFE5" w14:textId="77777777" w:rsidR="00D44058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Practice (2013) states </w:t>
            </w:r>
            <w:r w:rsidR="00BF25A9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that reasonable and 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all appropriate steps need to be taken when </w:t>
            </w:r>
          </w:p>
          <w:p w14:paraId="32C23A3A" w14:textId="62DC10B6" w:rsidR="00D44058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completing a mental capacity assessment, </w:t>
            </w:r>
            <w:r w:rsidR="00924812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to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ensure that the client has the best </w:t>
            </w:r>
          </w:p>
          <w:p w14:paraId="29BC4939" w14:textId="77777777" w:rsidR="00D44058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possible opportunity to demonstrate their capacity, on a</w:t>
            </w:r>
            <w:r w:rsidR="00BF25A9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ny one 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specific decision. The </w:t>
            </w:r>
          </w:p>
          <w:p w14:paraId="134E2CB4" w14:textId="77777777" w:rsidR="00924812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outcome of the mental capacity assessment concluded that the client did not hold mental</w:t>
            </w:r>
            <w:r w:rsidR="00924812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</w:t>
            </w:r>
          </w:p>
          <w:p w14:paraId="40FA805E" w14:textId="7D85DBCC" w:rsidR="00D44058" w:rsidRDefault="00924812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capacity</w:t>
            </w:r>
            <w:r w:rsidR="00F60929"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, with particular reference to </w:t>
            </w:r>
            <w:r w:rsidR="00BF25A9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c</w:t>
            </w:r>
            <w:r w:rsidR="00F60929"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lient 1’s care needs, principally due to the client not </w:t>
            </w:r>
          </w:p>
          <w:p w14:paraId="67BE18ED" w14:textId="59019CB7" w:rsidR="00D44058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being able to understand and retain the information given to him for long enough </w:t>
            </w:r>
            <w:r w:rsidR="00D44058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to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</w:t>
            </w:r>
          </w:p>
          <w:p w14:paraId="2F50FFF5" w14:textId="3915B827" w:rsidR="00D44058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proofErr w:type="gramStart"/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make a decision</w:t>
            </w:r>
            <w:proofErr w:type="gramEnd"/>
            <w:r w:rsidR="002076B1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, 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and due to the client not being able to weigh risks to himself and to </w:t>
            </w:r>
          </w:p>
          <w:p w14:paraId="55090FC7" w14:textId="4BFFCC64" w:rsidR="00F60929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others.</w:t>
            </w:r>
          </w:p>
          <w:p w14:paraId="60E20352" w14:textId="77777777" w:rsidR="00D44058" w:rsidRPr="0047170A" w:rsidRDefault="00D44058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</w:p>
          <w:p w14:paraId="06DD8B85" w14:textId="77777777" w:rsidR="00D44058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lastRenderedPageBreak/>
              <w:t xml:space="preserve">Moreover, the outcome of the assessment considered that the client was eligible for care </w:t>
            </w:r>
          </w:p>
          <w:p w14:paraId="79541CB2" w14:textId="77777777" w:rsidR="00D44058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needs support from the local authority, including respite and 24/7 care support, if required </w:t>
            </w:r>
          </w:p>
          <w:p w14:paraId="1AC19AD0" w14:textId="77777777" w:rsidR="00D44058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and agreed. However, following the completion of a best interest meeting as prescribed by </w:t>
            </w:r>
          </w:p>
          <w:p w14:paraId="56923E5C" w14:textId="77777777" w:rsidR="00D44058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the Mental Capacity Act (2005) between social services, a representative from the OPMHS</w:t>
            </w:r>
          </w:p>
          <w:p w14:paraId="1D2C82E2" w14:textId="77777777" w:rsidR="00D44058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and Client’s 1’s family, it was agreed that the care needs support being offered by OPMHS</w:t>
            </w:r>
          </w:p>
          <w:p w14:paraId="26436128" w14:textId="74CDA370" w:rsidR="00D44058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(via </w:t>
            </w:r>
            <w:r w:rsidR="005D2F82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t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heir </w:t>
            </w:r>
            <w:r w:rsidR="005D2F82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“</w:t>
            </w:r>
            <w:r w:rsidRPr="005D2F82">
              <w:rPr>
                <w:rFonts w:eastAsia="Aptos"/>
                <w:i/>
                <w:iCs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Stay &amp; Safe</w:t>
            </w:r>
            <w:r w:rsidR="005D2F82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”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service) and Client 1’s family would be sufficient to meet the client’s</w:t>
            </w:r>
          </w:p>
          <w:p w14:paraId="612F413B" w14:textId="77777777" w:rsidR="00D44058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care needs in a safe and appropriate manner, at </w:t>
            </w:r>
            <w:r w:rsidR="005D2F82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the 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present</w:t>
            </w:r>
            <w:r w:rsidR="005D2F82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time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. In addition, the client’s </w:t>
            </w:r>
          </w:p>
          <w:p w14:paraId="5D8EB6FD" w14:textId="66237987" w:rsidR="00D44058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family </w:t>
            </w:r>
            <w:r w:rsidR="00924812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was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observed to be unwilling to accept support from social</w:t>
            </w:r>
            <w:r w:rsidR="005D2F82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services, as the </w:t>
            </w:r>
          </w:p>
          <w:p w14:paraId="20845999" w14:textId="77777777" w:rsidR="00D44058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Community Psychiatric Nurse (OPMHS) reported that they had experienced difficulties with</w:t>
            </w:r>
          </w:p>
          <w:p w14:paraId="67291C3D" w14:textId="0C869C2D" w:rsidR="00D44058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</w:t>
            </w:r>
            <w:r w:rsidR="005D2F82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adult 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social services in the past</w:t>
            </w:r>
            <w:r w:rsidR="00924812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,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and therefore, wanted to continue with the care being </w:t>
            </w:r>
          </w:p>
          <w:p w14:paraId="74717F7E" w14:textId="77777777" w:rsidR="00D44058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offered by the OPMHS team. Of note, the collaboration with the representative from OPMHS</w:t>
            </w:r>
          </w:p>
          <w:p w14:paraId="2B5FED4F" w14:textId="77777777" w:rsidR="00D44058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was significant, in order to facilitate access and foster a more constructive engagement</w:t>
            </w:r>
          </w:p>
          <w:p w14:paraId="4F4D8A8B" w14:textId="77777777" w:rsidR="00D44058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from the family, around the desired outcomes for Client 1. As Cameron, A. et al (2013) </w:t>
            </w:r>
          </w:p>
          <w:p w14:paraId="6FE479CA" w14:textId="77777777" w:rsidR="00D44058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mention in their literature review of collaborative working between </w:t>
            </w:r>
            <w:r w:rsidR="005D2F82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the 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health and social care</w:t>
            </w:r>
          </w:p>
          <w:p w14:paraId="33616ECB" w14:textId="77777777" w:rsidR="00D44058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sectors, </w:t>
            </w:r>
            <w:r w:rsidR="005D2F82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multidisciplinary 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and integration models of working between health and social care </w:t>
            </w:r>
          </w:p>
          <w:p w14:paraId="3D58E078" w14:textId="77777777" w:rsidR="00D44058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staff, can </w:t>
            </w:r>
            <w:r w:rsidR="005D2F82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lead to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better outcomes for clients. As a result of </w:t>
            </w:r>
            <w:r w:rsidR="005D2F82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the 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collaborative working </w:t>
            </w:r>
          </w:p>
          <w:p w14:paraId="6D98BD37" w14:textId="77777777" w:rsidR="00D44058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between myself and the Community Psychiatric Nurse in particular, whom the family had a</w:t>
            </w:r>
          </w:p>
          <w:p w14:paraId="015757A9" w14:textId="77777777" w:rsidR="00924812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</w:t>
            </w:r>
            <w:r w:rsidR="00E9106A"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long-term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working relationship, a further executive</w:t>
            </w:r>
            <w:r w:rsidR="005D2F82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,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function</w:t>
            </w:r>
            <w:r w:rsidR="005D2F82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al,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</w:t>
            </w:r>
            <w:r w:rsidR="00924812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and 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mental capacity </w:t>
            </w:r>
          </w:p>
          <w:p w14:paraId="0D326AE3" w14:textId="77777777" w:rsidR="00924812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assessment was completed in relation to the heightened risks of </w:t>
            </w:r>
            <w:r w:rsidR="005D2F82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c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lient 1 walking to the local </w:t>
            </w:r>
          </w:p>
          <w:p w14:paraId="18792E24" w14:textId="77777777" w:rsidR="00924812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town centre, during the day, and on his own. Executive function</w:t>
            </w:r>
            <w:r w:rsidR="005D2F82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al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assessments are </w:t>
            </w:r>
          </w:p>
          <w:p w14:paraId="1F8858F6" w14:textId="77777777" w:rsidR="00924812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completed </w:t>
            </w:r>
            <w:r w:rsidR="00924812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to</w:t>
            </w:r>
            <w:r w:rsidR="005D2F82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determine a client’s capacity and abilities, with reference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to their mental skills,</w:t>
            </w:r>
            <w:r w:rsidR="005D2F82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</w:t>
            </w:r>
          </w:p>
          <w:p w14:paraId="6AD89509" w14:textId="77777777" w:rsidR="00924812" w:rsidRDefault="005D2F82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ability to pay</w:t>
            </w:r>
            <w:r w:rsidR="00924812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</w:t>
            </w:r>
            <w:r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and sustain attention, their ability to notice and respond accordingly to the </w:t>
            </w:r>
          </w:p>
          <w:p w14:paraId="02352CC4" w14:textId="77777777" w:rsidR="00924812" w:rsidRDefault="005D2F82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outside environment</w:t>
            </w:r>
            <w:r w:rsidR="00924812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,</w:t>
            </w:r>
            <w:r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and in relation to a client’s capacity to be able to regulate their own </w:t>
            </w:r>
          </w:p>
          <w:p w14:paraId="071AF4A0" w14:textId="77777777" w:rsidR="00924812" w:rsidRDefault="005D2F82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emotions</w:t>
            </w:r>
            <w:r w:rsidR="00F60929"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(McDonald, A., 2010). This additional mental capacity assessment</w:t>
            </w:r>
            <w:r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</w:t>
            </w:r>
            <w:r w:rsidR="00F60929"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entailed myself</w:t>
            </w:r>
          </w:p>
          <w:p w14:paraId="6F3E94F1" w14:textId="77777777" w:rsidR="00924812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and a social work colleague, observing </w:t>
            </w:r>
            <w:r w:rsidR="005D2F82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c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lient 1 walking to and back from his local town </w:t>
            </w:r>
          </w:p>
          <w:p w14:paraId="39714E27" w14:textId="4ACFEDB5" w:rsidR="00924812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centre, </w:t>
            </w:r>
            <w:r w:rsidR="005D2F82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and </w:t>
            </w:r>
            <w:r w:rsidR="00924812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we 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considered that </w:t>
            </w:r>
            <w:r w:rsidR="005D2F82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c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lient 1 held executive function</w:t>
            </w:r>
            <w:r w:rsidR="005D2F82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al capacity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but not mental </w:t>
            </w:r>
          </w:p>
          <w:p w14:paraId="7A0720D1" w14:textId="77777777" w:rsidR="00924812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lastRenderedPageBreak/>
              <w:t xml:space="preserve">capacity around the risks of Client 1 walking </w:t>
            </w:r>
            <w:r w:rsidR="005D2F82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t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o and from his local town centre</w:t>
            </w:r>
            <w:r w:rsidR="005D2F82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, </w:t>
            </w:r>
            <w:r w:rsidR="00924812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on</w:t>
            </w:r>
            <w:r w:rsidR="005D2F82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his own, </w:t>
            </w:r>
          </w:p>
          <w:p w14:paraId="021C5BE4" w14:textId="77777777" w:rsidR="00924812" w:rsidRDefault="005D2F82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and during the day</w:t>
            </w:r>
            <w:r w:rsidR="00F60929"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. Consequently, a risk assessment, which was also discussed in a </w:t>
            </w:r>
            <w:r w:rsidR="00E9106A"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bi</w:t>
            </w:r>
            <w:r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</w:t>
            </w:r>
          </w:p>
          <w:p w14:paraId="6E8543FD" w14:textId="77777777" w:rsidR="00924812" w:rsidRDefault="00E9106A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weekly</w:t>
            </w:r>
            <w:r w:rsidR="00F60929"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adult </w:t>
            </w:r>
            <w:r w:rsidR="005D2F82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s</w:t>
            </w:r>
            <w:r w:rsidR="00F60929"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afeguarding strategy meeting, as part of </w:t>
            </w:r>
            <w:r w:rsidR="005D2F82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t</w:t>
            </w:r>
            <w:r w:rsidR="00F60929"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he social work assessment, was </w:t>
            </w:r>
          </w:p>
          <w:p w14:paraId="2E540AAA" w14:textId="77777777" w:rsidR="00924812" w:rsidRDefault="005D2F82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completed</w:t>
            </w:r>
            <w:r w:rsidR="00924812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,</w:t>
            </w:r>
            <w:r w:rsidR="00F60929"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which detailed the</w:t>
            </w:r>
            <w:r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</w:t>
            </w:r>
            <w:r w:rsidR="00F60929"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strategies </w:t>
            </w:r>
            <w:r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and approaches </w:t>
            </w:r>
            <w:r w:rsidR="00F60929"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that would be employed in order to</w:t>
            </w:r>
          </w:p>
          <w:p w14:paraId="07E57599" w14:textId="77777777" w:rsidR="00924812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better manage the heightened</w:t>
            </w:r>
            <w:r w:rsidR="005D2F82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risks of the client walking into the local town centre, on his </w:t>
            </w:r>
          </w:p>
          <w:p w14:paraId="24C9DE22" w14:textId="77777777" w:rsidR="00924812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own. </w:t>
            </w:r>
            <w:r w:rsidR="007E7D67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This was an important aspect of the risk assessment, as client 1 stated that he enjoyed</w:t>
            </w:r>
          </w:p>
          <w:p w14:paraId="26A59017" w14:textId="77777777" w:rsidR="00924812" w:rsidRDefault="007E7D67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walking to the town centre, and the client’s family were also keen for client 1 to continue </w:t>
            </w:r>
          </w:p>
          <w:p w14:paraId="12685678" w14:textId="6F5B8FB9" w:rsidR="00F60929" w:rsidRPr="0047170A" w:rsidRDefault="007E7D67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with activities that he enjoyed. </w:t>
            </w:r>
          </w:p>
          <w:p w14:paraId="47CA0259" w14:textId="564E211E" w:rsidR="00F60929" w:rsidRPr="0047170A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b/>
                <w:bCs/>
                <w:color w:val="auto"/>
                <w:kern w:val="2"/>
                <w:sz w:val="24"/>
                <w:szCs w:val="24"/>
                <w:u w:val="single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b/>
                <w:bCs/>
                <w:color w:val="auto"/>
                <w:kern w:val="2"/>
                <w:sz w:val="24"/>
                <w:szCs w:val="24"/>
                <w:u w:val="single"/>
                <w:lang w:eastAsia="en-US"/>
                <w14:ligatures w14:val="standardContextual"/>
              </w:rPr>
              <w:t xml:space="preserve">Professional Judgments </w:t>
            </w:r>
            <w:r w:rsidR="00E9106A" w:rsidRPr="0047170A">
              <w:rPr>
                <w:rFonts w:eastAsia="Aptos"/>
                <w:b/>
                <w:bCs/>
                <w:color w:val="auto"/>
                <w:kern w:val="2"/>
                <w:sz w:val="24"/>
                <w:szCs w:val="24"/>
                <w:u w:val="single"/>
                <w:lang w:eastAsia="en-US"/>
                <w14:ligatures w14:val="standardContextual"/>
              </w:rPr>
              <w:t>and</w:t>
            </w:r>
            <w:r w:rsidRPr="0047170A">
              <w:rPr>
                <w:rFonts w:eastAsia="Aptos"/>
                <w:b/>
                <w:bCs/>
                <w:color w:val="auto"/>
                <w:kern w:val="2"/>
                <w:sz w:val="24"/>
                <w:szCs w:val="24"/>
                <w:u w:val="single"/>
                <w:lang w:eastAsia="en-US"/>
                <w14:ligatures w14:val="standardContextual"/>
              </w:rPr>
              <w:t xml:space="preserve"> Analysis:</w:t>
            </w:r>
          </w:p>
          <w:p w14:paraId="3CE478AC" w14:textId="77777777" w:rsidR="00D44058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As part of the social work assessment, including the risk assessment, Turney, D (2017) </w:t>
            </w:r>
          </w:p>
          <w:p w14:paraId="34F03B73" w14:textId="77777777" w:rsidR="00D44058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states that professional judgments in the social work field, with particular reference to more </w:t>
            </w:r>
          </w:p>
          <w:p w14:paraId="5CE4B880" w14:textId="5273D30B" w:rsidR="00D44058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complex</w:t>
            </w:r>
            <w:r w:rsidR="001B441C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safeguarding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cases require both an appropriate level of </w:t>
            </w:r>
            <w:r w:rsidR="001B441C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practitioner, professional </w:t>
            </w:r>
          </w:p>
          <w:p w14:paraId="4D391A2B" w14:textId="77777777" w:rsidR="00D44058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autonomy </w:t>
            </w:r>
            <w:r w:rsidR="001B441C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and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appropriate </w:t>
            </w:r>
            <w:r w:rsidR="001B441C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monitoring via supervision and/or strategy meeting oversight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, in </w:t>
            </w:r>
          </w:p>
          <w:p w14:paraId="0118C936" w14:textId="022C722C" w:rsidR="00D44058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order for any professional judgments to be both informed, </w:t>
            </w:r>
            <w:r w:rsidR="001B441C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accurate, detailed</w:t>
            </w:r>
            <w:r w:rsidR="00721528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,</w:t>
            </w:r>
            <w:r w:rsidR="001B441C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and </w:t>
            </w:r>
          </w:p>
          <w:p w14:paraId="285E7199" w14:textId="77777777" w:rsidR="00D44058" w:rsidRDefault="001B441C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answerable</w:t>
            </w:r>
            <w:r w:rsidR="00F60929"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.  In reference to their notion of a “</w:t>
            </w:r>
            <w:r w:rsidR="00F60929" w:rsidRPr="0047170A">
              <w:rPr>
                <w:rFonts w:eastAsia="Aptos"/>
                <w:i/>
                <w:iCs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Grounded professional Judgement</w:t>
            </w:r>
            <w:r w:rsidR="00F60929"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” in social </w:t>
            </w:r>
          </w:p>
          <w:p w14:paraId="01219602" w14:textId="77777777" w:rsidR="00D44058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i/>
                <w:iCs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work, Turney, D (2017) </w:t>
            </w:r>
            <w:r w:rsidR="001B441C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mentions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</w:t>
            </w:r>
            <w:proofErr w:type="gramStart"/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that,</w:t>
            </w:r>
            <w:proofErr w:type="gramEnd"/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“</w:t>
            </w:r>
            <w:r w:rsidRPr="0047170A">
              <w:rPr>
                <w:rFonts w:eastAsia="Aptos"/>
                <w:i/>
                <w:iCs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Retaining the commitment to the use of professional</w:t>
            </w:r>
          </w:p>
          <w:p w14:paraId="7837A80C" w14:textId="77777777" w:rsidR="00D44058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i/>
                <w:iCs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i/>
                <w:iCs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discretion, it nonetheless provides a structure within which judgment can be exercised more</w:t>
            </w:r>
          </w:p>
          <w:p w14:paraId="18245AF7" w14:textId="2517579C" w:rsidR="00F60929" w:rsidRPr="0047170A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i/>
                <w:iCs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rigorously, transparently</w:t>
            </w:r>
            <w:r w:rsidR="00721528">
              <w:rPr>
                <w:rFonts w:eastAsia="Aptos"/>
                <w:i/>
                <w:iCs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,</w:t>
            </w:r>
            <w:r w:rsidRPr="0047170A">
              <w:rPr>
                <w:rFonts w:eastAsia="Aptos"/>
                <w:i/>
                <w:iCs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and in a way that can be called to account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”. </w:t>
            </w:r>
          </w:p>
          <w:p w14:paraId="760DB170" w14:textId="77777777" w:rsidR="00D44058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In addition, my professional practise encompassed close collaboration with others, when </w:t>
            </w:r>
          </w:p>
          <w:p w14:paraId="3B2948A5" w14:textId="77777777" w:rsidR="00D44058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completing social work assessments, including information from the client, family members,</w:t>
            </w:r>
          </w:p>
          <w:p w14:paraId="2E3AFB9A" w14:textId="77777777" w:rsidR="00D44058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and case recordings from other assessments and reports from professionals completed in </w:t>
            </w:r>
          </w:p>
          <w:p w14:paraId="39B1C797" w14:textId="39D4A7ED" w:rsidR="00F60929" w:rsidRPr="0047170A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relation to Client 1. </w:t>
            </w:r>
          </w:p>
          <w:p w14:paraId="65E220C5" w14:textId="77777777" w:rsidR="00D44058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As mentioned above, collaborative work with other professionals can inform more </w:t>
            </w:r>
          </w:p>
          <w:p w14:paraId="19496AF5" w14:textId="77777777" w:rsidR="00D44058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comprehensive and accurate social work assessments (Cameron, A., 2013), coupled with a</w:t>
            </w:r>
          </w:p>
          <w:p w14:paraId="771C4C30" w14:textId="40C26555" w:rsidR="00D44058" w:rsidRDefault="00721528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person-centred</w:t>
            </w:r>
            <w:r w:rsidR="00F60929"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, </w:t>
            </w:r>
            <w:r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strength-based,</w:t>
            </w:r>
            <w:r w:rsidR="00F60929"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and </w:t>
            </w:r>
            <w:r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outcome-focused</w:t>
            </w:r>
            <w:r w:rsidR="00F60929"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approach</w:t>
            </w:r>
            <w:r w:rsidR="001B441C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</w:t>
            </w:r>
            <w:r w:rsidR="00F60929"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when completing such </w:t>
            </w:r>
          </w:p>
          <w:p w14:paraId="0B8E1B80" w14:textId="77777777" w:rsidR="00D44058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assessments. </w:t>
            </w:r>
            <w:proofErr w:type="spellStart"/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Caiels</w:t>
            </w:r>
            <w:proofErr w:type="spellEnd"/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, J. (2021) states that the person centre, strength based and outcome </w:t>
            </w:r>
          </w:p>
          <w:p w14:paraId="55AEB5F6" w14:textId="77777777" w:rsidR="00D44058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lastRenderedPageBreak/>
              <w:t xml:space="preserve">focused framework has become a popular approach when engaging with clients, often due </w:t>
            </w:r>
          </w:p>
          <w:p w14:paraId="7DC09706" w14:textId="77777777" w:rsidR="00EF059F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to its emphasis on “</w:t>
            </w:r>
            <w:r w:rsidRPr="0047170A">
              <w:rPr>
                <w:rFonts w:eastAsia="Aptos"/>
                <w:i/>
                <w:iCs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competency, independence, and self-care”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(p. 420), coupled with its </w:t>
            </w:r>
          </w:p>
          <w:p w14:paraId="4EC4DEC3" w14:textId="77777777" w:rsidR="00F83AC6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central tenet,</w:t>
            </w:r>
            <w:r w:rsidR="00F83AC6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of using the skills and networks that clients may possess already, in order to </w:t>
            </w:r>
          </w:p>
          <w:p w14:paraId="0C570895" w14:textId="77777777" w:rsidR="00F83AC6" w:rsidRDefault="00F83AC6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develop a solution focused approach</w:t>
            </w:r>
            <w:r w:rsidR="00F60929"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. However, </w:t>
            </w:r>
            <w:r w:rsidR="001B441C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both Cameron, A., (2013) &amp; </w:t>
            </w:r>
            <w:proofErr w:type="spellStart"/>
            <w:r w:rsidR="001B441C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Caiels</w:t>
            </w:r>
            <w:proofErr w:type="spellEnd"/>
            <w:r w:rsidR="001B441C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, J. </w:t>
            </w:r>
          </w:p>
          <w:p w14:paraId="13DCD6B5" w14:textId="266CD450" w:rsidR="00F83AC6" w:rsidRDefault="001B441C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(2021), </w:t>
            </w:r>
            <w:r w:rsidR="00F60929"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note that such a framework has its limitations in relation to the available empirical </w:t>
            </w:r>
          </w:p>
          <w:p w14:paraId="2EE8259C" w14:textId="5E4DA3E0" w:rsidR="00F83AC6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data</w:t>
            </w:r>
            <w:r w:rsidR="007205D4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, </w:t>
            </w:r>
            <w:r w:rsidR="001B441C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as regards 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its efficacy</w:t>
            </w:r>
            <w:r w:rsidR="007205D4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,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and due to the limited research </w:t>
            </w:r>
            <w:r w:rsidR="001B441C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having been previously </w:t>
            </w:r>
          </w:p>
          <w:p w14:paraId="5833C8EF" w14:textId="77777777" w:rsidR="00FC195D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undertaken in this field</w:t>
            </w:r>
            <w:r w:rsidR="001B441C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, </w:t>
            </w:r>
            <w:r w:rsidR="007205D4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whereby it is difficult 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to measure the </w:t>
            </w:r>
            <w:r w:rsidR="007205D4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approaches</w:t>
            </w:r>
            <w:r w:rsidR="00FC195D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objectively and </w:t>
            </w:r>
          </w:p>
          <w:p w14:paraId="36A07F87" w14:textId="61781E6B" w:rsidR="00F60929" w:rsidRPr="00FC195D" w:rsidRDefault="00FC195D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their </w:t>
            </w:r>
            <w:r w:rsidR="00F60929"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contribution towards better outcomes for clients.</w:t>
            </w:r>
          </w:p>
          <w:p w14:paraId="022FC3B1" w14:textId="748BBB24" w:rsidR="00721528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However, as part of my own professional practise, I employed a </w:t>
            </w:r>
            <w:r w:rsidR="00721528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collaborative, person-</w:t>
            </w:r>
          </w:p>
          <w:p w14:paraId="44CFD784" w14:textId="77777777" w:rsidR="00721528" w:rsidRDefault="00721528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centred</w:t>
            </w:r>
            <w:r w:rsidR="00F60929"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and strength-based approach to the aforementioned assessment</w:t>
            </w:r>
            <w:r w:rsidR="00C8409E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. </w:t>
            </w:r>
            <w:r w:rsidR="00F60929"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This assessment </w:t>
            </w:r>
          </w:p>
          <w:p w14:paraId="7296EE39" w14:textId="7D732142" w:rsidR="00EF059F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was completed over several visits to see </w:t>
            </w:r>
            <w:r w:rsidR="00C8409E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c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lient </w:t>
            </w:r>
            <w:r w:rsidR="00C8409E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1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and his family, with the support of the </w:t>
            </w:r>
          </w:p>
          <w:p w14:paraId="1AE5D307" w14:textId="4231264B" w:rsidR="00F60929" w:rsidRPr="0047170A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Community Psychiatric Nurse (OPMHS team). </w:t>
            </w:r>
          </w:p>
          <w:p w14:paraId="503E314C" w14:textId="6A48BF71" w:rsidR="00E27E1F" w:rsidRDefault="00C8409E" w:rsidP="00650CBF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As mentioned above</w:t>
            </w:r>
            <w:r w:rsidR="00F60929"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, it was increasingly evident that</w:t>
            </w:r>
            <w:r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</w:t>
            </w:r>
            <w:r w:rsidR="00F60929"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Client 1’s family </w:t>
            </w:r>
            <w:r w:rsidR="00FC195D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was</w:t>
            </w:r>
            <w:r w:rsidR="00F60929"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reluctant to </w:t>
            </w:r>
          </w:p>
          <w:p w14:paraId="07549FEF" w14:textId="734ED51A" w:rsidR="00E27E1F" w:rsidRDefault="00F60929" w:rsidP="00650CBF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engage with social services and were encouraging </w:t>
            </w:r>
            <w:r w:rsidR="00C8409E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c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lient 1 to walk into the </w:t>
            </w:r>
            <w:r w:rsidR="00C8409E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l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ocal town </w:t>
            </w:r>
          </w:p>
          <w:p w14:paraId="2E01AD90" w14:textId="77777777" w:rsidR="00FC195D" w:rsidRDefault="00F60929" w:rsidP="00650CBF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centre on his own during the day, despite the heightened risks to </w:t>
            </w:r>
            <w:r w:rsidR="00C8409E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c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lient A’s physical </w:t>
            </w:r>
            <w:r w:rsidR="00FC195D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well-</w:t>
            </w:r>
          </w:p>
          <w:p w14:paraId="008212A7" w14:textId="0D270BF0" w:rsidR="00E27E1F" w:rsidRDefault="00FC195D" w:rsidP="00650CBF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being</w:t>
            </w:r>
            <w:r w:rsidR="00F60929"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in particular. This further agitated Client 1’s family, as they believed that Client 1 was </w:t>
            </w:r>
          </w:p>
          <w:p w14:paraId="6BFE1A6C" w14:textId="4E1EA57B" w:rsidR="00E27E1F" w:rsidRDefault="00F60929" w:rsidP="00650CBF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aware of where he was walking to, i.e. the local town centre, and they believed that his </w:t>
            </w:r>
          </w:p>
          <w:p w14:paraId="138725FD" w14:textId="0A9CBA71" w:rsidR="00E27E1F" w:rsidRDefault="00F60929" w:rsidP="00650CBF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hostile behaviour towards other</w:t>
            </w:r>
            <w:r w:rsidR="00C8409E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s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, on occasions, would be amplified if Client 1 </w:t>
            </w:r>
            <w:r w:rsidR="00FC195D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were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</w:t>
            </w:r>
          </w:p>
          <w:p w14:paraId="13A73149" w14:textId="77777777" w:rsidR="00FC195D" w:rsidRDefault="00F60929" w:rsidP="00650CBF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instructed not to leave his property on his own or if professionals believed that a </w:t>
            </w:r>
            <w:r w:rsidR="00FC195D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long-term, </w:t>
            </w:r>
          </w:p>
          <w:p w14:paraId="4B8586E5" w14:textId="7527D1C4" w:rsidR="000201E2" w:rsidRDefault="00FC195D" w:rsidP="00650CBF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full time </w:t>
            </w:r>
            <w:r w:rsidR="00F60929"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care</w:t>
            </w:r>
            <w:r w:rsidR="00C8409E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</w:t>
            </w:r>
            <w:r w:rsidR="00F60929"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placement would be </w:t>
            </w:r>
            <w:r w:rsidR="00C8409E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more </w:t>
            </w:r>
            <w:r w:rsidR="00F60929"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appropriate. According to Friedman, D. (2011), a key</w:t>
            </w:r>
          </w:p>
          <w:p w14:paraId="6F8D404F" w14:textId="5C94CEB0" w:rsidR="00E27E1F" w:rsidRDefault="00F60929" w:rsidP="00650CBF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role for a social worker</w:t>
            </w:r>
            <w:r w:rsidR="00287415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practitioner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, including when managing a complex, safeguarding </w:t>
            </w:r>
          </w:p>
          <w:p w14:paraId="3F7700CE" w14:textId="61A175FB" w:rsidR="00E27E1F" w:rsidRDefault="00F60929" w:rsidP="00650CBF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case, is to be able to support an individual </w:t>
            </w:r>
            <w:r w:rsidR="00FC195D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in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enhancing or restoring their capacity to be </w:t>
            </w:r>
          </w:p>
          <w:p w14:paraId="725CB279" w14:textId="18E90BD1" w:rsidR="00650CBF" w:rsidRPr="0047170A" w:rsidRDefault="00F60929" w:rsidP="00650CBF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able to access social </w:t>
            </w:r>
            <w:r w:rsidR="00650CBF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activities in the community.</w:t>
            </w:r>
          </w:p>
          <w:p w14:paraId="272C31FF" w14:textId="087FC3AD" w:rsidR="00E27E1F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However, they also state that </w:t>
            </w:r>
            <w:r w:rsidR="00FC195D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to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do so, a practitioner is required to understand the </w:t>
            </w:r>
          </w:p>
          <w:p w14:paraId="7D7BF613" w14:textId="77777777" w:rsidR="00E27E1F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ecological environment that an individual </w:t>
            </w:r>
            <w:r w:rsidR="00287415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lives within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. With reference to Bowen’s family </w:t>
            </w:r>
          </w:p>
          <w:p w14:paraId="5BA51F0A" w14:textId="77777777" w:rsidR="00E27E1F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support system theory in social work (Bowen, M., 1978), and with reference to </w:t>
            </w:r>
            <w:r w:rsidR="00287415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c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lient 1 and </w:t>
            </w:r>
          </w:p>
          <w:p w14:paraId="0F8C2EB1" w14:textId="77777777" w:rsidR="00E27E1F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lastRenderedPageBreak/>
              <w:t xml:space="preserve">his family, I was able to discern that the three family members were emotionally highly </w:t>
            </w:r>
          </w:p>
          <w:p w14:paraId="4F6ADC86" w14:textId="3BF65AEA" w:rsidR="00E27E1F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connected to each other, were significantly </w:t>
            </w:r>
            <w:r w:rsidR="00FC195D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interdependent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with one another and there </w:t>
            </w:r>
          </w:p>
          <w:p w14:paraId="403BE9C5" w14:textId="2E648314" w:rsidR="00E27E1F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appeared to be clear </w:t>
            </w:r>
            <w:r w:rsidR="00287415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expectations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with professionals, as regards to whom the family </w:t>
            </w:r>
            <w:r w:rsidR="00FC195D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was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</w:t>
            </w:r>
          </w:p>
          <w:p w14:paraId="423FD742" w14:textId="77777777" w:rsidR="00E27E1F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prepared to</w:t>
            </w:r>
            <w:r w:rsidR="00287415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actively engage with. Upon further conversations with Client 1’s family, his </w:t>
            </w:r>
          </w:p>
          <w:p w14:paraId="61D33609" w14:textId="77777777" w:rsidR="00E27E1F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married partner was able to share some information about the previous difficult involvement</w:t>
            </w:r>
          </w:p>
          <w:p w14:paraId="149E3867" w14:textId="53CA2B6D" w:rsidR="00E27E1F" w:rsidRDefault="00287415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with </w:t>
            </w:r>
            <w:r w:rsidR="00F60929"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social services, and how this experience had informed her outlook </w:t>
            </w:r>
            <w:r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when engaging with</w:t>
            </w:r>
            <w:r w:rsidR="00F60929"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</w:t>
            </w:r>
          </w:p>
          <w:p w14:paraId="6CF94757" w14:textId="77777777" w:rsidR="00E27E1F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social workers. With reference to the psychodynamic theory in social work (Brandell, J.R.,</w:t>
            </w:r>
          </w:p>
          <w:p w14:paraId="0C73897F" w14:textId="0DF0C73F" w:rsidR="00E27E1F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2004), it may be that </w:t>
            </w:r>
            <w:r w:rsidR="00287415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c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lient 1’s married partner’s defence mechanism was, in part, activated </w:t>
            </w:r>
          </w:p>
          <w:p w14:paraId="758535FD" w14:textId="77777777" w:rsidR="00E27E1F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to establish very clear and firm boundaries with professionals that she did not know</w:t>
            </w:r>
            <w:r w:rsidR="00287415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and/or </w:t>
            </w:r>
          </w:p>
          <w:p w14:paraId="3279FB13" w14:textId="1AED97A2" w:rsidR="00E27E1F" w:rsidRDefault="00287415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trust</w:t>
            </w:r>
            <w:r w:rsidR="00F60929"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. Additionally, there may</w:t>
            </w:r>
            <w:r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</w:t>
            </w:r>
            <w:r w:rsidR="00F60929"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have been </w:t>
            </w:r>
            <w:r w:rsidR="00FC195D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a </w:t>
            </w:r>
            <w:r w:rsidR="00F60929"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transference between the previous social worker </w:t>
            </w:r>
          </w:p>
          <w:p w14:paraId="0A57F0B6" w14:textId="41831F2C" w:rsidR="00F60929" w:rsidRPr="0047170A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who had managed her mother’s case previously and myself. </w:t>
            </w:r>
          </w:p>
          <w:p w14:paraId="39C2A32B" w14:textId="77777777" w:rsidR="00E27E1F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In addition, this created an ethical dilemma when completing the risk assessment within the </w:t>
            </w:r>
          </w:p>
          <w:p w14:paraId="78BC0B68" w14:textId="77777777" w:rsidR="00E27E1F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social work assessment, as I was mindful to be able to </w:t>
            </w:r>
            <w:r w:rsidR="00287415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focus upon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the least restrictive </w:t>
            </w:r>
          </w:p>
          <w:p w14:paraId="53534320" w14:textId="77777777" w:rsidR="00FC195D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options for </w:t>
            </w:r>
            <w:r w:rsidR="00287415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c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lient 1, coupled with ensuring that his mental, emotional</w:t>
            </w:r>
            <w:r w:rsidR="00FC195D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,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and physical </w:t>
            </w:r>
            <w:r w:rsidR="00E9106A"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well-</w:t>
            </w:r>
          </w:p>
          <w:p w14:paraId="74ECC415" w14:textId="77777777" w:rsidR="00FC195D" w:rsidRDefault="00E9106A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being</w:t>
            </w:r>
            <w:r w:rsidR="00F60929"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was safeguarded, as best as practically possible. Moreover, I was aware of </w:t>
            </w:r>
            <w:r w:rsidR="00287415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c</w:t>
            </w:r>
            <w:r w:rsidR="00F60929"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lient 1’s </w:t>
            </w:r>
          </w:p>
          <w:p w14:paraId="2CB78B67" w14:textId="77777777" w:rsidR="00FC195D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right to</w:t>
            </w:r>
            <w:r w:rsidR="00FC195D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a family and</w:t>
            </w:r>
            <w:r w:rsidR="00287415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private life at home, with reference to Section 8 of the Human Rights </w:t>
            </w:r>
          </w:p>
          <w:p w14:paraId="5B10F924" w14:textId="3A2B5DBA" w:rsidR="00E27E1F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Act</w:t>
            </w:r>
            <w:r w:rsidR="00287415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(1998). Therefore, as noted by </w:t>
            </w:r>
            <w:proofErr w:type="spellStart"/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Ameida</w:t>
            </w:r>
            <w:proofErr w:type="spellEnd"/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, D et al. (2021) in the wider academic literature, I </w:t>
            </w:r>
          </w:p>
          <w:p w14:paraId="794C0094" w14:textId="77777777" w:rsidR="00E27E1F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was aware that any measures agreed and implemented in relation to </w:t>
            </w:r>
            <w:r w:rsidR="00287415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safeguarding client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1, </w:t>
            </w:r>
          </w:p>
          <w:p w14:paraId="05D2519C" w14:textId="77777777" w:rsidR="00E27E1F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with the least restrictive option, e.g. via emerging technologies, needed to consider ethical </w:t>
            </w:r>
          </w:p>
          <w:p w14:paraId="18C3E41A" w14:textId="77777777" w:rsidR="00E27E1F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con</w:t>
            </w:r>
            <w:r w:rsidR="00287415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siderations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for </w:t>
            </w:r>
            <w:r w:rsidR="00287415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c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lient 1’s privacy and the use of surveillance, as regards to his </w:t>
            </w:r>
          </w:p>
          <w:p w14:paraId="13E96B69" w14:textId="77777777" w:rsidR="00E27E1F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whereabouts. This was particularly </w:t>
            </w:r>
            <w:r w:rsidR="000F16F4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evident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, as following a best interest meeting, tracking </w:t>
            </w:r>
          </w:p>
          <w:p w14:paraId="7825BC35" w14:textId="77777777" w:rsidR="00E27E1F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measures, via a disguised tracker and an app, managed by </w:t>
            </w:r>
            <w:r w:rsidR="000F16F4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c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lient 1’s so</w:t>
            </w:r>
            <w:r w:rsidR="000F16F4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n;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the installation of </w:t>
            </w:r>
          </w:p>
          <w:p w14:paraId="00D01B91" w14:textId="77777777" w:rsidR="00E27E1F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movement sensors at home</w:t>
            </w:r>
            <w:r w:rsidR="000F16F4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;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the sharing of the client’s details and photo with local police</w:t>
            </w:r>
            <w:r w:rsidR="000F16F4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</w:t>
            </w:r>
          </w:p>
          <w:p w14:paraId="01565AA9" w14:textId="6CC79A15" w:rsidR="00E27E1F" w:rsidRDefault="000F16F4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were agreed and implemented. Additionally,</w:t>
            </w:r>
            <w:r w:rsidR="00F60929"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other measures, such as only giving </w:t>
            </w:r>
            <w:r w:rsidR="00D27D30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the </w:t>
            </w:r>
            <w:r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c</w:t>
            </w:r>
            <w:r w:rsidR="00F60929"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lient </w:t>
            </w:r>
          </w:p>
          <w:p w14:paraId="1146477F" w14:textId="77777777" w:rsidR="00E27E1F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1 small </w:t>
            </w:r>
            <w:proofErr w:type="gramStart"/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amounts</w:t>
            </w:r>
            <w:proofErr w:type="gramEnd"/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of cash when going outside and cancelling his bus pass, were </w:t>
            </w:r>
            <w:r w:rsidR="000F16F4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also </w:t>
            </w:r>
          </w:p>
          <w:p w14:paraId="18EBD0DB" w14:textId="77777777" w:rsidR="00E27E1F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implemented as part of the risk assessment</w:t>
            </w:r>
            <w:r w:rsidR="000F16F4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’s mitigating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strategies. This was agreed by </w:t>
            </w:r>
          </w:p>
          <w:p w14:paraId="151776F0" w14:textId="77777777" w:rsidR="00E27E1F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lastRenderedPageBreak/>
              <w:t xml:space="preserve">Client 1’s family after careful consideration and was also agreed by the local </w:t>
            </w:r>
            <w:r w:rsidR="000F16F4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a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uthority’s </w:t>
            </w:r>
          </w:p>
          <w:p w14:paraId="21490B8B" w14:textId="77777777" w:rsidR="00E27E1F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safeguarding team and the principal officer. In</w:t>
            </w:r>
            <w:r w:rsidR="000F16F4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deed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, the above discussions that were </w:t>
            </w:r>
          </w:p>
          <w:p w14:paraId="3763D34A" w14:textId="77777777" w:rsidR="00E27E1F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undertaken with all stakeholders, underlined the key role that collaborative work played, </w:t>
            </w:r>
          </w:p>
          <w:p w14:paraId="1DD343AF" w14:textId="77777777" w:rsidR="00E27E1F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coupled with a robust social work assessment and analysis, towards the completion of an </w:t>
            </w:r>
          </w:p>
          <w:p w14:paraId="3394208E" w14:textId="11B40644" w:rsidR="00F60929" w:rsidRPr="0047170A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appropriate risk assessment, </w:t>
            </w:r>
            <w:r w:rsidR="00D27D30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to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safeguard </w:t>
            </w:r>
            <w:r w:rsidR="000F16F4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c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lient 1. </w:t>
            </w:r>
          </w:p>
          <w:p w14:paraId="54B1C95E" w14:textId="77777777" w:rsidR="00F60929" w:rsidRPr="0047170A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b/>
                <w:bCs/>
                <w:color w:val="auto"/>
                <w:kern w:val="2"/>
                <w:sz w:val="24"/>
                <w:szCs w:val="24"/>
                <w:u w:val="single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b/>
                <w:bCs/>
                <w:color w:val="auto"/>
                <w:kern w:val="2"/>
                <w:sz w:val="24"/>
                <w:szCs w:val="24"/>
                <w:u w:val="single"/>
                <w:lang w:eastAsia="en-US"/>
                <w14:ligatures w14:val="standardContextual"/>
              </w:rPr>
              <w:t>Role of Safeguarding in Wales and in Two Other Countries:</w:t>
            </w:r>
          </w:p>
          <w:p w14:paraId="5A8A3246" w14:textId="77777777" w:rsidR="00E27E1F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As previously mentioned in the assignment, the legislative framework around adult </w:t>
            </w:r>
          </w:p>
          <w:p w14:paraId="5642D617" w14:textId="611C7A78" w:rsidR="00E27E1F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safeguarding in Wales is principally underpinned by the Social Services and </w:t>
            </w:r>
            <w:r w:rsidR="00D27D30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Well-being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Act </w:t>
            </w:r>
          </w:p>
          <w:p w14:paraId="479A13B3" w14:textId="77777777" w:rsidR="00D27D30" w:rsidRDefault="00F60929" w:rsidP="00D27D30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(2014). The Act </w:t>
            </w:r>
            <w:r w:rsidR="00993809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highlights the benefits for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social work practitioners to work in a </w:t>
            </w:r>
            <w:r w:rsidR="00D27D30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person-</w:t>
            </w:r>
          </w:p>
          <w:p w14:paraId="1FC740CD" w14:textId="040ED1FA" w:rsidR="00993809" w:rsidRDefault="00D27D30" w:rsidP="00D27D30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centred</w:t>
            </w:r>
            <w:r w:rsidR="00F60929"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and</w:t>
            </w:r>
            <w:r w:rsidR="00347459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</w:t>
            </w:r>
            <w:r w:rsidR="00F60929"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collaborative manner, in order to achieve specific </w:t>
            </w:r>
            <w:r w:rsidR="002C443D"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wellbeing</w:t>
            </w:r>
            <w:r w:rsidR="00F60929"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outcomes for </w:t>
            </w:r>
          </w:p>
          <w:p w14:paraId="3E5003FC" w14:textId="77777777" w:rsidR="00993809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clients. In turn, this approach assists social work practitioners to be able to develop and </w:t>
            </w:r>
          </w:p>
          <w:p w14:paraId="3DC19586" w14:textId="77777777" w:rsidR="00993809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maintain a </w:t>
            </w:r>
            <w:r w:rsidR="00347459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transparent 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framework</w:t>
            </w:r>
            <w:r w:rsidR="00347459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, with accountability and 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continuous learning</w:t>
            </w:r>
            <w:r w:rsidR="00347459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at its core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</w:t>
            </w:r>
          </w:p>
          <w:p w14:paraId="6A39AC34" w14:textId="77777777" w:rsidR="00993809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(Phillips, C., 2016). Additionally, and as</w:t>
            </w:r>
            <w:r w:rsidR="00347459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previously noted, the creation of the Wales </w:t>
            </w:r>
          </w:p>
          <w:p w14:paraId="56A559A8" w14:textId="77777777" w:rsidR="00993809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Safeguarding Procedures (2019) was aimed at assisting social work practitioners in </w:t>
            </w:r>
          </w:p>
          <w:p w14:paraId="217B0861" w14:textId="77777777" w:rsidR="00993809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following an operational framework of how to implement the legislation, as outlined in the </w:t>
            </w:r>
          </w:p>
          <w:p w14:paraId="1944C650" w14:textId="018418CC" w:rsidR="00993809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Social Services and </w:t>
            </w:r>
            <w:r w:rsidR="00E9106A"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Well-being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Act (2014), with reference to </w:t>
            </w:r>
            <w:r w:rsidR="00D27D30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multi-agency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working, the duty</w:t>
            </w:r>
          </w:p>
          <w:p w14:paraId="77B11FE9" w14:textId="748A3EF8" w:rsidR="00993809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of care principle,</w:t>
            </w:r>
            <w:r w:rsidR="00993809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a </w:t>
            </w:r>
            <w:r w:rsidR="00E9106A"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rights-based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approach, empowerment</w:t>
            </w:r>
            <w:r w:rsidR="00D27D30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,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and</w:t>
            </w:r>
            <w:r w:rsidR="00347459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reflective, professional </w:t>
            </w:r>
          </w:p>
          <w:p w14:paraId="747CCFA6" w14:textId="090606CB" w:rsidR="00993809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practice from social worker practitioners </w:t>
            </w:r>
            <w:r w:rsidR="00347459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(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Owens, R. et</w:t>
            </w:r>
            <w:r w:rsidR="00347459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al</w:t>
            </w:r>
            <w:r w:rsidR="00D27D30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, 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2023). Moreover,</w:t>
            </w:r>
            <w:r w:rsidR="00F94B90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and according</w:t>
            </w:r>
          </w:p>
          <w:p w14:paraId="21DD6098" w14:textId="5BFB3915" w:rsidR="00993809" w:rsidRDefault="00F94B90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to Phillips, C. (2016),</w:t>
            </w:r>
            <w:r w:rsidR="00F60929"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it is noted that the Welsh legislative framework around</w:t>
            </w:r>
            <w:r w:rsidR="00347459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</w:t>
            </w:r>
            <w:r w:rsidR="00F60929"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adult </w:t>
            </w:r>
          </w:p>
          <w:p w14:paraId="7699D7AC" w14:textId="77777777" w:rsidR="001150E7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safeguarding in social care </w:t>
            </w:r>
            <w:r w:rsidR="001150E7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emphasizes the benefits of an 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early intervention</w:t>
            </w:r>
            <w:r w:rsidR="001150E7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and prevention</w:t>
            </w:r>
          </w:p>
          <w:p w14:paraId="559049D3" w14:textId="1B6CFE05" w:rsidR="001150E7" w:rsidRDefault="001150E7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approach</w:t>
            </w:r>
            <w:r w:rsidR="00F60929"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, thus moving away from a model of react</w:t>
            </w:r>
            <w:r w:rsidR="00F94B90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ivity</w:t>
            </w:r>
            <w:r w:rsidR="00F60929"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, as previously</w:t>
            </w:r>
            <w:r w:rsidR="00F94B90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</w:t>
            </w:r>
            <w:r w:rsidR="00F60929"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observed in </w:t>
            </w:r>
          </w:p>
          <w:p w14:paraId="22ABD10E" w14:textId="06F3E476" w:rsidR="00F60929" w:rsidRPr="0047170A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safeguarding practices in Wales</w:t>
            </w:r>
            <w:r w:rsidR="00F94B90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.</w:t>
            </w:r>
          </w:p>
          <w:p w14:paraId="06C57BD1" w14:textId="2D0FF47A" w:rsidR="00E27E1F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Of note, safeguarding measures in adult social work also exist in other jurisdictions, such </w:t>
            </w:r>
          </w:p>
          <w:p w14:paraId="64B55D0E" w14:textId="77777777" w:rsidR="00E27E1F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as in New Zealand (</w:t>
            </w:r>
            <w:r w:rsidR="00E9106A"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Non-EU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Member State) and in Ireland (</w:t>
            </w:r>
            <w:r w:rsidRPr="0047170A">
              <w:rPr>
                <w:rFonts w:eastAsia="Aptos"/>
                <w:i/>
                <w:iCs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E.U. Member State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), </w:t>
            </w:r>
            <w:proofErr w:type="gramStart"/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where</w:t>
            </w:r>
            <w:proofErr w:type="gramEnd"/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</w:t>
            </w:r>
          </w:p>
          <w:p w14:paraId="06AF95B3" w14:textId="77777777" w:rsidR="00E27E1F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similarities and key differences exist within their safeguarding approaches and frameworks </w:t>
            </w:r>
          </w:p>
          <w:p w14:paraId="61961909" w14:textId="77777777" w:rsidR="00E27E1F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in social care. For example, Sherwood-Johnson, F. (2014), mentions that in both Ireland and </w:t>
            </w:r>
          </w:p>
          <w:p w14:paraId="6363E46D" w14:textId="77777777" w:rsidR="00E27E1F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lastRenderedPageBreak/>
              <w:t>in New Zealand, a holistic approach</w:t>
            </w:r>
            <w:r w:rsidR="009C458E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, that strives to balance 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risk and </w:t>
            </w:r>
            <w:r w:rsidR="009C458E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self-autonomy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for the</w:t>
            </w:r>
          </w:p>
          <w:p w14:paraId="33281B2C" w14:textId="77777777" w:rsidR="00E27E1F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client(s), is also taken in relation</w:t>
            </w:r>
            <w:r w:rsidR="009C458E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to safeguarding matters in </w:t>
            </w:r>
            <w:r w:rsidR="009C458E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adult 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social care. With particular</w:t>
            </w:r>
          </w:p>
          <w:p w14:paraId="3F4F11BF" w14:textId="77777777" w:rsidR="00E27E1F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i/>
                <w:iCs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reference to New</w:t>
            </w:r>
            <w:r w:rsidR="009C458E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Zealand, The New Zealand Human Rights Commission (“</w:t>
            </w:r>
            <w:proofErr w:type="spellStart"/>
            <w:r w:rsidRPr="0047170A">
              <w:rPr>
                <w:rFonts w:eastAsia="Aptos"/>
                <w:i/>
                <w:iCs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Te</w:t>
            </w:r>
            <w:proofErr w:type="spellEnd"/>
            <w:r w:rsidRPr="0047170A">
              <w:rPr>
                <w:rFonts w:eastAsia="Aptos"/>
                <w:i/>
                <w:iCs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</w:t>
            </w:r>
            <w:proofErr w:type="spellStart"/>
            <w:r w:rsidRPr="0047170A">
              <w:rPr>
                <w:rFonts w:eastAsia="Aptos"/>
                <w:i/>
                <w:iCs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Kāhui</w:t>
            </w:r>
            <w:proofErr w:type="spellEnd"/>
            <w:r w:rsidRPr="0047170A">
              <w:rPr>
                <w:rFonts w:eastAsia="Aptos"/>
                <w:i/>
                <w:iCs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Tika </w:t>
            </w:r>
          </w:p>
          <w:p w14:paraId="65B7E57D" w14:textId="77777777" w:rsidR="00E27E1F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proofErr w:type="spellStart"/>
            <w:r w:rsidRPr="0047170A">
              <w:rPr>
                <w:rFonts w:eastAsia="Aptos"/>
                <w:i/>
                <w:iCs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Tangata</w:t>
            </w:r>
            <w:proofErr w:type="spellEnd"/>
            <w:r w:rsidRPr="0047170A">
              <w:rPr>
                <w:rFonts w:eastAsia="Aptos"/>
                <w:i/>
                <w:iCs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”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) places</w:t>
            </w:r>
            <w:r w:rsidR="009C458E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significant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emphasis upon cultural awareness and knowledge, community </w:t>
            </w:r>
          </w:p>
          <w:p w14:paraId="25D30C60" w14:textId="77777777" w:rsidR="00E27E1F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engagement, a focus on the </w:t>
            </w:r>
            <w:proofErr w:type="spellStart"/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Maori</w:t>
            </w:r>
            <w:proofErr w:type="spellEnd"/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concept of “</w:t>
            </w:r>
            <w:r w:rsidRPr="0047170A">
              <w:rPr>
                <w:rFonts w:eastAsia="Aptos"/>
                <w:i/>
                <w:iCs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whanau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” and a greater focus on family and </w:t>
            </w:r>
          </w:p>
          <w:p w14:paraId="3FB6B76A" w14:textId="5AEBDEE6" w:rsidR="009C458E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traditional “</w:t>
            </w:r>
            <w:r w:rsidRPr="0047170A">
              <w:rPr>
                <w:rFonts w:eastAsia="Aptos"/>
                <w:i/>
                <w:iCs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elder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” support </w:t>
            </w:r>
            <w:r w:rsidR="009C458E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within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the community</w:t>
            </w:r>
            <w:r w:rsidR="009C458E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at large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. </w:t>
            </w:r>
          </w:p>
          <w:p w14:paraId="737D2D8F" w14:textId="77777777" w:rsidR="00E27E1F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Additionally, it is noted that safeguarding practices in Wales, are predominantly underpinned</w:t>
            </w:r>
          </w:p>
          <w:p w14:paraId="3A257A79" w14:textId="08D20052" w:rsidR="00E27E1F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by a statutory framework, based in legislation (Phillips, C., 2016). However, there has been </w:t>
            </w:r>
          </w:p>
          <w:p w14:paraId="689A6C5B" w14:textId="77777777" w:rsidR="00E27E1F" w:rsidRDefault="009C458E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criticism</w:t>
            </w:r>
            <w:r w:rsidR="00F60929"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of the limited nature of safeguarding legislation in adult social care in New Zealand, </w:t>
            </w:r>
          </w:p>
          <w:p w14:paraId="1B2DEA57" w14:textId="77777777" w:rsidR="00E27E1F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i/>
                <w:iCs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with the primary focus of the existing legislative framework</w:t>
            </w:r>
            <w:r w:rsidR="009C458E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, focusing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on older people (</w:t>
            </w:r>
            <w:r w:rsidRPr="0047170A">
              <w:rPr>
                <w:rFonts w:eastAsia="Aptos"/>
                <w:i/>
                <w:iCs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over </w:t>
            </w:r>
          </w:p>
          <w:p w14:paraId="1820FBFC" w14:textId="77777777" w:rsidR="00E27E1F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i/>
                <w:iCs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65 yrs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) and not for example, with a focus on individuals with a mental and or physical </w:t>
            </w:r>
          </w:p>
          <w:p w14:paraId="0C774C61" w14:textId="77777777" w:rsidR="00E27E1F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disability (Hager, D. et al., 2025). Of interest, both Hager, D. et al. (2025) and Mackay. K. &amp;</w:t>
            </w:r>
          </w:p>
          <w:p w14:paraId="0EBBE1AA" w14:textId="77777777" w:rsidR="00E27E1F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McCusker, P. (2024) note the </w:t>
            </w:r>
            <w:r w:rsidR="00E9106A"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on-going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policy debate in New Zealand at present about the </w:t>
            </w:r>
          </w:p>
          <w:p w14:paraId="4B6A8D21" w14:textId="77777777" w:rsidR="00E27E1F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extent </w:t>
            </w:r>
            <w:r w:rsidR="009C458E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to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which to legislate around adult safeguarding matters, and the </w:t>
            </w:r>
            <w:r w:rsidR="009C458E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emerging </w:t>
            </w:r>
          </w:p>
          <w:p w14:paraId="2764B7C0" w14:textId="77777777" w:rsidR="00E27E1F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acceptance amongst </w:t>
            </w:r>
            <w:r w:rsidR="009C458E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more 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practitioners and policy makers alike</w:t>
            </w:r>
            <w:r w:rsidR="009C458E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,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of the need to </w:t>
            </w:r>
            <w:r w:rsidR="009C458E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better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</w:t>
            </w:r>
          </w:p>
          <w:p w14:paraId="781C4F42" w14:textId="77777777" w:rsidR="00E27E1F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legislate around safeguarding certain</w:t>
            </w:r>
            <w:r w:rsidR="009C458E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demographics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in New Zealand, with a particular </w:t>
            </w:r>
          </w:p>
          <w:p w14:paraId="7D3CB7DE" w14:textId="77777777" w:rsidR="00E27E1F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mention being made of </w:t>
            </w:r>
            <w:r w:rsidR="009C458E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younger and 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vulnerable </w:t>
            </w:r>
            <w:r w:rsidR="009C458E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adults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who may have a mental and/or a </w:t>
            </w:r>
          </w:p>
          <w:p w14:paraId="07A7794B" w14:textId="77777777" w:rsidR="00E27E1F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physical disability. Therefore, and at present, Mackay</w:t>
            </w:r>
            <w:r w:rsidR="009C458E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, 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K. &amp; McCusker, P. (2024) state that </w:t>
            </w:r>
          </w:p>
          <w:p w14:paraId="6F984D01" w14:textId="77777777" w:rsidR="00E27E1F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adult safeguarding cases in New Zealand are often dealt with under the Safeguarding Adults</w:t>
            </w:r>
          </w:p>
          <w:p w14:paraId="62E14788" w14:textId="77777777" w:rsidR="00E27E1F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From Abuse (SAFA) framework, an operational framework that is underpinned by the </w:t>
            </w:r>
          </w:p>
          <w:p w14:paraId="09DD26C3" w14:textId="40CF118E" w:rsidR="00F60929" w:rsidRPr="0047170A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Crimes Act (1961), the Family Violence Act (2018) and the “</w:t>
            </w:r>
            <w:proofErr w:type="spellStart"/>
            <w:r w:rsidRPr="009C458E">
              <w:rPr>
                <w:rFonts w:eastAsia="Aptos"/>
                <w:i/>
                <w:iCs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Te</w:t>
            </w:r>
            <w:proofErr w:type="spellEnd"/>
            <w:r w:rsidRPr="009C458E">
              <w:rPr>
                <w:rFonts w:eastAsia="Aptos"/>
                <w:i/>
                <w:iCs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</w:t>
            </w:r>
            <w:proofErr w:type="spellStart"/>
            <w:r w:rsidRPr="009C458E">
              <w:rPr>
                <w:rFonts w:eastAsia="Aptos"/>
                <w:i/>
                <w:iCs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Aorerekura</w:t>
            </w:r>
            <w:proofErr w:type="spellEnd"/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” national strategy. </w:t>
            </w:r>
          </w:p>
          <w:p w14:paraId="52A68B84" w14:textId="77777777" w:rsidR="00E27E1F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In addition, there are different cultural contexts to both Wales and New Zealand</w:t>
            </w:r>
            <w:r w:rsidR="009C458E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,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but another</w:t>
            </w:r>
          </w:p>
          <w:p w14:paraId="5B28AA9C" w14:textId="77777777" w:rsidR="00E27E1F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key similarity is that both Wales and New Zealand have at </w:t>
            </w:r>
            <w:r w:rsidR="009C458E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l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east two official languages, </w:t>
            </w:r>
          </w:p>
          <w:p w14:paraId="460482E2" w14:textId="77777777" w:rsidR="00E27E1F" w:rsidRDefault="00E9106A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which</w:t>
            </w:r>
            <w:r w:rsidR="00F60929"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are closely integrated into their safeguarding frameworks, with New Zealand having </w:t>
            </w:r>
          </w:p>
          <w:p w14:paraId="35D1BC7B" w14:textId="77777777" w:rsidR="00E27E1F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three official languages, including </w:t>
            </w:r>
            <w:r w:rsidR="00E9106A"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Māori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. Moreover, The New Zealand Human Rights </w:t>
            </w:r>
          </w:p>
          <w:p w14:paraId="1C7D1CB7" w14:textId="06C36762" w:rsidR="00E27E1F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Commission (“</w:t>
            </w:r>
            <w:proofErr w:type="spellStart"/>
            <w:r w:rsidRPr="0047170A">
              <w:rPr>
                <w:rFonts w:eastAsia="Aptos"/>
                <w:i/>
                <w:iCs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Te</w:t>
            </w:r>
            <w:proofErr w:type="spellEnd"/>
            <w:r w:rsidRPr="0047170A">
              <w:rPr>
                <w:rFonts w:eastAsia="Aptos"/>
                <w:i/>
                <w:iCs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</w:t>
            </w:r>
            <w:proofErr w:type="spellStart"/>
            <w:r w:rsidRPr="0047170A">
              <w:rPr>
                <w:rFonts w:eastAsia="Aptos"/>
                <w:i/>
                <w:iCs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Kāhui</w:t>
            </w:r>
            <w:proofErr w:type="spellEnd"/>
            <w:r w:rsidRPr="0047170A">
              <w:rPr>
                <w:rFonts w:eastAsia="Aptos"/>
                <w:i/>
                <w:iCs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Tika </w:t>
            </w:r>
            <w:proofErr w:type="spellStart"/>
            <w:r w:rsidRPr="0047170A">
              <w:rPr>
                <w:rFonts w:eastAsia="Aptos"/>
                <w:i/>
                <w:iCs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Tangata</w:t>
            </w:r>
            <w:proofErr w:type="spellEnd"/>
            <w:r w:rsidRPr="0047170A">
              <w:rPr>
                <w:rFonts w:eastAsia="Aptos"/>
                <w:i/>
                <w:iCs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”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) now places a key emphasis on </w:t>
            </w:r>
            <w:proofErr w:type="spellStart"/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Maori</w:t>
            </w:r>
            <w:proofErr w:type="spellEnd"/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cultural norms </w:t>
            </w:r>
          </w:p>
          <w:p w14:paraId="71B57538" w14:textId="77777777" w:rsidR="00E27E1F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lastRenderedPageBreak/>
              <w:t>into their safeguarding practices (</w:t>
            </w:r>
            <w:r w:rsidR="009C458E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“</w:t>
            </w:r>
            <w:proofErr w:type="spellStart"/>
            <w:r w:rsidRPr="0047170A">
              <w:rPr>
                <w:rFonts w:eastAsia="Aptos"/>
                <w:i/>
                <w:iCs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Te</w:t>
            </w:r>
            <w:proofErr w:type="spellEnd"/>
            <w:r w:rsidRPr="0047170A">
              <w:rPr>
                <w:rFonts w:eastAsia="Aptos"/>
                <w:i/>
                <w:iCs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</w:t>
            </w:r>
            <w:proofErr w:type="spellStart"/>
            <w:r w:rsidRPr="0047170A">
              <w:rPr>
                <w:rFonts w:eastAsia="Aptos"/>
                <w:i/>
                <w:iCs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Kāhui</w:t>
            </w:r>
            <w:proofErr w:type="spellEnd"/>
            <w:r w:rsidRPr="0047170A">
              <w:rPr>
                <w:rFonts w:eastAsia="Aptos"/>
                <w:i/>
                <w:iCs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Tika </w:t>
            </w:r>
            <w:proofErr w:type="spellStart"/>
            <w:r w:rsidRPr="0047170A">
              <w:rPr>
                <w:rFonts w:eastAsia="Aptos"/>
                <w:i/>
                <w:iCs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Tangata</w:t>
            </w:r>
            <w:proofErr w:type="spellEnd"/>
            <w:r w:rsidR="009C458E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” 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Human Rights Commission, </w:t>
            </w:r>
          </w:p>
          <w:p w14:paraId="387FF663" w14:textId="1161D858" w:rsidR="00F60929" w:rsidRPr="0047170A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2025). </w:t>
            </w:r>
          </w:p>
          <w:p w14:paraId="2468CDEC" w14:textId="77777777" w:rsidR="00E27E1F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Similarly, in Ireland, policy developments and frameworks around adult safeguarding has </w:t>
            </w:r>
          </w:p>
          <w:p w14:paraId="091D0F7D" w14:textId="77777777" w:rsidR="00E27E1F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been incremental and it is argued that there continues to be significant gaps within the policy</w:t>
            </w:r>
          </w:p>
          <w:p w14:paraId="6C337A3F" w14:textId="77777777" w:rsidR="00E27E1F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</w:t>
            </w:r>
            <w:r w:rsidR="00CF4DDC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arena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around this </w:t>
            </w:r>
            <w:r w:rsidR="00CF4DDC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particular 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policy field (Phelan, A., 2023). In Ireland, adult safeguarding </w:t>
            </w:r>
          </w:p>
          <w:p w14:paraId="41E1C208" w14:textId="77777777" w:rsidR="00E27E1F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i/>
                <w:iCs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processes follow the “</w:t>
            </w:r>
            <w:r w:rsidRPr="0047170A">
              <w:rPr>
                <w:rFonts w:eastAsia="Aptos"/>
                <w:i/>
                <w:iCs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Safeguarding Vulnerable Persons at Risk of Abuse - National Policy </w:t>
            </w:r>
          </w:p>
          <w:p w14:paraId="29C93C16" w14:textId="77777777" w:rsidR="00E27E1F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i/>
                <w:iCs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and Procedures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” framework as developed by Ireland’s HSE National Safeguarding Unit </w:t>
            </w:r>
          </w:p>
          <w:p w14:paraId="770E49FE" w14:textId="77777777" w:rsidR="00E27E1F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(2014). Moreover, adult safeguarding concerns, principally, are initially referred to the </w:t>
            </w:r>
            <w:proofErr w:type="gramStart"/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Health</w:t>
            </w:r>
            <w:proofErr w:type="gramEnd"/>
          </w:p>
          <w:p w14:paraId="0B67FAD5" w14:textId="77777777" w:rsidR="00E27E1F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Executive’s National Safeguarding Offices, or to the </w:t>
            </w:r>
            <w:r w:rsidRPr="0047170A">
              <w:rPr>
                <w:rFonts w:eastAsia="Aptos"/>
                <w:i/>
                <w:iCs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Gardai 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(Police Service). </w:t>
            </w:r>
            <w:r w:rsidR="00CF4DDC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With reference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</w:t>
            </w:r>
          </w:p>
          <w:p w14:paraId="562968F5" w14:textId="77777777" w:rsidR="00E27E1F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to the legislative process in Ireland, Walsh (2019) states that the incremental development </w:t>
            </w:r>
          </w:p>
          <w:p w14:paraId="280CE5D1" w14:textId="77777777" w:rsidR="00E27E1F" w:rsidRDefault="00CF4DDC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of </w:t>
            </w:r>
            <w:r w:rsidR="00F60929"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safeguarding policy and procedures in</w:t>
            </w:r>
            <w:r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</w:t>
            </w:r>
            <w:r w:rsidR="00F60929"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Ireland has resulted in delays in the country’s </w:t>
            </w:r>
          </w:p>
          <w:p w14:paraId="55595B78" w14:textId="77777777" w:rsidR="00E27E1F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national strategy around</w:t>
            </w:r>
            <w:r w:rsidR="00CF4DDC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safeguarding policy, </w:t>
            </w:r>
            <w:r w:rsidR="00BE4941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to d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elays to the implementation of updated </w:t>
            </w:r>
          </w:p>
          <w:p w14:paraId="6929894A" w14:textId="77777777" w:rsidR="00E27E1F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i/>
                <w:iCs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domestic violence legislation and delays to the full implementation of Ireland’s “</w:t>
            </w:r>
            <w:r w:rsidRPr="0047170A">
              <w:rPr>
                <w:rFonts w:eastAsia="Aptos"/>
                <w:i/>
                <w:iCs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Assisted </w:t>
            </w:r>
          </w:p>
          <w:p w14:paraId="0B04B723" w14:textId="6016E3AF" w:rsidR="00F60929" w:rsidRPr="0047170A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i/>
                <w:iCs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Decision-Making Capacity Act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” (2015). </w:t>
            </w:r>
          </w:p>
          <w:p w14:paraId="739847BD" w14:textId="77777777" w:rsidR="00E27E1F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Moreover, it appears that particular </w:t>
            </w:r>
            <w:r w:rsidR="00BE4941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efforts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</w:t>
            </w:r>
            <w:r w:rsidR="00BE4941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on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the accessible use of the Irish language, and </w:t>
            </w:r>
          </w:p>
          <w:p w14:paraId="40C81685" w14:textId="77777777" w:rsidR="00E27E1F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the cultural context around the use of the language, </w:t>
            </w:r>
            <w:r w:rsidR="00BE4941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have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been</w:t>
            </w:r>
            <w:r w:rsidR="00BE4941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made in Ireland vis-à-vis the</w:t>
            </w:r>
          </w:p>
          <w:p w14:paraId="51117493" w14:textId="77777777" w:rsidR="00E27E1F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safeguarding process, </w:t>
            </w:r>
            <w:proofErr w:type="gramStart"/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similarly</w:t>
            </w:r>
            <w:proofErr w:type="gramEnd"/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to the increasing use and encouragement of Welsh and </w:t>
            </w:r>
          </w:p>
          <w:p w14:paraId="3CCA274E" w14:textId="77777777" w:rsidR="00E27E1F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Māori, and their respective cultural context, in both Wales and New Zealand. However, in </w:t>
            </w:r>
          </w:p>
          <w:p w14:paraId="27319139" w14:textId="77777777" w:rsidR="00E27E1F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Ireland and according to</w:t>
            </w:r>
            <w:r w:rsidR="00BE4941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Enright, M. &amp; Ting, S. (2020) and Finnerty, A.M. &amp; Laing, J. (2022), </w:t>
            </w:r>
          </w:p>
          <w:p w14:paraId="2A32EAFE" w14:textId="77777777" w:rsidR="00E27E1F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a sense of</w:t>
            </w:r>
            <w:r w:rsidR="00BE4941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greater urgency around the updating and implementation of safeguarding</w:t>
            </w:r>
            <w:r w:rsidR="00BE4941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</w:t>
            </w:r>
          </w:p>
          <w:p w14:paraId="5719A7F6" w14:textId="77777777" w:rsidR="00E27E1F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legislation is required by policy makers in Ireland, partly due to previous safeguarding </w:t>
            </w:r>
          </w:p>
          <w:p w14:paraId="49E59B1D" w14:textId="77777777" w:rsidR="00E27E1F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processes having been mired in controversy in relation to the, by now, well documented </w:t>
            </w:r>
          </w:p>
          <w:p w14:paraId="2E44F17A" w14:textId="77777777" w:rsidR="00E27E1F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child abuse and alleged safeguarding cover up cases</w:t>
            </w:r>
            <w:r w:rsidR="00BE4941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associated with the Catholic Church in</w:t>
            </w:r>
          </w:p>
          <w:p w14:paraId="19BC74C4" w14:textId="77777777" w:rsidR="00E27E1F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the country, which have </w:t>
            </w:r>
            <w:r w:rsidR="00BE4941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arguably 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made the reporting of suspected abuse cases,</w:t>
            </w:r>
            <w:r w:rsidR="00BE4941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more </w:t>
            </w:r>
          </w:p>
          <w:p w14:paraId="0C813371" w14:textId="25F09623" w:rsidR="00F60929" w:rsidRPr="0047170A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difficult. </w:t>
            </w:r>
          </w:p>
          <w:p w14:paraId="539F37E9" w14:textId="77777777" w:rsidR="00F60929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</w:p>
          <w:p w14:paraId="19F30BAE" w14:textId="77777777" w:rsidR="00E27E1F" w:rsidRPr="0047170A" w:rsidRDefault="00E27E1F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</w:p>
          <w:p w14:paraId="1E30D8E3" w14:textId="77777777" w:rsidR="00F60929" w:rsidRPr="0047170A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b/>
                <w:bCs/>
                <w:color w:val="auto"/>
                <w:kern w:val="2"/>
                <w:sz w:val="24"/>
                <w:szCs w:val="24"/>
                <w:u w:val="single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b/>
                <w:bCs/>
                <w:color w:val="auto"/>
                <w:kern w:val="2"/>
                <w:sz w:val="24"/>
                <w:szCs w:val="24"/>
                <w:u w:val="single"/>
                <w:lang w:eastAsia="en-US"/>
                <w14:ligatures w14:val="standardContextual"/>
              </w:rPr>
              <w:t>Review &amp; Conclusion:</w:t>
            </w:r>
          </w:p>
          <w:p w14:paraId="3F48AEF4" w14:textId="77777777" w:rsidR="00E27E1F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While working on this particular, complex safeguarding case, I was aware of the importance, </w:t>
            </w:r>
          </w:p>
          <w:p w14:paraId="7A6136DB" w14:textId="77777777" w:rsidR="00E27E1F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as part of my own professional development and practise, to reflect and to engage with </w:t>
            </w:r>
          </w:p>
          <w:p w14:paraId="6B2EF2CB" w14:textId="77777777" w:rsidR="00E27E1F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ongoing professional learning via my monthly supervision and mentorship sessions</w:t>
            </w:r>
            <w:r w:rsidR="00890456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. In </w:t>
            </w:r>
          </w:p>
          <w:p w14:paraId="4928AAFE" w14:textId="77777777" w:rsidR="00E27E1F" w:rsidRDefault="00890456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addition, to be able </w:t>
            </w:r>
            <w:r w:rsidR="00F60929"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to liaise with other colleagues within the team, and to access academic </w:t>
            </w:r>
          </w:p>
          <w:p w14:paraId="6D15924F" w14:textId="77777777" w:rsidR="00D27D30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research regarding the diagnosis of dementia and bipolar</w:t>
            </w:r>
            <w:r w:rsidR="00D27D30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disorder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, </w:t>
            </w:r>
            <w:r w:rsidR="00890456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and 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around the </w:t>
            </w:r>
          </w:p>
          <w:p w14:paraId="225F9EED" w14:textId="77777777" w:rsidR="00D27D30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completion of mental capacity assessments and executive function</w:t>
            </w:r>
            <w:r w:rsidR="00890456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al 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assessments </w:t>
            </w:r>
            <w:r w:rsidR="00890456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with </w:t>
            </w:r>
          </w:p>
          <w:p w14:paraId="53AA88C4" w14:textId="6F9AD80F" w:rsidR="00F60929" w:rsidRPr="0047170A" w:rsidRDefault="00890456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regards</w:t>
            </w:r>
            <w:r w:rsidR="00F60929"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to complex, safeguarding cases (</w:t>
            </w:r>
            <w:r w:rsidR="00F60929" w:rsidRPr="0047170A">
              <w:rPr>
                <w:rFonts w:eastAsia="Aptos"/>
                <w:color w:val="212121"/>
                <w:kern w:val="2"/>
                <w:sz w:val="24"/>
                <w:szCs w:val="24"/>
                <w:lang w:eastAsia="en-US"/>
                <w14:ligatures w14:val="standardContextual"/>
              </w:rPr>
              <w:t>Noble, C. &amp; Irwin,</w:t>
            </w:r>
            <w:r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</w:t>
            </w:r>
            <w:r w:rsidR="00F60929" w:rsidRPr="0047170A">
              <w:rPr>
                <w:rFonts w:eastAsia="Aptos"/>
                <w:color w:val="212121"/>
                <w:kern w:val="2"/>
                <w:sz w:val="24"/>
                <w:szCs w:val="24"/>
                <w:lang w:eastAsia="en-US"/>
                <w14:ligatures w14:val="standardContextual"/>
              </w:rPr>
              <w:t>J.,2009)</w:t>
            </w:r>
            <w:r w:rsidR="00F60929"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.</w:t>
            </w:r>
          </w:p>
          <w:p w14:paraId="496609D2" w14:textId="77777777" w:rsidR="00E27E1F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As part of my reflections in relation to the actions completed with this aforementioned case, I</w:t>
            </w:r>
          </w:p>
          <w:p w14:paraId="3D360659" w14:textId="5C9E563A" w:rsidR="00E27E1F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have </w:t>
            </w:r>
            <w:r w:rsidR="00890456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decided to use another 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reflective </w:t>
            </w:r>
            <w:r w:rsidR="00890456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framework, i.e. “Gibb’s Reflective Model”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(Gibbs, G., </w:t>
            </w:r>
          </w:p>
          <w:p w14:paraId="4602548B" w14:textId="77777777" w:rsidR="00E27E1F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1988), which encompasses the six reflective steps of </w:t>
            </w:r>
            <w:r w:rsidR="00890456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“</w:t>
            </w:r>
            <w:r w:rsidRPr="00890456">
              <w:rPr>
                <w:rFonts w:eastAsia="Aptos"/>
                <w:i/>
                <w:iCs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descriptions</w:t>
            </w:r>
            <w:r w:rsidR="00890456">
              <w:rPr>
                <w:rFonts w:eastAsia="Aptos"/>
                <w:i/>
                <w:iCs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”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, </w:t>
            </w:r>
            <w:r w:rsidR="00890456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“</w:t>
            </w:r>
            <w:r w:rsidRPr="00890456">
              <w:rPr>
                <w:rFonts w:eastAsia="Aptos"/>
                <w:i/>
                <w:iCs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feelings</w:t>
            </w:r>
            <w:r w:rsidR="00890456">
              <w:rPr>
                <w:rFonts w:eastAsia="Aptos"/>
                <w:i/>
                <w:iCs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”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, </w:t>
            </w:r>
            <w:r w:rsidR="00890456">
              <w:rPr>
                <w:rFonts w:eastAsia="Aptos"/>
                <w:i/>
                <w:iCs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“</w:t>
            </w:r>
            <w:r w:rsidRPr="00890456">
              <w:rPr>
                <w:rFonts w:eastAsia="Aptos"/>
                <w:i/>
                <w:iCs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evaluations</w:t>
            </w:r>
            <w:r w:rsidR="00890456">
              <w:rPr>
                <w:rFonts w:eastAsia="Aptos"/>
                <w:i/>
                <w:iCs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”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, </w:t>
            </w:r>
          </w:p>
          <w:p w14:paraId="39C91799" w14:textId="14B4EB53" w:rsidR="00F60929" w:rsidRPr="0047170A" w:rsidRDefault="00890456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“</w:t>
            </w:r>
            <w:r w:rsidR="00F60929" w:rsidRPr="00890456">
              <w:rPr>
                <w:rFonts w:eastAsia="Aptos"/>
                <w:i/>
                <w:iCs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analysis</w:t>
            </w:r>
            <w:r>
              <w:rPr>
                <w:rFonts w:eastAsia="Aptos"/>
                <w:i/>
                <w:iCs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”</w:t>
            </w:r>
            <w:r w:rsidR="00F60929"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, </w:t>
            </w:r>
            <w:r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“</w:t>
            </w:r>
            <w:r w:rsidR="00F60929" w:rsidRPr="00890456">
              <w:rPr>
                <w:rFonts w:eastAsia="Aptos"/>
                <w:i/>
                <w:iCs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conclusion</w:t>
            </w:r>
            <w:r>
              <w:rPr>
                <w:rFonts w:eastAsia="Aptos"/>
                <w:i/>
                <w:iCs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”</w:t>
            </w:r>
            <w:r w:rsidR="00D27D30">
              <w:rPr>
                <w:rFonts w:eastAsia="Aptos"/>
                <w:i/>
                <w:iCs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,</w:t>
            </w:r>
            <w:r w:rsidR="00F60929"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and </w:t>
            </w:r>
            <w:r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“</w:t>
            </w:r>
            <w:r w:rsidR="00F60929" w:rsidRPr="00890456">
              <w:rPr>
                <w:rFonts w:eastAsia="Aptos"/>
                <w:i/>
                <w:iCs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action plan</w:t>
            </w:r>
            <w:r>
              <w:rPr>
                <w:rFonts w:eastAsia="Aptos"/>
                <w:i/>
                <w:iCs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” </w:t>
            </w:r>
            <w:r w:rsidRPr="00890456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(p. 12)</w:t>
            </w:r>
            <w:r w:rsidR="00F60929" w:rsidRPr="00890456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.</w:t>
            </w:r>
            <w:r w:rsidR="00F60929"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</w:t>
            </w:r>
          </w:p>
          <w:p w14:paraId="5EB30432" w14:textId="77777777" w:rsidR="00D27D30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As an overview, the safeguarding case involved an </w:t>
            </w:r>
            <w:r w:rsidR="00E9106A"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84-year-old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male client with a </w:t>
            </w:r>
            <w:r w:rsidR="00D27D30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co-</w:t>
            </w:r>
          </w:p>
          <w:p w14:paraId="5AEED51C" w14:textId="77777777" w:rsidR="00D27D30" w:rsidRDefault="00D27D30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morbidity</w:t>
            </w:r>
            <w:r w:rsidR="00F60929"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diagnosis of vascular dementia and </w:t>
            </w:r>
            <w:r w:rsidR="00E9106A"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bipolar</w:t>
            </w:r>
            <w:r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disorder</w:t>
            </w:r>
            <w:r w:rsidR="00F60929"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, and the client lives at home </w:t>
            </w:r>
          </w:p>
          <w:p w14:paraId="1B4E6374" w14:textId="77777777" w:rsidR="00D27D30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with his married partner and </w:t>
            </w:r>
            <w:r w:rsidR="00D27D30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adult-aged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son. The family are able to support the client as </w:t>
            </w:r>
          </w:p>
          <w:p w14:paraId="1CEEEBBD" w14:textId="424CA3D3" w:rsidR="00D27D30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much as possible, and despite signs of carer fatigue, </w:t>
            </w:r>
            <w:r w:rsidR="00D27D30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they 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were resistant to social services’ </w:t>
            </w:r>
          </w:p>
          <w:p w14:paraId="03CF94E7" w14:textId="77777777" w:rsidR="00D27D30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support and were more amenable to </w:t>
            </w:r>
            <w:r w:rsidR="00D27D30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ongoing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support from the OPMHS team. Principally, </w:t>
            </w:r>
          </w:p>
          <w:p w14:paraId="53F6424E" w14:textId="77777777" w:rsidR="00D27D30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safeguarding</w:t>
            </w:r>
            <w:r w:rsidR="00D27D30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matters were concerned around client 1 walking into the local town centre, </w:t>
            </w:r>
          </w:p>
          <w:p w14:paraId="13B81F8D" w14:textId="77777777" w:rsidR="00D27D30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during the day and on his own, as the client was able to mobilise without a walking aid. </w:t>
            </w:r>
          </w:p>
          <w:p w14:paraId="0B5C51AA" w14:textId="77777777" w:rsidR="00D27D30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These concerns were raised after several PPU reports from concerned members of the </w:t>
            </w:r>
          </w:p>
          <w:p w14:paraId="1BC03644" w14:textId="199F3260" w:rsidR="00F60929" w:rsidRPr="0047170A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public. </w:t>
            </w:r>
          </w:p>
          <w:p w14:paraId="6D2961E0" w14:textId="77777777" w:rsidR="00E27E1F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My initial feelings were that it would have been dangerous for client 1 to continue walking </w:t>
            </w:r>
          </w:p>
          <w:p w14:paraId="047A4347" w14:textId="77777777" w:rsidR="00E27E1F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into the local town centre on his own and as Dixon, J (2023) states in her study of social </w:t>
            </w:r>
          </w:p>
          <w:p w14:paraId="30B75ECC" w14:textId="77777777" w:rsidR="00E27E1F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work anxiety involving </w:t>
            </w:r>
            <w:r w:rsidR="00E9106A"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multi-disciplinary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strategy</w:t>
            </w:r>
            <w:r w:rsidR="00013885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safeguarding cases, I </w:t>
            </w:r>
            <w:r w:rsidR="00013885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initially 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took an </w:t>
            </w:r>
          </w:p>
          <w:p w14:paraId="2B15ED08" w14:textId="77777777" w:rsidR="00E27E1F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overtly cautious approach during the initial stages of the social work assessment and risk </w:t>
            </w:r>
          </w:p>
          <w:p w14:paraId="5BFF84C6" w14:textId="77777777" w:rsidR="00E27E1F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lastRenderedPageBreak/>
              <w:t>assessment and felt a sense of</w:t>
            </w:r>
            <w:r w:rsidR="00013885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professional anxiety around the risks that the client was </w:t>
            </w:r>
          </w:p>
          <w:p w14:paraId="26D4B314" w14:textId="77777777" w:rsidR="00E27E1F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taking daily, coupled with being an integral member of the </w:t>
            </w:r>
            <w:r w:rsidR="00013885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strateg</w:t>
            </w:r>
            <w:r w:rsidR="00541D64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y safeguarding meetings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. </w:t>
            </w:r>
          </w:p>
          <w:p w14:paraId="585369F8" w14:textId="77777777" w:rsidR="00E27E1F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However, and upon reflection, through the support I received via supervision, mentorship, </w:t>
            </w:r>
          </w:p>
          <w:p w14:paraId="2D79EE61" w14:textId="77777777" w:rsidR="00E27E1F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and from colleagues via the </w:t>
            </w:r>
            <w:r w:rsidR="00E9106A"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multi-disciplinary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team, I was able to complete an informed, </w:t>
            </w:r>
          </w:p>
          <w:p w14:paraId="4B9D5A2F" w14:textId="77777777" w:rsidR="00E27E1F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comprehensive and transparent social work assessment and risk assessment that balanced </w:t>
            </w:r>
          </w:p>
          <w:p w14:paraId="17788713" w14:textId="77777777" w:rsidR="00E27E1F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the </w:t>
            </w:r>
            <w:r w:rsidR="00541D64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highlighted, 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heightened physical risks for the client, with </w:t>
            </w:r>
            <w:r w:rsidR="009632B4"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Client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1</w:t>
            </w:r>
            <w:r w:rsidR="00541D64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and his family’s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</w:t>
            </w:r>
            <w:r w:rsidR="00541D64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wishes </w:t>
            </w:r>
          </w:p>
          <w:p w14:paraId="7367B66D" w14:textId="6E99A5BF" w:rsidR="00541D64" w:rsidRDefault="00541D64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and feelings. </w:t>
            </w:r>
            <w:r w:rsidR="00F60929"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</w:t>
            </w:r>
          </w:p>
          <w:p w14:paraId="64F80651" w14:textId="6D6666C4" w:rsidR="00E27E1F" w:rsidRDefault="00F60929" w:rsidP="001D20F6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Again, and upon reflection, it was increasingly clear that </w:t>
            </w:r>
            <w:r w:rsidR="00082723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c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lient 1’s family </w:t>
            </w:r>
            <w:r w:rsidR="00D27D30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was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experiencing </w:t>
            </w:r>
          </w:p>
          <w:p w14:paraId="0884431E" w14:textId="77777777" w:rsidR="00E27E1F" w:rsidRDefault="00F60929" w:rsidP="001D20F6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carer fatigue, and this sense may have contributed to my own initial professional anxiety, i.e. </w:t>
            </w:r>
          </w:p>
          <w:p w14:paraId="4F3B8360" w14:textId="77777777" w:rsidR="00E27E1F" w:rsidRDefault="00F60929" w:rsidP="001D20F6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that it would be more appropriate for the client not to walk outside on his own and for the </w:t>
            </w:r>
          </w:p>
          <w:p w14:paraId="62461B10" w14:textId="77777777" w:rsidR="00E27E1F" w:rsidRDefault="00F60929" w:rsidP="001D20F6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client to receive more carer support at home. (Bourassa, D.B., 2007). In addition, and </w:t>
            </w:r>
          </w:p>
          <w:p w14:paraId="4684C5FD" w14:textId="77777777" w:rsidR="00E27E1F" w:rsidRDefault="00F60929" w:rsidP="001D20F6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possibly due to their difficult previous experience of working with social services, they may </w:t>
            </w:r>
          </w:p>
          <w:p w14:paraId="66F3BC1F" w14:textId="0D7638A0" w:rsidR="00E27E1F" w:rsidRDefault="00F60929" w:rsidP="001D20F6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have felt a real sense of anxiety </w:t>
            </w:r>
            <w:r w:rsidR="00D27D30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when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working with certain professionals, which can be a </w:t>
            </w:r>
          </w:p>
          <w:p w14:paraId="1A24B46C" w14:textId="77777777" w:rsidR="00E27E1F" w:rsidRDefault="00F60929" w:rsidP="001D20F6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common experience for many individuals and their </w:t>
            </w:r>
            <w:r w:rsidR="00082723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caregivers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(Dizon, J., 2023). Additionally, </w:t>
            </w:r>
          </w:p>
          <w:p w14:paraId="2C4EAA1D" w14:textId="77777777" w:rsidR="00E27E1F" w:rsidRDefault="00F60929" w:rsidP="001D20F6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I have also reflected if the family's Christian faith also had an impact upon their capacity to </w:t>
            </w:r>
          </w:p>
          <w:p w14:paraId="310BD88C" w14:textId="1F6969F3" w:rsidR="00E27E1F" w:rsidRDefault="00F60929" w:rsidP="001D20F6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engage with </w:t>
            </w:r>
            <w:r w:rsidR="00082723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adult 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social services. For example, Belcher, J.R. (2007) </w:t>
            </w:r>
            <w:r w:rsidR="00D27D30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states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that for some </w:t>
            </w:r>
          </w:p>
          <w:p w14:paraId="649D0179" w14:textId="00D69EA4" w:rsidR="00E27E1F" w:rsidRDefault="00F60929" w:rsidP="001D20F6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individuals and families who follow the Christian faith</w:t>
            </w:r>
            <w:r w:rsidR="00082723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, </w:t>
            </w:r>
            <w:r w:rsidRPr="00082723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and arguably other faiths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, may </w:t>
            </w:r>
          </w:p>
          <w:p w14:paraId="3A54B1E1" w14:textId="77777777" w:rsidR="00E27E1F" w:rsidRDefault="00F60929" w:rsidP="001D20F6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have felt </w:t>
            </w:r>
            <w:r w:rsidR="00082723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more </w:t>
            </w:r>
            <w:r w:rsidR="001D20F6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comfortable</w:t>
            </w:r>
            <w:r w:rsidR="00082723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in receiving support from their own church community, </w:t>
            </w:r>
            <w:r w:rsidR="001D20F6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instead </w:t>
            </w:r>
          </w:p>
          <w:p w14:paraId="7BBF5DFD" w14:textId="764E7112" w:rsidR="00F60929" w:rsidRPr="0047170A" w:rsidRDefault="001D20F6" w:rsidP="001D20F6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from adult social services. </w:t>
            </w:r>
          </w:p>
          <w:p w14:paraId="47D39906" w14:textId="77777777" w:rsidR="00E27E1F" w:rsidRDefault="00F60929" w:rsidP="00966820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Upon reflection, I believe that I worked well within the framework of the multi-disciplinary </w:t>
            </w:r>
          </w:p>
          <w:p w14:paraId="4B8B419C" w14:textId="77777777" w:rsidR="00066B07" w:rsidRDefault="00F60929" w:rsidP="00966820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safeguarding team, and that in many aspects, I </w:t>
            </w:r>
            <w:r w:rsidR="00066B07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have been able to 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demonstrate that I work in</w:t>
            </w:r>
          </w:p>
          <w:p w14:paraId="5E67CB09" w14:textId="0D994225" w:rsidR="00E27E1F" w:rsidRDefault="00F60929" w:rsidP="00966820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a </w:t>
            </w:r>
            <w:r w:rsidR="00E9106A"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person-centred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manner. In addition, I was able to prepare a comprehensive and informed </w:t>
            </w:r>
          </w:p>
          <w:p w14:paraId="452AF42A" w14:textId="77777777" w:rsidR="00E27E1F" w:rsidRDefault="00F60929" w:rsidP="00966820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risk assessment as part of the overall social work assessment. However, I believe that I </w:t>
            </w:r>
          </w:p>
          <w:p w14:paraId="59D39094" w14:textId="3DAD9511" w:rsidR="00E27E1F" w:rsidRDefault="00F60929" w:rsidP="00966820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could have worked more </w:t>
            </w:r>
            <w:r w:rsidR="00B52F44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in addressing the family’s ambivalence</w:t>
            </w:r>
            <w:r w:rsidR="006E235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towards working with </w:t>
            </w:r>
            <w:r w:rsidR="00D27D30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adult</w:t>
            </w:r>
            <w:r w:rsidR="006E235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</w:t>
            </w:r>
          </w:p>
          <w:p w14:paraId="657BF14E" w14:textId="77777777" w:rsidR="00E27E1F" w:rsidRDefault="006E235A" w:rsidP="00966820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social services, and that I could have used other strategies when trying to form a working </w:t>
            </w:r>
          </w:p>
          <w:p w14:paraId="15D96978" w14:textId="77777777" w:rsidR="00E27E1F" w:rsidRDefault="006E235A" w:rsidP="00966820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relationship with client 1 and his family, e.g. by using “</w:t>
            </w:r>
            <w:r w:rsidRPr="006E235A">
              <w:rPr>
                <w:rFonts w:eastAsia="Aptos"/>
                <w:i/>
                <w:iCs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Motivational Interviewing</w:t>
            </w:r>
            <w:r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” (</w:t>
            </w:r>
            <w:proofErr w:type="spellStart"/>
            <w:r w:rsidR="00966820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Alomnd</w:t>
            </w:r>
            <w:proofErr w:type="spellEnd"/>
            <w:r w:rsidR="00966820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, T.</w:t>
            </w:r>
          </w:p>
          <w:p w14:paraId="086C99EA" w14:textId="726CCC49" w:rsidR="00E27E1F" w:rsidRDefault="00966820" w:rsidP="00966820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lastRenderedPageBreak/>
              <w:t xml:space="preserve"> et al</w:t>
            </w:r>
            <w:r w:rsidR="00D27D30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.</w:t>
            </w:r>
            <w:r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, 2024). As </w:t>
            </w:r>
            <w:r w:rsidR="00F60929"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Wahab, S </w:t>
            </w:r>
            <w:r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(</w:t>
            </w:r>
            <w:r w:rsidR="00F60929"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2005)</w:t>
            </w:r>
            <w:r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and Murphy, D. et al. (2012) state, employing such </w:t>
            </w:r>
          </w:p>
          <w:p w14:paraId="06D8988C" w14:textId="6F706D81" w:rsidR="00E27E1F" w:rsidRDefault="00966820" w:rsidP="00966820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techniques </w:t>
            </w:r>
            <w:r w:rsidR="00D27D30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such </w:t>
            </w:r>
            <w:r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as “</w:t>
            </w:r>
            <w:r w:rsidRPr="0052701B">
              <w:rPr>
                <w:rFonts w:eastAsia="Aptos"/>
                <w:i/>
                <w:iCs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OARS</w:t>
            </w:r>
            <w:r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” and </w:t>
            </w:r>
            <w:r w:rsidR="0085279E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the “</w:t>
            </w:r>
            <w:r w:rsidR="0085279E" w:rsidRPr="0052701B">
              <w:rPr>
                <w:rFonts w:eastAsia="Aptos"/>
                <w:i/>
                <w:iCs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RULES</w:t>
            </w:r>
            <w:r w:rsidR="0085279E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” principles, </w:t>
            </w:r>
            <w:r w:rsidR="0052701B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techniques that </w:t>
            </w:r>
            <w:r w:rsidR="0085279E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have been </w:t>
            </w:r>
          </w:p>
          <w:p w14:paraId="251E122D" w14:textId="77777777" w:rsidR="00E27E1F" w:rsidRDefault="0085279E" w:rsidP="00966820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demonstrated to be effective techniques</w:t>
            </w:r>
            <w:r w:rsidR="0052701B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when working with ambivalence, could have offered </w:t>
            </w:r>
          </w:p>
          <w:p w14:paraId="0603B4E1" w14:textId="3E60DD7E" w:rsidR="00F60929" w:rsidRPr="0047170A" w:rsidRDefault="0052701B" w:rsidP="00966820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a better approach. </w:t>
            </w:r>
          </w:p>
          <w:p w14:paraId="1DB9F35B" w14:textId="77777777" w:rsidR="00E27E1F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In conclusion, I have demonstrated how the aforementioned case study, involving a complex</w:t>
            </w:r>
          </w:p>
          <w:p w14:paraId="4B8983A9" w14:textId="77777777" w:rsidR="00E27E1F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safeguarding case in a local authority </w:t>
            </w:r>
            <w:r w:rsidR="00E9106A"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adult social service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department, relates to legislation, </w:t>
            </w:r>
          </w:p>
          <w:p w14:paraId="36BDFE8A" w14:textId="113B4810" w:rsidR="00E27E1F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polices, strategies</w:t>
            </w:r>
            <w:r w:rsidR="00D27D30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,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and procedures in a Welsh context, with reference to two </w:t>
            </w:r>
            <w:proofErr w:type="gramStart"/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other</w:t>
            </w:r>
            <w:proofErr w:type="gramEnd"/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</w:t>
            </w:r>
          </w:p>
          <w:p w14:paraId="2F8778E0" w14:textId="77777777" w:rsidR="00E27E1F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jurisdictional contexts, namely New Zealand and Ireland. In addition, I have also </w:t>
            </w:r>
          </w:p>
          <w:p w14:paraId="7BF42743" w14:textId="77777777" w:rsidR="00E27E1F" w:rsidRDefault="00E27E1F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#</w:t>
            </w:r>
            <w:r w:rsidR="00F60929"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demonstrated my professional analysis and judgment in relation to the aforementioned </w:t>
            </w:r>
          </w:p>
          <w:p w14:paraId="07D0A5F9" w14:textId="77777777" w:rsidR="00E27E1F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complex, safeguarding case, with reference to the completed risk assessment that involved</w:t>
            </w:r>
          </w:p>
          <w:p w14:paraId="2F59730B" w14:textId="77777777" w:rsidR="00E27E1F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a mental capacity assessment and an executive function</w:t>
            </w:r>
            <w:r w:rsidR="0052701B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al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assessment, and the use of </w:t>
            </w:r>
          </w:p>
          <w:p w14:paraId="1706589A" w14:textId="77777777" w:rsidR="00E27E1F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collaborative working within a multidisciplinary approach. Finally, I have also demonstrated</w:t>
            </w:r>
          </w:p>
          <w:p w14:paraId="34AFE058" w14:textId="3E22E1A0" w:rsidR="00E27E1F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in this assignment</w:t>
            </w:r>
            <w:r w:rsidR="00D27D30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,</w:t>
            </w: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I have been able to use different theoretical approaches, via </w:t>
            </w:r>
          </w:p>
          <w:p w14:paraId="24408079" w14:textId="77777777" w:rsidR="00E27E1F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supervision and mentorship sessions, to better understand my understanding of the </w:t>
            </w:r>
          </w:p>
          <w:p w14:paraId="204F5B43" w14:textId="552982BF" w:rsidR="00E27E1F" w:rsidRDefault="0052701B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aforementioned </w:t>
            </w:r>
            <w:r w:rsidR="00F60929"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case, with reference to the psychodynamic</w:t>
            </w:r>
            <w:r w:rsidR="00D27D30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and</w:t>
            </w:r>
            <w:r w:rsidR="00F60929"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family systems theories, </w:t>
            </w:r>
          </w:p>
          <w:p w14:paraId="44F858B8" w14:textId="598D6458" w:rsidR="00F60929" w:rsidRPr="0047170A" w:rsidRDefault="00F60929" w:rsidP="00F6092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motivational interviewing, and with reference to the person-centred approach. </w:t>
            </w:r>
          </w:p>
          <w:p w14:paraId="47F21B6A" w14:textId="14DE6BAB" w:rsidR="007A628F" w:rsidRPr="00620699" w:rsidRDefault="00F60929" w:rsidP="0062069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ascii="Comic Sans MS" w:eastAsia="Aptos" w:hAnsi="Comic Sans MS" w:cs="Times New Roman"/>
                <w:b/>
                <w:bCs/>
                <w:i/>
                <w:iCs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47170A">
              <w:rPr>
                <w:rFonts w:eastAsia="Aptos"/>
                <w:b/>
                <w:bCs/>
                <w:i/>
                <w:iCs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Word Count: 4,3</w:t>
            </w:r>
            <w:r w:rsidR="00601972">
              <w:rPr>
                <w:rFonts w:eastAsia="Aptos"/>
                <w:b/>
                <w:bCs/>
                <w:i/>
                <w:iCs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76</w:t>
            </w:r>
          </w:p>
        </w:tc>
      </w:tr>
    </w:tbl>
    <w:p w14:paraId="1B4186EF" w14:textId="77777777" w:rsidR="00D3442D" w:rsidRDefault="00D3442D" w:rsidP="00D3442D">
      <w:pPr>
        <w:jc w:val="both"/>
        <w:rPr>
          <w:sz w:val="24"/>
          <w:szCs w:val="24"/>
        </w:rPr>
      </w:pPr>
    </w:p>
    <w:p w14:paraId="3BE23FA3" w14:textId="77777777" w:rsidR="00DD31C5" w:rsidRDefault="00DD31C5" w:rsidP="00064063">
      <w:pPr>
        <w:ind w:firstLine="720"/>
        <w:jc w:val="both"/>
        <w:rPr>
          <w:b/>
          <w:sz w:val="24"/>
          <w:szCs w:val="24"/>
        </w:rPr>
      </w:pPr>
    </w:p>
    <w:p w14:paraId="71B02E9F" w14:textId="77777777" w:rsidR="00DD31C5" w:rsidRPr="008B28E7" w:rsidRDefault="00DD31C5" w:rsidP="00064063">
      <w:pPr>
        <w:ind w:firstLine="720"/>
        <w:jc w:val="both"/>
        <w:rPr>
          <w:b/>
          <w:sz w:val="24"/>
          <w:szCs w:val="24"/>
        </w:rPr>
      </w:pPr>
    </w:p>
    <w:p w14:paraId="7F4433FA" w14:textId="247A8309" w:rsidR="00CC135E" w:rsidRPr="003B29BC" w:rsidRDefault="00CC135E" w:rsidP="003B29BC">
      <w:pPr>
        <w:rPr>
          <w:color w:val="auto"/>
          <w:sz w:val="24"/>
          <w:szCs w:val="24"/>
        </w:rPr>
      </w:pPr>
    </w:p>
    <w:sectPr w:rsidR="00CC135E" w:rsidRPr="003B29BC" w:rsidSect="00F15354">
      <w:headerReference w:type="default" r:id="rId11"/>
      <w:footerReference w:type="default" r:id="rId12"/>
      <w:pgSz w:w="12240" w:h="15840"/>
      <w:pgMar w:top="1440" w:right="1080" w:bottom="1440" w:left="1080" w:header="720" w:footer="720" w:gutter="0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58094E0" w14:textId="77777777" w:rsidR="005047B9" w:rsidRDefault="005047B9">
      <w:r>
        <w:separator/>
      </w:r>
    </w:p>
  </w:endnote>
  <w:endnote w:type="continuationSeparator" w:id="0">
    <w:p w14:paraId="25913641" w14:textId="77777777" w:rsidR="005047B9" w:rsidRDefault="005047B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Microsoft YaHei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omic Sans MS">
    <w:panose1 w:val="030F0702030302020204"/>
    <w:charset w:val="00"/>
    <w:family w:val="script"/>
    <w:pitch w:val="variable"/>
    <w:sig w:usb0="00000687" w:usb1="00000013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FA3DEAF" w14:textId="311829FB" w:rsidR="00A5656A" w:rsidRDefault="00A5656A">
    <w:pPr>
      <w:pStyle w:val="Footer"/>
      <w:jc w:val="right"/>
    </w:pPr>
    <w:r>
      <w:fldChar w:fldCharType="begin"/>
    </w:r>
    <w:r>
      <w:instrText xml:space="preserve"> PAGE   \* MERGEFORMAT </w:instrText>
    </w:r>
    <w:r>
      <w:fldChar w:fldCharType="separate"/>
    </w:r>
    <w:r w:rsidR="006F1438">
      <w:rPr>
        <w:noProof/>
      </w:rPr>
      <w:t>2</w:t>
    </w:r>
    <w:r w:rsidR="006F1438">
      <w:rPr>
        <w:noProof/>
      </w:rPr>
      <w:t>4</w:t>
    </w:r>
    <w:r>
      <w:rPr>
        <w:noProof/>
      </w:rPr>
      <w:fldChar w:fldCharType="end"/>
    </w:r>
  </w:p>
  <w:p w14:paraId="5CA2AEEC" w14:textId="77777777" w:rsidR="00A5656A" w:rsidRPr="00E60F42" w:rsidRDefault="00A5656A" w:rsidP="004C2D3A">
    <w:pPr>
      <w:pStyle w:val="Footer"/>
      <w:ind w:right="360"/>
      <w:jc w:val="center"/>
      <w:rPr>
        <w:lang w:val="en-GB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BC848AD" w14:textId="77777777" w:rsidR="005047B9" w:rsidRDefault="005047B9">
      <w:r>
        <w:separator/>
      </w:r>
    </w:p>
  </w:footnote>
  <w:footnote w:type="continuationSeparator" w:id="0">
    <w:p w14:paraId="50CCF34E" w14:textId="77777777" w:rsidR="005047B9" w:rsidRDefault="005047B9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053128E" w14:textId="52E03DEF" w:rsidR="00A5656A" w:rsidRDefault="00A5656A">
    <w:pPr>
      <w:pStyle w:val="Header"/>
    </w:pPr>
    <w:r>
      <w:t xml:space="preserve">Version </w:t>
    </w:r>
    <w:r w:rsidR="00DC2924">
      <w:t>1_Cohort 15</w:t>
    </w:r>
    <w:r>
      <w:t xml:space="preserve"> 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doNotHyphenateCaps/>
  <w:drawingGridHorizontalSpacing w:val="120"/>
  <w:drawingGridVerticalSpacing w:val="120"/>
  <w:displayVerticalDrawingGridEvery w:val="0"/>
  <w:doNotUseMarginsForDrawingGridOrigin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B1701"/>
    <w:rsid w:val="0000138E"/>
    <w:rsid w:val="00002C7A"/>
    <w:rsid w:val="000045B8"/>
    <w:rsid w:val="00012B16"/>
    <w:rsid w:val="00013885"/>
    <w:rsid w:val="000201E2"/>
    <w:rsid w:val="00020EEC"/>
    <w:rsid w:val="0002440E"/>
    <w:rsid w:val="0002759A"/>
    <w:rsid w:val="00027B1F"/>
    <w:rsid w:val="0003088B"/>
    <w:rsid w:val="000325D9"/>
    <w:rsid w:val="00035946"/>
    <w:rsid w:val="000372B2"/>
    <w:rsid w:val="0004079F"/>
    <w:rsid w:val="00043543"/>
    <w:rsid w:val="00045B87"/>
    <w:rsid w:val="00045C07"/>
    <w:rsid w:val="00045C40"/>
    <w:rsid w:val="00046861"/>
    <w:rsid w:val="00054A07"/>
    <w:rsid w:val="00055D43"/>
    <w:rsid w:val="00056FAC"/>
    <w:rsid w:val="00057751"/>
    <w:rsid w:val="00060CA0"/>
    <w:rsid w:val="00062E39"/>
    <w:rsid w:val="00064063"/>
    <w:rsid w:val="0006581A"/>
    <w:rsid w:val="00066B07"/>
    <w:rsid w:val="00074461"/>
    <w:rsid w:val="000766EC"/>
    <w:rsid w:val="00080E58"/>
    <w:rsid w:val="00082723"/>
    <w:rsid w:val="00083D99"/>
    <w:rsid w:val="00084DA6"/>
    <w:rsid w:val="00085699"/>
    <w:rsid w:val="00090160"/>
    <w:rsid w:val="00091F52"/>
    <w:rsid w:val="00092970"/>
    <w:rsid w:val="00093720"/>
    <w:rsid w:val="000938E6"/>
    <w:rsid w:val="00093B3C"/>
    <w:rsid w:val="0009488C"/>
    <w:rsid w:val="00095C1B"/>
    <w:rsid w:val="00096DEA"/>
    <w:rsid w:val="000A4240"/>
    <w:rsid w:val="000A469A"/>
    <w:rsid w:val="000A584A"/>
    <w:rsid w:val="000A6458"/>
    <w:rsid w:val="000C378F"/>
    <w:rsid w:val="000C6892"/>
    <w:rsid w:val="000C6FFE"/>
    <w:rsid w:val="000D0BB6"/>
    <w:rsid w:val="000D2ED2"/>
    <w:rsid w:val="000D6653"/>
    <w:rsid w:val="000E0D51"/>
    <w:rsid w:val="000E26B0"/>
    <w:rsid w:val="000E37C2"/>
    <w:rsid w:val="000E38C3"/>
    <w:rsid w:val="000F1599"/>
    <w:rsid w:val="000F16F4"/>
    <w:rsid w:val="000F1769"/>
    <w:rsid w:val="000F1A97"/>
    <w:rsid w:val="000F42AE"/>
    <w:rsid w:val="000F6196"/>
    <w:rsid w:val="000F6BC3"/>
    <w:rsid w:val="0010312C"/>
    <w:rsid w:val="00105026"/>
    <w:rsid w:val="0010662B"/>
    <w:rsid w:val="00106DC7"/>
    <w:rsid w:val="001070A1"/>
    <w:rsid w:val="00112391"/>
    <w:rsid w:val="00114F52"/>
    <w:rsid w:val="001150E7"/>
    <w:rsid w:val="00130119"/>
    <w:rsid w:val="00132812"/>
    <w:rsid w:val="001347F8"/>
    <w:rsid w:val="001359EE"/>
    <w:rsid w:val="00137BB5"/>
    <w:rsid w:val="00137E05"/>
    <w:rsid w:val="001447F6"/>
    <w:rsid w:val="00147DE3"/>
    <w:rsid w:val="00150794"/>
    <w:rsid w:val="00151DA6"/>
    <w:rsid w:val="00152C4F"/>
    <w:rsid w:val="001608C4"/>
    <w:rsid w:val="00164832"/>
    <w:rsid w:val="00171418"/>
    <w:rsid w:val="001772BF"/>
    <w:rsid w:val="001772DE"/>
    <w:rsid w:val="0019496C"/>
    <w:rsid w:val="001961CF"/>
    <w:rsid w:val="001A59BB"/>
    <w:rsid w:val="001A607E"/>
    <w:rsid w:val="001A6A51"/>
    <w:rsid w:val="001A79C4"/>
    <w:rsid w:val="001B331A"/>
    <w:rsid w:val="001B441C"/>
    <w:rsid w:val="001C0237"/>
    <w:rsid w:val="001C0E74"/>
    <w:rsid w:val="001C4DB8"/>
    <w:rsid w:val="001C50B8"/>
    <w:rsid w:val="001D20F6"/>
    <w:rsid w:val="001D229F"/>
    <w:rsid w:val="001E2EB6"/>
    <w:rsid w:val="001F4552"/>
    <w:rsid w:val="002019EB"/>
    <w:rsid w:val="00204B58"/>
    <w:rsid w:val="00205051"/>
    <w:rsid w:val="002076B1"/>
    <w:rsid w:val="00211F65"/>
    <w:rsid w:val="00214047"/>
    <w:rsid w:val="00216563"/>
    <w:rsid w:val="0021792F"/>
    <w:rsid w:val="00220D06"/>
    <w:rsid w:val="002246A0"/>
    <w:rsid w:val="00230439"/>
    <w:rsid w:val="00232A09"/>
    <w:rsid w:val="00235176"/>
    <w:rsid w:val="00236061"/>
    <w:rsid w:val="0024100E"/>
    <w:rsid w:val="00241C1B"/>
    <w:rsid w:val="0024288B"/>
    <w:rsid w:val="00243DB0"/>
    <w:rsid w:val="00247265"/>
    <w:rsid w:val="00260663"/>
    <w:rsid w:val="002657E9"/>
    <w:rsid w:val="0026665E"/>
    <w:rsid w:val="0027147E"/>
    <w:rsid w:val="00272F47"/>
    <w:rsid w:val="002761F4"/>
    <w:rsid w:val="00276FF7"/>
    <w:rsid w:val="002775E1"/>
    <w:rsid w:val="00277979"/>
    <w:rsid w:val="00287415"/>
    <w:rsid w:val="00291ADD"/>
    <w:rsid w:val="002920DF"/>
    <w:rsid w:val="00292F3D"/>
    <w:rsid w:val="00295CA1"/>
    <w:rsid w:val="002A0E51"/>
    <w:rsid w:val="002A1A44"/>
    <w:rsid w:val="002A291A"/>
    <w:rsid w:val="002A2C54"/>
    <w:rsid w:val="002A4E2E"/>
    <w:rsid w:val="002A5604"/>
    <w:rsid w:val="002B1701"/>
    <w:rsid w:val="002B23C3"/>
    <w:rsid w:val="002B443A"/>
    <w:rsid w:val="002B5B35"/>
    <w:rsid w:val="002B5D5C"/>
    <w:rsid w:val="002B7AEE"/>
    <w:rsid w:val="002C2536"/>
    <w:rsid w:val="002C256A"/>
    <w:rsid w:val="002C3031"/>
    <w:rsid w:val="002C4233"/>
    <w:rsid w:val="002C443D"/>
    <w:rsid w:val="002C496D"/>
    <w:rsid w:val="002C7B01"/>
    <w:rsid w:val="002D05EB"/>
    <w:rsid w:val="002D11A8"/>
    <w:rsid w:val="002D2F29"/>
    <w:rsid w:val="002D46C0"/>
    <w:rsid w:val="002D5A92"/>
    <w:rsid w:val="002D65D2"/>
    <w:rsid w:val="002D6B31"/>
    <w:rsid w:val="002E6D17"/>
    <w:rsid w:val="002E7017"/>
    <w:rsid w:val="002E7F2C"/>
    <w:rsid w:val="002F1FC7"/>
    <w:rsid w:val="002F2185"/>
    <w:rsid w:val="002F4F6E"/>
    <w:rsid w:val="003015C3"/>
    <w:rsid w:val="003106DB"/>
    <w:rsid w:val="0031350A"/>
    <w:rsid w:val="00316815"/>
    <w:rsid w:val="003168CA"/>
    <w:rsid w:val="00321255"/>
    <w:rsid w:val="0032230D"/>
    <w:rsid w:val="00322A0B"/>
    <w:rsid w:val="00330881"/>
    <w:rsid w:val="00331CD2"/>
    <w:rsid w:val="00332426"/>
    <w:rsid w:val="00335C41"/>
    <w:rsid w:val="00335FC5"/>
    <w:rsid w:val="0033771E"/>
    <w:rsid w:val="00337FEF"/>
    <w:rsid w:val="00347459"/>
    <w:rsid w:val="00354B6D"/>
    <w:rsid w:val="00355210"/>
    <w:rsid w:val="00355CFD"/>
    <w:rsid w:val="00363D7C"/>
    <w:rsid w:val="00365DF9"/>
    <w:rsid w:val="0037066E"/>
    <w:rsid w:val="00372DB4"/>
    <w:rsid w:val="00373A36"/>
    <w:rsid w:val="0037419E"/>
    <w:rsid w:val="00375AF5"/>
    <w:rsid w:val="003761BD"/>
    <w:rsid w:val="00377448"/>
    <w:rsid w:val="00377884"/>
    <w:rsid w:val="003826BD"/>
    <w:rsid w:val="00385414"/>
    <w:rsid w:val="00386C3F"/>
    <w:rsid w:val="00390074"/>
    <w:rsid w:val="00392F73"/>
    <w:rsid w:val="00393600"/>
    <w:rsid w:val="0039762B"/>
    <w:rsid w:val="003A0C37"/>
    <w:rsid w:val="003A1B6B"/>
    <w:rsid w:val="003A46C0"/>
    <w:rsid w:val="003A600E"/>
    <w:rsid w:val="003A6513"/>
    <w:rsid w:val="003B16C7"/>
    <w:rsid w:val="003B29BC"/>
    <w:rsid w:val="003B3115"/>
    <w:rsid w:val="003C19F1"/>
    <w:rsid w:val="003C3C67"/>
    <w:rsid w:val="003C4186"/>
    <w:rsid w:val="003C6185"/>
    <w:rsid w:val="003D0D2D"/>
    <w:rsid w:val="003D1885"/>
    <w:rsid w:val="003D1BC0"/>
    <w:rsid w:val="003D20F1"/>
    <w:rsid w:val="003D4710"/>
    <w:rsid w:val="003E16D7"/>
    <w:rsid w:val="003E197E"/>
    <w:rsid w:val="003E4B70"/>
    <w:rsid w:val="003E54CF"/>
    <w:rsid w:val="003E5FBA"/>
    <w:rsid w:val="003F1233"/>
    <w:rsid w:val="003F67A4"/>
    <w:rsid w:val="00400786"/>
    <w:rsid w:val="00401FDA"/>
    <w:rsid w:val="004046F0"/>
    <w:rsid w:val="0040668F"/>
    <w:rsid w:val="00407215"/>
    <w:rsid w:val="00411EF7"/>
    <w:rsid w:val="00412677"/>
    <w:rsid w:val="00425160"/>
    <w:rsid w:val="00430DE3"/>
    <w:rsid w:val="004348AE"/>
    <w:rsid w:val="004376C0"/>
    <w:rsid w:val="0044223A"/>
    <w:rsid w:val="00450B67"/>
    <w:rsid w:val="00451851"/>
    <w:rsid w:val="0045189A"/>
    <w:rsid w:val="00453343"/>
    <w:rsid w:val="004538C3"/>
    <w:rsid w:val="004608B9"/>
    <w:rsid w:val="00463B55"/>
    <w:rsid w:val="00465947"/>
    <w:rsid w:val="004667B1"/>
    <w:rsid w:val="00467F66"/>
    <w:rsid w:val="00470461"/>
    <w:rsid w:val="00470BB1"/>
    <w:rsid w:val="0047170A"/>
    <w:rsid w:val="00473153"/>
    <w:rsid w:val="0047350F"/>
    <w:rsid w:val="004743AF"/>
    <w:rsid w:val="00482C17"/>
    <w:rsid w:val="00484CE3"/>
    <w:rsid w:val="004911B4"/>
    <w:rsid w:val="0049196A"/>
    <w:rsid w:val="004923DA"/>
    <w:rsid w:val="00492EEB"/>
    <w:rsid w:val="00493434"/>
    <w:rsid w:val="004968E2"/>
    <w:rsid w:val="004A2A49"/>
    <w:rsid w:val="004A5A64"/>
    <w:rsid w:val="004B5553"/>
    <w:rsid w:val="004B600B"/>
    <w:rsid w:val="004B6822"/>
    <w:rsid w:val="004B69F6"/>
    <w:rsid w:val="004C2D3A"/>
    <w:rsid w:val="004C6253"/>
    <w:rsid w:val="004D03C4"/>
    <w:rsid w:val="004D0BF1"/>
    <w:rsid w:val="004D0F4E"/>
    <w:rsid w:val="004D3278"/>
    <w:rsid w:val="004D35A4"/>
    <w:rsid w:val="004D445F"/>
    <w:rsid w:val="004E087B"/>
    <w:rsid w:val="004E44A4"/>
    <w:rsid w:val="004E7B8B"/>
    <w:rsid w:val="004E7BDD"/>
    <w:rsid w:val="004F1966"/>
    <w:rsid w:val="004F1E21"/>
    <w:rsid w:val="004F2542"/>
    <w:rsid w:val="004F4E33"/>
    <w:rsid w:val="004F740D"/>
    <w:rsid w:val="004F7B8F"/>
    <w:rsid w:val="00500748"/>
    <w:rsid w:val="005011D6"/>
    <w:rsid w:val="00502A14"/>
    <w:rsid w:val="005042F1"/>
    <w:rsid w:val="005047B9"/>
    <w:rsid w:val="0050481B"/>
    <w:rsid w:val="005113D4"/>
    <w:rsid w:val="0051287D"/>
    <w:rsid w:val="00513C7D"/>
    <w:rsid w:val="00521123"/>
    <w:rsid w:val="00521221"/>
    <w:rsid w:val="0052250B"/>
    <w:rsid w:val="0052701B"/>
    <w:rsid w:val="005305C6"/>
    <w:rsid w:val="00540EEC"/>
    <w:rsid w:val="005414F4"/>
    <w:rsid w:val="00541D64"/>
    <w:rsid w:val="00546187"/>
    <w:rsid w:val="00547B11"/>
    <w:rsid w:val="00557D77"/>
    <w:rsid w:val="00562EAA"/>
    <w:rsid w:val="00563B58"/>
    <w:rsid w:val="005640C4"/>
    <w:rsid w:val="0056684C"/>
    <w:rsid w:val="00574A0C"/>
    <w:rsid w:val="0057780F"/>
    <w:rsid w:val="00581E0A"/>
    <w:rsid w:val="00586D89"/>
    <w:rsid w:val="005877C8"/>
    <w:rsid w:val="00587923"/>
    <w:rsid w:val="00594F9F"/>
    <w:rsid w:val="005A1B4C"/>
    <w:rsid w:val="005A545C"/>
    <w:rsid w:val="005B10E3"/>
    <w:rsid w:val="005B271A"/>
    <w:rsid w:val="005B3A2D"/>
    <w:rsid w:val="005C1567"/>
    <w:rsid w:val="005C28D3"/>
    <w:rsid w:val="005C6CE5"/>
    <w:rsid w:val="005D267B"/>
    <w:rsid w:val="005D2F82"/>
    <w:rsid w:val="005D3F07"/>
    <w:rsid w:val="005D4A1E"/>
    <w:rsid w:val="005D4F72"/>
    <w:rsid w:val="005E13EA"/>
    <w:rsid w:val="005E16C7"/>
    <w:rsid w:val="005E17F1"/>
    <w:rsid w:val="005F64AA"/>
    <w:rsid w:val="005F7851"/>
    <w:rsid w:val="00601972"/>
    <w:rsid w:val="00606E27"/>
    <w:rsid w:val="006108C9"/>
    <w:rsid w:val="00614DF7"/>
    <w:rsid w:val="006179BB"/>
    <w:rsid w:val="00620699"/>
    <w:rsid w:val="0062158D"/>
    <w:rsid w:val="006223FD"/>
    <w:rsid w:val="006326D1"/>
    <w:rsid w:val="00632E0A"/>
    <w:rsid w:val="00633165"/>
    <w:rsid w:val="006447DE"/>
    <w:rsid w:val="00644889"/>
    <w:rsid w:val="00646622"/>
    <w:rsid w:val="00650CBF"/>
    <w:rsid w:val="0065276E"/>
    <w:rsid w:val="00654329"/>
    <w:rsid w:val="00654CEC"/>
    <w:rsid w:val="00655507"/>
    <w:rsid w:val="006579FD"/>
    <w:rsid w:val="006635E3"/>
    <w:rsid w:val="006669F3"/>
    <w:rsid w:val="006712A7"/>
    <w:rsid w:val="00672CED"/>
    <w:rsid w:val="00674FC2"/>
    <w:rsid w:val="00676E35"/>
    <w:rsid w:val="00677E42"/>
    <w:rsid w:val="00682334"/>
    <w:rsid w:val="00684732"/>
    <w:rsid w:val="00684B16"/>
    <w:rsid w:val="00687016"/>
    <w:rsid w:val="006872A0"/>
    <w:rsid w:val="0069625A"/>
    <w:rsid w:val="00696A88"/>
    <w:rsid w:val="00696F65"/>
    <w:rsid w:val="00697572"/>
    <w:rsid w:val="006A2FC0"/>
    <w:rsid w:val="006B4496"/>
    <w:rsid w:val="006B5E67"/>
    <w:rsid w:val="006B6612"/>
    <w:rsid w:val="006C2EB5"/>
    <w:rsid w:val="006D18A3"/>
    <w:rsid w:val="006D5970"/>
    <w:rsid w:val="006E235A"/>
    <w:rsid w:val="006E481E"/>
    <w:rsid w:val="006E795F"/>
    <w:rsid w:val="006F0862"/>
    <w:rsid w:val="006F1438"/>
    <w:rsid w:val="006F2A9E"/>
    <w:rsid w:val="006F2FA8"/>
    <w:rsid w:val="006F5ED3"/>
    <w:rsid w:val="00700249"/>
    <w:rsid w:val="007069CD"/>
    <w:rsid w:val="00706BB5"/>
    <w:rsid w:val="0071231A"/>
    <w:rsid w:val="00712E90"/>
    <w:rsid w:val="00713B7E"/>
    <w:rsid w:val="007205D4"/>
    <w:rsid w:val="00721528"/>
    <w:rsid w:val="0072678F"/>
    <w:rsid w:val="007276E5"/>
    <w:rsid w:val="00727C4C"/>
    <w:rsid w:val="00734809"/>
    <w:rsid w:val="0073714E"/>
    <w:rsid w:val="007374EF"/>
    <w:rsid w:val="007406E1"/>
    <w:rsid w:val="00743E40"/>
    <w:rsid w:val="00745016"/>
    <w:rsid w:val="0075031F"/>
    <w:rsid w:val="00751263"/>
    <w:rsid w:val="007544FC"/>
    <w:rsid w:val="00755427"/>
    <w:rsid w:val="00756548"/>
    <w:rsid w:val="0075673A"/>
    <w:rsid w:val="0075704F"/>
    <w:rsid w:val="00763B2D"/>
    <w:rsid w:val="00764C84"/>
    <w:rsid w:val="007710AD"/>
    <w:rsid w:val="00772924"/>
    <w:rsid w:val="0078112D"/>
    <w:rsid w:val="007872F2"/>
    <w:rsid w:val="007873F9"/>
    <w:rsid w:val="007908E0"/>
    <w:rsid w:val="00793EB3"/>
    <w:rsid w:val="00794205"/>
    <w:rsid w:val="0079422A"/>
    <w:rsid w:val="007A1F6A"/>
    <w:rsid w:val="007A628F"/>
    <w:rsid w:val="007B0DE3"/>
    <w:rsid w:val="007B1BFD"/>
    <w:rsid w:val="007B7191"/>
    <w:rsid w:val="007C1D94"/>
    <w:rsid w:val="007C556F"/>
    <w:rsid w:val="007C5ABE"/>
    <w:rsid w:val="007C6A87"/>
    <w:rsid w:val="007D0A07"/>
    <w:rsid w:val="007D0F11"/>
    <w:rsid w:val="007D133D"/>
    <w:rsid w:val="007D3EB4"/>
    <w:rsid w:val="007D3F16"/>
    <w:rsid w:val="007E7D67"/>
    <w:rsid w:val="007F10BD"/>
    <w:rsid w:val="007F312E"/>
    <w:rsid w:val="007F3F7E"/>
    <w:rsid w:val="007F4BA4"/>
    <w:rsid w:val="00813CEC"/>
    <w:rsid w:val="0081534C"/>
    <w:rsid w:val="00816CE7"/>
    <w:rsid w:val="008171E4"/>
    <w:rsid w:val="008208EA"/>
    <w:rsid w:val="00822B44"/>
    <w:rsid w:val="00824E67"/>
    <w:rsid w:val="00825A64"/>
    <w:rsid w:val="00826F48"/>
    <w:rsid w:val="008308AE"/>
    <w:rsid w:val="00830DD1"/>
    <w:rsid w:val="0083166E"/>
    <w:rsid w:val="00831DC3"/>
    <w:rsid w:val="008322C7"/>
    <w:rsid w:val="008340BA"/>
    <w:rsid w:val="00834F1D"/>
    <w:rsid w:val="00836FEC"/>
    <w:rsid w:val="00841F9D"/>
    <w:rsid w:val="008420E1"/>
    <w:rsid w:val="00844D98"/>
    <w:rsid w:val="00846D84"/>
    <w:rsid w:val="00850233"/>
    <w:rsid w:val="0085230E"/>
    <w:rsid w:val="0085279E"/>
    <w:rsid w:val="008550A1"/>
    <w:rsid w:val="00861038"/>
    <w:rsid w:val="00865B58"/>
    <w:rsid w:val="00866B50"/>
    <w:rsid w:val="00867A63"/>
    <w:rsid w:val="008708F1"/>
    <w:rsid w:val="00871960"/>
    <w:rsid w:val="0087369F"/>
    <w:rsid w:val="00880539"/>
    <w:rsid w:val="008859E8"/>
    <w:rsid w:val="0088737B"/>
    <w:rsid w:val="00890456"/>
    <w:rsid w:val="00891078"/>
    <w:rsid w:val="00892716"/>
    <w:rsid w:val="00893067"/>
    <w:rsid w:val="008933DE"/>
    <w:rsid w:val="00895FCE"/>
    <w:rsid w:val="00897F3E"/>
    <w:rsid w:val="008A21B4"/>
    <w:rsid w:val="008A632C"/>
    <w:rsid w:val="008B07DE"/>
    <w:rsid w:val="008B1309"/>
    <w:rsid w:val="008B28E7"/>
    <w:rsid w:val="008B67F6"/>
    <w:rsid w:val="008C14C7"/>
    <w:rsid w:val="008C2FFB"/>
    <w:rsid w:val="008C633F"/>
    <w:rsid w:val="008C6EEA"/>
    <w:rsid w:val="008C7770"/>
    <w:rsid w:val="008C79C7"/>
    <w:rsid w:val="008D03B0"/>
    <w:rsid w:val="008D2150"/>
    <w:rsid w:val="008D5813"/>
    <w:rsid w:val="008D5999"/>
    <w:rsid w:val="008D634E"/>
    <w:rsid w:val="008D778A"/>
    <w:rsid w:val="008D78C9"/>
    <w:rsid w:val="008E3195"/>
    <w:rsid w:val="008E5A35"/>
    <w:rsid w:val="008F127E"/>
    <w:rsid w:val="008F32D9"/>
    <w:rsid w:val="00902A65"/>
    <w:rsid w:val="00903932"/>
    <w:rsid w:val="009067D9"/>
    <w:rsid w:val="009079BD"/>
    <w:rsid w:val="00912BD9"/>
    <w:rsid w:val="00913A32"/>
    <w:rsid w:val="00916FB2"/>
    <w:rsid w:val="00920E5B"/>
    <w:rsid w:val="00924812"/>
    <w:rsid w:val="00926436"/>
    <w:rsid w:val="00926C53"/>
    <w:rsid w:val="0093018C"/>
    <w:rsid w:val="0094495F"/>
    <w:rsid w:val="00946265"/>
    <w:rsid w:val="0095083C"/>
    <w:rsid w:val="009544C0"/>
    <w:rsid w:val="00954FA4"/>
    <w:rsid w:val="00956AE9"/>
    <w:rsid w:val="009632B4"/>
    <w:rsid w:val="00964CC6"/>
    <w:rsid w:val="00966820"/>
    <w:rsid w:val="00967BFA"/>
    <w:rsid w:val="0098262C"/>
    <w:rsid w:val="0098427C"/>
    <w:rsid w:val="00986B43"/>
    <w:rsid w:val="00986C0B"/>
    <w:rsid w:val="00986D46"/>
    <w:rsid w:val="00991FDA"/>
    <w:rsid w:val="00992ACA"/>
    <w:rsid w:val="00993809"/>
    <w:rsid w:val="009A5F3B"/>
    <w:rsid w:val="009A5F79"/>
    <w:rsid w:val="009A6893"/>
    <w:rsid w:val="009A6F87"/>
    <w:rsid w:val="009B0B61"/>
    <w:rsid w:val="009B28C0"/>
    <w:rsid w:val="009B3178"/>
    <w:rsid w:val="009B3E46"/>
    <w:rsid w:val="009B7136"/>
    <w:rsid w:val="009C337F"/>
    <w:rsid w:val="009C458E"/>
    <w:rsid w:val="009C53E7"/>
    <w:rsid w:val="009C6092"/>
    <w:rsid w:val="009C7342"/>
    <w:rsid w:val="009D4365"/>
    <w:rsid w:val="009D477B"/>
    <w:rsid w:val="009D4E3B"/>
    <w:rsid w:val="009D59C2"/>
    <w:rsid w:val="009D5C4E"/>
    <w:rsid w:val="009D7BC9"/>
    <w:rsid w:val="009E122F"/>
    <w:rsid w:val="009E1982"/>
    <w:rsid w:val="009E4D2C"/>
    <w:rsid w:val="009F0978"/>
    <w:rsid w:val="009F3AEC"/>
    <w:rsid w:val="009F6801"/>
    <w:rsid w:val="00A00081"/>
    <w:rsid w:val="00A06422"/>
    <w:rsid w:val="00A10D56"/>
    <w:rsid w:val="00A12AAE"/>
    <w:rsid w:val="00A12F22"/>
    <w:rsid w:val="00A16DD1"/>
    <w:rsid w:val="00A22441"/>
    <w:rsid w:val="00A23F3B"/>
    <w:rsid w:val="00A24406"/>
    <w:rsid w:val="00A25F64"/>
    <w:rsid w:val="00A275F6"/>
    <w:rsid w:val="00A303B9"/>
    <w:rsid w:val="00A37416"/>
    <w:rsid w:val="00A40ED6"/>
    <w:rsid w:val="00A41BF1"/>
    <w:rsid w:val="00A47621"/>
    <w:rsid w:val="00A479CD"/>
    <w:rsid w:val="00A50CFC"/>
    <w:rsid w:val="00A54D67"/>
    <w:rsid w:val="00A55A3F"/>
    <w:rsid w:val="00A5656A"/>
    <w:rsid w:val="00A60103"/>
    <w:rsid w:val="00A652F6"/>
    <w:rsid w:val="00A65861"/>
    <w:rsid w:val="00A732EA"/>
    <w:rsid w:val="00A7489E"/>
    <w:rsid w:val="00A8015F"/>
    <w:rsid w:val="00A85039"/>
    <w:rsid w:val="00A906AA"/>
    <w:rsid w:val="00A94C5E"/>
    <w:rsid w:val="00AA252C"/>
    <w:rsid w:val="00AA666E"/>
    <w:rsid w:val="00AA7960"/>
    <w:rsid w:val="00AB2705"/>
    <w:rsid w:val="00AB5518"/>
    <w:rsid w:val="00AC3A0E"/>
    <w:rsid w:val="00AC4A04"/>
    <w:rsid w:val="00AC5679"/>
    <w:rsid w:val="00AD336F"/>
    <w:rsid w:val="00AE102A"/>
    <w:rsid w:val="00AE134C"/>
    <w:rsid w:val="00AE1868"/>
    <w:rsid w:val="00AE2564"/>
    <w:rsid w:val="00AE301F"/>
    <w:rsid w:val="00AE3302"/>
    <w:rsid w:val="00AE5BA6"/>
    <w:rsid w:val="00AE6231"/>
    <w:rsid w:val="00AE7077"/>
    <w:rsid w:val="00AF61C2"/>
    <w:rsid w:val="00AF6CC6"/>
    <w:rsid w:val="00B003B8"/>
    <w:rsid w:val="00B0296A"/>
    <w:rsid w:val="00B037B0"/>
    <w:rsid w:val="00B07E79"/>
    <w:rsid w:val="00B12295"/>
    <w:rsid w:val="00B137BE"/>
    <w:rsid w:val="00B15998"/>
    <w:rsid w:val="00B17FA0"/>
    <w:rsid w:val="00B2292C"/>
    <w:rsid w:val="00B22C3C"/>
    <w:rsid w:val="00B24344"/>
    <w:rsid w:val="00B26769"/>
    <w:rsid w:val="00B2754B"/>
    <w:rsid w:val="00B31C91"/>
    <w:rsid w:val="00B3747F"/>
    <w:rsid w:val="00B42E76"/>
    <w:rsid w:val="00B43194"/>
    <w:rsid w:val="00B436BF"/>
    <w:rsid w:val="00B47734"/>
    <w:rsid w:val="00B50FBA"/>
    <w:rsid w:val="00B52F44"/>
    <w:rsid w:val="00B558EB"/>
    <w:rsid w:val="00B577D3"/>
    <w:rsid w:val="00B60466"/>
    <w:rsid w:val="00B6548F"/>
    <w:rsid w:val="00B71A32"/>
    <w:rsid w:val="00B7502A"/>
    <w:rsid w:val="00B77305"/>
    <w:rsid w:val="00B774BD"/>
    <w:rsid w:val="00B82CC2"/>
    <w:rsid w:val="00B84A89"/>
    <w:rsid w:val="00B9256C"/>
    <w:rsid w:val="00B92BEF"/>
    <w:rsid w:val="00B94443"/>
    <w:rsid w:val="00B9689A"/>
    <w:rsid w:val="00B97056"/>
    <w:rsid w:val="00BA531E"/>
    <w:rsid w:val="00BA728B"/>
    <w:rsid w:val="00BB06CB"/>
    <w:rsid w:val="00BB261F"/>
    <w:rsid w:val="00BB2887"/>
    <w:rsid w:val="00BB3B56"/>
    <w:rsid w:val="00BB5EAA"/>
    <w:rsid w:val="00BB5F11"/>
    <w:rsid w:val="00BB6638"/>
    <w:rsid w:val="00BB7FD2"/>
    <w:rsid w:val="00BC04FA"/>
    <w:rsid w:val="00BC1C22"/>
    <w:rsid w:val="00BC460B"/>
    <w:rsid w:val="00BC4ED3"/>
    <w:rsid w:val="00BC5725"/>
    <w:rsid w:val="00BD30B1"/>
    <w:rsid w:val="00BE0B91"/>
    <w:rsid w:val="00BE0F7B"/>
    <w:rsid w:val="00BE10C2"/>
    <w:rsid w:val="00BE4941"/>
    <w:rsid w:val="00BF0D6C"/>
    <w:rsid w:val="00BF25A9"/>
    <w:rsid w:val="00C01D14"/>
    <w:rsid w:val="00C01D97"/>
    <w:rsid w:val="00C025B4"/>
    <w:rsid w:val="00C029EC"/>
    <w:rsid w:val="00C161FD"/>
    <w:rsid w:val="00C17C9F"/>
    <w:rsid w:val="00C23F17"/>
    <w:rsid w:val="00C246F2"/>
    <w:rsid w:val="00C26D0D"/>
    <w:rsid w:val="00C27C95"/>
    <w:rsid w:val="00C300D2"/>
    <w:rsid w:val="00C3270F"/>
    <w:rsid w:val="00C3278B"/>
    <w:rsid w:val="00C33375"/>
    <w:rsid w:val="00C34C23"/>
    <w:rsid w:val="00C368FA"/>
    <w:rsid w:val="00C42005"/>
    <w:rsid w:val="00C4664D"/>
    <w:rsid w:val="00C472AA"/>
    <w:rsid w:val="00C50A05"/>
    <w:rsid w:val="00C54AED"/>
    <w:rsid w:val="00C555FC"/>
    <w:rsid w:val="00C55E9B"/>
    <w:rsid w:val="00C56D09"/>
    <w:rsid w:val="00C57D24"/>
    <w:rsid w:val="00C604D6"/>
    <w:rsid w:val="00C63CAB"/>
    <w:rsid w:val="00C63D00"/>
    <w:rsid w:val="00C6441B"/>
    <w:rsid w:val="00C65921"/>
    <w:rsid w:val="00C7108B"/>
    <w:rsid w:val="00C75883"/>
    <w:rsid w:val="00C77FA5"/>
    <w:rsid w:val="00C8089F"/>
    <w:rsid w:val="00C8319E"/>
    <w:rsid w:val="00C835FE"/>
    <w:rsid w:val="00C836CC"/>
    <w:rsid w:val="00C8409E"/>
    <w:rsid w:val="00C852D6"/>
    <w:rsid w:val="00C87A74"/>
    <w:rsid w:val="00C92C71"/>
    <w:rsid w:val="00C93F8F"/>
    <w:rsid w:val="00CA0894"/>
    <w:rsid w:val="00CA3593"/>
    <w:rsid w:val="00CA5726"/>
    <w:rsid w:val="00CA7E6A"/>
    <w:rsid w:val="00CB0186"/>
    <w:rsid w:val="00CB258E"/>
    <w:rsid w:val="00CB3C8F"/>
    <w:rsid w:val="00CC02F1"/>
    <w:rsid w:val="00CC1122"/>
    <w:rsid w:val="00CC11A6"/>
    <w:rsid w:val="00CC135E"/>
    <w:rsid w:val="00CC7226"/>
    <w:rsid w:val="00CD0735"/>
    <w:rsid w:val="00CD45E3"/>
    <w:rsid w:val="00CD4771"/>
    <w:rsid w:val="00CD5089"/>
    <w:rsid w:val="00CD5D3F"/>
    <w:rsid w:val="00CD7E1F"/>
    <w:rsid w:val="00CE4BC4"/>
    <w:rsid w:val="00CE7DA2"/>
    <w:rsid w:val="00CF2F8A"/>
    <w:rsid w:val="00CF3DB3"/>
    <w:rsid w:val="00CF4DDC"/>
    <w:rsid w:val="00D0274B"/>
    <w:rsid w:val="00D0503D"/>
    <w:rsid w:val="00D052BC"/>
    <w:rsid w:val="00D05538"/>
    <w:rsid w:val="00D07026"/>
    <w:rsid w:val="00D146AE"/>
    <w:rsid w:val="00D226A0"/>
    <w:rsid w:val="00D22C8F"/>
    <w:rsid w:val="00D27D30"/>
    <w:rsid w:val="00D3203C"/>
    <w:rsid w:val="00D33491"/>
    <w:rsid w:val="00D3442D"/>
    <w:rsid w:val="00D36F00"/>
    <w:rsid w:val="00D44058"/>
    <w:rsid w:val="00D44B67"/>
    <w:rsid w:val="00D44F8E"/>
    <w:rsid w:val="00D51FD5"/>
    <w:rsid w:val="00D55DE0"/>
    <w:rsid w:val="00D607EF"/>
    <w:rsid w:val="00D60F88"/>
    <w:rsid w:val="00D646BD"/>
    <w:rsid w:val="00D65558"/>
    <w:rsid w:val="00D71201"/>
    <w:rsid w:val="00D720C7"/>
    <w:rsid w:val="00D77898"/>
    <w:rsid w:val="00D84841"/>
    <w:rsid w:val="00D876E6"/>
    <w:rsid w:val="00D90958"/>
    <w:rsid w:val="00DA1025"/>
    <w:rsid w:val="00DA22EC"/>
    <w:rsid w:val="00DA5682"/>
    <w:rsid w:val="00DA5860"/>
    <w:rsid w:val="00DA5C0C"/>
    <w:rsid w:val="00DB2767"/>
    <w:rsid w:val="00DC1B10"/>
    <w:rsid w:val="00DC2924"/>
    <w:rsid w:val="00DC4729"/>
    <w:rsid w:val="00DD31C5"/>
    <w:rsid w:val="00DD5020"/>
    <w:rsid w:val="00DD63BE"/>
    <w:rsid w:val="00DE41F5"/>
    <w:rsid w:val="00DE4296"/>
    <w:rsid w:val="00DF2469"/>
    <w:rsid w:val="00DF7899"/>
    <w:rsid w:val="00E0524C"/>
    <w:rsid w:val="00E15751"/>
    <w:rsid w:val="00E17160"/>
    <w:rsid w:val="00E17D41"/>
    <w:rsid w:val="00E231D1"/>
    <w:rsid w:val="00E27E1F"/>
    <w:rsid w:val="00E3288D"/>
    <w:rsid w:val="00E342C3"/>
    <w:rsid w:val="00E35112"/>
    <w:rsid w:val="00E35BEC"/>
    <w:rsid w:val="00E41A6A"/>
    <w:rsid w:val="00E50821"/>
    <w:rsid w:val="00E51F91"/>
    <w:rsid w:val="00E5498A"/>
    <w:rsid w:val="00E559CE"/>
    <w:rsid w:val="00E60F42"/>
    <w:rsid w:val="00E6746C"/>
    <w:rsid w:val="00E7086E"/>
    <w:rsid w:val="00E71248"/>
    <w:rsid w:val="00E73C41"/>
    <w:rsid w:val="00E75911"/>
    <w:rsid w:val="00E7598F"/>
    <w:rsid w:val="00E76F60"/>
    <w:rsid w:val="00E812B5"/>
    <w:rsid w:val="00E83D90"/>
    <w:rsid w:val="00E83F91"/>
    <w:rsid w:val="00E86299"/>
    <w:rsid w:val="00E9106A"/>
    <w:rsid w:val="00E9107A"/>
    <w:rsid w:val="00E91F62"/>
    <w:rsid w:val="00E927CF"/>
    <w:rsid w:val="00E929FD"/>
    <w:rsid w:val="00E93240"/>
    <w:rsid w:val="00E93447"/>
    <w:rsid w:val="00E9479B"/>
    <w:rsid w:val="00E94E22"/>
    <w:rsid w:val="00E95F08"/>
    <w:rsid w:val="00E97171"/>
    <w:rsid w:val="00EA4D48"/>
    <w:rsid w:val="00EA7ADF"/>
    <w:rsid w:val="00EB2173"/>
    <w:rsid w:val="00EB62E6"/>
    <w:rsid w:val="00EB695F"/>
    <w:rsid w:val="00EC3A85"/>
    <w:rsid w:val="00EC4B89"/>
    <w:rsid w:val="00EC59A5"/>
    <w:rsid w:val="00EC6E15"/>
    <w:rsid w:val="00ED12FA"/>
    <w:rsid w:val="00ED1B30"/>
    <w:rsid w:val="00ED5D03"/>
    <w:rsid w:val="00EE01ED"/>
    <w:rsid w:val="00EE1AC1"/>
    <w:rsid w:val="00EE39D6"/>
    <w:rsid w:val="00EE52AD"/>
    <w:rsid w:val="00EE5BC3"/>
    <w:rsid w:val="00EE6FAB"/>
    <w:rsid w:val="00EF059F"/>
    <w:rsid w:val="00EF328C"/>
    <w:rsid w:val="00EF68BB"/>
    <w:rsid w:val="00F01F92"/>
    <w:rsid w:val="00F030D4"/>
    <w:rsid w:val="00F04053"/>
    <w:rsid w:val="00F06573"/>
    <w:rsid w:val="00F10A08"/>
    <w:rsid w:val="00F15354"/>
    <w:rsid w:val="00F22AC5"/>
    <w:rsid w:val="00F254D1"/>
    <w:rsid w:val="00F32B82"/>
    <w:rsid w:val="00F34C86"/>
    <w:rsid w:val="00F4043E"/>
    <w:rsid w:val="00F41795"/>
    <w:rsid w:val="00F41BBC"/>
    <w:rsid w:val="00F444F0"/>
    <w:rsid w:val="00F446FF"/>
    <w:rsid w:val="00F45521"/>
    <w:rsid w:val="00F50847"/>
    <w:rsid w:val="00F53F27"/>
    <w:rsid w:val="00F546D1"/>
    <w:rsid w:val="00F60281"/>
    <w:rsid w:val="00F60929"/>
    <w:rsid w:val="00F646A6"/>
    <w:rsid w:val="00F66272"/>
    <w:rsid w:val="00F709C0"/>
    <w:rsid w:val="00F81FEC"/>
    <w:rsid w:val="00F83AC6"/>
    <w:rsid w:val="00F91CCE"/>
    <w:rsid w:val="00F927A1"/>
    <w:rsid w:val="00F92E4D"/>
    <w:rsid w:val="00F94B90"/>
    <w:rsid w:val="00F95D08"/>
    <w:rsid w:val="00FA23BD"/>
    <w:rsid w:val="00FA3764"/>
    <w:rsid w:val="00FA41C7"/>
    <w:rsid w:val="00FA4A79"/>
    <w:rsid w:val="00FA56ED"/>
    <w:rsid w:val="00FB05DD"/>
    <w:rsid w:val="00FB0F7C"/>
    <w:rsid w:val="00FB24EA"/>
    <w:rsid w:val="00FB5FA6"/>
    <w:rsid w:val="00FC0334"/>
    <w:rsid w:val="00FC1310"/>
    <w:rsid w:val="00FC195D"/>
    <w:rsid w:val="00FC2FF3"/>
    <w:rsid w:val="00FC3263"/>
    <w:rsid w:val="00FC51F9"/>
    <w:rsid w:val="00FC5B40"/>
    <w:rsid w:val="00FC5FF8"/>
    <w:rsid w:val="00FD271B"/>
    <w:rsid w:val="00FD3D7C"/>
    <w:rsid w:val="00FD4F8F"/>
    <w:rsid w:val="00FE0C16"/>
    <w:rsid w:val="00FE14B1"/>
    <w:rsid w:val="00FE4D97"/>
    <w:rsid w:val="00FE5F90"/>
    <w:rsid w:val="00FF0070"/>
    <w:rsid w:val="00FF07C3"/>
    <w:rsid w:val="00FF1907"/>
    <w:rsid w:val="00FF5F6A"/>
    <w:rsid w:val="00FF7784"/>
    <w:rsid w:val="00FF7EBB"/>
    <w:rsid w:val="03CC700C"/>
    <w:rsid w:val="04770B8A"/>
    <w:rsid w:val="04D3B2CE"/>
    <w:rsid w:val="06783AA2"/>
    <w:rsid w:val="06F34FBA"/>
    <w:rsid w:val="07AF858D"/>
    <w:rsid w:val="0895A14B"/>
    <w:rsid w:val="0A27561F"/>
    <w:rsid w:val="0CE8605B"/>
    <w:rsid w:val="0D80B037"/>
    <w:rsid w:val="0D8C05F9"/>
    <w:rsid w:val="0EDBA8BD"/>
    <w:rsid w:val="0F2B140F"/>
    <w:rsid w:val="0F77E214"/>
    <w:rsid w:val="102A3950"/>
    <w:rsid w:val="10904BF9"/>
    <w:rsid w:val="129BB562"/>
    <w:rsid w:val="14E55E54"/>
    <w:rsid w:val="15B21EA4"/>
    <w:rsid w:val="1661DBBC"/>
    <w:rsid w:val="16BDB770"/>
    <w:rsid w:val="18FA07C0"/>
    <w:rsid w:val="19A0B2E9"/>
    <w:rsid w:val="1B0FBC5A"/>
    <w:rsid w:val="1D53B054"/>
    <w:rsid w:val="1D6670C0"/>
    <w:rsid w:val="21CFAFAE"/>
    <w:rsid w:val="230FA6B9"/>
    <w:rsid w:val="240100B1"/>
    <w:rsid w:val="24D4E93A"/>
    <w:rsid w:val="25F327FB"/>
    <w:rsid w:val="27B81414"/>
    <w:rsid w:val="289DDE72"/>
    <w:rsid w:val="28F1FF9E"/>
    <w:rsid w:val="2C030924"/>
    <w:rsid w:val="2CDFB560"/>
    <w:rsid w:val="2E55808E"/>
    <w:rsid w:val="2E5939F5"/>
    <w:rsid w:val="2F90E210"/>
    <w:rsid w:val="30A6948F"/>
    <w:rsid w:val="322513AD"/>
    <w:rsid w:val="3353280C"/>
    <w:rsid w:val="3498D05F"/>
    <w:rsid w:val="34A1032C"/>
    <w:rsid w:val="350F702B"/>
    <w:rsid w:val="3517D1D9"/>
    <w:rsid w:val="364AF8A5"/>
    <w:rsid w:val="39C47EB7"/>
    <w:rsid w:val="3B2446CA"/>
    <w:rsid w:val="3B2C4091"/>
    <w:rsid w:val="3BE7216C"/>
    <w:rsid w:val="3C06DA9E"/>
    <w:rsid w:val="3CA50B99"/>
    <w:rsid w:val="3CD2139F"/>
    <w:rsid w:val="3D962690"/>
    <w:rsid w:val="3EE31E8D"/>
    <w:rsid w:val="488A33B2"/>
    <w:rsid w:val="49FF326B"/>
    <w:rsid w:val="4A356110"/>
    <w:rsid w:val="4BCDE19D"/>
    <w:rsid w:val="4D2D8025"/>
    <w:rsid w:val="4EC15626"/>
    <w:rsid w:val="4EC4A02F"/>
    <w:rsid w:val="4ECF827F"/>
    <w:rsid w:val="513585DA"/>
    <w:rsid w:val="5158DB01"/>
    <w:rsid w:val="51C116BA"/>
    <w:rsid w:val="5329D3D3"/>
    <w:rsid w:val="534A9052"/>
    <w:rsid w:val="577E9AE8"/>
    <w:rsid w:val="59EF9C14"/>
    <w:rsid w:val="5A453747"/>
    <w:rsid w:val="5C371BFF"/>
    <w:rsid w:val="5EE62511"/>
    <w:rsid w:val="623F2A43"/>
    <w:rsid w:val="63A0D8E5"/>
    <w:rsid w:val="63A1FAF3"/>
    <w:rsid w:val="6531D631"/>
    <w:rsid w:val="678A7E8E"/>
    <w:rsid w:val="69904927"/>
    <w:rsid w:val="69CA8342"/>
    <w:rsid w:val="6A6BA477"/>
    <w:rsid w:val="6A854C79"/>
    <w:rsid w:val="6D1724F2"/>
    <w:rsid w:val="6D1B720D"/>
    <w:rsid w:val="6D4748C2"/>
    <w:rsid w:val="6DBA418C"/>
    <w:rsid w:val="6E4F6729"/>
    <w:rsid w:val="6EEF356E"/>
    <w:rsid w:val="72B097EA"/>
    <w:rsid w:val="732985A0"/>
    <w:rsid w:val="7331E4ED"/>
    <w:rsid w:val="7368B423"/>
    <w:rsid w:val="745329EC"/>
    <w:rsid w:val="748B3D85"/>
    <w:rsid w:val="756EEE2D"/>
    <w:rsid w:val="7645D2F6"/>
    <w:rsid w:val="77387C12"/>
    <w:rsid w:val="79F82AFD"/>
    <w:rsid w:val="7AAB400D"/>
    <w:rsid w:val="7AC29F21"/>
    <w:rsid w:val="7B2CF1A9"/>
    <w:rsid w:val="7E95C208"/>
    <w:rsid w:val="7E97696C"/>
    <w:rsid w:val="7F2B57DC"/>
    <w:rsid w:val="7FD806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446E12A4"/>
  <w15:chartTrackingRefBased/>
  <w15:docId w15:val="{F677DC9E-46F3-4B80-9253-2422DE785A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90074"/>
    <w:pPr>
      <w:overflowPunct w:val="0"/>
      <w:autoSpaceDE w:val="0"/>
      <w:autoSpaceDN w:val="0"/>
      <w:adjustRightInd w:val="0"/>
      <w:textAlignment w:val="baseline"/>
    </w:pPr>
    <w:rPr>
      <w:rFonts w:ascii="Arial" w:hAnsi="Arial" w:cs="Arial"/>
      <w:color w:val="00000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spacing w:before="240" w:after="60"/>
      <w:outlineLvl w:val="0"/>
    </w:pPr>
    <w:rPr>
      <w:b/>
      <w:kern w:val="28"/>
      <w:sz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F927A1"/>
    <w:pPr>
      <w:keepNext/>
      <w:spacing w:before="240" w:after="60"/>
      <w:outlineLvl w:val="1"/>
    </w:pPr>
    <w:rPr>
      <w:rFonts w:ascii="Cambria" w:hAnsi="Cambria" w:cs="Times New Roman"/>
      <w:b/>
      <w:bCs/>
      <w:i/>
      <w:iCs/>
      <w:sz w:val="28"/>
      <w:szCs w:val="28"/>
      <w:lang w:val="x-none" w:eastAsia="x-none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60929"/>
    <w:pPr>
      <w:keepNext/>
      <w:keepLines/>
      <w:spacing w:before="40"/>
      <w:outlineLvl w:val="2"/>
    </w:pPr>
    <w:rPr>
      <w:rFonts w:ascii="Times New Roman" w:hAnsi="Times New Roman" w:cs="Times New Roman"/>
      <w:color w:val="0F4761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60929"/>
    <w:pPr>
      <w:keepNext/>
      <w:keepLines/>
      <w:spacing w:before="40"/>
      <w:outlineLvl w:val="3"/>
    </w:pPr>
    <w:rPr>
      <w:rFonts w:ascii="Times New Roman" w:hAnsi="Times New Roman" w:cs="Times New Roman"/>
      <w:i/>
      <w:iCs/>
      <w:color w:val="0F476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60929"/>
    <w:pPr>
      <w:keepNext/>
      <w:keepLines/>
      <w:spacing w:before="40"/>
      <w:outlineLvl w:val="4"/>
    </w:pPr>
    <w:rPr>
      <w:rFonts w:ascii="Times New Roman" w:hAnsi="Times New Roman" w:cs="Times New Roman"/>
      <w:color w:val="0F4761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60929"/>
    <w:pPr>
      <w:keepNext/>
      <w:keepLines/>
      <w:spacing w:before="40"/>
      <w:outlineLvl w:val="5"/>
    </w:pPr>
    <w:rPr>
      <w:rFonts w:ascii="Times New Roman" w:hAnsi="Times New Roman" w:cs="Times New Roman"/>
      <w:i/>
      <w:iCs/>
      <w:color w:val="595959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60929"/>
    <w:pPr>
      <w:keepNext/>
      <w:keepLines/>
      <w:spacing w:before="40"/>
      <w:outlineLvl w:val="6"/>
    </w:pPr>
    <w:rPr>
      <w:rFonts w:ascii="Times New Roman" w:hAnsi="Times New Roman" w:cs="Times New Roman"/>
      <w:color w:val="595959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60929"/>
    <w:pPr>
      <w:keepNext/>
      <w:keepLines/>
      <w:spacing w:before="40"/>
      <w:outlineLvl w:val="7"/>
    </w:pPr>
    <w:rPr>
      <w:rFonts w:ascii="Times New Roman" w:hAnsi="Times New Roman" w:cs="Times New Roman"/>
      <w:i/>
      <w:iCs/>
      <w:color w:val="272727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60929"/>
    <w:pPr>
      <w:keepNext/>
      <w:keepLines/>
      <w:spacing w:before="40"/>
      <w:outlineLvl w:val="8"/>
    </w:pPr>
    <w:rPr>
      <w:rFonts w:ascii="Times New Roman" w:hAnsi="Times New Roman" w:cs="Times New Roman"/>
      <w:color w:val="272727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pPr>
      <w:tabs>
        <w:tab w:val="center" w:pos="4320"/>
        <w:tab w:val="right" w:pos="8640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320"/>
        <w:tab w:val="right" w:pos="8640"/>
      </w:tabs>
    </w:pPr>
    <w:rPr>
      <w:rFonts w:cs="Times New Roman"/>
      <w:lang w:val="x-none" w:eastAsia="x-none"/>
    </w:rPr>
  </w:style>
  <w:style w:type="character" w:styleId="PageNumber">
    <w:name w:val="page number"/>
    <w:semiHidden/>
  </w:style>
  <w:style w:type="paragraph" w:styleId="BodyText">
    <w:name w:val="Body Text"/>
    <w:basedOn w:val="Normal"/>
    <w:semiHidden/>
    <w:rPr>
      <w:b/>
      <w:sz w:val="24"/>
    </w:rPr>
  </w:style>
  <w:style w:type="table" w:styleId="TableGrid">
    <w:name w:val="Table Grid"/>
    <w:basedOn w:val="TableNormal"/>
    <w:rsid w:val="002B23C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C3278B"/>
    <w:rPr>
      <w:rFonts w:ascii="Tahoma" w:hAnsi="Tahoma" w:cs="Tahoma"/>
      <w:sz w:val="16"/>
      <w:szCs w:val="16"/>
    </w:rPr>
  </w:style>
  <w:style w:type="character" w:styleId="Hyperlink">
    <w:name w:val="Hyperlink"/>
    <w:uiPriority w:val="99"/>
    <w:rsid w:val="00EA4D48"/>
    <w:rPr>
      <w:color w:val="0000FF"/>
      <w:u w:val="single"/>
    </w:rPr>
  </w:style>
  <w:style w:type="character" w:styleId="CommentReference">
    <w:name w:val="annotation reference"/>
    <w:uiPriority w:val="99"/>
    <w:semiHidden/>
    <w:unhideWhenUsed/>
    <w:rsid w:val="0057780F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57780F"/>
    <w:rPr>
      <w:rFonts w:cs="Times New Roman"/>
      <w:lang w:val="x-none" w:eastAsia="x-none"/>
    </w:rPr>
  </w:style>
  <w:style w:type="character" w:customStyle="1" w:styleId="CommentTextChar">
    <w:name w:val="Comment Text Char"/>
    <w:link w:val="CommentText"/>
    <w:uiPriority w:val="99"/>
    <w:semiHidden/>
    <w:rsid w:val="0057780F"/>
    <w:rPr>
      <w:rFonts w:ascii="Arial" w:hAnsi="Arial" w:cs="Arial"/>
      <w:color w:val="00000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7780F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57780F"/>
    <w:rPr>
      <w:rFonts w:ascii="Arial" w:hAnsi="Arial" w:cs="Arial"/>
      <w:b/>
      <w:bCs/>
      <w:color w:val="000000"/>
    </w:rPr>
  </w:style>
  <w:style w:type="character" w:customStyle="1" w:styleId="Heading2Char">
    <w:name w:val="Heading 2 Char"/>
    <w:link w:val="Heading2"/>
    <w:uiPriority w:val="9"/>
    <w:semiHidden/>
    <w:rsid w:val="00F927A1"/>
    <w:rPr>
      <w:rFonts w:ascii="Cambria" w:eastAsia="Times New Roman" w:hAnsi="Cambria" w:cs="Times New Roman"/>
      <w:b/>
      <w:bCs/>
      <w:i/>
      <w:iCs/>
      <w:color w:val="000000"/>
      <w:sz w:val="28"/>
      <w:szCs w:val="28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F927A1"/>
    <w:pPr>
      <w:spacing w:after="120"/>
    </w:pPr>
    <w:rPr>
      <w:rFonts w:cs="Times New Roman"/>
      <w:sz w:val="16"/>
      <w:szCs w:val="16"/>
      <w:lang w:val="x-none" w:eastAsia="x-none"/>
    </w:rPr>
  </w:style>
  <w:style w:type="character" w:customStyle="1" w:styleId="BodyText3Char">
    <w:name w:val="Body Text 3 Char"/>
    <w:link w:val="BodyText3"/>
    <w:uiPriority w:val="99"/>
    <w:semiHidden/>
    <w:rsid w:val="00F927A1"/>
    <w:rPr>
      <w:rFonts w:ascii="Arial" w:hAnsi="Arial" w:cs="Arial"/>
      <w:color w:val="000000"/>
      <w:sz w:val="16"/>
      <w:szCs w:val="16"/>
    </w:rPr>
  </w:style>
  <w:style w:type="paragraph" w:customStyle="1" w:styleId="LightList-Accent31">
    <w:name w:val="Light List - Accent 31"/>
    <w:hidden/>
    <w:uiPriority w:val="99"/>
    <w:semiHidden/>
    <w:rsid w:val="004B6822"/>
    <w:rPr>
      <w:rFonts w:ascii="Arial" w:hAnsi="Arial" w:cs="Arial"/>
      <w:color w:val="000000"/>
    </w:rPr>
  </w:style>
  <w:style w:type="character" w:customStyle="1" w:styleId="FooterChar">
    <w:name w:val="Footer Char"/>
    <w:link w:val="Footer"/>
    <w:uiPriority w:val="99"/>
    <w:rsid w:val="00727C4C"/>
    <w:rPr>
      <w:rFonts w:ascii="Arial" w:hAnsi="Arial" w:cs="Arial"/>
      <w:color w:val="000000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B2292C"/>
  </w:style>
  <w:style w:type="character" w:customStyle="1" w:styleId="EndnoteTextChar">
    <w:name w:val="Endnote Text Char"/>
    <w:link w:val="EndnoteText"/>
    <w:uiPriority w:val="99"/>
    <w:semiHidden/>
    <w:rsid w:val="00B2292C"/>
    <w:rPr>
      <w:rFonts w:ascii="Arial" w:hAnsi="Arial" w:cs="Arial"/>
      <w:color w:val="000000"/>
    </w:rPr>
  </w:style>
  <w:style w:type="character" w:styleId="EndnoteReference">
    <w:name w:val="endnote reference"/>
    <w:uiPriority w:val="99"/>
    <w:semiHidden/>
    <w:unhideWhenUsed/>
    <w:rsid w:val="00B2292C"/>
    <w:rPr>
      <w:vertAlign w:val="superscript"/>
    </w:rPr>
  </w:style>
  <w:style w:type="paragraph" w:styleId="Title">
    <w:name w:val="Title"/>
    <w:basedOn w:val="Normal"/>
    <w:link w:val="TitleChar"/>
    <w:uiPriority w:val="10"/>
    <w:qFormat/>
    <w:rsid w:val="00986C0B"/>
    <w:pPr>
      <w:overflowPunct/>
      <w:autoSpaceDE/>
      <w:autoSpaceDN/>
      <w:adjustRightInd/>
      <w:jc w:val="center"/>
      <w:textAlignment w:val="auto"/>
    </w:pPr>
    <w:rPr>
      <w:rFonts w:cs="Times New Roman"/>
      <w:b/>
      <w:color w:val="auto"/>
      <w:sz w:val="24"/>
    </w:rPr>
  </w:style>
  <w:style w:type="character" w:customStyle="1" w:styleId="TitleChar">
    <w:name w:val="Title Char"/>
    <w:link w:val="Title"/>
    <w:uiPriority w:val="10"/>
    <w:rsid w:val="00986C0B"/>
    <w:rPr>
      <w:rFonts w:ascii="Arial" w:hAnsi="Arial"/>
      <w:b/>
      <w:sz w:val="24"/>
    </w:rPr>
  </w:style>
  <w:style w:type="paragraph" w:styleId="Revision">
    <w:name w:val="Revision"/>
    <w:hidden/>
    <w:uiPriority w:val="99"/>
    <w:semiHidden/>
    <w:rsid w:val="008D2150"/>
    <w:rPr>
      <w:rFonts w:ascii="Arial" w:hAnsi="Arial" w:cs="Arial"/>
      <w:color w:val="000000"/>
    </w:rPr>
  </w:style>
  <w:style w:type="paragraph" w:customStyle="1" w:styleId="Heading31">
    <w:name w:val="Heading 31"/>
    <w:basedOn w:val="Normal"/>
    <w:next w:val="Normal"/>
    <w:uiPriority w:val="9"/>
    <w:unhideWhenUsed/>
    <w:qFormat/>
    <w:rsid w:val="00F60929"/>
    <w:pPr>
      <w:keepNext/>
      <w:keepLines/>
      <w:overflowPunct/>
      <w:autoSpaceDE/>
      <w:autoSpaceDN/>
      <w:adjustRightInd/>
      <w:spacing w:before="160" w:after="80" w:line="278" w:lineRule="auto"/>
      <w:textAlignment w:val="auto"/>
      <w:outlineLvl w:val="2"/>
    </w:pPr>
    <w:rPr>
      <w:rFonts w:ascii="Aptos" w:hAnsi="Aptos" w:cs="Times New Roman"/>
      <w:color w:val="0F4761"/>
      <w:kern w:val="2"/>
      <w:sz w:val="28"/>
      <w:szCs w:val="28"/>
      <w:lang w:eastAsia="en-US"/>
      <w14:ligatures w14:val="standardContextual"/>
    </w:rPr>
  </w:style>
  <w:style w:type="paragraph" w:customStyle="1" w:styleId="Heading41">
    <w:name w:val="Heading 41"/>
    <w:basedOn w:val="Normal"/>
    <w:next w:val="Normal"/>
    <w:uiPriority w:val="9"/>
    <w:semiHidden/>
    <w:unhideWhenUsed/>
    <w:qFormat/>
    <w:rsid w:val="00F60929"/>
    <w:pPr>
      <w:keepNext/>
      <w:keepLines/>
      <w:overflowPunct/>
      <w:autoSpaceDE/>
      <w:autoSpaceDN/>
      <w:adjustRightInd/>
      <w:spacing w:before="80" w:after="40" w:line="278" w:lineRule="auto"/>
      <w:textAlignment w:val="auto"/>
      <w:outlineLvl w:val="3"/>
    </w:pPr>
    <w:rPr>
      <w:rFonts w:ascii="Aptos" w:hAnsi="Aptos" w:cs="Times New Roman"/>
      <w:i/>
      <w:iCs/>
      <w:color w:val="0F4761"/>
      <w:kern w:val="2"/>
      <w:sz w:val="24"/>
      <w:szCs w:val="24"/>
      <w:lang w:eastAsia="en-US"/>
      <w14:ligatures w14:val="standardContextual"/>
    </w:rPr>
  </w:style>
  <w:style w:type="paragraph" w:customStyle="1" w:styleId="Heading51">
    <w:name w:val="Heading 51"/>
    <w:basedOn w:val="Normal"/>
    <w:next w:val="Normal"/>
    <w:uiPriority w:val="9"/>
    <w:semiHidden/>
    <w:unhideWhenUsed/>
    <w:qFormat/>
    <w:rsid w:val="00F60929"/>
    <w:pPr>
      <w:keepNext/>
      <w:keepLines/>
      <w:overflowPunct/>
      <w:autoSpaceDE/>
      <w:autoSpaceDN/>
      <w:adjustRightInd/>
      <w:spacing w:before="80" w:after="40" w:line="278" w:lineRule="auto"/>
      <w:textAlignment w:val="auto"/>
      <w:outlineLvl w:val="4"/>
    </w:pPr>
    <w:rPr>
      <w:rFonts w:ascii="Aptos" w:hAnsi="Aptos" w:cs="Times New Roman"/>
      <w:color w:val="0F4761"/>
      <w:kern w:val="2"/>
      <w:sz w:val="24"/>
      <w:szCs w:val="24"/>
      <w:lang w:eastAsia="en-US"/>
      <w14:ligatures w14:val="standardContextual"/>
    </w:rPr>
  </w:style>
  <w:style w:type="paragraph" w:customStyle="1" w:styleId="Heading61">
    <w:name w:val="Heading 61"/>
    <w:basedOn w:val="Normal"/>
    <w:next w:val="Normal"/>
    <w:uiPriority w:val="9"/>
    <w:semiHidden/>
    <w:unhideWhenUsed/>
    <w:qFormat/>
    <w:rsid w:val="00F60929"/>
    <w:pPr>
      <w:keepNext/>
      <w:keepLines/>
      <w:overflowPunct/>
      <w:autoSpaceDE/>
      <w:autoSpaceDN/>
      <w:adjustRightInd/>
      <w:spacing w:before="40" w:line="278" w:lineRule="auto"/>
      <w:textAlignment w:val="auto"/>
      <w:outlineLvl w:val="5"/>
    </w:pPr>
    <w:rPr>
      <w:rFonts w:ascii="Aptos" w:hAnsi="Aptos" w:cs="Times New Roman"/>
      <w:i/>
      <w:iCs/>
      <w:color w:val="595959"/>
      <w:kern w:val="2"/>
      <w:sz w:val="24"/>
      <w:szCs w:val="24"/>
      <w:lang w:eastAsia="en-US"/>
      <w14:ligatures w14:val="standardContextual"/>
    </w:rPr>
  </w:style>
  <w:style w:type="paragraph" w:customStyle="1" w:styleId="Heading71">
    <w:name w:val="Heading 71"/>
    <w:basedOn w:val="Normal"/>
    <w:next w:val="Normal"/>
    <w:uiPriority w:val="9"/>
    <w:semiHidden/>
    <w:unhideWhenUsed/>
    <w:qFormat/>
    <w:rsid w:val="00F60929"/>
    <w:pPr>
      <w:keepNext/>
      <w:keepLines/>
      <w:overflowPunct/>
      <w:autoSpaceDE/>
      <w:autoSpaceDN/>
      <w:adjustRightInd/>
      <w:spacing w:before="40" w:line="278" w:lineRule="auto"/>
      <w:textAlignment w:val="auto"/>
      <w:outlineLvl w:val="6"/>
    </w:pPr>
    <w:rPr>
      <w:rFonts w:ascii="Aptos" w:hAnsi="Aptos" w:cs="Times New Roman"/>
      <w:color w:val="595959"/>
      <w:kern w:val="2"/>
      <w:sz w:val="24"/>
      <w:szCs w:val="24"/>
      <w:lang w:eastAsia="en-US"/>
      <w14:ligatures w14:val="standardContextual"/>
    </w:rPr>
  </w:style>
  <w:style w:type="paragraph" w:customStyle="1" w:styleId="Heading81">
    <w:name w:val="Heading 81"/>
    <w:basedOn w:val="Normal"/>
    <w:next w:val="Normal"/>
    <w:uiPriority w:val="9"/>
    <w:semiHidden/>
    <w:unhideWhenUsed/>
    <w:qFormat/>
    <w:rsid w:val="00F60929"/>
    <w:pPr>
      <w:keepNext/>
      <w:keepLines/>
      <w:overflowPunct/>
      <w:autoSpaceDE/>
      <w:autoSpaceDN/>
      <w:adjustRightInd/>
      <w:spacing w:line="278" w:lineRule="auto"/>
      <w:textAlignment w:val="auto"/>
      <w:outlineLvl w:val="7"/>
    </w:pPr>
    <w:rPr>
      <w:rFonts w:ascii="Aptos" w:hAnsi="Aptos" w:cs="Times New Roman"/>
      <w:i/>
      <w:iCs/>
      <w:color w:val="272727"/>
      <w:kern w:val="2"/>
      <w:sz w:val="24"/>
      <w:szCs w:val="24"/>
      <w:lang w:eastAsia="en-US"/>
      <w14:ligatures w14:val="standardContextual"/>
    </w:rPr>
  </w:style>
  <w:style w:type="paragraph" w:customStyle="1" w:styleId="Heading91">
    <w:name w:val="Heading 91"/>
    <w:basedOn w:val="Normal"/>
    <w:next w:val="Normal"/>
    <w:uiPriority w:val="9"/>
    <w:semiHidden/>
    <w:unhideWhenUsed/>
    <w:qFormat/>
    <w:rsid w:val="00F60929"/>
    <w:pPr>
      <w:keepNext/>
      <w:keepLines/>
      <w:overflowPunct/>
      <w:autoSpaceDE/>
      <w:autoSpaceDN/>
      <w:adjustRightInd/>
      <w:spacing w:line="278" w:lineRule="auto"/>
      <w:textAlignment w:val="auto"/>
      <w:outlineLvl w:val="8"/>
    </w:pPr>
    <w:rPr>
      <w:rFonts w:ascii="Aptos" w:hAnsi="Aptos" w:cs="Times New Roman"/>
      <w:color w:val="272727"/>
      <w:kern w:val="2"/>
      <w:sz w:val="24"/>
      <w:szCs w:val="24"/>
      <w:lang w:eastAsia="en-US"/>
      <w14:ligatures w14:val="standardContextual"/>
    </w:rPr>
  </w:style>
  <w:style w:type="numbering" w:customStyle="1" w:styleId="NoList1">
    <w:name w:val="No List1"/>
    <w:next w:val="NoList"/>
    <w:uiPriority w:val="99"/>
    <w:semiHidden/>
    <w:unhideWhenUsed/>
    <w:rsid w:val="00F60929"/>
  </w:style>
  <w:style w:type="character" w:customStyle="1" w:styleId="Heading1Char">
    <w:name w:val="Heading 1 Char"/>
    <w:basedOn w:val="DefaultParagraphFont"/>
    <w:link w:val="Heading1"/>
    <w:uiPriority w:val="9"/>
    <w:rsid w:val="00F60929"/>
    <w:rPr>
      <w:rFonts w:ascii="Arial" w:hAnsi="Arial" w:cs="Arial"/>
      <w:b/>
      <w:color w:val="000000"/>
      <w:kern w:val="28"/>
      <w:sz w:val="28"/>
    </w:rPr>
  </w:style>
  <w:style w:type="character" w:customStyle="1" w:styleId="Heading3Char">
    <w:name w:val="Heading 3 Char"/>
    <w:basedOn w:val="DefaultParagraphFont"/>
    <w:link w:val="Heading3"/>
    <w:uiPriority w:val="9"/>
    <w:rsid w:val="00F60929"/>
    <w:rPr>
      <w:rFonts w:eastAsia="Times New Roman" w:cs="Times New Roman"/>
      <w:color w:val="0F4761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60929"/>
    <w:rPr>
      <w:rFonts w:eastAsia="Times New Roman" w:cs="Times New Roman"/>
      <w:i/>
      <w:iCs/>
      <w:color w:val="0F476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60929"/>
    <w:rPr>
      <w:rFonts w:eastAsia="Times New Roman" w:cs="Times New Roman"/>
      <w:color w:val="0F4761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60929"/>
    <w:rPr>
      <w:rFonts w:eastAsia="Times New Roman" w:cs="Times New Roman"/>
      <w:i/>
      <w:iCs/>
      <w:color w:val="595959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60929"/>
    <w:rPr>
      <w:rFonts w:eastAsia="Times New Roman" w:cs="Times New Roman"/>
      <w:color w:val="595959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60929"/>
    <w:rPr>
      <w:rFonts w:eastAsia="Times New Roman" w:cs="Times New Roman"/>
      <w:i/>
      <w:iCs/>
      <w:color w:val="272727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60929"/>
    <w:rPr>
      <w:rFonts w:eastAsia="Times New Roman" w:cs="Times New Roman"/>
      <w:color w:val="272727"/>
    </w:rPr>
  </w:style>
  <w:style w:type="paragraph" w:customStyle="1" w:styleId="Subtitle1">
    <w:name w:val="Subtitle1"/>
    <w:basedOn w:val="Normal"/>
    <w:next w:val="Normal"/>
    <w:uiPriority w:val="11"/>
    <w:qFormat/>
    <w:rsid w:val="00F60929"/>
    <w:pPr>
      <w:numPr>
        <w:ilvl w:val="1"/>
      </w:numPr>
      <w:overflowPunct/>
      <w:autoSpaceDE/>
      <w:autoSpaceDN/>
      <w:adjustRightInd/>
      <w:spacing w:after="160" w:line="278" w:lineRule="auto"/>
      <w:textAlignment w:val="auto"/>
    </w:pPr>
    <w:rPr>
      <w:rFonts w:ascii="Aptos" w:hAnsi="Aptos" w:cs="Times New Roman"/>
      <w:color w:val="595959"/>
      <w:spacing w:val="15"/>
      <w:kern w:val="2"/>
      <w:sz w:val="28"/>
      <w:szCs w:val="28"/>
      <w:lang w:eastAsia="en-US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F60929"/>
    <w:rPr>
      <w:rFonts w:eastAsia="Times New Roman" w:cs="Times New Roman"/>
      <w:color w:val="595959"/>
      <w:spacing w:val="15"/>
      <w:sz w:val="28"/>
      <w:szCs w:val="28"/>
    </w:rPr>
  </w:style>
  <w:style w:type="paragraph" w:customStyle="1" w:styleId="Quote1">
    <w:name w:val="Quote1"/>
    <w:basedOn w:val="Normal"/>
    <w:next w:val="Normal"/>
    <w:uiPriority w:val="29"/>
    <w:qFormat/>
    <w:rsid w:val="00F60929"/>
    <w:pPr>
      <w:overflowPunct/>
      <w:autoSpaceDE/>
      <w:autoSpaceDN/>
      <w:adjustRightInd/>
      <w:spacing w:before="160" w:after="160" w:line="278" w:lineRule="auto"/>
      <w:jc w:val="center"/>
      <w:textAlignment w:val="auto"/>
    </w:pPr>
    <w:rPr>
      <w:rFonts w:ascii="Aptos" w:eastAsia="Aptos" w:hAnsi="Aptos" w:cs="Times New Roman"/>
      <w:i/>
      <w:iCs/>
      <w:color w:val="404040"/>
      <w:kern w:val="2"/>
      <w:sz w:val="24"/>
      <w:szCs w:val="24"/>
      <w:lang w:eastAsia="en-US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F60929"/>
    <w:rPr>
      <w:i/>
      <w:iCs/>
      <w:color w:val="404040"/>
    </w:rPr>
  </w:style>
  <w:style w:type="paragraph" w:customStyle="1" w:styleId="ListParagraph1">
    <w:name w:val="List Paragraph1"/>
    <w:basedOn w:val="Normal"/>
    <w:next w:val="ListParagraph"/>
    <w:uiPriority w:val="34"/>
    <w:qFormat/>
    <w:rsid w:val="00F60929"/>
    <w:pPr>
      <w:overflowPunct/>
      <w:autoSpaceDE/>
      <w:autoSpaceDN/>
      <w:adjustRightInd/>
      <w:spacing w:after="160" w:line="278" w:lineRule="auto"/>
      <w:ind w:left="720"/>
      <w:contextualSpacing/>
      <w:textAlignment w:val="auto"/>
    </w:pPr>
    <w:rPr>
      <w:rFonts w:ascii="Aptos" w:eastAsia="Aptos" w:hAnsi="Aptos" w:cs="Times New Roman"/>
      <w:color w:val="auto"/>
      <w:kern w:val="2"/>
      <w:sz w:val="24"/>
      <w:szCs w:val="24"/>
      <w:lang w:eastAsia="en-US"/>
      <w14:ligatures w14:val="standardContextual"/>
    </w:rPr>
  </w:style>
  <w:style w:type="character" w:customStyle="1" w:styleId="IntenseEmphasis1">
    <w:name w:val="Intense Emphasis1"/>
    <w:basedOn w:val="DefaultParagraphFont"/>
    <w:uiPriority w:val="21"/>
    <w:qFormat/>
    <w:rsid w:val="00F60929"/>
    <w:rPr>
      <w:i/>
      <w:iCs/>
      <w:color w:val="0F4761"/>
    </w:rPr>
  </w:style>
  <w:style w:type="paragraph" w:customStyle="1" w:styleId="IntenseQuote1">
    <w:name w:val="Intense Quote1"/>
    <w:basedOn w:val="Normal"/>
    <w:next w:val="Normal"/>
    <w:uiPriority w:val="30"/>
    <w:qFormat/>
    <w:rsid w:val="00F60929"/>
    <w:pPr>
      <w:pBdr>
        <w:top w:val="single" w:sz="4" w:space="10" w:color="0F4761"/>
        <w:bottom w:val="single" w:sz="4" w:space="10" w:color="0F4761"/>
      </w:pBdr>
      <w:overflowPunct/>
      <w:autoSpaceDE/>
      <w:autoSpaceDN/>
      <w:adjustRightInd/>
      <w:spacing w:before="360" w:after="360" w:line="278" w:lineRule="auto"/>
      <w:ind w:left="864" w:right="864"/>
      <w:jc w:val="center"/>
      <w:textAlignment w:val="auto"/>
    </w:pPr>
    <w:rPr>
      <w:rFonts w:ascii="Aptos" w:eastAsia="Aptos" w:hAnsi="Aptos" w:cs="Times New Roman"/>
      <w:i/>
      <w:iCs/>
      <w:color w:val="0F4761"/>
      <w:kern w:val="2"/>
      <w:sz w:val="24"/>
      <w:szCs w:val="24"/>
      <w:lang w:eastAsia="en-US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60929"/>
    <w:rPr>
      <w:i/>
      <w:iCs/>
      <w:color w:val="0F4761"/>
    </w:rPr>
  </w:style>
  <w:style w:type="character" w:customStyle="1" w:styleId="IntenseReference1">
    <w:name w:val="Intense Reference1"/>
    <w:basedOn w:val="DefaultParagraphFont"/>
    <w:uiPriority w:val="32"/>
    <w:qFormat/>
    <w:rsid w:val="00F60929"/>
    <w:rPr>
      <w:b/>
      <w:bCs/>
      <w:smallCaps/>
      <w:color w:val="0F4761"/>
      <w:spacing w:val="5"/>
    </w:rPr>
  </w:style>
  <w:style w:type="character" w:styleId="UnresolvedMention">
    <w:name w:val="Unresolved Mention"/>
    <w:basedOn w:val="DefaultParagraphFont"/>
    <w:uiPriority w:val="99"/>
    <w:semiHidden/>
    <w:unhideWhenUsed/>
    <w:rsid w:val="00F60929"/>
    <w:rPr>
      <w:color w:val="605E5C"/>
      <w:shd w:val="clear" w:color="auto" w:fill="E1DFDD"/>
    </w:rPr>
  </w:style>
  <w:style w:type="character" w:customStyle="1" w:styleId="HeaderChar">
    <w:name w:val="Header Char"/>
    <w:basedOn w:val="DefaultParagraphFont"/>
    <w:link w:val="Header"/>
    <w:uiPriority w:val="99"/>
    <w:rsid w:val="00F60929"/>
    <w:rPr>
      <w:rFonts w:ascii="Arial" w:hAnsi="Arial" w:cs="Arial"/>
      <w:color w:val="000000"/>
    </w:rPr>
  </w:style>
  <w:style w:type="paragraph" w:customStyle="1" w:styleId="skip-numbering">
    <w:name w:val="skip-numbering"/>
    <w:basedOn w:val="Normal"/>
    <w:rsid w:val="00F60929"/>
    <w:pPr>
      <w:overflowPunct/>
      <w:autoSpaceDE/>
      <w:autoSpaceDN/>
      <w:adjustRightInd/>
      <w:spacing w:before="100" w:beforeAutospacing="1" w:after="100" w:afterAutospacing="1"/>
      <w:textAlignment w:val="auto"/>
    </w:pPr>
    <w:rPr>
      <w:rFonts w:ascii="Times New Roman" w:hAnsi="Times New Roman" w:cs="Times New Roman"/>
      <w:color w:val="auto"/>
      <w:sz w:val="24"/>
      <w:szCs w:val="24"/>
    </w:rPr>
  </w:style>
  <w:style w:type="character" w:customStyle="1" w:styleId="screenreader-text">
    <w:name w:val="screenreader-text"/>
    <w:basedOn w:val="DefaultParagraphFont"/>
    <w:rsid w:val="00F60929"/>
  </w:style>
  <w:style w:type="paragraph" w:customStyle="1" w:styleId="full-docsum">
    <w:name w:val="full-docsum"/>
    <w:basedOn w:val="Normal"/>
    <w:rsid w:val="00F60929"/>
    <w:pPr>
      <w:overflowPunct/>
      <w:autoSpaceDE/>
      <w:autoSpaceDN/>
      <w:adjustRightInd/>
      <w:spacing w:before="100" w:beforeAutospacing="1" w:after="100" w:afterAutospacing="1"/>
      <w:textAlignment w:val="auto"/>
    </w:pPr>
    <w:rPr>
      <w:rFonts w:ascii="Times New Roman" w:hAnsi="Times New Roman" w:cs="Times New Roman"/>
      <w:color w:val="auto"/>
      <w:sz w:val="24"/>
      <w:szCs w:val="24"/>
    </w:rPr>
  </w:style>
  <w:style w:type="character" w:customStyle="1" w:styleId="docsum-authors">
    <w:name w:val="docsum-authors"/>
    <w:basedOn w:val="DefaultParagraphFont"/>
    <w:rsid w:val="00F60929"/>
  </w:style>
  <w:style w:type="character" w:customStyle="1" w:styleId="docsum-journal-citation">
    <w:name w:val="docsum-journal-citation"/>
    <w:basedOn w:val="DefaultParagraphFont"/>
    <w:rsid w:val="00F60929"/>
  </w:style>
  <w:style w:type="character" w:customStyle="1" w:styleId="citation-part">
    <w:name w:val="citation-part"/>
    <w:basedOn w:val="DefaultParagraphFont"/>
    <w:rsid w:val="00F60929"/>
  </w:style>
  <w:style w:type="character" w:customStyle="1" w:styleId="docsum-pmid">
    <w:name w:val="docsum-pmid"/>
    <w:basedOn w:val="DefaultParagraphFont"/>
    <w:rsid w:val="00F60929"/>
  </w:style>
  <w:style w:type="character" w:customStyle="1" w:styleId="period">
    <w:name w:val="period"/>
    <w:basedOn w:val="DefaultParagraphFont"/>
    <w:rsid w:val="00F60929"/>
  </w:style>
  <w:style w:type="character" w:customStyle="1" w:styleId="cit">
    <w:name w:val="cit"/>
    <w:basedOn w:val="DefaultParagraphFont"/>
    <w:rsid w:val="00F60929"/>
  </w:style>
  <w:style w:type="character" w:customStyle="1" w:styleId="FollowedHyperlink1">
    <w:name w:val="FollowedHyperlink1"/>
    <w:basedOn w:val="DefaultParagraphFont"/>
    <w:uiPriority w:val="99"/>
    <w:semiHidden/>
    <w:unhideWhenUsed/>
    <w:rsid w:val="00F60929"/>
    <w:rPr>
      <w:color w:val="96607D"/>
      <w:u w:val="single"/>
    </w:rPr>
  </w:style>
  <w:style w:type="character" w:customStyle="1" w:styleId="article-clienttype">
    <w:name w:val="article-client_type"/>
    <w:basedOn w:val="DefaultParagraphFont"/>
    <w:rsid w:val="00F60929"/>
  </w:style>
  <w:style w:type="character" w:customStyle="1" w:styleId="pipe">
    <w:name w:val="pipe"/>
    <w:basedOn w:val="DefaultParagraphFont"/>
    <w:rsid w:val="00F60929"/>
  </w:style>
  <w:style w:type="character" w:customStyle="1" w:styleId="article-date">
    <w:name w:val="article-date"/>
    <w:basedOn w:val="DefaultParagraphFont"/>
    <w:rsid w:val="00F60929"/>
  </w:style>
  <w:style w:type="character" w:customStyle="1" w:styleId="name">
    <w:name w:val="name"/>
    <w:basedOn w:val="DefaultParagraphFont"/>
    <w:rsid w:val="00F60929"/>
  </w:style>
  <w:style w:type="character" w:customStyle="1" w:styleId="person-group">
    <w:name w:val="person-group"/>
    <w:basedOn w:val="DefaultParagraphFont"/>
    <w:rsid w:val="00F60929"/>
  </w:style>
  <w:style w:type="paragraph" w:styleId="NormalWeb">
    <w:name w:val="Normal (Web)"/>
    <w:basedOn w:val="Normal"/>
    <w:uiPriority w:val="99"/>
    <w:semiHidden/>
    <w:unhideWhenUsed/>
    <w:rsid w:val="00F60929"/>
    <w:pPr>
      <w:overflowPunct/>
      <w:autoSpaceDE/>
      <w:autoSpaceDN/>
      <w:adjustRightInd/>
      <w:spacing w:before="100" w:beforeAutospacing="1" w:after="100" w:afterAutospacing="1"/>
      <w:textAlignment w:val="auto"/>
    </w:pPr>
    <w:rPr>
      <w:rFonts w:ascii="Times New Roman" w:hAnsi="Times New Roman" w:cs="Times New Roman"/>
      <w:color w:val="auto"/>
      <w:sz w:val="24"/>
      <w:szCs w:val="24"/>
    </w:rPr>
  </w:style>
  <w:style w:type="character" w:customStyle="1" w:styleId="Heading3Char1">
    <w:name w:val="Heading 3 Char1"/>
    <w:basedOn w:val="DefaultParagraphFont"/>
    <w:uiPriority w:val="9"/>
    <w:semiHidden/>
    <w:rsid w:val="00F60929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1">
    <w:name w:val="Heading 4 Char1"/>
    <w:basedOn w:val="DefaultParagraphFont"/>
    <w:uiPriority w:val="9"/>
    <w:semiHidden/>
    <w:rsid w:val="00F60929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1">
    <w:name w:val="Heading 5 Char1"/>
    <w:basedOn w:val="DefaultParagraphFont"/>
    <w:uiPriority w:val="9"/>
    <w:semiHidden/>
    <w:rsid w:val="00F60929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1">
    <w:name w:val="Heading 6 Char1"/>
    <w:basedOn w:val="DefaultParagraphFont"/>
    <w:uiPriority w:val="9"/>
    <w:semiHidden/>
    <w:rsid w:val="00F60929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1">
    <w:name w:val="Heading 7 Char1"/>
    <w:basedOn w:val="DefaultParagraphFont"/>
    <w:uiPriority w:val="9"/>
    <w:semiHidden/>
    <w:rsid w:val="00F60929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1">
    <w:name w:val="Heading 8 Char1"/>
    <w:basedOn w:val="DefaultParagraphFont"/>
    <w:uiPriority w:val="9"/>
    <w:semiHidden/>
    <w:rsid w:val="00F60929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1">
    <w:name w:val="Heading 9 Char1"/>
    <w:basedOn w:val="DefaultParagraphFont"/>
    <w:uiPriority w:val="9"/>
    <w:semiHidden/>
    <w:rsid w:val="00F60929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Subtitle">
    <w:name w:val="Subtitle"/>
    <w:basedOn w:val="Normal"/>
    <w:next w:val="Normal"/>
    <w:link w:val="SubtitleChar"/>
    <w:uiPriority w:val="11"/>
    <w:qFormat/>
    <w:rsid w:val="00F60929"/>
    <w:pPr>
      <w:numPr>
        <w:ilvl w:val="1"/>
      </w:numPr>
      <w:spacing w:after="160"/>
    </w:pPr>
    <w:rPr>
      <w:rFonts w:ascii="Times New Roman" w:hAnsi="Times New Roman" w:cs="Times New Roman"/>
      <w:color w:val="595959"/>
      <w:spacing w:val="15"/>
      <w:sz w:val="28"/>
      <w:szCs w:val="28"/>
    </w:rPr>
  </w:style>
  <w:style w:type="character" w:customStyle="1" w:styleId="SubtitleChar1">
    <w:name w:val="Subtitle Char1"/>
    <w:basedOn w:val="DefaultParagraphFont"/>
    <w:uiPriority w:val="11"/>
    <w:rsid w:val="00F60929"/>
    <w:rPr>
      <w:rFonts w:asciiTheme="minorHAnsi" w:eastAsiaTheme="minorEastAsia" w:hAnsiTheme="minorHAnsi" w:cstheme="minorBidi"/>
      <w:color w:val="5A5A5A" w:themeColor="text1" w:themeTint="A5"/>
      <w:spacing w:val="15"/>
      <w:sz w:val="22"/>
      <w:szCs w:val="22"/>
    </w:rPr>
  </w:style>
  <w:style w:type="paragraph" w:styleId="Quote">
    <w:name w:val="Quote"/>
    <w:basedOn w:val="Normal"/>
    <w:next w:val="Normal"/>
    <w:link w:val="QuoteChar"/>
    <w:uiPriority w:val="29"/>
    <w:qFormat/>
    <w:rsid w:val="00F60929"/>
    <w:pPr>
      <w:spacing w:before="200" w:after="160"/>
      <w:ind w:left="864" w:right="864"/>
      <w:jc w:val="center"/>
    </w:pPr>
    <w:rPr>
      <w:rFonts w:ascii="Times New Roman" w:hAnsi="Times New Roman" w:cs="Times New Roman"/>
      <w:i/>
      <w:iCs/>
      <w:color w:val="404040"/>
    </w:rPr>
  </w:style>
  <w:style w:type="character" w:customStyle="1" w:styleId="QuoteChar1">
    <w:name w:val="Quote Char1"/>
    <w:basedOn w:val="DefaultParagraphFont"/>
    <w:uiPriority w:val="29"/>
    <w:rsid w:val="00F60929"/>
    <w:rPr>
      <w:rFonts w:ascii="Arial" w:hAnsi="Arial" w:cs="Arial"/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6092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60929"/>
    <w:rPr>
      <w:i/>
      <w:iCs/>
      <w:color w:val="4472C4" w:themeColor="accent1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60929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rFonts w:ascii="Times New Roman" w:hAnsi="Times New Roman" w:cs="Times New Roman"/>
      <w:i/>
      <w:iCs/>
      <w:color w:val="0F4761"/>
    </w:rPr>
  </w:style>
  <w:style w:type="character" w:customStyle="1" w:styleId="IntenseQuoteChar1">
    <w:name w:val="Intense Quote Char1"/>
    <w:basedOn w:val="DefaultParagraphFont"/>
    <w:uiPriority w:val="30"/>
    <w:rsid w:val="00F60929"/>
    <w:rPr>
      <w:rFonts w:ascii="Arial" w:hAnsi="Arial" w:cs="Arial"/>
      <w:i/>
      <w:iCs/>
      <w:color w:val="4472C4" w:themeColor="accent1"/>
    </w:rPr>
  </w:style>
  <w:style w:type="character" w:styleId="IntenseReference">
    <w:name w:val="Intense Reference"/>
    <w:basedOn w:val="DefaultParagraphFont"/>
    <w:uiPriority w:val="32"/>
    <w:qFormat/>
    <w:rsid w:val="00F60929"/>
    <w:rPr>
      <w:b/>
      <w:bCs/>
      <w:smallCaps/>
      <w:color w:val="4472C4" w:themeColor="accent1"/>
      <w:spacing w:val="5"/>
    </w:rPr>
  </w:style>
  <w:style w:type="character" w:styleId="FollowedHyperlink">
    <w:name w:val="FollowedHyperlink"/>
    <w:basedOn w:val="DefaultParagraphFont"/>
    <w:uiPriority w:val="99"/>
    <w:semiHidden/>
    <w:unhideWhenUsed/>
    <w:rsid w:val="00F60929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979505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417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064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5315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7430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79431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1.xml"/><Relationship Id="rId5" Type="http://schemas.openxmlformats.org/officeDocument/2006/relationships/styles" Target="styles.xml"/><Relationship Id="rId10" Type="http://schemas.openxmlformats.org/officeDocument/2006/relationships/image" Target="media/image1.png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91FF24604298843B32EB0FBD869CE69" ma:contentTypeVersion="11" ma:contentTypeDescription="Create a new document." ma:contentTypeScope="" ma:versionID="97736de6e8e6b9326a10ebb1180c9727">
  <xsd:schema xmlns:xsd="http://www.w3.org/2001/XMLSchema" xmlns:xs="http://www.w3.org/2001/XMLSchema" xmlns:p="http://schemas.microsoft.com/office/2006/metadata/properties" xmlns:ns3="120ce0be-7e81-4c2a-bb58-6cf0f9e099b1" xmlns:ns4="e02126a4-1dba-4c4c-8f4d-a732378dd9c8" targetNamespace="http://schemas.microsoft.com/office/2006/metadata/properties" ma:root="true" ma:fieldsID="4f31173c6afb6867b560bde617f61ed7" ns3:_="" ns4:_="">
    <xsd:import namespace="120ce0be-7e81-4c2a-bb58-6cf0f9e099b1"/>
    <xsd:import namespace="e02126a4-1dba-4c4c-8f4d-a732378dd9c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ObjectDetectorVersions" minOccurs="0"/>
                <xsd:element ref="ns3:MediaServiceSearchProperties" minOccurs="0"/>
                <xsd:element ref="ns3:MediaServiceGenerationTime" minOccurs="0"/>
                <xsd:element ref="ns3:MediaServiceEventHashCode" minOccurs="0"/>
                <xsd:element ref="ns3:MediaLengthInSecond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20ce0be-7e81-4c2a-bb58-6cf0f9e099b1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bjectDetectorVersions" ma:index="1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earchProperties" ma:index="1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  <xsd:element name="_activity" ma:index="18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02126a4-1dba-4c4c-8f4d-a732378dd9c8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120ce0be-7e81-4c2a-bb58-6cf0f9e099b1" xsi:nil="true"/>
  </documentManagement>
</p:properties>
</file>

<file path=customXml/itemProps1.xml><?xml version="1.0" encoding="utf-8"?>
<ds:datastoreItem xmlns:ds="http://schemas.openxmlformats.org/officeDocument/2006/customXml" ds:itemID="{EA004268-9B46-4F3E-94F9-557DC358163B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D1A67F47-07D0-46ED-98C2-091F86B8B36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6663D1D-B669-4EBC-8504-F319BFF7AD1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20ce0be-7e81-4c2a-bb58-6cf0f9e099b1"/>
    <ds:schemaRef ds:uri="e02126a4-1dba-4c4c-8f4d-a732378dd9c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C0A455A8-6E85-4518-B811-D551C9A4EBEA}">
  <ds:schemaRefs>
    <ds:schemaRef ds:uri="http://schemas.microsoft.com/office/2006/metadata/properties"/>
    <ds:schemaRef ds:uri="http://schemas.microsoft.com/office/infopath/2007/PartnerControls"/>
    <ds:schemaRef ds:uri="120ce0be-7e81-4c2a-bb58-6cf0f9e099b1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69</TotalTime>
  <Pages>15</Pages>
  <Words>4658</Words>
  <Characters>25392</Characters>
  <Application>Microsoft Office Word</Application>
  <DocSecurity>0</DocSecurity>
  <Lines>396</Lines>
  <Paragraphs>417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NORTH AND WEST WALES PQ1 PROGRAMME</vt:lpstr>
    </vt:vector>
  </TitlesOfParts>
  <Company>Powys County Council</Company>
  <LinksUpToDate>false</LinksUpToDate>
  <CharactersWithSpaces>29633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NORTH AND WEST WALES PQ1 PROGRAMME</dc:title>
  <dc:subject/>
  <dc:creator>GC</dc:creator>
  <cp:keywords/>
  <cp:lastModifiedBy>Rhodri  Jones</cp:lastModifiedBy>
  <cp:revision>18</cp:revision>
  <cp:lastPrinted>2020-02-11T19:20:00Z</cp:lastPrinted>
  <dcterms:created xsi:type="dcterms:W3CDTF">2026-02-10T14:09:00Z</dcterms:created>
  <dcterms:modified xsi:type="dcterms:W3CDTF">2026-02-22T14:55:00Z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0x010100A91FF24604298843B32EB0FBD869CE69</vt:lpwstr>
  </property>
  <property fmtid="{D5CDD505-2E9C-101B-9397-08002B2CF9AE}" pid="3" name="GrammarlyDocumentId">
    <vt:lpwstr>02137f25-890b-4225-b736-e331cfd4450d</vt:lpwstr>
  </property>
</Properties>
</file>