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53C7C6"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Abstract</w:t>
      </w:r>
    </w:p>
    <w:p w14:paraId="0323BC2B"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This report Assesses the United Kingdom's progress towards achieving Sustainable development goals (SDG)one, (No Poverty) and sustainable development Goals (SDG)three, (Good Health and Well-being). The Interconnections between poverty, Health and overall well-being are examined within the broader context of Sustainable Development. This report analyses UK policies and programs aimed at addressing these goals, highlighting achievements and Persistent Challenges. Key obstacles such as income inequality, health care costs and environmental factors are discussed. This report Concludes with recommendations to enhance progress towards a healthier and more equitable Society.</w:t>
      </w:r>
    </w:p>
    <w:p w14:paraId="0CF6764F" w14:textId="77777777" w:rsidR="00726D13" w:rsidRPr="0068460F" w:rsidRDefault="00726D13" w:rsidP="00726D13">
      <w:pPr>
        <w:spacing w:line="360" w:lineRule="auto"/>
        <w:rPr>
          <w:rFonts w:ascii="Arial" w:hAnsi="Arial" w:cs="Arial"/>
          <w:sz w:val="24"/>
          <w:szCs w:val="24"/>
        </w:rPr>
      </w:pPr>
    </w:p>
    <w:p w14:paraId="662564C4" w14:textId="77777777" w:rsidR="00726D13" w:rsidRPr="0068460F"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t>Introduction</w:t>
      </w:r>
    </w:p>
    <w:p w14:paraId="4397A4E6" w14:textId="77777777" w:rsidR="00726D13" w:rsidRPr="001837F9" w:rsidRDefault="00726D13" w:rsidP="00726D13">
      <w:pPr>
        <w:spacing w:line="360" w:lineRule="auto"/>
        <w:rPr>
          <w:rFonts w:ascii="Arial" w:hAnsi="Arial" w:cs="Arial"/>
          <w:sz w:val="24"/>
          <w:szCs w:val="24"/>
        </w:rPr>
      </w:pPr>
      <w:r w:rsidRPr="0068460F">
        <w:rPr>
          <w:rFonts w:ascii="Arial" w:hAnsi="Arial" w:cs="Arial"/>
          <w:sz w:val="24"/>
          <w:szCs w:val="24"/>
        </w:rPr>
        <w:t>In this report we will critically examine the progress made towards achieving sustainable development goals (SDGs) Set by the United Nations to improve health well-being and sustainable development in the UK. We Will explore the concepts of Health, Well-being and Sustainable development are interconnected and essential for the overall well-being of individuals. The importance of SDG's. Specifically, we will focus on Sustainable Development goal (SDG)one. No Poverty and Sustainable Development goal (SDG)three. Good Health and Well-Being, we will evaluate the UK strategies and program implemented to achieve these goals. Definitions of keywords such as, Well-being, Sustainable Development, Health, (SDG)1 No Poverty and (SDG) 3 Good Health and Well-being.</w:t>
      </w:r>
    </w:p>
    <w:p w14:paraId="2B9DDB81" w14:textId="77777777" w:rsidR="00726D13" w:rsidRPr="0068460F" w:rsidRDefault="00726D13" w:rsidP="00726D13">
      <w:pPr>
        <w:spacing w:line="360" w:lineRule="auto"/>
        <w:rPr>
          <w:rFonts w:ascii="Arial" w:eastAsia="Times New Roman" w:hAnsi="Arial" w:cs="Arial"/>
          <w:sz w:val="24"/>
          <w:szCs w:val="24"/>
          <w:lang w:eastAsia="en-GB"/>
        </w:rPr>
      </w:pPr>
      <w:r w:rsidRPr="00A56048">
        <w:rPr>
          <w:rFonts w:ascii="Arial" w:eastAsia="Times New Roman" w:hAnsi="Arial" w:cs="Arial"/>
          <w:sz w:val="24"/>
          <w:szCs w:val="24"/>
          <w:lang w:eastAsia="en-GB"/>
        </w:rPr>
        <w:t xml:space="preserve">Health, well-being, and sustainable development are increasingly recognized as interconnected concepts that are integral to the modern health and care sectors. As defined by the World Health Organisation (WHO), health is more than just the absence of sickness; it is also a condition that complete physical, mental, and social well-being. Similarly, well-being goes beyond physical health to include mental, emotional, and social aspects (Dodge et al., 2012). The report produced by Brundtland (1987) defines sustainable development as development that fulfils current requirements without jeopardising the capacity of future generations to satisfy their own needs. Health and well-being are closely intertwined. This research </w:t>
      </w:r>
      <w:r w:rsidRPr="00A56048">
        <w:rPr>
          <w:rFonts w:ascii="Arial" w:eastAsia="Times New Roman" w:hAnsi="Arial" w:cs="Arial"/>
          <w:sz w:val="24"/>
          <w:szCs w:val="24"/>
          <w:lang w:eastAsia="en-GB"/>
        </w:rPr>
        <w:lastRenderedPageBreak/>
        <w:t>critically investigates how these notions are integrated into the current health and care sectors, investigating their ubiquitous nature and the issues th</w:t>
      </w:r>
      <w:r w:rsidRPr="0068460F">
        <w:rPr>
          <w:rFonts w:ascii="Arial" w:eastAsia="Times New Roman" w:hAnsi="Arial" w:cs="Arial"/>
          <w:sz w:val="24"/>
          <w:szCs w:val="24"/>
          <w:lang w:eastAsia="en-GB"/>
        </w:rPr>
        <w:t>at arise during the process of their execution. Health, well-being, and sustainable development are inextricably linked and have challenging interactions. Effective policy in these areas can improve people's quality of life whilst also promoting long-term sustainability. This research examines secondary data from a variety of sources, with an emphasis on current health, wellness, and efforts to promote sustainable development at the local and national level. The analysis will include recommendations for enhancing these policies and activities.</w:t>
      </w:r>
    </w:p>
    <w:p w14:paraId="61FAB66F" w14:textId="77777777" w:rsidR="00726D13" w:rsidRPr="00A56048" w:rsidRDefault="00726D13" w:rsidP="00726D13">
      <w:pPr>
        <w:spacing w:after="0" w:line="360" w:lineRule="auto"/>
        <w:rPr>
          <w:rFonts w:ascii="Arial" w:eastAsia="Times New Roman" w:hAnsi="Arial" w:cs="Arial"/>
          <w:sz w:val="24"/>
          <w:szCs w:val="24"/>
          <w:lang w:eastAsia="en-GB"/>
        </w:rPr>
      </w:pPr>
    </w:p>
    <w:p w14:paraId="6A35A09B"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Definition of well-being and the importance of it</w:t>
      </w:r>
    </w:p>
    <w:p w14:paraId="265F43CF" w14:textId="77777777" w:rsidR="00726D13" w:rsidRPr="001837F9" w:rsidRDefault="00726D13" w:rsidP="00726D13">
      <w:pPr>
        <w:spacing w:line="360" w:lineRule="auto"/>
        <w:rPr>
          <w:rFonts w:ascii="Arial" w:hAnsi="Arial" w:cs="Arial"/>
          <w:sz w:val="24"/>
          <w:szCs w:val="24"/>
        </w:rPr>
      </w:pPr>
      <w:r w:rsidRPr="0068460F">
        <w:rPr>
          <w:rFonts w:ascii="Arial" w:hAnsi="Arial" w:cs="Arial"/>
          <w:sz w:val="24"/>
          <w:szCs w:val="24"/>
        </w:rPr>
        <w:t>The definition of well-being is about feeling good and functioning well and comprises an individual’s experience of their life, and a comparison of life circumstances with Well-being is important to health and health is important to well-being. Healthier lifestyles and good health status are both associated with higher levels of well-being. Therefore, focusing policies on well-being could lead to improved well-being and also improved health outcomes. This could reduce the healthcare burden associated with an ageing population and also improve the UK's position internationally on health outcomes.</w:t>
      </w:r>
    </w:p>
    <w:p w14:paraId="2FB92C73" w14:textId="77777777" w:rsidR="00726D13" w:rsidRPr="001837F9"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t>Ubiquity of Health and Well-being in Health and Care Sectors</w:t>
      </w:r>
    </w:p>
    <w:p w14:paraId="6DEAFFDB" w14:textId="77777777" w:rsidR="00726D13" w:rsidRPr="0068460F" w:rsidRDefault="00726D13" w:rsidP="00726D13">
      <w:pPr>
        <w:spacing w:after="0" w:line="360" w:lineRule="auto"/>
        <w:rPr>
          <w:rFonts w:ascii="Arial" w:eastAsia="Times New Roman" w:hAnsi="Arial" w:cs="Arial"/>
          <w:sz w:val="24"/>
          <w:szCs w:val="24"/>
          <w:lang w:eastAsia="en-GB"/>
        </w:rPr>
      </w:pPr>
      <w:r w:rsidRPr="00A61348">
        <w:rPr>
          <w:rFonts w:ascii="Arial" w:eastAsia="Times New Roman" w:hAnsi="Arial" w:cs="Arial"/>
          <w:sz w:val="24"/>
          <w:szCs w:val="24"/>
          <w:lang w:eastAsia="en-GB"/>
        </w:rPr>
        <w:t xml:space="preserve">Health and well-being are essential to the goals of healthcare systems around the world. This ubiquity is made apparent by the transition from a solely biological paradigm of health, which concentrates on treating illnesses, to a broader strategy that includes preventative measures, promotion of healthy lifestyles, and mental health care. Well-being is incorporated into health policies through programs such as the WHO's "Health in All Policies" approach, which encourages policymakers to examine health outcomes in all areas of policy (WHO, 2013). The COVID-19 pandemic has demonstrated the significance of mental health and well-being, which led to increased investment in mental health services and a broader recognition of socioeconomic determinants of health (Moreno et al., 2020). Therefore, there is a </w:t>
      </w:r>
      <w:r w:rsidRPr="00A61348">
        <w:rPr>
          <w:rFonts w:ascii="Arial" w:eastAsia="Times New Roman" w:hAnsi="Arial" w:cs="Arial"/>
          <w:sz w:val="24"/>
          <w:szCs w:val="24"/>
          <w:lang w:eastAsia="en-GB"/>
        </w:rPr>
        <w:lastRenderedPageBreak/>
        <w:t>growing emphasis</w:t>
      </w:r>
      <w:r w:rsidRPr="0068460F">
        <w:rPr>
          <w:rFonts w:ascii="Arial" w:eastAsia="Times New Roman" w:hAnsi="Arial" w:cs="Arial"/>
          <w:sz w:val="24"/>
          <w:szCs w:val="24"/>
          <w:lang w:eastAsia="en-GB"/>
        </w:rPr>
        <w:t xml:space="preserve"> on generating reassuring environments that promote well-being, from community health initiatives to workplace well-being programs.</w:t>
      </w:r>
    </w:p>
    <w:p w14:paraId="6B666AB8" w14:textId="77777777" w:rsidR="00726D13" w:rsidRPr="0068460F" w:rsidRDefault="00726D13" w:rsidP="00726D13">
      <w:pPr>
        <w:spacing w:after="0" w:line="360" w:lineRule="auto"/>
        <w:rPr>
          <w:rFonts w:ascii="Arial" w:eastAsia="Times New Roman" w:hAnsi="Arial" w:cs="Arial"/>
          <w:sz w:val="24"/>
          <w:szCs w:val="24"/>
          <w:lang w:eastAsia="en-GB"/>
        </w:rPr>
      </w:pPr>
    </w:p>
    <w:p w14:paraId="5318FFEA" w14:textId="77777777" w:rsidR="00726D13" w:rsidRPr="005F2664" w:rsidRDefault="00726D13" w:rsidP="00726D13">
      <w:pPr>
        <w:spacing w:after="0" w:line="360" w:lineRule="auto"/>
        <w:rPr>
          <w:rFonts w:ascii="Arial" w:eastAsia="Times New Roman" w:hAnsi="Arial" w:cs="Arial"/>
          <w:sz w:val="24"/>
          <w:szCs w:val="24"/>
          <w:lang w:eastAsia="en-GB"/>
        </w:rPr>
      </w:pPr>
      <w:r w:rsidRPr="005F2664">
        <w:rPr>
          <w:rFonts w:ascii="Arial" w:eastAsia="Times New Roman" w:hAnsi="Arial" w:cs="Arial"/>
          <w:sz w:val="24"/>
          <w:szCs w:val="24"/>
          <w:lang w:eastAsia="en-GB"/>
        </w:rPr>
        <w:t>However, applying well-being measures in the health and care sectors does not come without challenges. Critics assert that present measurements of well-being are too limited and fail to capture the complex nature of human experience (Forgeard et al., 2011). Moreover, the concentration on well-being can sometimes result in the medicalisation of common human experiences, obscuring the difference between health and sickness (Horwitz &amp; Wakefield, 2007).</w:t>
      </w:r>
    </w:p>
    <w:p w14:paraId="011EA395" w14:textId="77777777" w:rsidR="00726D13" w:rsidRPr="0068460F" w:rsidRDefault="00726D13" w:rsidP="00726D13">
      <w:pPr>
        <w:spacing w:after="0" w:line="360" w:lineRule="auto"/>
        <w:rPr>
          <w:rFonts w:ascii="Arial" w:eastAsia="Times New Roman" w:hAnsi="Arial" w:cs="Arial"/>
          <w:sz w:val="24"/>
          <w:szCs w:val="24"/>
          <w:lang w:eastAsia="en-GB"/>
        </w:rPr>
      </w:pPr>
    </w:p>
    <w:p w14:paraId="0F762A01" w14:textId="77777777" w:rsidR="00726D13" w:rsidRPr="0068460F"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t>Integration of Sustainable Development in Health and Care Sectors</w:t>
      </w:r>
    </w:p>
    <w:p w14:paraId="4336158C"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“Sustainable development is development that meets the needs of the present without compromising the ability of future generations to meet their own needs. “It involves Economic, social, and environmental aspects and aims to create a balance between development and conservation. Sustainable Development Goal, set of seventeen goals adopted by all United Nations members States in 2015 as a universal call to action to end poverty, protect the planet, environmental degradation and enjoy peace prosperity for all. The SDG goals address various global challenges, including poverty, inequality, climate change, peace, and justice.</w:t>
      </w:r>
    </w:p>
    <w:p w14:paraId="0CE56F25" w14:textId="77777777" w:rsidR="00726D13" w:rsidRPr="0068460F" w:rsidRDefault="00726D13" w:rsidP="00726D13">
      <w:pPr>
        <w:spacing w:line="360" w:lineRule="auto"/>
        <w:rPr>
          <w:rFonts w:ascii="Arial" w:hAnsi="Arial" w:cs="Arial"/>
          <w:sz w:val="24"/>
          <w:szCs w:val="24"/>
        </w:rPr>
      </w:pPr>
    </w:p>
    <w:p w14:paraId="58E5A0FA"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Sustainable development goals (SDG, s) are important as it aims to transform our world. They are a call to action to end poverty and inequality. Protect the planet and ensure that all people enjoy health, justice, and prosperity. It is critical that no one is left behind. (“Sustainable Development Goals - World Health Organization (WHO)”) (“Sustainable Development Goals - World Health Organization (WHO)”)</w:t>
      </w:r>
    </w:p>
    <w:p w14:paraId="7C5D7C0C" w14:textId="77777777" w:rsidR="00726D13" w:rsidRPr="00317CA4" w:rsidRDefault="00726D13" w:rsidP="00726D13">
      <w:pPr>
        <w:spacing w:after="0" w:line="360" w:lineRule="auto"/>
        <w:rPr>
          <w:rFonts w:ascii="Arial" w:eastAsia="Times New Roman" w:hAnsi="Arial" w:cs="Arial"/>
          <w:sz w:val="24"/>
          <w:szCs w:val="24"/>
          <w:lang w:eastAsia="en-GB"/>
        </w:rPr>
      </w:pPr>
      <w:r w:rsidRPr="00317CA4">
        <w:rPr>
          <w:rFonts w:ascii="Arial" w:eastAsia="Times New Roman" w:hAnsi="Arial" w:cs="Arial"/>
          <w:sz w:val="24"/>
          <w:szCs w:val="24"/>
          <w:lang w:eastAsia="en-GB"/>
        </w:rPr>
        <w:t>Sustainable development has become an essential component of health and care sector legislation, reflecting the recognition that environmental, economic, and interpersonal sustainability are all essential for long-term health outcomes. The Sustainable Development Goals (SDGs) of the United Nations, particularly Goal 3 ("Ensure healthy lives and promote well-being for all at all ages"), reinforce worldwide dedication to integrating sustainability into health agendas (UN, 2015).</w:t>
      </w:r>
    </w:p>
    <w:p w14:paraId="296CC169" w14:textId="77777777" w:rsidR="00726D13" w:rsidRPr="0068460F" w:rsidRDefault="00726D13" w:rsidP="00726D13">
      <w:pPr>
        <w:spacing w:line="360" w:lineRule="auto"/>
        <w:rPr>
          <w:rFonts w:ascii="Arial" w:hAnsi="Arial" w:cs="Arial"/>
          <w:sz w:val="24"/>
          <w:szCs w:val="24"/>
        </w:rPr>
      </w:pPr>
    </w:p>
    <w:p w14:paraId="4C44A618"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 xml:space="preserve">The long-standing definition of Health according to the World Health Organisation (WHO) formulated in 1948 is a state of complete physical, mental, and social well-being and not merely the absence of disease or infirmity. It is crucial for individuals to lead a fulfilling life and contribute to society. </w:t>
      </w:r>
    </w:p>
    <w:p w14:paraId="00A4D578" w14:textId="77777777" w:rsidR="00726D13" w:rsidRPr="0068460F" w:rsidRDefault="00726D13" w:rsidP="00726D13">
      <w:pPr>
        <w:spacing w:line="360" w:lineRule="auto"/>
        <w:rPr>
          <w:rFonts w:ascii="Arial" w:hAnsi="Arial" w:cs="Arial"/>
          <w:sz w:val="24"/>
          <w:szCs w:val="24"/>
        </w:rPr>
      </w:pPr>
    </w:p>
    <w:p w14:paraId="4E9DFB8A" w14:textId="77777777" w:rsidR="00726D13" w:rsidRPr="0068460F" w:rsidRDefault="00726D13" w:rsidP="00726D13">
      <w:pPr>
        <w:spacing w:line="360" w:lineRule="auto"/>
        <w:rPr>
          <w:rFonts w:ascii="Arial" w:eastAsia="Times New Roman" w:hAnsi="Arial" w:cs="Arial"/>
          <w:sz w:val="24"/>
          <w:szCs w:val="24"/>
          <w:lang w:eastAsia="en-GB"/>
        </w:rPr>
      </w:pPr>
      <w:r w:rsidRPr="00772506">
        <w:rPr>
          <w:rFonts w:ascii="Arial" w:eastAsia="Times New Roman" w:hAnsi="Arial" w:cs="Arial"/>
          <w:sz w:val="24"/>
          <w:szCs w:val="24"/>
          <w:lang w:eastAsia="en-GB"/>
        </w:rPr>
        <w:t xml:space="preserve">This pledge mirrors a broader trend in which health care professionals recognise their role in combating climate change and safeguarding the environment, which benefits long-term public health. </w:t>
      </w:r>
      <w:r w:rsidRPr="00772506">
        <w:rPr>
          <w:rFonts w:ascii="Arial" w:eastAsia="Times New Roman" w:hAnsi="Arial" w:cs="Arial"/>
          <w:sz w:val="24"/>
          <w:szCs w:val="24"/>
          <w:lang w:eastAsia="en-GB"/>
        </w:rPr>
        <w:br/>
        <w:t>Nonetheless, integrating sustainable development into healthcare presents significant hurdles. Implementing sustainable practices can be costly, especially in low-resource contexts (Fuchs et al., 2021). In addition, there is often a conflict between the immediate needs of patient care and the</w:t>
      </w:r>
      <w:r w:rsidRPr="0068460F">
        <w:rPr>
          <w:rFonts w:ascii="Arial" w:eastAsia="Times New Roman" w:hAnsi="Arial" w:cs="Arial"/>
          <w:sz w:val="24"/>
          <w:szCs w:val="24"/>
          <w:lang w:eastAsia="en-GB"/>
        </w:rPr>
        <w:t xml:space="preserve"> long-term sustainability goals, which result in severe trade-offs (Purohit et al., 2022). Additionally, the healthcare sector's significant dependency on resource-intensive technologies creates ongoing issues related to sustainability.</w:t>
      </w:r>
    </w:p>
    <w:p w14:paraId="1DC7B7A6" w14:textId="77777777" w:rsidR="00726D13" w:rsidRPr="0068460F" w:rsidRDefault="00726D13" w:rsidP="00726D13">
      <w:pPr>
        <w:spacing w:line="360" w:lineRule="auto"/>
        <w:rPr>
          <w:rFonts w:ascii="Arial" w:eastAsia="Times New Roman" w:hAnsi="Arial" w:cs="Arial"/>
          <w:sz w:val="24"/>
          <w:szCs w:val="24"/>
          <w:lang w:eastAsia="en-GB"/>
        </w:rPr>
      </w:pPr>
    </w:p>
    <w:p w14:paraId="11DD2A6F"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GOAL A</w:t>
      </w:r>
    </w:p>
    <w:p w14:paraId="6CB1909B"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SDG 1 No Poverty.</w:t>
      </w:r>
    </w:p>
    <w:p w14:paraId="7305718F"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Definition – SDG 1 Aims to end poverty in all its forms everywhere. This goal encompasses Various dimensions of poverty, including lack of income, resources, and opportunities.</w:t>
      </w:r>
    </w:p>
    <w:p w14:paraId="32E2607A" w14:textId="77777777" w:rsidR="00726D13" w:rsidRPr="0068460F" w:rsidRDefault="00726D13" w:rsidP="00726D13">
      <w:pPr>
        <w:spacing w:line="360" w:lineRule="auto"/>
        <w:rPr>
          <w:rFonts w:ascii="Arial" w:hAnsi="Arial" w:cs="Arial"/>
          <w:sz w:val="24"/>
          <w:szCs w:val="24"/>
        </w:rPr>
      </w:pPr>
    </w:p>
    <w:p w14:paraId="319C06F5"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UK strategies/programs</w:t>
      </w:r>
    </w:p>
    <w:p w14:paraId="49C3A84A"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In the UK, several strategies have been implemented to address poverty, social welfare programs, benefits such as Universal Credit aim to provide financial support to low-income families. Employment initiatives programs like work programs and kickstarts schemes help unemployed individuals find work. Education programs efforts to improve education access and quality, particularly for disadvantaged groups, aim to break the cycle of poverty.</w:t>
      </w:r>
    </w:p>
    <w:p w14:paraId="721BFD11" w14:textId="77777777" w:rsidR="00726D13" w:rsidRPr="0068460F" w:rsidRDefault="00726D13" w:rsidP="00726D13">
      <w:pPr>
        <w:spacing w:line="360" w:lineRule="auto"/>
        <w:rPr>
          <w:rFonts w:ascii="Arial" w:hAnsi="Arial" w:cs="Arial"/>
          <w:sz w:val="24"/>
          <w:szCs w:val="24"/>
        </w:rPr>
      </w:pPr>
    </w:p>
    <w:p w14:paraId="36C85B61"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SDG1 aims to end poverty in all its forms by 2030. In the UK, poverty remains a major is-sue, with approximately fourteen million people living in poverty, including 4.5 million children. The government has implemented various strategies to address poverty, such as the introduction of the National Living Wage and the Universal Credit system. How-ever, these measures have been criticized for not effectively addressing the root causes of poverty and for failing to lift people out of poverty.</w:t>
      </w:r>
    </w:p>
    <w:p w14:paraId="3F6668C9" w14:textId="77777777" w:rsidR="00726D13" w:rsidRPr="0068460F" w:rsidRDefault="00726D13" w:rsidP="00726D13">
      <w:pPr>
        <w:spacing w:line="360" w:lineRule="auto"/>
        <w:rPr>
          <w:rFonts w:ascii="Arial" w:hAnsi="Arial" w:cs="Arial"/>
          <w:sz w:val="24"/>
          <w:szCs w:val="24"/>
        </w:rPr>
      </w:pPr>
    </w:p>
    <w:p w14:paraId="56CECAF9"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One strategy that has shown promise in addressing poverty is the Social Prescribing pro-gram, which connects individuals with non-medical support services to improve their overall well-being. By addressing social determinants of health, such as housing, education, and employment, Social Prescribing has the potential to reduce poverty and im-prove health outcomes. However, the program faces challenges in terms of funding and accessibility, and further evaluation is needed to assess its impact on poverty reduction.</w:t>
      </w:r>
    </w:p>
    <w:p w14:paraId="564D9822" w14:textId="77777777" w:rsidR="00726D13" w:rsidRPr="0068460F" w:rsidRDefault="00726D13" w:rsidP="00726D13">
      <w:pPr>
        <w:spacing w:line="360" w:lineRule="auto"/>
        <w:rPr>
          <w:rFonts w:ascii="Arial" w:hAnsi="Arial" w:cs="Arial"/>
          <w:sz w:val="24"/>
          <w:szCs w:val="24"/>
        </w:rPr>
      </w:pPr>
    </w:p>
    <w:p w14:paraId="79D23CD8"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Recommendations</w:t>
      </w:r>
    </w:p>
    <w:p w14:paraId="11752B46"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To improve the current strategies for achieving SDG1 and SDG3, the UK government should:</w:t>
      </w:r>
    </w:p>
    <w:p w14:paraId="5709D932" w14:textId="77777777" w:rsidR="00726D13" w:rsidRPr="0068460F" w:rsidRDefault="00726D13" w:rsidP="00726D13">
      <w:pPr>
        <w:spacing w:line="360" w:lineRule="auto"/>
        <w:rPr>
          <w:rFonts w:ascii="Arial" w:hAnsi="Arial" w:cs="Arial"/>
          <w:sz w:val="24"/>
          <w:szCs w:val="24"/>
        </w:rPr>
      </w:pPr>
    </w:p>
    <w:p w14:paraId="2FDE38EB"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1. Increase funding for poverty reduction programs, such as Social Prescribing, to address the root causes of poverty and improve health outcomes.</w:t>
      </w:r>
    </w:p>
    <w:p w14:paraId="7B3A5C78" w14:textId="77777777" w:rsidR="00726D13" w:rsidRPr="0068460F" w:rsidRDefault="00726D13" w:rsidP="00726D13">
      <w:pPr>
        <w:spacing w:line="360" w:lineRule="auto"/>
        <w:rPr>
          <w:rFonts w:ascii="Arial" w:hAnsi="Arial" w:cs="Arial"/>
          <w:sz w:val="24"/>
          <w:szCs w:val="24"/>
        </w:rPr>
      </w:pPr>
    </w:p>
    <w:p w14:paraId="08FA6447"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2. Prioritize investment in public health initiatives to reduce health inequalities and pro-mote well-being for all populations.</w:t>
      </w:r>
    </w:p>
    <w:p w14:paraId="08E5B4DD" w14:textId="77777777" w:rsidR="00726D13" w:rsidRPr="0068460F" w:rsidRDefault="00726D13" w:rsidP="00726D13">
      <w:pPr>
        <w:spacing w:line="360" w:lineRule="auto"/>
        <w:rPr>
          <w:rFonts w:ascii="Arial" w:hAnsi="Arial" w:cs="Arial"/>
          <w:sz w:val="24"/>
          <w:szCs w:val="24"/>
        </w:rPr>
      </w:pPr>
    </w:p>
    <w:p w14:paraId="6F58372F"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 xml:space="preserve">In conclusion, while progress has been made in achieving SDG1 No Poverty and SDG3 Good Health and Well-being in the UK, there are still significant challenges that need to be addressed. By implementing targeted strategies and investing in </w:t>
      </w:r>
      <w:r w:rsidRPr="0068460F">
        <w:rPr>
          <w:rFonts w:ascii="Arial" w:hAnsi="Arial" w:cs="Arial"/>
          <w:sz w:val="24"/>
          <w:szCs w:val="24"/>
        </w:rPr>
        <w:lastRenderedPageBreak/>
        <w:t>public health initiatives, the UK can improve health, well-being, and sustainable development for all its citizens (Public Health England, 2018).</w:t>
      </w:r>
    </w:p>
    <w:p w14:paraId="2649E90E" w14:textId="77777777" w:rsidR="00726D13" w:rsidRPr="0068460F" w:rsidRDefault="00726D13" w:rsidP="00726D13">
      <w:pPr>
        <w:spacing w:line="360" w:lineRule="auto"/>
        <w:rPr>
          <w:rFonts w:ascii="Arial" w:hAnsi="Arial" w:cs="Arial"/>
          <w:b/>
          <w:bCs/>
          <w:sz w:val="24"/>
          <w:szCs w:val="24"/>
          <w:u w:val="single"/>
        </w:rPr>
      </w:pPr>
    </w:p>
    <w:p w14:paraId="7C7E95F9"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Critical review</w:t>
      </w:r>
    </w:p>
    <w:p w14:paraId="1F4C7422"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While these programs, have had positive impacts, they also face criticism. Social welfare programs often criticised for not being comprehensive enough and for issues in their delivery. Employment initiatives sometimes fail to provide long term employment solutions, and educational programs struggle with disparities in access and quality.</w:t>
      </w:r>
    </w:p>
    <w:p w14:paraId="53100DCC" w14:textId="77777777" w:rsidR="00726D13" w:rsidRPr="0068460F" w:rsidRDefault="00726D13" w:rsidP="00726D13">
      <w:pPr>
        <w:spacing w:line="360" w:lineRule="auto"/>
        <w:rPr>
          <w:rFonts w:ascii="Arial" w:hAnsi="Arial" w:cs="Arial"/>
          <w:sz w:val="24"/>
          <w:szCs w:val="24"/>
        </w:rPr>
      </w:pPr>
    </w:p>
    <w:p w14:paraId="29EE35F5"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Affordable housing</w:t>
      </w:r>
    </w:p>
    <w:p w14:paraId="3298D298" w14:textId="77777777" w:rsidR="00726D13" w:rsidRPr="0068460F" w:rsidRDefault="00726D13" w:rsidP="00726D13">
      <w:pPr>
        <w:spacing w:line="360" w:lineRule="auto"/>
        <w:rPr>
          <w:rFonts w:ascii="Arial" w:hAnsi="Arial" w:cs="Arial"/>
          <w:sz w:val="24"/>
          <w:szCs w:val="24"/>
        </w:rPr>
      </w:pPr>
    </w:p>
    <w:p w14:paraId="2BD3DBD9" w14:textId="77777777" w:rsidR="00726D13" w:rsidRPr="0068460F" w:rsidRDefault="00726D13" w:rsidP="00726D13">
      <w:pPr>
        <w:pStyle w:val="ListParagraph"/>
        <w:numPr>
          <w:ilvl w:val="0"/>
          <w:numId w:val="1"/>
        </w:numPr>
        <w:spacing w:line="360" w:lineRule="auto"/>
        <w:rPr>
          <w:rFonts w:ascii="Arial" w:hAnsi="Arial" w:cs="Arial"/>
          <w:sz w:val="24"/>
          <w:szCs w:val="24"/>
        </w:rPr>
      </w:pPr>
      <w:r w:rsidRPr="0068460F">
        <w:rPr>
          <w:rFonts w:ascii="Arial" w:hAnsi="Arial" w:cs="Arial"/>
          <w:sz w:val="24"/>
          <w:szCs w:val="24"/>
        </w:rPr>
        <w:t>There is a persistent shortage of affordable housing exacerbating poverty.</w:t>
      </w:r>
    </w:p>
    <w:p w14:paraId="79A5EA5F" w14:textId="77777777" w:rsidR="00726D13" w:rsidRPr="0068460F" w:rsidRDefault="00726D13" w:rsidP="00726D13">
      <w:pPr>
        <w:pStyle w:val="ListParagraph"/>
        <w:numPr>
          <w:ilvl w:val="0"/>
          <w:numId w:val="1"/>
        </w:numPr>
        <w:spacing w:line="360" w:lineRule="auto"/>
        <w:rPr>
          <w:rFonts w:ascii="Arial" w:hAnsi="Arial" w:cs="Arial"/>
          <w:sz w:val="24"/>
          <w:szCs w:val="24"/>
        </w:rPr>
      </w:pPr>
      <w:r w:rsidRPr="0068460F">
        <w:rPr>
          <w:rFonts w:ascii="Arial" w:hAnsi="Arial" w:cs="Arial"/>
          <w:sz w:val="24"/>
          <w:szCs w:val="24"/>
        </w:rPr>
        <w:t>There are constant issues and disparities which affect access to quality health care services.</w:t>
      </w:r>
    </w:p>
    <w:p w14:paraId="6D1D36D8" w14:textId="77777777" w:rsidR="00726D13" w:rsidRPr="0068460F" w:rsidRDefault="00726D13" w:rsidP="00726D13">
      <w:pPr>
        <w:spacing w:line="360" w:lineRule="auto"/>
        <w:rPr>
          <w:rFonts w:ascii="Arial" w:hAnsi="Arial" w:cs="Arial"/>
          <w:sz w:val="24"/>
          <w:szCs w:val="24"/>
        </w:rPr>
      </w:pPr>
    </w:p>
    <w:p w14:paraId="14CDF1E2"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Recommendations</w:t>
      </w:r>
    </w:p>
    <w:p w14:paraId="3BC536DB"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 xml:space="preserve">To address these challenges, the following recommendations are made: - </w:t>
      </w:r>
    </w:p>
    <w:p w14:paraId="17D63B8A" w14:textId="77777777" w:rsidR="00726D13" w:rsidRPr="0068460F" w:rsidRDefault="00726D13" w:rsidP="00726D13">
      <w:pPr>
        <w:spacing w:line="360" w:lineRule="auto"/>
        <w:rPr>
          <w:rFonts w:ascii="Arial" w:hAnsi="Arial" w:cs="Arial"/>
          <w:sz w:val="24"/>
          <w:szCs w:val="24"/>
        </w:rPr>
      </w:pPr>
    </w:p>
    <w:p w14:paraId="10B6D7A8" w14:textId="77777777" w:rsidR="00726D13" w:rsidRPr="0068460F" w:rsidRDefault="00726D13" w:rsidP="00726D13">
      <w:pPr>
        <w:pStyle w:val="ListParagraph"/>
        <w:numPr>
          <w:ilvl w:val="0"/>
          <w:numId w:val="2"/>
        </w:numPr>
        <w:spacing w:line="360" w:lineRule="auto"/>
        <w:rPr>
          <w:rFonts w:ascii="Arial" w:hAnsi="Arial" w:cs="Arial"/>
          <w:sz w:val="24"/>
          <w:szCs w:val="24"/>
        </w:rPr>
      </w:pPr>
      <w:r w:rsidRPr="0068460F">
        <w:rPr>
          <w:rFonts w:ascii="Arial" w:hAnsi="Arial" w:cs="Arial"/>
          <w:sz w:val="24"/>
          <w:szCs w:val="24"/>
        </w:rPr>
        <w:t xml:space="preserve">Increase investment in social programs, enhance the scope and delivery of social welfare programs. </w:t>
      </w:r>
    </w:p>
    <w:p w14:paraId="517BF630" w14:textId="77777777" w:rsidR="00726D13" w:rsidRPr="0068460F" w:rsidRDefault="00726D13" w:rsidP="00726D13">
      <w:pPr>
        <w:pStyle w:val="ListParagraph"/>
        <w:spacing w:line="360" w:lineRule="auto"/>
        <w:rPr>
          <w:rFonts w:ascii="Arial" w:hAnsi="Arial" w:cs="Arial"/>
          <w:sz w:val="24"/>
          <w:szCs w:val="24"/>
        </w:rPr>
      </w:pPr>
    </w:p>
    <w:p w14:paraId="1BA06515" w14:textId="77777777" w:rsidR="00726D13" w:rsidRPr="0068460F" w:rsidRDefault="00726D13" w:rsidP="00726D13">
      <w:pPr>
        <w:pStyle w:val="ListParagraph"/>
        <w:numPr>
          <w:ilvl w:val="0"/>
          <w:numId w:val="2"/>
        </w:numPr>
        <w:spacing w:line="360" w:lineRule="auto"/>
        <w:rPr>
          <w:rFonts w:ascii="Arial" w:hAnsi="Arial" w:cs="Arial"/>
          <w:sz w:val="24"/>
          <w:szCs w:val="24"/>
        </w:rPr>
      </w:pPr>
      <w:r w:rsidRPr="0068460F">
        <w:rPr>
          <w:rFonts w:ascii="Arial" w:hAnsi="Arial" w:cs="Arial"/>
          <w:sz w:val="24"/>
          <w:szCs w:val="24"/>
        </w:rPr>
        <w:t>Support affordable housing initiatives: invest in affordable housing projects and provide incentives for developers.</w:t>
      </w:r>
    </w:p>
    <w:p w14:paraId="7352A1B4" w14:textId="77777777" w:rsidR="00726D13" w:rsidRPr="0068460F" w:rsidRDefault="00726D13" w:rsidP="00726D13">
      <w:pPr>
        <w:pStyle w:val="ListParagraph"/>
        <w:spacing w:line="360" w:lineRule="auto"/>
        <w:rPr>
          <w:rFonts w:ascii="Arial" w:hAnsi="Arial" w:cs="Arial"/>
          <w:sz w:val="24"/>
          <w:szCs w:val="24"/>
        </w:rPr>
      </w:pPr>
    </w:p>
    <w:p w14:paraId="441276BE" w14:textId="77777777" w:rsidR="00726D13" w:rsidRPr="0068460F" w:rsidRDefault="00726D13" w:rsidP="00726D13">
      <w:pPr>
        <w:pStyle w:val="ListParagraph"/>
        <w:spacing w:line="360" w:lineRule="auto"/>
        <w:rPr>
          <w:rFonts w:ascii="Arial" w:hAnsi="Arial" w:cs="Arial"/>
          <w:sz w:val="24"/>
          <w:szCs w:val="24"/>
        </w:rPr>
      </w:pPr>
    </w:p>
    <w:p w14:paraId="136236B6" w14:textId="77777777" w:rsidR="00726D13" w:rsidRPr="0068460F" w:rsidRDefault="00726D13" w:rsidP="00726D13">
      <w:pPr>
        <w:pStyle w:val="ListParagraph"/>
        <w:numPr>
          <w:ilvl w:val="0"/>
          <w:numId w:val="2"/>
        </w:numPr>
        <w:spacing w:line="360" w:lineRule="auto"/>
        <w:rPr>
          <w:rFonts w:ascii="Arial" w:hAnsi="Arial" w:cs="Arial"/>
          <w:sz w:val="24"/>
          <w:szCs w:val="24"/>
        </w:rPr>
      </w:pPr>
      <w:r w:rsidRPr="0068460F">
        <w:rPr>
          <w:rFonts w:ascii="Arial" w:hAnsi="Arial" w:cs="Arial"/>
          <w:sz w:val="24"/>
          <w:szCs w:val="24"/>
        </w:rPr>
        <w:t>Improve access to healthcare: Address health care disparities by investing in underserved areas and expanding preventative healthcare services.</w:t>
      </w:r>
    </w:p>
    <w:p w14:paraId="39D995DF" w14:textId="77777777" w:rsidR="00726D13" w:rsidRPr="0068460F" w:rsidRDefault="00726D13" w:rsidP="00726D13">
      <w:pPr>
        <w:spacing w:line="360" w:lineRule="auto"/>
        <w:rPr>
          <w:rFonts w:ascii="Arial" w:hAnsi="Arial" w:cs="Arial"/>
          <w:sz w:val="24"/>
          <w:szCs w:val="24"/>
        </w:rPr>
      </w:pPr>
    </w:p>
    <w:p w14:paraId="6B5756DD" w14:textId="77777777" w:rsidR="00726D13" w:rsidRPr="0068460F" w:rsidRDefault="00726D13" w:rsidP="00726D13">
      <w:pPr>
        <w:spacing w:line="360" w:lineRule="auto"/>
        <w:rPr>
          <w:rFonts w:ascii="Arial" w:hAnsi="Arial" w:cs="Arial"/>
          <w:b/>
          <w:bCs/>
          <w:sz w:val="24"/>
          <w:szCs w:val="24"/>
          <w:u w:val="single"/>
        </w:rPr>
      </w:pPr>
      <w:bookmarkStart w:id="0" w:name="_Hlk174103432"/>
      <w:r w:rsidRPr="0068460F">
        <w:rPr>
          <w:rFonts w:ascii="Arial" w:hAnsi="Arial" w:cs="Arial"/>
          <w:b/>
          <w:bCs/>
          <w:sz w:val="24"/>
          <w:szCs w:val="24"/>
          <w:u w:val="single"/>
        </w:rPr>
        <w:t>GOAL B</w:t>
      </w:r>
    </w:p>
    <w:p w14:paraId="10AC47BC"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SDG 3 Good health and well-being.</w:t>
      </w:r>
    </w:p>
    <w:bookmarkEnd w:id="0"/>
    <w:p w14:paraId="3C48BD0E" w14:textId="77777777" w:rsidR="00726D13" w:rsidRPr="0068460F" w:rsidRDefault="00726D13" w:rsidP="00726D13">
      <w:pPr>
        <w:spacing w:line="360" w:lineRule="auto"/>
        <w:rPr>
          <w:rFonts w:ascii="Arial" w:hAnsi="Arial" w:cs="Arial"/>
          <w:sz w:val="24"/>
          <w:szCs w:val="24"/>
        </w:rPr>
      </w:pPr>
    </w:p>
    <w:p w14:paraId="4D89A00C"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The United Nations has set forth 17 Sustainable Development Goals (SDGs) to be achieved by 2030, with the aim of addressing global challenges and promoting sustainable development. In this report, we will focus on two specific goals: SDG1 No Poverty and SDG3 Good Health and Well-being, and evaluate the progress made by the UK in achieving these goals. We will critically examine the current situation of health, well-be</w:t>
      </w:r>
      <w:r>
        <w:rPr>
          <w:rFonts w:ascii="Arial" w:hAnsi="Arial" w:cs="Arial"/>
          <w:sz w:val="24"/>
          <w:szCs w:val="24"/>
        </w:rPr>
        <w:t>i</w:t>
      </w:r>
      <w:r w:rsidRPr="0068460F">
        <w:rPr>
          <w:rFonts w:ascii="Arial" w:hAnsi="Arial" w:cs="Arial"/>
          <w:sz w:val="24"/>
          <w:szCs w:val="24"/>
        </w:rPr>
        <w:t>ng, and sustainable development within the UK, and provide recommendations for improvement (United Nations, 2015)</w:t>
      </w:r>
    </w:p>
    <w:p w14:paraId="33CDBDA8" w14:textId="77777777" w:rsidR="00726D13" w:rsidRDefault="00726D13" w:rsidP="00726D13">
      <w:pPr>
        <w:spacing w:line="360" w:lineRule="auto"/>
        <w:rPr>
          <w:rFonts w:ascii="Arial" w:hAnsi="Arial" w:cs="Arial"/>
          <w:b/>
          <w:bCs/>
          <w:sz w:val="24"/>
          <w:szCs w:val="24"/>
          <w:u w:val="single"/>
        </w:rPr>
      </w:pPr>
    </w:p>
    <w:p w14:paraId="76F1B2F0"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Definition – Good Health and Well-Being.</w:t>
      </w:r>
    </w:p>
    <w:p w14:paraId="316AAA62" w14:textId="77777777" w:rsidR="00726D13" w:rsidRDefault="00726D13" w:rsidP="00726D13">
      <w:pPr>
        <w:spacing w:line="360" w:lineRule="auto"/>
        <w:rPr>
          <w:rFonts w:ascii="Arial" w:hAnsi="Arial" w:cs="Arial"/>
          <w:sz w:val="24"/>
          <w:szCs w:val="24"/>
        </w:rPr>
      </w:pPr>
      <w:r w:rsidRPr="0068460F">
        <w:rPr>
          <w:rFonts w:ascii="Arial" w:hAnsi="Arial" w:cs="Arial"/>
          <w:sz w:val="24"/>
          <w:szCs w:val="24"/>
        </w:rPr>
        <w:t>SDG 3 Good Health and Well-Being aims to ensure healthy lives and promotes well-being for all at all ages. This SDG 3 goal covers a wide range of health issues, from maternal and child health two infectious diseases and mental health</w:t>
      </w:r>
      <w:r>
        <w:rPr>
          <w:rFonts w:ascii="Arial" w:hAnsi="Arial" w:cs="Arial"/>
          <w:sz w:val="24"/>
          <w:szCs w:val="24"/>
        </w:rPr>
        <w:t xml:space="preserve">. </w:t>
      </w:r>
    </w:p>
    <w:p w14:paraId="64173B8E" w14:textId="77777777" w:rsidR="00726D13" w:rsidRDefault="00726D13" w:rsidP="00726D13">
      <w:pPr>
        <w:spacing w:line="360" w:lineRule="auto"/>
        <w:rPr>
          <w:rFonts w:ascii="Arial" w:hAnsi="Arial" w:cs="Arial"/>
          <w:sz w:val="24"/>
          <w:szCs w:val="24"/>
        </w:rPr>
      </w:pPr>
    </w:p>
    <w:p w14:paraId="6A549B23"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UK strategies/ programs.</w:t>
      </w:r>
    </w:p>
    <w:p w14:paraId="4AD084C7"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The UK has implemented several strategies to improve health and well-being. National Health Service (NHS) provides comprehensive healthcare services free at the point of use. Public health campaigns have incorporated initiatives such as change for life to promote healthier lifestyles. Preventative healthcare programmes focusing on vaccinations, screening, and early intervention to prevent diseases.</w:t>
      </w:r>
    </w:p>
    <w:p w14:paraId="3C8291D2" w14:textId="77777777" w:rsidR="00726D13" w:rsidRDefault="00726D13" w:rsidP="00726D13">
      <w:pPr>
        <w:spacing w:line="360" w:lineRule="auto"/>
        <w:rPr>
          <w:rFonts w:ascii="Arial" w:hAnsi="Arial" w:cs="Arial"/>
          <w:b/>
          <w:bCs/>
          <w:sz w:val="24"/>
          <w:szCs w:val="24"/>
          <w:u w:val="single"/>
        </w:rPr>
      </w:pPr>
    </w:p>
    <w:p w14:paraId="782102B9"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SDG3 Good Health and Well-being</w:t>
      </w:r>
    </w:p>
    <w:p w14:paraId="25726074"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 xml:space="preserve">"SDG3 aims to ensure healthy lives and promote well-being for all at all ages." (“The SDGs and the health sector: challenges and opportunities”) In the UK, the healthcare system is under strain due to an aging population, rising healthcare costs, and increasing demand for services. The government has implemented various initiatives </w:t>
      </w:r>
      <w:r w:rsidRPr="0068460F">
        <w:rPr>
          <w:rFonts w:ascii="Arial" w:hAnsi="Arial" w:cs="Arial"/>
          <w:sz w:val="24"/>
          <w:szCs w:val="24"/>
        </w:rPr>
        <w:lastRenderedPageBreak/>
        <w:t>to improve health and well-being, such as the NHS Long Term Plan and the Healthy Child Pro-gramme. These programs focus on prevention, early intervention, and integrated care to promote better health outcomes.</w:t>
      </w:r>
    </w:p>
    <w:p w14:paraId="2FEB15B0" w14:textId="77777777" w:rsidR="00726D13" w:rsidRPr="0068460F" w:rsidRDefault="00726D13" w:rsidP="00726D13">
      <w:pPr>
        <w:spacing w:line="360" w:lineRule="auto"/>
        <w:rPr>
          <w:rFonts w:ascii="Arial" w:hAnsi="Arial" w:cs="Arial"/>
          <w:sz w:val="24"/>
          <w:szCs w:val="24"/>
        </w:rPr>
      </w:pPr>
    </w:p>
    <w:p w14:paraId="68ABC8B7" w14:textId="77777777" w:rsidR="00726D13" w:rsidRDefault="00726D13" w:rsidP="00726D13">
      <w:pPr>
        <w:spacing w:line="360" w:lineRule="auto"/>
        <w:rPr>
          <w:rFonts w:ascii="Arial" w:hAnsi="Arial" w:cs="Arial"/>
          <w:sz w:val="24"/>
          <w:szCs w:val="24"/>
        </w:rPr>
      </w:pPr>
      <w:r w:rsidRPr="0068460F">
        <w:rPr>
          <w:rFonts w:ascii="Arial" w:hAnsi="Arial" w:cs="Arial"/>
          <w:sz w:val="24"/>
          <w:szCs w:val="24"/>
        </w:rPr>
        <w:t>One key challenge in achieving SDG3 is the widening health inequalities in the UK, with disadvantaged populations experiencing poorer health outcomes compared to more affluent groups. To address this issue, the government should prioritize investment in public health initiatives, such as smoking cessation programs, healthy eating campaigns, and mental health services. By targeting the social determinants of health, the UK can reduce health inequalities and improve overall well-being (Department of Health and Social Care, 2019)</w:t>
      </w:r>
    </w:p>
    <w:p w14:paraId="21401522" w14:textId="77777777" w:rsidR="00726D13" w:rsidRPr="00BC3F59" w:rsidRDefault="00726D13" w:rsidP="00726D13">
      <w:pPr>
        <w:spacing w:line="360" w:lineRule="auto"/>
        <w:rPr>
          <w:rFonts w:ascii="Arial" w:hAnsi="Arial" w:cs="Arial"/>
          <w:sz w:val="24"/>
          <w:szCs w:val="24"/>
        </w:rPr>
      </w:pPr>
    </w:p>
    <w:p w14:paraId="32778E79"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Critical review</w:t>
      </w:r>
    </w:p>
    <w:p w14:paraId="2FA1789F"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While the NHS is a cornerstone of the UK's healthcare system, it faces significant challenges, including funding shortages, staff shortages and increasing demand. Health campaigns are effective but need to reach a wider audience. Preventative health care programs show promise but require more robust implementations on public awareness.</w:t>
      </w:r>
    </w:p>
    <w:p w14:paraId="609D3C3C" w14:textId="77777777" w:rsidR="00726D13" w:rsidRPr="0068460F" w:rsidRDefault="00726D13" w:rsidP="00726D13">
      <w:pPr>
        <w:spacing w:line="360" w:lineRule="auto"/>
        <w:rPr>
          <w:rFonts w:ascii="Arial" w:hAnsi="Arial" w:cs="Arial"/>
          <w:sz w:val="24"/>
          <w:szCs w:val="24"/>
        </w:rPr>
      </w:pPr>
    </w:p>
    <w:p w14:paraId="0B1CA6C9"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Progress evaluation</w:t>
      </w:r>
    </w:p>
    <w:p w14:paraId="65373074" w14:textId="77777777" w:rsidR="00726D13" w:rsidRDefault="00726D13" w:rsidP="00726D13">
      <w:pPr>
        <w:spacing w:line="360" w:lineRule="auto"/>
        <w:rPr>
          <w:rFonts w:ascii="Arial" w:hAnsi="Arial" w:cs="Arial"/>
          <w:sz w:val="24"/>
          <w:szCs w:val="24"/>
        </w:rPr>
      </w:pPr>
      <w:r w:rsidRPr="0068460F">
        <w:rPr>
          <w:rFonts w:ascii="Arial" w:hAnsi="Arial" w:cs="Arial"/>
          <w:sz w:val="24"/>
          <w:szCs w:val="24"/>
        </w:rPr>
        <w:t>The UK has made notable progress in improving health outcomes. Life expectancy has increased and mortality rates for several diseases have declined. However, mental health issues and lifestyle diseases such as obesity I am diabetes are on the rise.</w:t>
      </w:r>
    </w:p>
    <w:p w14:paraId="114ABE44" w14:textId="77777777" w:rsidR="00726D13" w:rsidRPr="0068460F" w:rsidRDefault="00726D13" w:rsidP="00726D13">
      <w:pPr>
        <w:spacing w:line="360" w:lineRule="auto"/>
        <w:rPr>
          <w:rFonts w:ascii="Arial" w:hAnsi="Arial" w:cs="Arial"/>
          <w:sz w:val="24"/>
          <w:szCs w:val="24"/>
        </w:rPr>
      </w:pPr>
    </w:p>
    <w:p w14:paraId="7B71EE4C" w14:textId="77777777" w:rsidR="00726D13" w:rsidRPr="0068460F" w:rsidRDefault="00726D13" w:rsidP="00726D13">
      <w:pPr>
        <w:spacing w:line="360" w:lineRule="auto"/>
        <w:rPr>
          <w:rFonts w:ascii="Arial" w:hAnsi="Arial" w:cs="Arial"/>
          <w:b/>
          <w:bCs/>
          <w:sz w:val="24"/>
          <w:szCs w:val="24"/>
          <w:u w:val="single"/>
        </w:rPr>
      </w:pPr>
      <w:r w:rsidRPr="0068460F">
        <w:rPr>
          <w:rFonts w:ascii="Arial" w:hAnsi="Arial" w:cs="Arial"/>
          <w:b/>
          <w:bCs/>
          <w:sz w:val="24"/>
          <w:szCs w:val="24"/>
          <w:u w:val="single"/>
        </w:rPr>
        <w:t>Challenges</w:t>
      </w:r>
    </w:p>
    <w:p w14:paraId="5CCFD145" w14:textId="77777777" w:rsidR="00726D13" w:rsidRPr="0068460F" w:rsidRDefault="00726D13" w:rsidP="00726D13">
      <w:pPr>
        <w:spacing w:line="360" w:lineRule="auto"/>
        <w:rPr>
          <w:rFonts w:ascii="Arial" w:hAnsi="Arial" w:cs="Arial"/>
          <w:sz w:val="24"/>
          <w:szCs w:val="24"/>
        </w:rPr>
      </w:pPr>
      <w:r w:rsidRPr="0068460F">
        <w:rPr>
          <w:rFonts w:ascii="Arial" w:hAnsi="Arial" w:cs="Arial"/>
          <w:sz w:val="24"/>
          <w:szCs w:val="24"/>
        </w:rPr>
        <w:t>Key challenges include rising healthcare costs, increasing costs pressure on the NHS and public health resources.</w:t>
      </w:r>
    </w:p>
    <w:p w14:paraId="2B9C210E" w14:textId="77777777" w:rsidR="00726D13" w:rsidRPr="0068460F" w:rsidRDefault="00726D13" w:rsidP="00726D13">
      <w:pPr>
        <w:pStyle w:val="ListParagraph"/>
        <w:numPr>
          <w:ilvl w:val="0"/>
          <w:numId w:val="3"/>
        </w:numPr>
        <w:spacing w:line="360" w:lineRule="auto"/>
        <w:rPr>
          <w:rFonts w:ascii="Arial" w:hAnsi="Arial" w:cs="Arial"/>
          <w:sz w:val="24"/>
          <w:szCs w:val="24"/>
        </w:rPr>
      </w:pPr>
      <w:r w:rsidRPr="0068460F">
        <w:rPr>
          <w:rFonts w:ascii="Arial" w:hAnsi="Arial" w:cs="Arial"/>
          <w:sz w:val="24"/>
          <w:szCs w:val="24"/>
        </w:rPr>
        <w:lastRenderedPageBreak/>
        <w:t xml:space="preserve">There are a number of concerns around Mental Health problem. Mental Health issues are prevalent and unfortunately are often under resources which makes it very difficult for those with mental health issues to access the professional support that they need. </w:t>
      </w:r>
    </w:p>
    <w:p w14:paraId="1FACD986" w14:textId="77777777" w:rsidR="00726D13" w:rsidRPr="0068460F" w:rsidRDefault="00726D13" w:rsidP="00726D13">
      <w:pPr>
        <w:pStyle w:val="ListParagraph"/>
        <w:spacing w:line="360" w:lineRule="auto"/>
        <w:rPr>
          <w:rFonts w:ascii="Arial" w:hAnsi="Arial" w:cs="Arial"/>
          <w:sz w:val="24"/>
          <w:szCs w:val="24"/>
        </w:rPr>
      </w:pPr>
    </w:p>
    <w:p w14:paraId="4521AF70" w14:textId="77777777" w:rsidR="00726D13" w:rsidRPr="0068460F" w:rsidRDefault="00726D13" w:rsidP="00726D13">
      <w:pPr>
        <w:pStyle w:val="ListParagraph"/>
        <w:numPr>
          <w:ilvl w:val="0"/>
          <w:numId w:val="3"/>
        </w:numPr>
        <w:spacing w:line="360" w:lineRule="auto"/>
        <w:rPr>
          <w:rFonts w:ascii="Arial" w:hAnsi="Arial" w:cs="Arial"/>
          <w:sz w:val="24"/>
          <w:szCs w:val="24"/>
        </w:rPr>
      </w:pPr>
      <w:r w:rsidRPr="0068460F">
        <w:rPr>
          <w:rFonts w:ascii="Arial" w:hAnsi="Arial" w:cs="Arial"/>
          <w:sz w:val="24"/>
          <w:szCs w:val="24"/>
        </w:rPr>
        <w:t>There are also concerns around lifestyle choices which brings forth diseases relating to lifestyle such as obesity, diabetes, and other lifestyle related conditions are growing concerns.</w:t>
      </w:r>
    </w:p>
    <w:p w14:paraId="385439A6" w14:textId="77777777" w:rsidR="00726D13" w:rsidRPr="0068460F"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t>Challenges and Criticisms</w:t>
      </w:r>
    </w:p>
    <w:p w14:paraId="1234669B" w14:textId="77777777" w:rsidR="00726D13" w:rsidRPr="0068460F" w:rsidRDefault="00726D13" w:rsidP="00726D13">
      <w:pPr>
        <w:spacing w:after="0" w:line="360" w:lineRule="auto"/>
        <w:rPr>
          <w:rFonts w:ascii="Arial" w:eastAsia="Times New Roman" w:hAnsi="Arial" w:cs="Arial"/>
          <w:sz w:val="24"/>
          <w:szCs w:val="24"/>
          <w:lang w:eastAsia="en-GB"/>
        </w:rPr>
      </w:pPr>
      <w:r w:rsidRPr="00AD4F2C">
        <w:rPr>
          <w:rFonts w:ascii="Arial" w:eastAsia="Times New Roman" w:hAnsi="Arial" w:cs="Arial"/>
          <w:sz w:val="24"/>
          <w:szCs w:val="24"/>
          <w:lang w:eastAsia="en-GB"/>
        </w:rPr>
        <w:t>While integrating the concepts of health, well-being, and sustainable development into health-care systems is ubiquitous, it is not without controversy. A key criticism is that these concepts are frequently applied rhetorically, with little substantive changes to practice. For example, while many health care organisations now include well-being as part of their goal, actual funding for mental health and well-being efforts remains low (Patel et al., 2018).</w:t>
      </w:r>
    </w:p>
    <w:p w14:paraId="7F50FEDA" w14:textId="77777777" w:rsidR="00726D13" w:rsidRPr="0068460F" w:rsidRDefault="00726D13" w:rsidP="00726D13">
      <w:pPr>
        <w:spacing w:after="0" w:line="360" w:lineRule="auto"/>
        <w:rPr>
          <w:rFonts w:ascii="Arial" w:eastAsia="Times New Roman" w:hAnsi="Arial" w:cs="Arial"/>
          <w:sz w:val="24"/>
          <w:szCs w:val="24"/>
          <w:lang w:eastAsia="en-GB"/>
        </w:rPr>
      </w:pPr>
      <w:r w:rsidRPr="0031205F">
        <w:rPr>
          <w:rFonts w:ascii="Arial" w:eastAsia="Times New Roman" w:hAnsi="Arial" w:cs="Arial"/>
          <w:sz w:val="24"/>
          <w:szCs w:val="24"/>
          <w:lang w:eastAsia="en-GB"/>
        </w:rPr>
        <w:t xml:space="preserve">Furthermore, others argue that the demand for sustainability in health care opposes additional objectives such as equity. Sustainable procedures frequently require significant initial investment, which can be difficult for underfunded health systems. There is also concern that a focus on sustainability could divert attention away from urgent health care prerequisites, particularly in nations with poor infrastructure where access to basic health care services continues </w:t>
      </w:r>
      <w:r w:rsidRPr="0068460F">
        <w:rPr>
          <w:rFonts w:ascii="Arial" w:eastAsia="Times New Roman" w:hAnsi="Arial" w:cs="Arial"/>
          <w:sz w:val="24"/>
          <w:szCs w:val="24"/>
          <w:lang w:eastAsia="en-GB"/>
        </w:rPr>
        <w:t xml:space="preserve">to be </w:t>
      </w:r>
      <w:r w:rsidRPr="0031205F">
        <w:rPr>
          <w:rFonts w:ascii="Arial" w:eastAsia="Times New Roman" w:hAnsi="Arial" w:cs="Arial"/>
          <w:sz w:val="24"/>
          <w:szCs w:val="24"/>
          <w:lang w:eastAsia="en-GB"/>
        </w:rPr>
        <w:t>a major issue (Devarajan et al., 2021).</w:t>
      </w:r>
    </w:p>
    <w:p w14:paraId="614DFA63" w14:textId="77777777" w:rsidR="00726D13" w:rsidRPr="001837F9"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t>Analysis of Secondary Data</w:t>
      </w:r>
    </w:p>
    <w:p w14:paraId="078B9849" w14:textId="77777777" w:rsidR="00726D13" w:rsidRPr="0068460F" w:rsidRDefault="00726D13" w:rsidP="00726D13">
      <w:pPr>
        <w:pStyle w:val="ListParagraph"/>
        <w:numPr>
          <w:ilvl w:val="0"/>
          <w:numId w:val="4"/>
        </w:numPr>
        <w:spacing w:before="100" w:beforeAutospacing="1" w:after="100" w:afterAutospacing="1" w:line="360" w:lineRule="auto"/>
        <w:outlineLvl w:val="3"/>
        <w:rPr>
          <w:rFonts w:ascii="Arial" w:eastAsia="Times New Roman" w:hAnsi="Arial" w:cs="Arial"/>
          <w:b/>
          <w:bCs/>
          <w:sz w:val="24"/>
          <w:szCs w:val="24"/>
          <w:lang w:eastAsia="en-GB"/>
        </w:rPr>
      </w:pPr>
      <w:r w:rsidRPr="0068460F">
        <w:rPr>
          <w:rFonts w:ascii="Arial" w:eastAsia="Times New Roman" w:hAnsi="Arial" w:cs="Arial"/>
          <w:b/>
          <w:bCs/>
          <w:sz w:val="24"/>
          <w:szCs w:val="24"/>
          <w:lang w:eastAsia="en-GB"/>
        </w:rPr>
        <w:t>Current Health and Well-being Policies</w:t>
      </w:r>
    </w:p>
    <w:p w14:paraId="115DE6B7" w14:textId="77777777" w:rsidR="00726D13" w:rsidRPr="0092415C" w:rsidRDefault="00726D13" w:rsidP="00726D13">
      <w:pPr>
        <w:spacing w:after="0" w:line="360" w:lineRule="auto"/>
        <w:rPr>
          <w:rFonts w:ascii="Arial" w:eastAsia="Times New Roman" w:hAnsi="Arial" w:cs="Arial"/>
          <w:sz w:val="24"/>
          <w:szCs w:val="24"/>
          <w:lang w:eastAsia="en-GB"/>
        </w:rPr>
      </w:pPr>
      <w:r w:rsidRPr="0092415C">
        <w:rPr>
          <w:rFonts w:ascii="Arial" w:eastAsia="Times New Roman" w:hAnsi="Arial" w:cs="Arial"/>
          <w:sz w:val="24"/>
          <w:szCs w:val="24"/>
          <w:lang w:eastAsia="en-GB"/>
        </w:rPr>
        <w:t xml:space="preserve">Many countries' health and well-being policies focus on expanding access to healthcare, encouraging healthy behaviours, and addressing social determinants of health. For instance, the National Health Service (NHS) in the United Kingdom has launched a number of measures to eradicate disparities in health and improve mental health care (NHS England, 2023). However, challenges continue, notably in </w:t>
      </w:r>
      <w:r w:rsidRPr="0092415C">
        <w:rPr>
          <w:rFonts w:ascii="Arial" w:eastAsia="Times New Roman" w:hAnsi="Arial" w:cs="Arial"/>
          <w:sz w:val="24"/>
          <w:szCs w:val="24"/>
          <w:lang w:eastAsia="en-GB"/>
        </w:rPr>
        <w:lastRenderedPageBreak/>
        <w:t>dealing with socioeconomic aspects of health such as inequality in earnings, education, and housing (Marmot et al., 2020).</w:t>
      </w:r>
    </w:p>
    <w:p w14:paraId="5A68A4D0" w14:textId="77777777" w:rsidR="00726D13" w:rsidRPr="0068460F" w:rsidRDefault="00726D13" w:rsidP="00726D13">
      <w:pPr>
        <w:spacing w:after="0" w:line="360" w:lineRule="auto"/>
        <w:rPr>
          <w:rFonts w:ascii="Arial" w:eastAsia="Times New Roman" w:hAnsi="Arial" w:cs="Arial"/>
          <w:sz w:val="24"/>
          <w:szCs w:val="24"/>
          <w:lang w:eastAsia="en-GB"/>
        </w:rPr>
      </w:pPr>
      <w:r w:rsidRPr="00F05F3A">
        <w:rPr>
          <w:rFonts w:ascii="Arial" w:eastAsia="Times New Roman" w:hAnsi="Arial" w:cs="Arial"/>
          <w:sz w:val="24"/>
          <w:szCs w:val="24"/>
          <w:lang w:eastAsia="en-GB"/>
        </w:rPr>
        <w:t>Many countries' health and well-being policies focus on expanding access to healthcare, encouraging healthy behaviours, and addressing social determinants of health. For instance, the National Health Service (NHS) in the United Kingdom has launched a number of measures to eradicate disparities in health and improve mental health care (NHS England, 2023). However, challenges continue, notably in dealing with socioeconomic aspects of health such as inequality in earnings, education, and housing (Marmot et al., 2020).</w:t>
      </w:r>
    </w:p>
    <w:p w14:paraId="7B87B173" w14:textId="77777777" w:rsidR="00726D13" w:rsidRPr="0068460F" w:rsidRDefault="00726D13" w:rsidP="00726D13">
      <w:pPr>
        <w:spacing w:after="0" w:line="360" w:lineRule="auto"/>
        <w:rPr>
          <w:rFonts w:ascii="Arial" w:eastAsia="Times New Roman" w:hAnsi="Arial" w:cs="Arial"/>
          <w:sz w:val="24"/>
          <w:szCs w:val="24"/>
          <w:lang w:eastAsia="en-GB"/>
        </w:rPr>
      </w:pPr>
    </w:p>
    <w:p w14:paraId="1FAF8C94" w14:textId="77777777" w:rsidR="00726D13" w:rsidRPr="0068460F" w:rsidRDefault="00726D13" w:rsidP="00726D13">
      <w:pPr>
        <w:spacing w:after="0" w:line="360" w:lineRule="auto"/>
        <w:rPr>
          <w:rFonts w:ascii="Arial" w:eastAsia="Times New Roman" w:hAnsi="Arial" w:cs="Arial"/>
          <w:sz w:val="24"/>
          <w:szCs w:val="24"/>
          <w:lang w:eastAsia="en-GB"/>
        </w:rPr>
      </w:pPr>
      <w:r w:rsidRPr="0068460F">
        <w:rPr>
          <w:rFonts w:ascii="Arial" w:eastAsia="Times New Roman" w:hAnsi="Arial" w:cs="Arial"/>
          <w:b/>
          <w:bCs/>
          <w:sz w:val="24"/>
          <w:szCs w:val="24"/>
          <w:lang w:eastAsia="en-GB"/>
        </w:rPr>
        <w:t>2.Sustainable Development Policies</w:t>
      </w:r>
    </w:p>
    <w:p w14:paraId="2CB0D0B9" w14:textId="77777777" w:rsidR="00726D13" w:rsidRPr="0068460F"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68460F">
        <w:rPr>
          <w:rFonts w:ascii="Arial" w:eastAsia="Times New Roman" w:hAnsi="Arial" w:cs="Arial"/>
          <w:sz w:val="24"/>
          <w:szCs w:val="24"/>
          <w:lang w:eastAsia="en-GB"/>
        </w:rPr>
        <w:t>Sustainable development policies strive to achieve a balance between growth in the economy, environmental protection, and social equality. National policies typically translate with the United Nations Sustainable Development Goals (SDGs), which prioritise renewable energy, sustainable cities, and responsible materialism (United Nations, 2015). Local initiatives, such as community-based renewable energy projects and urban green areas, helps achieve these goals, but deal with scale and financing issues (ICLEI, 2022).</w:t>
      </w:r>
    </w:p>
    <w:p w14:paraId="16442393" w14:textId="77777777" w:rsidR="00726D13" w:rsidRPr="0068460F" w:rsidRDefault="00726D13" w:rsidP="00726D13">
      <w:pPr>
        <w:pStyle w:val="ListParagraph"/>
        <w:spacing w:before="100" w:beforeAutospacing="1" w:after="100" w:afterAutospacing="1" w:line="360" w:lineRule="auto"/>
        <w:outlineLvl w:val="3"/>
        <w:rPr>
          <w:rFonts w:ascii="Arial" w:eastAsia="Times New Roman" w:hAnsi="Arial" w:cs="Arial"/>
          <w:b/>
          <w:bCs/>
          <w:sz w:val="24"/>
          <w:szCs w:val="24"/>
          <w:lang w:eastAsia="en-GB"/>
        </w:rPr>
      </w:pPr>
    </w:p>
    <w:p w14:paraId="4F157420"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3. Interconnections Between Health, Well-being, and Sustainability</w:t>
      </w:r>
    </w:p>
    <w:p w14:paraId="0514D289" w14:textId="77777777" w:rsidR="00726D13" w:rsidRDefault="00726D13" w:rsidP="00726D13">
      <w:pPr>
        <w:spacing w:after="0" w:line="360" w:lineRule="auto"/>
        <w:rPr>
          <w:rFonts w:ascii="Arial" w:eastAsia="Times New Roman" w:hAnsi="Arial" w:cs="Arial"/>
          <w:sz w:val="24"/>
          <w:szCs w:val="24"/>
          <w:lang w:eastAsia="en-GB"/>
        </w:rPr>
      </w:pPr>
      <w:r w:rsidRPr="00B80895">
        <w:rPr>
          <w:rFonts w:ascii="Arial" w:eastAsia="Times New Roman" w:hAnsi="Arial" w:cs="Arial"/>
          <w:sz w:val="24"/>
          <w:szCs w:val="24"/>
          <w:lang w:eastAsia="en-GB"/>
        </w:rPr>
        <w:t>Research shows an important correlation between equitable growth and health results. For instance, pollution of the air generated by unsustainable tasks has been associated with respiratory problems and premature death (WHO, 2021). In a comparable manner access to green areas has been connected to better mental health and community well-being (White et al., 2019). Nevertheless, current legislation commonly consider health and sustainability as distinct areas, that leads to fragmented efforts and less favourable results (Stevenson et al., 2020).</w:t>
      </w:r>
    </w:p>
    <w:p w14:paraId="0ADD7C42" w14:textId="77777777" w:rsidR="00726D13" w:rsidRDefault="00726D13" w:rsidP="00726D13">
      <w:pPr>
        <w:spacing w:after="0" w:line="360" w:lineRule="auto"/>
        <w:rPr>
          <w:rFonts w:ascii="Arial" w:eastAsia="Times New Roman" w:hAnsi="Arial" w:cs="Arial"/>
          <w:sz w:val="24"/>
          <w:szCs w:val="24"/>
          <w:lang w:eastAsia="en-GB"/>
        </w:rPr>
      </w:pPr>
    </w:p>
    <w:p w14:paraId="6DF4A313" w14:textId="77777777" w:rsidR="00726D13" w:rsidRPr="001837F9" w:rsidRDefault="00726D13" w:rsidP="00726D13">
      <w:pPr>
        <w:spacing w:after="0" w:line="360" w:lineRule="auto"/>
        <w:rPr>
          <w:rFonts w:ascii="Arial" w:eastAsia="Times New Roman" w:hAnsi="Arial" w:cs="Arial"/>
          <w:sz w:val="24"/>
          <w:szCs w:val="24"/>
          <w:u w:val="single"/>
          <w:lang w:eastAsia="en-GB"/>
        </w:rPr>
      </w:pPr>
      <w:r w:rsidRPr="001837F9">
        <w:rPr>
          <w:rFonts w:ascii="Arial" w:eastAsia="Times New Roman" w:hAnsi="Arial" w:cs="Arial"/>
          <w:b/>
          <w:bCs/>
          <w:sz w:val="24"/>
          <w:szCs w:val="24"/>
          <w:u w:val="single"/>
          <w:lang w:eastAsia="en-GB"/>
        </w:rPr>
        <w:t>Recommendations for Policy Improvement</w:t>
      </w:r>
    </w:p>
    <w:p w14:paraId="5D210B75"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1. Integrated Policy Framework</w:t>
      </w:r>
    </w:p>
    <w:p w14:paraId="57C17593" w14:textId="77777777" w:rsidR="00726D13" w:rsidRPr="001F47BF" w:rsidRDefault="00726D13" w:rsidP="00726D13">
      <w:pPr>
        <w:spacing w:after="0" w:line="360" w:lineRule="auto"/>
        <w:rPr>
          <w:rFonts w:ascii="Arial" w:eastAsia="Times New Roman" w:hAnsi="Arial" w:cs="Arial"/>
          <w:sz w:val="24"/>
          <w:szCs w:val="24"/>
          <w:lang w:eastAsia="en-GB"/>
        </w:rPr>
      </w:pPr>
      <w:r w:rsidRPr="001F47BF">
        <w:rPr>
          <w:rFonts w:ascii="Arial" w:eastAsia="Times New Roman" w:hAnsi="Arial" w:cs="Arial"/>
          <w:sz w:val="24"/>
          <w:szCs w:val="24"/>
          <w:lang w:eastAsia="en-GB"/>
        </w:rPr>
        <w:lastRenderedPageBreak/>
        <w:t>Policies must utilise a holistic approach, recognising the relationship of health, well-being, and sustainable development. As an instance, urban planning guidelines should include health impact studies, to guarantee that new developments encourage physical activity, reduce pollution, and provide access to green spaces (Barton &amp; Grant, 2006).</w:t>
      </w:r>
    </w:p>
    <w:p w14:paraId="33C85BB9"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2. Focus on Social Determinants of Health</w:t>
      </w:r>
    </w:p>
    <w:p w14:paraId="2873A173" w14:textId="77777777" w:rsidR="00726D13" w:rsidRPr="00CD3961" w:rsidRDefault="00726D13" w:rsidP="00726D13">
      <w:pPr>
        <w:spacing w:after="0" w:line="360" w:lineRule="auto"/>
        <w:rPr>
          <w:rFonts w:ascii="Arial" w:eastAsia="Times New Roman" w:hAnsi="Arial" w:cs="Arial"/>
          <w:sz w:val="24"/>
          <w:szCs w:val="24"/>
          <w:lang w:eastAsia="en-GB"/>
        </w:rPr>
      </w:pPr>
      <w:r w:rsidRPr="00CD3961">
        <w:rPr>
          <w:rFonts w:ascii="Arial" w:eastAsia="Times New Roman" w:hAnsi="Arial" w:cs="Arial"/>
          <w:sz w:val="24"/>
          <w:szCs w:val="24"/>
          <w:lang w:eastAsia="en-GB"/>
        </w:rPr>
        <w:t>To eliminate health disparities, policy must more effectively address the social determinants of health. This involves broadening access to high-quality education, suitable housing, and stable jobs. National and local governments ought to collaborate with community organisations to devise interventions that can be tailored to the specific needs of disadvantaged populations (Marmot et al., 2020).</w:t>
      </w:r>
    </w:p>
    <w:p w14:paraId="77057910"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3. Sustainable Healthcare Practices</w:t>
      </w:r>
    </w:p>
    <w:p w14:paraId="2802552C" w14:textId="77777777" w:rsidR="00726D13" w:rsidRPr="00DB7DD7" w:rsidRDefault="00726D13" w:rsidP="00726D13">
      <w:pPr>
        <w:spacing w:after="0" w:line="360" w:lineRule="auto"/>
        <w:rPr>
          <w:rFonts w:ascii="Arial" w:eastAsia="Times New Roman" w:hAnsi="Arial" w:cs="Arial"/>
          <w:sz w:val="24"/>
          <w:szCs w:val="24"/>
          <w:lang w:eastAsia="en-GB"/>
        </w:rPr>
      </w:pPr>
      <w:r w:rsidRPr="00DB7DD7">
        <w:rPr>
          <w:rFonts w:ascii="Arial" w:eastAsia="Times New Roman" w:hAnsi="Arial" w:cs="Arial"/>
          <w:sz w:val="24"/>
          <w:szCs w:val="24"/>
          <w:lang w:eastAsia="en-GB"/>
        </w:rPr>
        <w:t>Healthcare organisations should implement environmentally friendly approaches to mitigate their environmental impact. This includes incorporating saving energy technologies in hospitals, strengthening processes for handling waste, and encouraging telemedicine to reduce the need for travel (NHS England, 2022).</w:t>
      </w:r>
    </w:p>
    <w:p w14:paraId="7C8A4449"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4. Strengthening Community-Based Initiatives</w:t>
      </w:r>
    </w:p>
    <w:p w14:paraId="5F6A9369" w14:textId="77777777" w:rsidR="00726D13" w:rsidRPr="0053466A" w:rsidRDefault="00726D13" w:rsidP="00726D13">
      <w:pPr>
        <w:spacing w:after="0" w:line="360" w:lineRule="auto"/>
        <w:rPr>
          <w:rFonts w:ascii="Arial" w:eastAsia="Times New Roman" w:hAnsi="Arial" w:cs="Arial"/>
          <w:sz w:val="24"/>
          <w:szCs w:val="24"/>
          <w:lang w:eastAsia="en-GB"/>
        </w:rPr>
      </w:pPr>
      <w:r w:rsidRPr="0053466A">
        <w:rPr>
          <w:rFonts w:ascii="Arial" w:eastAsia="Times New Roman" w:hAnsi="Arial" w:cs="Arial"/>
          <w:sz w:val="24"/>
          <w:szCs w:val="24"/>
          <w:lang w:eastAsia="en-GB"/>
        </w:rPr>
        <w:t>Local governments should provide greater support for community-based initiatives which encourage ecology and well-being. These initiatives, such as community greenhouses and local renewable energy initiatives, can be developed with more funding, technical assistance, and collaboration between the public and private sectors (ICLEI, 2022).</w:t>
      </w:r>
    </w:p>
    <w:p w14:paraId="16A61CC2" w14:textId="77777777" w:rsidR="00726D13" w:rsidRPr="001837F9" w:rsidRDefault="00726D13" w:rsidP="00726D13">
      <w:pPr>
        <w:spacing w:before="100" w:beforeAutospacing="1" w:after="100" w:afterAutospacing="1" w:line="360" w:lineRule="auto"/>
        <w:outlineLvl w:val="3"/>
        <w:rPr>
          <w:rFonts w:ascii="Arial" w:eastAsia="Times New Roman" w:hAnsi="Arial" w:cs="Arial"/>
          <w:b/>
          <w:bCs/>
          <w:sz w:val="24"/>
          <w:szCs w:val="24"/>
          <w:lang w:eastAsia="en-GB"/>
        </w:rPr>
      </w:pPr>
      <w:r w:rsidRPr="001837F9">
        <w:rPr>
          <w:rFonts w:ascii="Arial" w:eastAsia="Times New Roman" w:hAnsi="Arial" w:cs="Arial"/>
          <w:b/>
          <w:bCs/>
          <w:sz w:val="24"/>
          <w:szCs w:val="24"/>
          <w:lang w:eastAsia="en-GB"/>
        </w:rPr>
        <w:t>5. Enhanced Monitoring and Evaluation</w:t>
      </w:r>
    </w:p>
    <w:p w14:paraId="7DA9EA62" w14:textId="77777777" w:rsidR="00726D13" w:rsidRPr="001837F9" w:rsidRDefault="00726D13" w:rsidP="00726D13">
      <w:pPr>
        <w:spacing w:after="0" w:line="360" w:lineRule="auto"/>
        <w:rPr>
          <w:rFonts w:ascii="Arial" w:eastAsia="Times New Roman" w:hAnsi="Arial" w:cs="Arial"/>
          <w:sz w:val="24"/>
          <w:szCs w:val="24"/>
          <w:lang w:eastAsia="en-GB"/>
        </w:rPr>
      </w:pPr>
      <w:r w:rsidRPr="00F422DE">
        <w:rPr>
          <w:rFonts w:ascii="Arial" w:eastAsia="Times New Roman" w:hAnsi="Arial" w:cs="Arial"/>
          <w:sz w:val="24"/>
          <w:szCs w:val="24"/>
          <w:lang w:eastAsia="en-GB"/>
        </w:rPr>
        <w:t>Effective monitoring and evaluation systems are critical for determining the impact of policies on health, well-being, and sustainability. Governments should invest in gathering and analysing data tools which offer immediate knowledge regarding policy impacts, enabling continuous improvement and accountability (OECD, 2021).</w:t>
      </w:r>
    </w:p>
    <w:p w14:paraId="7A919C5F" w14:textId="77777777" w:rsidR="00726D13" w:rsidRPr="001837F9" w:rsidRDefault="00726D13" w:rsidP="00726D13">
      <w:pPr>
        <w:spacing w:before="100" w:beforeAutospacing="1" w:after="100" w:afterAutospacing="1" w:line="360" w:lineRule="auto"/>
        <w:outlineLvl w:val="2"/>
        <w:rPr>
          <w:rFonts w:ascii="Arial" w:eastAsia="Times New Roman" w:hAnsi="Arial" w:cs="Arial"/>
          <w:b/>
          <w:bCs/>
          <w:sz w:val="24"/>
          <w:szCs w:val="24"/>
          <w:u w:val="single"/>
          <w:lang w:eastAsia="en-GB"/>
        </w:rPr>
      </w:pPr>
      <w:r w:rsidRPr="001837F9">
        <w:rPr>
          <w:rFonts w:ascii="Arial" w:eastAsia="Times New Roman" w:hAnsi="Arial" w:cs="Arial"/>
          <w:b/>
          <w:bCs/>
          <w:sz w:val="24"/>
          <w:szCs w:val="24"/>
          <w:u w:val="single"/>
          <w:lang w:eastAsia="en-GB"/>
        </w:rPr>
        <w:lastRenderedPageBreak/>
        <w:t>Conclusion</w:t>
      </w:r>
    </w:p>
    <w:p w14:paraId="3F28E292" w14:textId="77777777" w:rsidR="00726D13" w:rsidRPr="0068460F" w:rsidRDefault="00726D13" w:rsidP="00726D13">
      <w:pPr>
        <w:spacing w:line="360" w:lineRule="auto"/>
        <w:rPr>
          <w:rFonts w:ascii="Arial" w:eastAsia="Times New Roman" w:hAnsi="Arial" w:cs="Arial"/>
          <w:sz w:val="24"/>
          <w:szCs w:val="24"/>
          <w:lang w:eastAsia="en-GB"/>
        </w:rPr>
      </w:pPr>
      <w:r w:rsidRPr="00E83AEB">
        <w:rPr>
          <w:rFonts w:ascii="Arial" w:eastAsia="Times New Roman" w:hAnsi="Arial" w:cs="Arial"/>
          <w:sz w:val="24"/>
          <w:szCs w:val="24"/>
          <w:lang w:eastAsia="en-GB"/>
        </w:rPr>
        <w:t>The terms health, well-being, and sustainable development are becoming more prevalent in the health and care sectors, reflecting an in-depth comprehension of what it means to live an active life. Still, putting these ideas into action remains complicated and challenging. Although the political discourse surrounding wellness, health, and the pursuit of sustainability is powerful vital barriers—financial, practical, and philosophical—still exist. Overcoming these challenges will require a collaborative effort by lawmakers, providers of healthcare, and society as a whole to ensure that the desired outcomes of health, well-being, and sustainable development are accomplished in reality, not just in theory.</w:t>
      </w:r>
      <w:r w:rsidRPr="0068460F">
        <w:rPr>
          <w:rFonts w:ascii="Arial" w:eastAsia="Times New Roman" w:hAnsi="Arial" w:cs="Arial"/>
          <w:sz w:val="24"/>
          <w:szCs w:val="24"/>
          <w:lang w:eastAsia="en-GB"/>
        </w:rPr>
        <w:t xml:space="preserve"> Improving health, well-being, and sustainable development necessitates a comprehensive approach that addresses the complex interactions across these areas. Governments may render their programs more effective by concentrating on the social factors of health, promoting sustainable healthcare practices, and backing community-based initiatives. Regular evaluation and adaptation are going to maintain these policies relevant and successful in a constantly shifting world. </w:t>
      </w:r>
    </w:p>
    <w:p w14:paraId="1E88D0D6" w14:textId="77777777" w:rsidR="00726D13" w:rsidRPr="0068460F" w:rsidRDefault="00726D13" w:rsidP="00726D13">
      <w:pPr>
        <w:spacing w:after="0" w:line="360" w:lineRule="auto"/>
        <w:rPr>
          <w:rFonts w:ascii="Arial" w:hAnsi="Arial" w:cs="Arial"/>
          <w:sz w:val="24"/>
          <w:szCs w:val="24"/>
        </w:rPr>
      </w:pPr>
    </w:p>
    <w:p w14:paraId="01C05466" w14:textId="77777777" w:rsidR="00726D13" w:rsidRPr="00CD6EAB" w:rsidRDefault="00726D13" w:rsidP="00726D13">
      <w:pPr>
        <w:spacing w:after="0" w:line="360" w:lineRule="auto"/>
        <w:rPr>
          <w:rFonts w:ascii="Arial" w:eastAsia="Times New Roman" w:hAnsi="Arial" w:cs="Arial"/>
          <w:sz w:val="24"/>
          <w:szCs w:val="24"/>
          <w:lang w:eastAsia="en-GB"/>
        </w:rPr>
      </w:pPr>
      <w:r w:rsidRPr="00CD6EAB">
        <w:rPr>
          <w:rFonts w:ascii="Arial" w:eastAsia="Times New Roman" w:hAnsi="Arial" w:cs="Arial"/>
          <w:sz w:val="24"/>
          <w:szCs w:val="24"/>
          <w:lang w:eastAsia="en-GB"/>
        </w:rPr>
        <w:t>Ultimately, the UK has made advancements towards accomplishing the SDGs for health, well-being, and sustainable development. However, issues such as poverty, health-care inequalities, and degradation of the environment remain. It must be paramount that the government, healthcare sector, and society collaborate in order to solve these challenges and create a healthier, more sustainable future for all.</w:t>
      </w:r>
    </w:p>
    <w:p w14:paraId="4FBC4177" w14:textId="77777777" w:rsidR="00605CF2" w:rsidRDefault="00605CF2"/>
    <w:sectPr w:rsidR="00605CF2">
      <w:footerReference w:type="even" r:id="rId7"/>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805F18" w14:textId="77777777" w:rsidR="00726D13" w:rsidRDefault="00726D13" w:rsidP="00726D13">
      <w:pPr>
        <w:spacing w:after="0" w:line="240" w:lineRule="auto"/>
      </w:pPr>
      <w:r>
        <w:separator/>
      </w:r>
    </w:p>
  </w:endnote>
  <w:endnote w:type="continuationSeparator" w:id="0">
    <w:p w14:paraId="58DAF7FB" w14:textId="77777777" w:rsidR="00726D13" w:rsidRDefault="00726D13" w:rsidP="00726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CCF45B" w14:textId="3C47CC09" w:rsidR="00726D13" w:rsidRDefault="00726D13">
    <w:pPr>
      <w:pStyle w:val="Footer"/>
    </w:pPr>
    <w:r>
      <w:rPr>
        <w:noProof/>
      </w:rPr>
      <mc:AlternateContent>
        <mc:Choice Requires="wps">
          <w:drawing>
            <wp:anchor distT="0" distB="0" distL="0" distR="0" simplePos="0" relativeHeight="251659264" behindDoc="0" locked="0" layoutInCell="1" allowOverlap="1" wp14:anchorId="296B570D" wp14:editId="6DA40BD7">
              <wp:simplePos x="635" y="635"/>
              <wp:positionH relativeFrom="page">
                <wp:align>center</wp:align>
              </wp:positionH>
              <wp:positionV relativeFrom="page">
                <wp:align>bottom</wp:align>
              </wp:positionV>
              <wp:extent cx="459740" cy="357505"/>
              <wp:effectExtent l="0" t="0" r="16510" b="0"/>
              <wp:wrapNone/>
              <wp:docPr id="928565157"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57505"/>
                      </a:xfrm>
                      <a:prstGeom prst="rect">
                        <a:avLst/>
                      </a:prstGeom>
                      <a:noFill/>
                      <a:ln>
                        <a:noFill/>
                      </a:ln>
                    </wps:spPr>
                    <wps:txbx>
                      <w:txbxContent>
                        <w:p w14:paraId="5CC0DCA4" w14:textId="6DDD55AB"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96B570D" id="_x0000_t202" coordsize="21600,21600" o:spt="202" path="m,l,21600r21600,l21600,xe">
              <v:stroke joinstyle="miter"/>
              <v:path gradientshapeok="t" o:connecttype="rect"/>
            </v:shapetype>
            <v:shape id="Text Box 2" o:spid="_x0000_s1026" type="#_x0000_t202" alt="OFFICIAL" style="position:absolute;margin-left:0;margin-top:0;width:36.2pt;height:28.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dyADAIAABwEAAAOAAAAZHJzL2Uyb0RvYy54bWysU8Fu2zAMvQ/YPwi6L3a6Zm2NOEXWIsOA&#10;oC2QDj0rshQbsESBUmJnXz9Kjpuu22nYRaZJ6pF8fJrf9qZlB4W+AVvy6STnTFkJVWN3Jf/xvPp0&#10;zZkPwlaiBatKflSe3y4+fph3rlAXUENbKWQEYn3RuZLXIbgiy7yslRF+Ak5ZCmpAIwL94i6rUHSE&#10;btrsIs+/ZB1g5RCk8p6890OQLxK+1kqGR629CqwtOfUW0onp3MYzW8xFsUPh6kae2hD/0IURjaWi&#10;r1D3Igi2x+YPKNNIBA86TCSYDLRupEoz0DTT/N00m1o4lWYhcrx7pcn/P1j5cNi4J2Sh/wo9LTAS&#10;0jlfeHLGeXqNJn6pU0ZxovD4SpvqA5PkvJzdXF1SRFLo8+xqls8iSna+7NCHbwoMi0bJkbaSyBKH&#10;tQ9D6pgSa1lYNW2bNtPa3xyEGT3ZucNohX7bs6Z60/0WqiMNhTDs2zu5aqj0WvjwJJAWTN2SaMMj&#10;HbqFruRwsjirAX/+zR/ziXeKctaRYEpuSdGctd8t7SNqazRwNLbJmN7ks5zidm/ugGQ4pRfhZDLJ&#10;i6EdTY1gXkjOy1iIQsJKKlfy7WjehUG59BykWi5TEsnIibC2GycjdKQrcvncvwh0J8IDbeoBRjWJ&#10;4h3vQ2686d1yH4j9tJRI7UDkiXGSYFrr6blEjb/9T1nnR734BQAA//8DAFBLAwQUAAYACAAAACEA&#10;5JR8I9sAAAADAQAADwAAAGRycy9kb3ducmV2LnhtbEyPTU/DMAyG70j8h8hI3Fi6ln2oNJ3QJE5D&#10;SNu4cMsSry1rnKpJt+7fY3aBiyXrffX4cbEaXSvO2IfGk4LpJAGBZLxtqFLwuX97WoIIUZPVrSdU&#10;cMUAq/L+rtC59Rfa4nkXK8EQCrlWUMfY5VIGU6PTYeI7JM6Ovnc68tpX0vb6wnDXyjRJ5tLphvhC&#10;rTtc12hOu8EpmG3j+/BB++xrTK/fm25tsuPGKPX4ML6+gIg4xr8y/OqzOpTsdPAD2SBaBfxIvE3O&#10;FukziANz5xnIspD/3csfAAAA//8DAFBLAQItABQABgAIAAAAIQC2gziS/gAAAOEBAAATAAAAAAAA&#10;AAAAAAAAAAAAAABbQ29udGVudF9UeXBlc10ueG1sUEsBAi0AFAAGAAgAAAAhADj9If/WAAAAlAEA&#10;AAsAAAAAAAAAAAAAAAAALwEAAF9yZWxzLy5yZWxzUEsBAi0AFAAGAAgAAAAhAISB3IAMAgAAHAQA&#10;AA4AAAAAAAAAAAAAAAAALgIAAGRycy9lMm9Eb2MueG1sUEsBAi0AFAAGAAgAAAAhAOSUfCPbAAAA&#10;AwEAAA8AAAAAAAAAAAAAAAAAZgQAAGRycy9kb3ducmV2LnhtbFBLBQYAAAAABAAEAPMAAABuBQAA&#10;AAA=&#10;" filled="f" stroked="f">
              <v:fill o:detectmouseclick="t"/>
              <v:textbox style="mso-fit-shape-to-text:t" inset="0,0,0,15pt">
                <w:txbxContent>
                  <w:p w14:paraId="5CC0DCA4" w14:textId="6DDD55AB"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82C90A" w14:textId="17C76331" w:rsidR="00726D13" w:rsidRDefault="00726D13">
    <w:pPr>
      <w:pStyle w:val="Footer"/>
    </w:pPr>
    <w:r>
      <w:rPr>
        <w:noProof/>
      </w:rPr>
      <mc:AlternateContent>
        <mc:Choice Requires="wps">
          <w:drawing>
            <wp:anchor distT="0" distB="0" distL="0" distR="0" simplePos="0" relativeHeight="251660288" behindDoc="0" locked="0" layoutInCell="1" allowOverlap="1" wp14:anchorId="5735008D" wp14:editId="765C09B4">
              <wp:simplePos x="914400" y="10071100"/>
              <wp:positionH relativeFrom="page">
                <wp:align>center</wp:align>
              </wp:positionH>
              <wp:positionV relativeFrom="page">
                <wp:align>bottom</wp:align>
              </wp:positionV>
              <wp:extent cx="459740" cy="357505"/>
              <wp:effectExtent l="0" t="0" r="16510" b="0"/>
              <wp:wrapNone/>
              <wp:docPr id="407494774"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57505"/>
                      </a:xfrm>
                      <a:prstGeom prst="rect">
                        <a:avLst/>
                      </a:prstGeom>
                      <a:noFill/>
                      <a:ln>
                        <a:noFill/>
                      </a:ln>
                    </wps:spPr>
                    <wps:txbx>
                      <w:txbxContent>
                        <w:p w14:paraId="5CA78A52" w14:textId="2272622E"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735008D" id="_x0000_t202" coordsize="21600,21600" o:spt="202" path="m,l,21600r21600,l21600,xe">
              <v:stroke joinstyle="miter"/>
              <v:path gradientshapeok="t" o:connecttype="rect"/>
            </v:shapetype>
            <v:shape id="Text Box 3" o:spid="_x0000_s1027" type="#_x0000_t202" alt="OFFICIAL" style="position:absolute;margin-left:0;margin-top:0;width:36.2pt;height:28.1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AvGDgIAABwEAAAOAAAAZHJzL2Uyb0RvYy54bWysU8Fu2zAMvQ/YPwi6L3ayZl2NOEXWIsOA&#10;oi2QDj0rshQbsESBUmJnXz9KjpOt22nYRaZJ6pF8fFrc9qZlB4W+AVvy6STnTFkJVWN3Jf/+sv7w&#10;mTMfhK1EC1aV/Kg8v12+f7foXKFmUENbKWQEYn3RuZLXIbgiy7yslRF+Ak5ZCmpAIwL94i6rUHSE&#10;btpsluefsg6wcghSeU/e+yHIlwlfayXDk9ZeBdaWnHoL6cR0buOZLRei2KFwdSNPbYh/6MKIxlLR&#10;M9S9CILtsfkDyjQSwYMOEwkmA60bqdIMNM00fzPNphZOpVmIHO/ONPn/BysfDxv3jCz0X6CnBUZC&#10;OucLT844T6/RxC91yihOFB7PtKk+MEnOq/nN9RVFJIU+zq/n+TyiZJfLDn34qsCwaJQcaSuJLHF4&#10;8GFIHVNiLQvrpm3TZlr7m4Mwoye7dBit0G971lQln43db6E60lAIw769k+uGSj8IH54F0oKpWxJt&#10;eKJDt9CVHE4WZzXgj7/5Yz7xTlHOOhJMyS0pmrP2m6V9RG2NBo7GNhnTm3yeU9zuzR2QDKf0IpxM&#10;JnkxtKOpEcwryXkVC1FIWEnlSr4dzbswKJeeg1SrVUoiGTkRHuzGyQgd6YpcvvSvAt2J8ECbeoRR&#10;TaJ4w/uQG296t9oHYj8tJVI7EHlinCSY1np6LlHjv/6nrMujXv4EAAD//wMAUEsDBBQABgAIAAAA&#10;IQDklHwj2wAAAAMBAAAPAAAAZHJzL2Rvd25yZXYueG1sTI9NT8MwDIbvSPyHyEjcWLqWfag0ndAk&#10;TkNI27hwyxKvLWucqkm37t9jdoGLJet99fhxsRpdK87Yh8aTgukkAYFkvG2oUvC5f3tagghRk9Wt&#10;J1RwxQCr8v6u0Ln1F9rieRcrwRAKuVZQx9jlUgZTo9Nh4jskzo6+dzry2lfS9vrCcNfKNEnm0umG&#10;+EKtO1zXaE67wSmYbeP78EH77GtMr9+bbm2y48Yo9fgwvr6AiDjGvzL86rM6lOx08APZIFoF/Ei8&#10;Tc4W6TOIA3PnGciykP/dyx8AAAD//wMAUEsBAi0AFAAGAAgAAAAhALaDOJL+AAAA4QEAABMAAAAA&#10;AAAAAAAAAAAAAAAAAFtDb250ZW50X1R5cGVzXS54bWxQSwECLQAUAAYACAAAACEAOP0h/9YAAACU&#10;AQAACwAAAAAAAAAAAAAAAAAvAQAAX3JlbHMvLnJlbHNQSwECLQAUAAYACAAAACEAM0ALxg4CAAAc&#10;BAAADgAAAAAAAAAAAAAAAAAuAgAAZHJzL2Uyb0RvYy54bWxQSwECLQAUAAYACAAAACEA5JR8I9sA&#10;AAADAQAADwAAAAAAAAAAAAAAAABoBAAAZHJzL2Rvd25yZXYueG1sUEsFBgAAAAAEAAQA8wAAAHAF&#10;AAAAAA==&#10;" filled="f" stroked="f">
              <v:fill o:detectmouseclick="t"/>
              <v:textbox style="mso-fit-shape-to-text:t" inset="0,0,0,15pt">
                <w:txbxContent>
                  <w:p w14:paraId="5CA78A52" w14:textId="2272622E"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9041C" w14:textId="5E569F91" w:rsidR="00726D13" w:rsidRDefault="00726D13">
    <w:pPr>
      <w:pStyle w:val="Footer"/>
    </w:pPr>
    <w:r>
      <w:rPr>
        <w:noProof/>
      </w:rPr>
      <mc:AlternateContent>
        <mc:Choice Requires="wps">
          <w:drawing>
            <wp:anchor distT="0" distB="0" distL="0" distR="0" simplePos="0" relativeHeight="251658240" behindDoc="0" locked="0" layoutInCell="1" allowOverlap="1" wp14:anchorId="3C3470D7" wp14:editId="515BDFEC">
              <wp:simplePos x="635" y="635"/>
              <wp:positionH relativeFrom="page">
                <wp:align>center</wp:align>
              </wp:positionH>
              <wp:positionV relativeFrom="page">
                <wp:align>bottom</wp:align>
              </wp:positionV>
              <wp:extent cx="459740" cy="357505"/>
              <wp:effectExtent l="0" t="0" r="16510" b="0"/>
              <wp:wrapNone/>
              <wp:docPr id="2127564170"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357505"/>
                      </a:xfrm>
                      <a:prstGeom prst="rect">
                        <a:avLst/>
                      </a:prstGeom>
                      <a:noFill/>
                      <a:ln>
                        <a:noFill/>
                      </a:ln>
                    </wps:spPr>
                    <wps:txbx>
                      <w:txbxContent>
                        <w:p w14:paraId="141FF5B7" w14:textId="29223830"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C3470D7" id="_x0000_t202" coordsize="21600,21600" o:spt="202" path="m,l,21600r21600,l21600,xe">
              <v:stroke joinstyle="miter"/>
              <v:path gradientshapeok="t" o:connecttype="rect"/>
            </v:shapetype>
            <v:shape id="Text Box 1" o:spid="_x0000_s1028" type="#_x0000_t202" alt="OFFICIAL" style="position:absolute;margin-left:0;margin-top:0;width:36.2pt;height:28.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cEYCgIAABUEAAAOAAAAZHJzL2Uyb0RvYy54bWysU8Fu2zAMvQ/YPwi6L3a6Zl2NOEXWIsOA&#10;oC2QDj3LshQbkERBUmJnXz9KtpOt22nYRaZJ6pF8fFre9VqRo3C+BVPS+SynRBgOdWv2Jf3+svnw&#10;mRIfmKmZAiNKehKe3q3ev1t2thBX0ICqhSMIYnzR2ZI2IdgiyzxvhGZ+BlYYDEpwmgX8dfusdqxD&#10;dK2yqzz/lHXgauuAC+/R+zAE6SrhSyl4eJLSi0BUSbG3kE6Xziqe2WrJir1jtmn52Ab7hy40aw0W&#10;PUM9sMDIwbV/QOmWO/Agw4yDzkDKlos0A04zz99Ms2uYFWkWJMfbM03+/8Hyx+POPjsS+i/Q4wIj&#10;IZ31hUdnnKeXTscvdkowjhSezrSJPhCOzuvF7c01RjiGPi5uFvkiomSXy9b58FWAJtEoqcOtJLLY&#10;cevDkDqlxFoGNq1SaTPK/OZAzOjJLh1GK/RVP7ZdQX3CaRwMi/aWb1qsuWU+PDOHm8U2Ua3hCQ+p&#10;oCspjBYlDbgff/PHfCQco5R0qJSSGpQyJeqbwUVEUU2Gm4wqGfPbfJFj3Bz0PaD+5vgULE8mel1Q&#10;kykd6FfU8ToWwhAzHMuVtJrM+zBIFt8BF+t1SkL9WBa2Zmd5hI48RRJf+lfm7Mh0wBU9wiQjVrwh&#10;fMiNN71dHwLSnrYROR2IHKlG7aV9ju8kivvX/5R1ec2rnwAAAP//AwBQSwMEFAAGAAgAAAAhAOSU&#10;fCPbAAAAAwEAAA8AAABkcnMvZG93bnJldi54bWxMj01PwzAMhu9I/IfISNxYupZ9qDSd0CROQ0jb&#10;uHDLEq8ta5yqSbfu32N2gYsl6331+HGxGl0rztiHxpOC6SQBgWS8bahS8Ll/e1qCCFGT1a0nVHDF&#10;AKvy/q7QufUX2uJ5FyvBEAq5VlDH2OVSBlOj02HiOyTOjr53OvLaV9L2+sJw18o0SebS6Yb4Qq07&#10;XNdoTrvBKZht4/vwQfvsa0yv35tubbLjxij1+DC+voCIOMa/MvzqszqU7HTwA9kgWgX8SLxNzhbp&#10;M4gDc+cZyLKQ/93LHwAAAP//AwBQSwECLQAUAAYACAAAACEAtoM4kv4AAADhAQAAEwAAAAAAAAAA&#10;AAAAAAAAAAAAW0NvbnRlbnRfVHlwZXNdLnhtbFBLAQItABQABgAIAAAAIQA4/SH/1gAAAJQBAAAL&#10;AAAAAAAAAAAAAAAAAC8BAABfcmVscy8ucmVsc1BLAQItABQABgAIAAAAIQBKxcEYCgIAABUEAAAO&#10;AAAAAAAAAAAAAAAAAC4CAABkcnMvZTJvRG9jLnhtbFBLAQItABQABgAIAAAAIQDklHwj2wAAAAMB&#10;AAAPAAAAAAAAAAAAAAAAAGQEAABkcnMvZG93bnJldi54bWxQSwUGAAAAAAQABADzAAAAbAUAAAAA&#10;" filled="f" stroked="f">
              <v:fill o:detectmouseclick="t"/>
              <v:textbox style="mso-fit-shape-to-text:t" inset="0,0,0,15pt">
                <w:txbxContent>
                  <w:p w14:paraId="141FF5B7" w14:textId="29223830" w:rsidR="00726D13" w:rsidRPr="00726D13" w:rsidRDefault="00726D13" w:rsidP="00726D13">
                    <w:pPr>
                      <w:spacing w:after="0"/>
                      <w:rPr>
                        <w:rFonts w:ascii="Calibri" w:eastAsia="Calibri" w:hAnsi="Calibri" w:cs="Calibri"/>
                        <w:noProof/>
                        <w:color w:val="000000"/>
                        <w:sz w:val="20"/>
                        <w:szCs w:val="20"/>
                      </w:rPr>
                    </w:pPr>
                    <w:r w:rsidRPr="00726D13">
                      <w:rPr>
                        <w:rFonts w:ascii="Calibri" w:eastAsia="Calibri" w:hAnsi="Calibri" w:cs="Calibri"/>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1ED4A" w14:textId="77777777" w:rsidR="00726D13" w:rsidRDefault="00726D13" w:rsidP="00726D13">
      <w:pPr>
        <w:spacing w:after="0" w:line="240" w:lineRule="auto"/>
      </w:pPr>
      <w:r>
        <w:separator/>
      </w:r>
    </w:p>
  </w:footnote>
  <w:footnote w:type="continuationSeparator" w:id="0">
    <w:p w14:paraId="04E26260" w14:textId="77777777" w:rsidR="00726D13" w:rsidRDefault="00726D13" w:rsidP="00726D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75C23"/>
    <w:multiLevelType w:val="hybridMultilevel"/>
    <w:tmpl w:val="551EB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7A74"/>
    <w:multiLevelType w:val="hybridMultilevel"/>
    <w:tmpl w:val="86F8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7F3D9D"/>
    <w:multiLevelType w:val="hybridMultilevel"/>
    <w:tmpl w:val="E124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646764"/>
    <w:multiLevelType w:val="hybridMultilevel"/>
    <w:tmpl w:val="4656A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835711">
    <w:abstractNumId w:val="2"/>
  </w:num>
  <w:num w:numId="2" w16cid:durableId="653684175">
    <w:abstractNumId w:val="3"/>
  </w:num>
  <w:num w:numId="3" w16cid:durableId="2035811059">
    <w:abstractNumId w:val="1"/>
  </w:num>
  <w:num w:numId="4" w16cid:durableId="1653605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13"/>
    <w:rsid w:val="003B4113"/>
    <w:rsid w:val="00605CF2"/>
    <w:rsid w:val="00726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6A96E"/>
  <w15:chartTrackingRefBased/>
  <w15:docId w15:val="{71F9C3F5-54AD-4A43-8755-A23746D44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D13"/>
  </w:style>
  <w:style w:type="paragraph" w:styleId="Heading1">
    <w:name w:val="heading 1"/>
    <w:basedOn w:val="Normal"/>
    <w:next w:val="Normal"/>
    <w:link w:val="Heading1Char"/>
    <w:uiPriority w:val="9"/>
    <w:qFormat/>
    <w:rsid w:val="00726D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26D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6D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6D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6D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6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D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26D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6D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6D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6D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6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D13"/>
    <w:rPr>
      <w:rFonts w:eastAsiaTheme="majorEastAsia" w:cstheme="majorBidi"/>
      <w:color w:val="272727" w:themeColor="text1" w:themeTint="D8"/>
    </w:rPr>
  </w:style>
  <w:style w:type="paragraph" w:styleId="Title">
    <w:name w:val="Title"/>
    <w:basedOn w:val="Normal"/>
    <w:next w:val="Normal"/>
    <w:link w:val="TitleChar"/>
    <w:uiPriority w:val="10"/>
    <w:qFormat/>
    <w:rsid w:val="00726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D13"/>
    <w:pPr>
      <w:spacing w:before="160"/>
      <w:jc w:val="center"/>
    </w:pPr>
    <w:rPr>
      <w:i/>
      <w:iCs/>
      <w:color w:val="404040" w:themeColor="text1" w:themeTint="BF"/>
    </w:rPr>
  </w:style>
  <w:style w:type="character" w:customStyle="1" w:styleId="QuoteChar">
    <w:name w:val="Quote Char"/>
    <w:basedOn w:val="DefaultParagraphFont"/>
    <w:link w:val="Quote"/>
    <w:uiPriority w:val="29"/>
    <w:rsid w:val="00726D13"/>
    <w:rPr>
      <w:i/>
      <w:iCs/>
      <w:color w:val="404040" w:themeColor="text1" w:themeTint="BF"/>
    </w:rPr>
  </w:style>
  <w:style w:type="paragraph" w:styleId="ListParagraph">
    <w:name w:val="List Paragraph"/>
    <w:basedOn w:val="Normal"/>
    <w:uiPriority w:val="34"/>
    <w:qFormat/>
    <w:rsid w:val="00726D13"/>
    <w:pPr>
      <w:ind w:left="720"/>
      <w:contextualSpacing/>
    </w:pPr>
  </w:style>
  <w:style w:type="character" w:styleId="IntenseEmphasis">
    <w:name w:val="Intense Emphasis"/>
    <w:basedOn w:val="DefaultParagraphFont"/>
    <w:uiPriority w:val="21"/>
    <w:qFormat/>
    <w:rsid w:val="00726D13"/>
    <w:rPr>
      <w:i/>
      <w:iCs/>
      <w:color w:val="2F5496" w:themeColor="accent1" w:themeShade="BF"/>
    </w:rPr>
  </w:style>
  <w:style w:type="paragraph" w:styleId="IntenseQuote">
    <w:name w:val="Intense Quote"/>
    <w:basedOn w:val="Normal"/>
    <w:next w:val="Normal"/>
    <w:link w:val="IntenseQuoteChar"/>
    <w:uiPriority w:val="30"/>
    <w:qFormat/>
    <w:rsid w:val="00726D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6D13"/>
    <w:rPr>
      <w:i/>
      <w:iCs/>
      <w:color w:val="2F5496" w:themeColor="accent1" w:themeShade="BF"/>
    </w:rPr>
  </w:style>
  <w:style w:type="character" w:styleId="IntenseReference">
    <w:name w:val="Intense Reference"/>
    <w:basedOn w:val="DefaultParagraphFont"/>
    <w:uiPriority w:val="32"/>
    <w:qFormat/>
    <w:rsid w:val="00726D13"/>
    <w:rPr>
      <w:b/>
      <w:bCs/>
      <w:smallCaps/>
      <w:color w:val="2F5496" w:themeColor="accent1" w:themeShade="BF"/>
      <w:spacing w:val="5"/>
    </w:rPr>
  </w:style>
  <w:style w:type="paragraph" w:styleId="Footer">
    <w:name w:val="footer"/>
    <w:basedOn w:val="Normal"/>
    <w:link w:val="FooterChar"/>
    <w:uiPriority w:val="99"/>
    <w:unhideWhenUsed/>
    <w:rsid w:val="00726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3214</Words>
  <Characters>18324</Characters>
  <Application>Microsoft Office Word</Application>
  <DocSecurity>0</DocSecurity>
  <Lines>152</Lines>
  <Paragraphs>42</Paragraphs>
  <ScaleCrop>false</ScaleCrop>
  <Company>Birmingham City Council</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1</cp:revision>
  <dcterms:created xsi:type="dcterms:W3CDTF">2024-08-09T12:57:00Z</dcterms:created>
  <dcterms:modified xsi:type="dcterms:W3CDTF">2024-08-09T12:57:00Z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7ed00d8a,3758c7a5,1849e076</vt:lpwstr>
  </property>
  <property fmtid="{D5CDD505-2E9C-101B-9397-08002B2CF9AE}" pid="3" name="ClassificationContentMarkingFooterFontProps">
    <vt:lpwstr>#000000,10,Calibri</vt:lpwstr>
  </property>
  <property fmtid="{D5CDD505-2E9C-101B-9397-08002B2CF9AE}" pid="4" name="ClassificationContentMarkingFooterText">
    <vt:lpwstr>OFFICIAL</vt:lpwstr>
  </property>
  <property fmtid="{D5CDD505-2E9C-101B-9397-08002B2CF9AE}" pid="5" name="MSIP_Label_a17471b1-27ab-4640-9264-e69a67407ca3_Enabled">
    <vt:lpwstr>true</vt:lpwstr>
  </property>
  <property fmtid="{D5CDD505-2E9C-101B-9397-08002B2CF9AE}" pid="6" name="MSIP_Label_a17471b1-27ab-4640-9264-e69a67407ca3_SetDate">
    <vt:lpwstr>2024-08-09T12:57:31Z</vt:lpwstr>
  </property>
  <property fmtid="{D5CDD505-2E9C-101B-9397-08002B2CF9AE}" pid="7" name="MSIP_Label_a17471b1-27ab-4640-9264-e69a67407ca3_Method">
    <vt:lpwstr>Standard</vt:lpwstr>
  </property>
  <property fmtid="{D5CDD505-2E9C-101B-9397-08002B2CF9AE}" pid="8" name="MSIP_Label_a17471b1-27ab-4640-9264-e69a67407ca3_Name">
    <vt:lpwstr>BCC - OFFICIAL</vt:lpwstr>
  </property>
  <property fmtid="{D5CDD505-2E9C-101B-9397-08002B2CF9AE}" pid="9" name="MSIP_Label_a17471b1-27ab-4640-9264-e69a67407ca3_SiteId">
    <vt:lpwstr>699ace67-d2e4-4bcd-b303-d2bbe2b9bbf1</vt:lpwstr>
  </property>
  <property fmtid="{D5CDD505-2E9C-101B-9397-08002B2CF9AE}" pid="10" name="MSIP_Label_a17471b1-27ab-4640-9264-e69a67407ca3_ActionId">
    <vt:lpwstr>9ca1ee54-8f31-4089-8520-1beb27dbfd62</vt:lpwstr>
  </property>
  <property fmtid="{D5CDD505-2E9C-101B-9397-08002B2CF9AE}" pid="11" name="MSIP_Label_a17471b1-27ab-4640-9264-e69a67407ca3_ContentBits">
    <vt:lpwstr>2</vt:lpwstr>
  </property>
</Properties>
</file>