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9E12C" w14:textId="77777777" w:rsidR="009807A0" w:rsidRPr="009807A0" w:rsidRDefault="009807A0" w:rsidP="00B763AE">
      <w:pPr>
        <w:spacing w:line="360" w:lineRule="auto"/>
        <w:jc w:val="center"/>
        <w:rPr>
          <w:rFonts w:ascii="Times New Roman" w:hAnsi="Times New Roman" w:cs="Times New Roman"/>
          <w:sz w:val="24"/>
          <w:szCs w:val="24"/>
        </w:rPr>
      </w:pPr>
      <w:r w:rsidRPr="009807A0">
        <w:rPr>
          <w:rFonts w:ascii="Playfair Display" w:hAnsi="Playfair Display" w:cs="Times New Roman"/>
          <w:i/>
          <w:iCs/>
          <w:color w:val="000000"/>
          <w:sz w:val="30"/>
          <w:szCs w:val="30"/>
        </w:rPr>
        <w:t>A vital examination and reflection on how different cultural variables influence mental health terminology diagnosis and interventions. </w:t>
      </w:r>
    </w:p>
    <w:p w14:paraId="1C601979" w14:textId="77777777" w:rsidR="009807A0" w:rsidRPr="009807A0" w:rsidRDefault="009807A0" w:rsidP="00B763AE">
      <w:pPr>
        <w:spacing w:after="240" w:line="360" w:lineRule="auto"/>
        <w:rPr>
          <w:rFonts w:ascii="Times New Roman" w:eastAsia="Times New Roman" w:hAnsi="Times New Roman" w:cs="Times New Roman"/>
          <w:sz w:val="24"/>
          <w:szCs w:val="24"/>
        </w:rPr>
      </w:pPr>
      <w:r w:rsidRPr="009807A0">
        <w:rPr>
          <w:rFonts w:ascii="Times New Roman" w:eastAsia="Times New Roman" w:hAnsi="Times New Roman" w:cs="Times New Roman"/>
          <w:sz w:val="24"/>
          <w:szCs w:val="24"/>
        </w:rPr>
        <w:br/>
      </w:r>
    </w:p>
    <w:p w14:paraId="2DBDEB2F" w14:textId="77777777" w:rsidR="009807A0" w:rsidRPr="009807A0" w:rsidRDefault="009807A0" w:rsidP="00B763AE">
      <w:pPr>
        <w:spacing w:line="360" w:lineRule="auto"/>
        <w:jc w:val="center"/>
        <w:rPr>
          <w:rFonts w:ascii="Times New Roman" w:hAnsi="Times New Roman" w:cs="Times New Roman"/>
          <w:sz w:val="24"/>
          <w:szCs w:val="24"/>
        </w:rPr>
      </w:pPr>
      <w:r w:rsidRPr="009807A0">
        <w:rPr>
          <w:rFonts w:ascii="Arial" w:hAnsi="Arial" w:cs="Arial"/>
          <w:b/>
          <w:bCs/>
          <w:i/>
          <w:iCs/>
          <w:color w:val="000000"/>
          <w:sz w:val="26"/>
          <w:szCs w:val="26"/>
          <w:u w:val="single"/>
        </w:rPr>
        <w:t>Culture, Community, Ethnicity, Race And Mental Health </w:t>
      </w:r>
    </w:p>
    <w:p w14:paraId="69F434B3" w14:textId="77777777" w:rsidR="009807A0" w:rsidRPr="009807A0" w:rsidRDefault="009807A0" w:rsidP="00B763AE">
      <w:pPr>
        <w:spacing w:after="240" w:line="360" w:lineRule="auto"/>
        <w:rPr>
          <w:rFonts w:ascii="Times New Roman" w:eastAsia="Times New Roman" w:hAnsi="Times New Roman" w:cs="Times New Roman"/>
          <w:sz w:val="24"/>
          <w:szCs w:val="24"/>
        </w:rPr>
      </w:pPr>
    </w:p>
    <w:p w14:paraId="5896B3EE"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 xml:space="preserve"> Social psychologists claim that (Kendrick, </w:t>
      </w:r>
      <w:proofErr w:type="spellStart"/>
      <w:r w:rsidRPr="009807A0">
        <w:rPr>
          <w:rFonts w:ascii="Arial" w:hAnsi="Arial" w:cs="Arial"/>
          <w:color w:val="000000"/>
        </w:rPr>
        <w:t>Neuberg</w:t>
      </w:r>
      <w:proofErr w:type="spellEnd"/>
      <w:r w:rsidRPr="009807A0">
        <w:rPr>
          <w:rFonts w:ascii="Arial" w:hAnsi="Arial" w:cs="Arial"/>
          <w:color w:val="000000"/>
        </w:rPr>
        <w:t xml:space="preserve"> and </w:t>
      </w:r>
      <w:proofErr w:type="spellStart"/>
      <w:r w:rsidRPr="009807A0">
        <w:rPr>
          <w:rFonts w:ascii="Arial" w:hAnsi="Arial" w:cs="Arial"/>
          <w:color w:val="000000"/>
        </w:rPr>
        <w:t>Cialdini</w:t>
      </w:r>
      <w:proofErr w:type="spellEnd"/>
      <w:r w:rsidRPr="009807A0">
        <w:rPr>
          <w:rFonts w:ascii="Arial" w:hAnsi="Arial" w:cs="Arial"/>
          <w:color w:val="000000"/>
        </w:rPr>
        <w:t>, 2010) “A system of beliefs, habits, customs and speech shared by people living in close proximity and time" is one definition of culture. Cultural anthropologists have explored how culture fully shapes individual’s experiences, interpretations and behaviours affecting their feelings, thoughts by being in the world. Furthermore, cultural practises usually include symbols, language, rituals, attires also artefacts that signify a society’s lifestyle as well as a collection of thoughts that make up a system of religion, moral standard and legal theory. This can also be ruled out due to differences in religious customs. The Sikh, Hindu and Muslims religions, for example, have vastly different religious beliefs and ceremonies. Despite the fact that South Asian concepts on selfhood, marriage and family religious variations still remain and exist, indicating considerable differences amongst their communities.  </w:t>
      </w:r>
    </w:p>
    <w:p w14:paraId="2881A9CC" w14:textId="77777777" w:rsidR="009807A0" w:rsidRPr="009807A0" w:rsidRDefault="009807A0" w:rsidP="00B763AE">
      <w:pPr>
        <w:spacing w:line="360" w:lineRule="auto"/>
        <w:rPr>
          <w:rFonts w:ascii="Times New Roman" w:eastAsia="Times New Roman" w:hAnsi="Times New Roman" w:cs="Times New Roman"/>
          <w:sz w:val="24"/>
          <w:szCs w:val="24"/>
        </w:rPr>
      </w:pPr>
    </w:p>
    <w:p w14:paraId="115BC603"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Reflecting on the term ‘culture’ it is frequently misconstrued and used as a variable to be studied and compared. One the other hand, measurements, standard, institutionalisation, consultations, medications and professional conduct norms are all factors that affect the attitude of each client and psychiatrist.  Associating with clinical psychology has it’s very own concept of culture, which often coexist with psychiatry due to the fact that it must work within the context of a mental health team, but can also oppose psychiatry and establish its own set of practices and rituals that can fully function independently. </w:t>
      </w:r>
    </w:p>
    <w:p w14:paraId="08C81ED6" w14:textId="77777777" w:rsidR="009807A0" w:rsidRPr="009807A0" w:rsidRDefault="009807A0" w:rsidP="00B763AE">
      <w:pPr>
        <w:spacing w:after="240" w:line="360" w:lineRule="auto"/>
        <w:rPr>
          <w:rFonts w:ascii="Times New Roman" w:eastAsia="Times New Roman" w:hAnsi="Times New Roman" w:cs="Times New Roman"/>
          <w:sz w:val="24"/>
          <w:szCs w:val="24"/>
        </w:rPr>
      </w:pPr>
    </w:p>
    <w:p w14:paraId="00539EA2"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According to (Orford 2008, p. 12) “the central idea of community psychology is that people’s functioning, including their health, can only be understood by appreciating the social contexts within which they are placed”</w:t>
      </w:r>
      <w:r w:rsidRPr="009807A0">
        <w:rPr>
          <w:rFonts w:ascii="Arial" w:hAnsi="Arial" w:cs="Arial"/>
          <w:color w:val="6AA84F"/>
        </w:rPr>
        <w:t xml:space="preserve">. </w:t>
      </w:r>
      <w:r w:rsidRPr="009807A0">
        <w:rPr>
          <w:rFonts w:ascii="Arial" w:hAnsi="Arial" w:cs="Arial"/>
          <w:color w:val="000000"/>
        </w:rPr>
        <w:t xml:space="preserve">Because it highlights a degree of examination and intervention beyond the individuals and her or his instant mutual circumstances, it is referred to as 'community' psychology. Furthermore, community based mental health focuses on offering assistance in addition to traditional treatment to improve wellness. It focuses on action oriented statistics to implement, develop and evaluate programmes as well as to </w:t>
      </w:r>
      <w:r w:rsidRPr="009807A0">
        <w:rPr>
          <w:rFonts w:ascii="Arial" w:hAnsi="Arial" w:cs="Arial"/>
          <w:color w:val="000000"/>
        </w:rPr>
        <w:lastRenderedPageBreak/>
        <w:t>assist in the development  of collaborative connections with community individuals category and organisations to address social issues. Finally, in order to analyse and encourage diverse and equal participation, it focuses on government, civil life and a working setting. </w:t>
      </w:r>
    </w:p>
    <w:p w14:paraId="22F96ABF" w14:textId="77777777" w:rsidR="009807A0" w:rsidRPr="009807A0" w:rsidRDefault="009807A0" w:rsidP="00B763AE">
      <w:pPr>
        <w:spacing w:after="240" w:line="360" w:lineRule="auto"/>
        <w:rPr>
          <w:rFonts w:ascii="Times New Roman" w:eastAsia="Times New Roman" w:hAnsi="Times New Roman" w:cs="Times New Roman"/>
          <w:sz w:val="24"/>
          <w:szCs w:val="24"/>
        </w:rPr>
      </w:pPr>
    </w:p>
    <w:p w14:paraId="5580D636"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“Ethnicity is a phrase that encompasses both cultural and racial features, as well as maybe much more” as stated by (Stuart Hall, 1992) a sociologist. The concept of ethnicity accepts the importance of historical significance, culture and language in the creation of identity and subjectivity in addition to the reality that any debate is contextualised, settled and arranged. However, the bonds that bind individuals of a given ethic group are frequently vague. Although these are important they cannot be defined exclusively by physical appearance (race) or even social similarities (culture) and subjective emotions can be influenced by a variety of elements.</w:t>
      </w:r>
    </w:p>
    <w:p w14:paraId="4AA6C004" w14:textId="77777777" w:rsidR="009807A0" w:rsidRPr="009807A0" w:rsidRDefault="009807A0" w:rsidP="00B763AE">
      <w:pPr>
        <w:spacing w:line="360" w:lineRule="auto"/>
        <w:rPr>
          <w:rFonts w:ascii="Times New Roman" w:eastAsia="Times New Roman" w:hAnsi="Times New Roman" w:cs="Times New Roman"/>
          <w:sz w:val="24"/>
          <w:szCs w:val="24"/>
        </w:rPr>
      </w:pPr>
    </w:p>
    <w:p w14:paraId="7A213097"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Nevertheless, race links to sociological concepts of it, was initially considered as a subspecies, then as a population. Because the corollaries of these many notions are very diverse, all of these conceptions coexist now, generating enormous confusion in present racial thought. Race for example, explains why individuals differ culturally and physically, although race as a population does not. Additionally, it might be a good explanation for physical differences between groups that are geographically separated but it can't explain cultural differences. </w:t>
      </w:r>
    </w:p>
    <w:p w14:paraId="66521A92" w14:textId="77777777" w:rsidR="009807A0" w:rsidRPr="009807A0" w:rsidRDefault="009807A0" w:rsidP="00B763AE">
      <w:pPr>
        <w:spacing w:line="360" w:lineRule="auto"/>
        <w:rPr>
          <w:rFonts w:ascii="Times New Roman" w:eastAsia="Times New Roman" w:hAnsi="Times New Roman" w:cs="Times New Roman"/>
          <w:sz w:val="24"/>
          <w:szCs w:val="24"/>
        </w:rPr>
      </w:pPr>
    </w:p>
    <w:p w14:paraId="76D24DD8"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Moreover, the phrase “mental health” is a rubric, a label that incorporates a wide range of viewpoints and worries, for insurance the lack of debilitating symptoms, psychological combination, effective personal and social existence and emotions, a sense of moral and spiritual well being among others. However, culture has an impact on both perception and amount of worry for each of these characteristics.  </w:t>
      </w:r>
    </w:p>
    <w:p w14:paraId="7D014C81" w14:textId="77777777" w:rsidR="009807A0" w:rsidRPr="009807A0" w:rsidRDefault="009807A0" w:rsidP="00B763AE">
      <w:pPr>
        <w:spacing w:line="360" w:lineRule="auto"/>
        <w:rPr>
          <w:rFonts w:ascii="Times New Roman" w:eastAsia="Times New Roman" w:hAnsi="Times New Roman" w:cs="Times New Roman"/>
          <w:sz w:val="24"/>
          <w:szCs w:val="24"/>
        </w:rPr>
      </w:pPr>
    </w:p>
    <w:p w14:paraId="35E0E694"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Proceeding alongside this topic further, if the cause of discomfort or underlying aetiology is substantially influenced by societal constructions, economic political or environmental issues, it might be claimed that mental illness is a symptom to some degree. This is something I thought about a lot during this semester and it appeared to me that in order to appropriately treat individuals who are suffering, the underlying principles of how mental health is clarified in the community need to be communicated on a bigger plate.  A professional must be conscious of the client’s cultural, religious, spiritual, economic and family conditions as well as the larger scale. </w:t>
      </w:r>
    </w:p>
    <w:p w14:paraId="0FFA7D08" w14:textId="77777777" w:rsidR="009807A0" w:rsidRPr="009807A0" w:rsidRDefault="009807A0" w:rsidP="00B763AE">
      <w:pPr>
        <w:spacing w:line="360" w:lineRule="auto"/>
        <w:rPr>
          <w:rFonts w:ascii="Times New Roman" w:eastAsia="Times New Roman" w:hAnsi="Times New Roman" w:cs="Times New Roman"/>
          <w:sz w:val="24"/>
          <w:szCs w:val="24"/>
        </w:rPr>
      </w:pPr>
    </w:p>
    <w:p w14:paraId="179B5767"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lastRenderedPageBreak/>
        <w:t>In conclusion, while the concepts of race, culture and ethnicity are all related, they should be differentiated. The term used to define a certain group must be attentive to the numerous issues that are present in the community. Besides that, the one to employ is determined by the type and level of racism in the society at the moment, the degree to which those in positions of authority understand the situation and the specific goal for which classification is required.</w:t>
      </w:r>
    </w:p>
    <w:p w14:paraId="3D74C670" w14:textId="77777777" w:rsidR="009807A0" w:rsidRPr="009807A0" w:rsidRDefault="009807A0" w:rsidP="00B763AE">
      <w:pPr>
        <w:spacing w:after="240" w:line="360" w:lineRule="auto"/>
        <w:rPr>
          <w:rFonts w:ascii="Times New Roman" w:eastAsia="Times New Roman" w:hAnsi="Times New Roman" w:cs="Times New Roman"/>
          <w:sz w:val="24"/>
          <w:szCs w:val="24"/>
        </w:rPr>
      </w:pPr>
      <w:r w:rsidRPr="009807A0">
        <w:rPr>
          <w:rFonts w:ascii="Times New Roman" w:eastAsia="Times New Roman" w:hAnsi="Times New Roman" w:cs="Times New Roman"/>
          <w:sz w:val="24"/>
          <w:szCs w:val="24"/>
        </w:rPr>
        <w:br/>
      </w:r>
      <w:r w:rsidRPr="009807A0">
        <w:rPr>
          <w:rFonts w:ascii="Times New Roman" w:eastAsia="Times New Roman" w:hAnsi="Times New Roman" w:cs="Times New Roman"/>
          <w:sz w:val="24"/>
          <w:szCs w:val="24"/>
        </w:rPr>
        <w:br/>
      </w:r>
      <w:r w:rsidRPr="009807A0">
        <w:rPr>
          <w:rFonts w:ascii="Times New Roman" w:eastAsia="Times New Roman" w:hAnsi="Times New Roman" w:cs="Times New Roman"/>
          <w:sz w:val="24"/>
          <w:szCs w:val="24"/>
        </w:rPr>
        <w:br/>
      </w:r>
    </w:p>
    <w:p w14:paraId="43ED7D1F" w14:textId="77777777" w:rsidR="009807A0" w:rsidRPr="009807A0" w:rsidRDefault="009807A0" w:rsidP="00B763AE">
      <w:pPr>
        <w:spacing w:line="360" w:lineRule="auto"/>
        <w:jc w:val="center"/>
        <w:rPr>
          <w:rFonts w:ascii="Times New Roman" w:hAnsi="Times New Roman" w:cs="Times New Roman"/>
          <w:sz w:val="24"/>
          <w:szCs w:val="24"/>
        </w:rPr>
      </w:pPr>
      <w:r w:rsidRPr="009807A0">
        <w:rPr>
          <w:rFonts w:ascii="Arial" w:hAnsi="Arial" w:cs="Arial"/>
          <w:b/>
          <w:bCs/>
          <w:i/>
          <w:iCs/>
          <w:color w:val="000000"/>
          <w:sz w:val="26"/>
          <w:szCs w:val="26"/>
          <w:u w:val="single"/>
        </w:rPr>
        <w:t>Mental Health Within Binge Eating Disorders worldwide </w:t>
      </w:r>
    </w:p>
    <w:p w14:paraId="08E5DE37" w14:textId="77777777" w:rsidR="009807A0" w:rsidRPr="009807A0" w:rsidRDefault="009807A0" w:rsidP="00B763AE">
      <w:pPr>
        <w:spacing w:after="240" w:line="360" w:lineRule="auto"/>
        <w:rPr>
          <w:rFonts w:ascii="Times New Roman" w:eastAsia="Times New Roman" w:hAnsi="Times New Roman" w:cs="Times New Roman"/>
          <w:sz w:val="24"/>
          <w:szCs w:val="24"/>
        </w:rPr>
      </w:pPr>
      <w:r w:rsidRPr="009807A0">
        <w:rPr>
          <w:rFonts w:ascii="Times New Roman" w:eastAsia="Times New Roman" w:hAnsi="Times New Roman" w:cs="Times New Roman"/>
          <w:sz w:val="24"/>
          <w:szCs w:val="24"/>
        </w:rPr>
        <w:br/>
      </w:r>
    </w:p>
    <w:p w14:paraId="758A902F" w14:textId="25C79451"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 xml:space="preserve">One of the challenges that exists between cultural concepts of mental health and well being is the topic of eating and binge disorders. According to (Osteopathic Family Physician, 2013) “In the general population, eating disorders are very common. Anorexia nervosa and bulimia nervosa are well known disorders. Binge eating disorder (BED) is a third category that has been proposed”. BED, like the others, has a substantial impact on a person's physical and emotional well being and is a significant public health issue. Furthermore, the primary care practitioner must understand BED's </w:t>
      </w:r>
      <w:r w:rsidR="00646A6A">
        <w:rPr>
          <w:rFonts w:ascii="Arial" w:hAnsi="Arial" w:cs="Arial"/>
          <w:color w:val="000000"/>
        </w:rPr>
        <w:t xml:space="preserve">symptoms </w:t>
      </w:r>
      <w:r w:rsidRPr="009807A0">
        <w:rPr>
          <w:rFonts w:ascii="Arial" w:hAnsi="Arial" w:cs="Arial"/>
          <w:color w:val="000000"/>
        </w:rPr>
        <w:t xml:space="preserve">and </w:t>
      </w:r>
      <w:r w:rsidR="00646A6A">
        <w:rPr>
          <w:rFonts w:ascii="Arial" w:hAnsi="Arial" w:cs="Arial"/>
          <w:color w:val="000000"/>
        </w:rPr>
        <w:t>signs</w:t>
      </w:r>
      <w:r w:rsidRPr="009807A0">
        <w:rPr>
          <w:rFonts w:ascii="Arial" w:hAnsi="Arial" w:cs="Arial"/>
          <w:color w:val="000000"/>
        </w:rPr>
        <w:t xml:space="preserve">, medical </w:t>
      </w:r>
      <w:r w:rsidR="00646A6A">
        <w:rPr>
          <w:rFonts w:ascii="Arial" w:hAnsi="Arial" w:cs="Arial"/>
          <w:color w:val="000000"/>
        </w:rPr>
        <w:t xml:space="preserve">worries, </w:t>
      </w:r>
      <w:r w:rsidRPr="009807A0">
        <w:rPr>
          <w:rFonts w:ascii="Arial" w:hAnsi="Arial" w:cs="Arial"/>
          <w:color w:val="000000"/>
        </w:rPr>
        <w:t>diagnosis and therapy. </w:t>
      </w:r>
    </w:p>
    <w:p w14:paraId="5FCA61B8" w14:textId="77777777" w:rsidR="009807A0" w:rsidRPr="009807A0" w:rsidRDefault="009807A0" w:rsidP="00B763AE">
      <w:pPr>
        <w:spacing w:line="360" w:lineRule="auto"/>
        <w:rPr>
          <w:rFonts w:ascii="Times New Roman" w:eastAsia="Times New Roman" w:hAnsi="Times New Roman" w:cs="Times New Roman"/>
          <w:sz w:val="24"/>
          <w:szCs w:val="24"/>
        </w:rPr>
      </w:pPr>
    </w:p>
    <w:p w14:paraId="7213B96A" w14:textId="5BD8D49A"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 xml:space="preserve">“The lifetime prevalence of BED was determined to be 3.5 percent in women and 2.0 percent in males in a study” conducted by (James Hudson et al, 2013). This tempo is substantially </w:t>
      </w:r>
      <w:r w:rsidR="00721CF0">
        <w:rPr>
          <w:rFonts w:ascii="Arial" w:hAnsi="Arial" w:cs="Arial"/>
          <w:color w:val="000000"/>
        </w:rPr>
        <w:t>beyond</w:t>
      </w:r>
      <w:r w:rsidRPr="009807A0">
        <w:rPr>
          <w:rFonts w:ascii="Arial" w:hAnsi="Arial" w:cs="Arial"/>
          <w:color w:val="000000"/>
        </w:rPr>
        <w:t xml:space="preserve"> the combined rates of anorexia and bulimia nervosa. There have been reports of famine in both ancients and mediaeval eras (e.g. Catherine de Siena). Furthermore, anorexia nervosa (AN) has long been thought to be a disease that  exclusively affects individuals in affluent countries. “Cross cultural research has found few, if any, examples in rural parts of Africa, the Middle East, or the Orient (with the exception of Japan) that support this clinical perception” (Jules R. </w:t>
      </w:r>
      <w:proofErr w:type="spellStart"/>
      <w:r w:rsidRPr="009807A0">
        <w:rPr>
          <w:rFonts w:ascii="Arial" w:hAnsi="Arial" w:cs="Arial"/>
          <w:color w:val="000000"/>
        </w:rPr>
        <w:t>Bemporad</w:t>
      </w:r>
      <w:proofErr w:type="spellEnd"/>
      <w:r w:rsidRPr="009807A0">
        <w:rPr>
          <w:rFonts w:ascii="Arial" w:hAnsi="Arial" w:cs="Arial"/>
          <w:color w:val="000000"/>
        </w:rPr>
        <w:t>,</w:t>
      </w:r>
      <w:r w:rsidR="00D256C1">
        <w:rPr>
          <w:rFonts w:ascii="Arial" w:hAnsi="Arial" w:cs="Arial"/>
          <w:color w:val="000000"/>
        </w:rPr>
        <w:t xml:space="preserve"> </w:t>
      </w:r>
      <w:r w:rsidRPr="009807A0">
        <w:rPr>
          <w:rFonts w:ascii="Arial" w:hAnsi="Arial" w:cs="Arial"/>
          <w:color w:val="000000"/>
        </w:rPr>
        <w:t>1997). </w:t>
      </w:r>
    </w:p>
    <w:p w14:paraId="79BD1516" w14:textId="77777777" w:rsidR="009807A0" w:rsidRPr="009807A0" w:rsidRDefault="009807A0" w:rsidP="00B763AE">
      <w:pPr>
        <w:spacing w:line="360" w:lineRule="auto"/>
        <w:rPr>
          <w:rFonts w:ascii="Times New Roman" w:eastAsia="Times New Roman" w:hAnsi="Times New Roman" w:cs="Times New Roman"/>
          <w:sz w:val="24"/>
          <w:szCs w:val="24"/>
        </w:rPr>
      </w:pPr>
    </w:p>
    <w:p w14:paraId="65DED750"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 xml:space="preserve">Bulimia nervosa is rare among those who have never been open to Western values.  Furthermore, eating disorders are less common among African American women than among white American women.  In the United States, eating disorders are on the rise </w:t>
      </w:r>
      <w:r w:rsidRPr="009807A0">
        <w:rPr>
          <w:rFonts w:ascii="Arial" w:hAnsi="Arial" w:cs="Arial"/>
          <w:color w:val="000000"/>
        </w:rPr>
        <w:lastRenderedPageBreak/>
        <w:t>among Asian immigrants. Also, anorexia nervosa has developed in those who have not been exposed to western standards. One the other hand, girls are ten times more prone than males to develop eating disorder issues, suggesting that female thinness may have social value. Moreover, eating disorders are more likely in men who place a higher value on their physical appearance and weight. for example individuals who are ballet dancers or athletes. </w:t>
      </w:r>
    </w:p>
    <w:p w14:paraId="30F70EAD" w14:textId="77777777" w:rsidR="009807A0" w:rsidRPr="009807A0" w:rsidRDefault="009807A0" w:rsidP="00B763AE">
      <w:pPr>
        <w:spacing w:after="240" w:line="360" w:lineRule="auto"/>
        <w:rPr>
          <w:rFonts w:ascii="Times New Roman" w:eastAsia="Times New Roman" w:hAnsi="Times New Roman" w:cs="Times New Roman"/>
          <w:sz w:val="24"/>
          <w:szCs w:val="24"/>
        </w:rPr>
      </w:pPr>
      <w:r w:rsidRPr="009807A0">
        <w:rPr>
          <w:rFonts w:ascii="Times New Roman" w:eastAsia="Times New Roman" w:hAnsi="Times New Roman" w:cs="Times New Roman"/>
          <w:sz w:val="24"/>
          <w:szCs w:val="24"/>
        </w:rPr>
        <w:br/>
      </w:r>
    </w:p>
    <w:p w14:paraId="10FACAEF" w14:textId="77777777" w:rsidR="009807A0" w:rsidRPr="009807A0" w:rsidRDefault="009807A0" w:rsidP="00B763AE">
      <w:pPr>
        <w:spacing w:line="360" w:lineRule="auto"/>
        <w:jc w:val="center"/>
        <w:rPr>
          <w:rFonts w:ascii="Times New Roman" w:hAnsi="Times New Roman" w:cs="Times New Roman"/>
          <w:sz w:val="24"/>
          <w:szCs w:val="24"/>
        </w:rPr>
      </w:pPr>
      <w:r w:rsidRPr="009807A0">
        <w:rPr>
          <w:rFonts w:ascii="Arial" w:hAnsi="Arial" w:cs="Arial"/>
          <w:b/>
          <w:bCs/>
          <w:i/>
          <w:iCs/>
          <w:color w:val="000000"/>
          <w:sz w:val="26"/>
          <w:szCs w:val="26"/>
          <w:u w:val="single"/>
        </w:rPr>
        <w:t>Interventions And Holistic Approaches </w:t>
      </w:r>
    </w:p>
    <w:p w14:paraId="0047DC44" w14:textId="77777777" w:rsidR="009807A0" w:rsidRPr="009807A0" w:rsidRDefault="009807A0" w:rsidP="00B763AE">
      <w:pPr>
        <w:spacing w:after="240" w:line="360" w:lineRule="auto"/>
        <w:rPr>
          <w:rFonts w:ascii="Times New Roman" w:eastAsia="Times New Roman" w:hAnsi="Times New Roman" w:cs="Times New Roman"/>
          <w:sz w:val="24"/>
          <w:szCs w:val="24"/>
        </w:rPr>
      </w:pPr>
      <w:r w:rsidRPr="009807A0">
        <w:rPr>
          <w:rFonts w:ascii="Times New Roman" w:eastAsia="Times New Roman" w:hAnsi="Times New Roman" w:cs="Times New Roman"/>
          <w:sz w:val="24"/>
          <w:szCs w:val="24"/>
        </w:rPr>
        <w:br/>
      </w:r>
    </w:p>
    <w:p w14:paraId="5FD9BAF9"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As stated by (Osteopathic Family Physician, 2013) “the clinician's job is made more difficult by the need to link treatments to management”. Several therapies have been tested to discover which is the most helpful in reducing eating over time, including psychological, pharmaceutical and surgical techniques. Although researchers believe that bariatric surgery will assist an individual with binge eating disorder achieve their weight loss objectives by reducing binge eating. Stated by the (Osteopathic Family Physicians, 2013) “</w:t>
      </w:r>
      <w:proofErr w:type="spellStart"/>
      <w:r w:rsidRPr="009807A0">
        <w:rPr>
          <w:rFonts w:ascii="Arial" w:hAnsi="Arial" w:cs="Arial"/>
          <w:color w:val="000000"/>
        </w:rPr>
        <w:t>Niego</w:t>
      </w:r>
      <w:proofErr w:type="spellEnd"/>
      <w:r w:rsidRPr="009807A0">
        <w:rPr>
          <w:rFonts w:ascii="Arial" w:hAnsi="Arial" w:cs="Arial"/>
          <w:color w:val="000000"/>
        </w:rPr>
        <w:t xml:space="preserve"> and colleagues found that 64% of patients seeking bariatric surgery have BED, according to a meta-analysis of the literature”. Furthermore, individuals with pre surgical BED are more likely to keep their eating disorder and, if they do, have less successful weight loss. In recent years, a number of medicines have been investigated for this use. Antidepressants, anti obesity drugs, muscle relaxants, and anti epileptic drugs are among the medications on the list.</w:t>
      </w:r>
    </w:p>
    <w:p w14:paraId="3EE6CAFC" w14:textId="77777777" w:rsidR="009807A0" w:rsidRPr="009807A0" w:rsidRDefault="009807A0" w:rsidP="00B763AE">
      <w:pPr>
        <w:spacing w:line="360" w:lineRule="auto"/>
        <w:rPr>
          <w:rFonts w:ascii="Times New Roman" w:eastAsia="Times New Roman" w:hAnsi="Times New Roman" w:cs="Times New Roman"/>
          <w:sz w:val="24"/>
          <w:szCs w:val="24"/>
        </w:rPr>
      </w:pPr>
    </w:p>
    <w:p w14:paraId="3705F652"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“Cognitive behaviour therapy (CBT) was found to be more helpful in reducing binge eating than a behavioural weight loss treatment (BWL) programme that encourages caloric restrictions and increased movements” according to (Osteopathic Family Physicians, 2013). Other strategies such as dialectical behaviour therapy (DBT), have also been researched and shown to be effective, although they must be compared to established treatments. Additionally, CBT is a well known therapy option for BED. Patients are urged to develop eating goals, use self-monitoring, and change rejecting self perceptions in order to reduce binge eating in this strategy.</w:t>
      </w:r>
    </w:p>
    <w:p w14:paraId="7AC77A48" w14:textId="77777777" w:rsidR="009807A0" w:rsidRPr="009807A0" w:rsidRDefault="009807A0" w:rsidP="00B763AE">
      <w:pPr>
        <w:spacing w:line="360" w:lineRule="auto"/>
        <w:rPr>
          <w:rFonts w:ascii="Times New Roman" w:eastAsia="Times New Roman" w:hAnsi="Times New Roman" w:cs="Times New Roman"/>
          <w:sz w:val="24"/>
          <w:szCs w:val="24"/>
        </w:rPr>
      </w:pPr>
    </w:p>
    <w:p w14:paraId="51AB1BD5"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 xml:space="preserve">Also, in more than half of patients, “CBT results in complete remission from binge eating, as well as significant improvements in specific eating disorder psychopathology (e.g. overvaluation of body form and weight), depression, and psychosocial functioning” stated by </w:t>
      </w:r>
      <w:r w:rsidRPr="009807A0">
        <w:rPr>
          <w:rFonts w:ascii="Arial" w:hAnsi="Arial" w:cs="Arial"/>
          <w:color w:val="000000"/>
        </w:rPr>
        <w:lastRenderedPageBreak/>
        <w:t>the (Osteopathic Family Physicians, 2013). Overall, therapy aims to avoid binge eating episodes and normalise eating behaviours while also promoting psychological well being and weight management. Other options to reducing BED difficulties in addition to these intervention methods are available. a holistic method, for instance.   </w:t>
      </w:r>
    </w:p>
    <w:p w14:paraId="2C57A800" w14:textId="77777777" w:rsidR="009807A0" w:rsidRPr="009807A0" w:rsidRDefault="009807A0" w:rsidP="00B763AE">
      <w:pPr>
        <w:spacing w:after="240" w:line="360" w:lineRule="auto"/>
        <w:rPr>
          <w:rFonts w:ascii="Times New Roman" w:eastAsia="Times New Roman" w:hAnsi="Times New Roman" w:cs="Times New Roman"/>
          <w:sz w:val="24"/>
          <w:szCs w:val="24"/>
        </w:rPr>
      </w:pPr>
    </w:p>
    <w:p w14:paraId="39D4D7E0"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A holistic approach suggests offering assistance that studies a client as a whole, not only because of their mental health illnesses. It is vital to fully consider their physical, emotional, social and spiritual well being.  Age, gender, culture, heritage, faith, language, sexuality or gender identity, marital status, life experience and beliefs has a huge impact on how an individual experiences a mental illness as well as how they recover from it. It is crucial not to assume that the researcher will observe things through the eyes of the individual that they are supporting. Instead of aiming on an individual's ailment or condition, a holistic approach highlights their total health and well being. </w:t>
      </w:r>
    </w:p>
    <w:p w14:paraId="356A77FB" w14:textId="77777777" w:rsidR="009807A0" w:rsidRPr="009807A0" w:rsidRDefault="009807A0" w:rsidP="00B763AE">
      <w:pPr>
        <w:spacing w:after="240" w:line="360" w:lineRule="auto"/>
        <w:rPr>
          <w:rFonts w:ascii="Times New Roman" w:eastAsia="Times New Roman" w:hAnsi="Times New Roman" w:cs="Times New Roman"/>
          <w:sz w:val="24"/>
          <w:szCs w:val="24"/>
        </w:rPr>
      </w:pPr>
    </w:p>
    <w:p w14:paraId="50899639"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Interventions alongside a holistic method is an issue that should be addressed in a broader context. Being a professional or mental health supporter, having the ability to share in a joint endeavour with others who are less able due to personal or environmental conditions, your talent and knowledge are facilitating changes not merely on a person to person basis for the individual but on a broader and wider community level in terms of awareness and knowledge. </w:t>
      </w:r>
    </w:p>
    <w:p w14:paraId="4954F1D5" w14:textId="77777777" w:rsidR="009807A0" w:rsidRPr="009807A0" w:rsidRDefault="009807A0" w:rsidP="00B763AE">
      <w:pPr>
        <w:spacing w:line="360" w:lineRule="auto"/>
        <w:rPr>
          <w:rFonts w:ascii="Times New Roman" w:eastAsia="Times New Roman" w:hAnsi="Times New Roman" w:cs="Times New Roman"/>
          <w:sz w:val="24"/>
          <w:szCs w:val="24"/>
        </w:rPr>
      </w:pPr>
    </w:p>
    <w:p w14:paraId="5ACE4C26" w14:textId="3B6E7522"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 xml:space="preserve">However, according to the literature on social action therapy, broader issues that directly affect women, such as sexism, work inequity, and discrimination </w:t>
      </w:r>
      <w:r w:rsidR="00934009">
        <w:rPr>
          <w:rFonts w:ascii="Arial" w:hAnsi="Arial" w:cs="Arial"/>
          <w:color w:val="000000"/>
        </w:rPr>
        <w:t>experienced</w:t>
      </w:r>
      <w:r w:rsidRPr="009807A0">
        <w:rPr>
          <w:rFonts w:ascii="Arial" w:hAnsi="Arial" w:cs="Arial"/>
          <w:color w:val="000000"/>
        </w:rPr>
        <w:t xml:space="preserve"> by people of ethnic minority origins or lower socioeconomic backgrounds, are either the underlying cause or   significant </w:t>
      </w:r>
      <w:r w:rsidR="00934009" w:rsidRPr="009807A0">
        <w:rPr>
          <w:rFonts w:ascii="Arial" w:hAnsi="Arial" w:cs="Arial"/>
          <w:color w:val="000000"/>
        </w:rPr>
        <w:t>contributors</w:t>
      </w:r>
      <w:r w:rsidRPr="009807A0">
        <w:rPr>
          <w:rFonts w:ascii="Arial" w:hAnsi="Arial" w:cs="Arial"/>
          <w:color w:val="000000"/>
        </w:rPr>
        <w:t xml:space="preserve"> to mental health. </w:t>
      </w:r>
    </w:p>
    <w:p w14:paraId="374C2A7E" w14:textId="77777777" w:rsidR="009807A0" w:rsidRPr="009807A0" w:rsidRDefault="009807A0" w:rsidP="00B763AE">
      <w:pPr>
        <w:spacing w:line="360" w:lineRule="auto"/>
        <w:rPr>
          <w:rFonts w:ascii="Times New Roman" w:eastAsia="Times New Roman" w:hAnsi="Times New Roman" w:cs="Times New Roman"/>
          <w:sz w:val="24"/>
          <w:szCs w:val="24"/>
        </w:rPr>
      </w:pPr>
    </w:p>
    <w:p w14:paraId="0006F1B4"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Linking to (Primary Care Hub, 2018) implied “that many programmes are focused on promoting mental health and physical well being, and social prescribing is aimed to support people with a variety of emotional, social, and practical needs”. Social prescribing programmes also represent a systematic shift towards making new life options available to those who need them the most, including the chance to form new relationships, be creative and self-sufficient while improving physical and mental health. Volunteer work agencies, exercise programmes, self help organisations, reading groups, social or lunch clubs, and hobby clubs are just a few examples. To put it another way, social prescribing focuses on treating the patient rather than the disease.</w:t>
      </w:r>
    </w:p>
    <w:p w14:paraId="25733646" w14:textId="77777777" w:rsidR="009807A0" w:rsidRPr="009807A0" w:rsidRDefault="009807A0" w:rsidP="00B763AE">
      <w:pPr>
        <w:spacing w:after="240" w:line="360" w:lineRule="auto"/>
        <w:rPr>
          <w:rFonts w:ascii="Times New Roman" w:eastAsia="Times New Roman" w:hAnsi="Times New Roman" w:cs="Times New Roman"/>
          <w:sz w:val="24"/>
          <w:szCs w:val="24"/>
        </w:rPr>
      </w:pPr>
      <w:r w:rsidRPr="009807A0">
        <w:rPr>
          <w:rFonts w:ascii="Times New Roman" w:eastAsia="Times New Roman" w:hAnsi="Times New Roman" w:cs="Times New Roman"/>
          <w:sz w:val="24"/>
          <w:szCs w:val="24"/>
        </w:rPr>
        <w:lastRenderedPageBreak/>
        <w:br/>
      </w:r>
      <w:r w:rsidRPr="009807A0">
        <w:rPr>
          <w:rFonts w:ascii="Times New Roman" w:eastAsia="Times New Roman" w:hAnsi="Times New Roman" w:cs="Times New Roman"/>
          <w:sz w:val="24"/>
          <w:szCs w:val="24"/>
        </w:rPr>
        <w:br/>
      </w:r>
      <w:r w:rsidRPr="009807A0">
        <w:rPr>
          <w:rFonts w:ascii="Times New Roman" w:eastAsia="Times New Roman" w:hAnsi="Times New Roman" w:cs="Times New Roman"/>
          <w:sz w:val="24"/>
          <w:szCs w:val="24"/>
        </w:rPr>
        <w:br/>
      </w:r>
    </w:p>
    <w:p w14:paraId="4FF5D187" w14:textId="77777777" w:rsidR="009807A0" w:rsidRPr="009807A0" w:rsidRDefault="009807A0" w:rsidP="00B763AE">
      <w:pPr>
        <w:spacing w:line="360" w:lineRule="auto"/>
        <w:jc w:val="center"/>
        <w:rPr>
          <w:rFonts w:ascii="Times New Roman" w:hAnsi="Times New Roman" w:cs="Times New Roman"/>
          <w:sz w:val="24"/>
          <w:szCs w:val="24"/>
        </w:rPr>
      </w:pPr>
      <w:r w:rsidRPr="009807A0">
        <w:rPr>
          <w:rFonts w:ascii="Arial" w:hAnsi="Arial" w:cs="Arial"/>
          <w:b/>
          <w:bCs/>
          <w:i/>
          <w:iCs/>
          <w:color w:val="000000"/>
          <w:sz w:val="26"/>
          <w:szCs w:val="26"/>
          <w:u w:val="single"/>
        </w:rPr>
        <w:t>Cultural competence </w:t>
      </w:r>
    </w:p>
    <w:p w14:paraId="24741511" w14:textId="77777777" w:rsidR="009807A0" w:rsidRPr="009807A0" w:rsidRDefault="009807A0" w:rsidP="00B763AE">
      <w:pPr>
        <w:spacing w:after="240" w:line="360" w:lineRule="auto"/>
        <w:rPr>
          <w:rFonts w:ascii="Times New Roman" w:eastAsia="Times New Roman" w:hAnsi="Times New Roman" w:cs="Times New Roman"/>
          <w:sz w:val="24"/>
          <w:szCs w:val="24"/>
        </w:rPr>
      </w:pPr>
      <w:r w:rsidRPr="009807A0">
        <w:rPr>
          <w:rFonts w:ascii="Times New Roman" w:eastAsia="Times New Roman" w:hAnsi="Times New Roman" w:cs="Times New Roman"/>
          <w:sz w:val="24"/>
          <w:szCs w:val="24"/>
        </w:rPr>
        <w:br/>
      </w:r>
      <w:r w:rsidRPr="009807A0">
        <w:rPr>
          <w:rFonts w:ascii="Times New Roman" w:eastAsia="Times New Roman" w:hAnsi="Times New Roman" w:cs="Times New Roman"/>
          <w:sz w:val="24"/>
          <w:szCs w:val="24"/>
        </w:rPr>
        <w:br/>
      </w:r>
      <w:r w:rsidRPr="009807A0">
        <w:rPr>
          <w:rFonts w:ascii="Times New Roman" w:eastAsia="Times New Roman" w:hAnsi="Times New Roman" w:cs="Times New Roman"/>
          <w:sz w:val="24"/>
          <w:szCs w:val="24"/>
        </w:rPr>
        <w:br/>
      </w:r>
    </w:p>
    <w:p w14:paraId="1458EBAB"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One the other hand, all these treatments and interventions will not be as effective without cultural competence. Cultural competence is the capacity to comprehend and interact effectively with individuals within diverse cultures. Furthermore, cultural competency is essential and crucial inside any diverse group because it is impossible to build those interactions without it. However, if this approach is not followed correctly there will be a greater danger of misunderstandings, wounded feelings, and bias, all of which can be avoided. This was something I have not fully considered before this module. </w:t>
      </w:r>
    </w:p>
    <w:p w14:paraId="3255C554" w14:textId="77777777" w:rsidR="009807A0" w:rsidRPr="009807A0" w:rsidRDefault="009807A0" w:rsidP="00B763AE">
      <w:pPr>
        <w:spacing w:line="360" w:lineRule="auto"/>
        <w:rPr>
          <w:rFonts w:ascii="Times New Roman" w:eastAsia="Times New Roman" w:hAnsi="Times New Roman" w:cs="Times New Roman"/>
          <w:sz w:val="24"/>
          <w:szCs w:val="24"/>
        </w:rPr>
      </w:pPr>
    </w:p>
    <w:p w14:paraId="1F8008ED"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When I consider my personal perceptions of mental wellbeing within the United Kingdom, I find alternative approaches that aim to empower individuals very inspiring.</w:t>
      </w:r>
      <w:r w:rsidRPr="009807A0">
        <w:rPr>
          <w:rFonts w:ascii="Arial" w:hAnsi="Arial" w:cs="Arial"/>
          <w:color w:val="FF0000"/>
        </w:rPr>
        <w:t xml:space="preserve"> </w:t>
      </w:r>
      <w:r w:rsidRPr="009807A0">
        <w:rPr>
          <w:rFonts w:ascii="Arial" w:hAnsi="Arial" w:cs="Arial"/>
          <w:color w:val="000000"/>
        </w:rPr>
        <w:t>As a professional, a service user, an advocate or a community member</w:t>
      </w:r>
      <w:r w:rsidRPr="009807A0">
        <w:rPr>
          <w:rFonts w:ascii="Arial" w:hAnsi="Arial" w:cs="Arial"/>
          <w:color w:val="FF0000"/>
        </w:rPr>
        <w:t xml:space="preserve"> </w:t>
      </w:r>
      <w:r w:rsidRPr="009807A0">
        <w:rPr>
          <w:rFonts w:ascii="Arial" w:hAnsi="Arial" w:cs="Arial"/>
          <w:color w:val="000000"/>
        </w:rPr>
        <w:t>having the capacity to develop and preserve personal freedom is vital in engendering a sense of hope, developing confidence and fostering a sense of self awareness, all are in my opinion very necessary for optimal and good well being. </w:t>
      </w:r>
    </w:p>
    <w:p w14:paraId="0DE324AC" w14:textId="77777777" w:rsidR="009807A0" w:rsidRPr="009807A0" w:rsidRDefault="009807A0" w:rsidP="00B763AE">
      <w:pPr>
        <w:spacing w:after="240" w:line="360" w:lineRule="auto"/>
        <w:rPr>
          <w:rFonts w:ascii="Times New Roman" w:eastAsia="Times New Roman" w:hAnsi="Times New Roman" w:cs="Times New Roman"/>
          <w:sz w:val="24"/>
          <w:szCs w:val="24"/>
        </w:rPr>
      </w:pPr>
      <w:r w:rsidRPr="009807A0">
        <w:rPr>
          <w:rFonts w:ascii="Times New Roman" w:eastAsia="Times New Roman" w:hAnsi="Times New Roman" w:cs="Times New Roman"/>
          <w:sz w:val="24"/>
          <w:szCs w:val="24"/>
        </w:rPr>
        <w:br/>
      </w:r>
    </w:p>
    <w:p w14:paraId="5E029347" w14:textId="77777777" w:rsidR="009807A0" w:rsidRPr="009807A0" w:rsidRDefault="009807A0" w:rsidP="00B763AE">
      <w:pPr>
        <w:spacing w:line="360" w:lineRule="auto"/>
        <w:jc w:val="center"/>
        <w:rPr>
          <w:rFonts w:ascii="Times New Roman" w:hAnsi="Times New Roman" w:cs="Times New Roman"/>
          <w:sz w:val="24"/>
          <w:szCs w:val="24"/>
        </w:rPr>
      </w:pPr>
      <w:r w:rsidRPr="009807A0">
        <w:rPr>
          <w:rFonts w:ascii="Arial" w:hAnsi="Arial" w:cs="Arial"/>
          <w:b/>
          <w:bCs/>
          <w:i/>
          <w:iCs/>
          <w:color w:val="000000"/>
          <w:sz w:val="26"/>
          <w:szCs w:val="26"/>
          <w:u w:val="single"/>
        </w:rPr>
        <w:t>Own Reflection</w:t>
      </w:r>
      <w:r w:rsidRPr="009807A0">
        <w:rPr>
          <w:rFonts w:ascii="Arial" w:hAnsi="Arial" w:cs="Arial"/>
          <w:i/>
          <w:iCs/>
          <w:color w:val="000000"/>
          <w:u w:val="single"/>
        </w:rPr>
        <w:t> </w:t>
      </w:r>
    </w:p>
    <w:p w14:paraId="23D8FEDC" w14:textId="77777777" w:rsidR="009807A0" w:rsidRPr="009807A0" w:rsidRDefault="009807A0" w:rsidP="00B763AE">
      <w:pPr>
        <w:spacing w:after="240" w:line="360" w:lineRule="auto"/>
        <w:rPr>
          <w:rFonts w:ascii="Times New Roman" w:eastAsia="Times New Roman" w:hAnsi="Times New Roman" w:cs="Times New Roman"/>
          <w:sz w:val="24"/>
          <w:szCs w:val="24"/>
        </w:rPr>
      </w:pPr>
    </w:p>
    <w:p w14:paraId="56B5FF42" w14:textId="77777777" w:rsidR="009807A0" w:rsidRDefault="009807A0" w:rsidP="00B763AE">
      <w:pPr>
        <w:spacing w:line="360" w:lineRule="auto"/>
        <w:rPr>
          <w:rFonts w:ascii="Arial" w:hAnsi="Arial" w:cs="Arial"/>
          <w:color w:val="000000"/>
        </w:rPr>
      </w:pPr>
      <w:r w:rsidRPr="009807A0">
        <w:rPr>
          <w:rFonts w:ascii="Arial" w:hAnsi="Arial" w:cs="Arial"/>
          <w:color w:val="000000"/>
        </w:rPr>
        <w:t>At first, recognising the role of culture in the diagnosis and treatment of mental illness may appear daunting at first, but by focusing on a greater number of interventions that includes compassion, also developing cultural competence through education and the understanding of different cultures, as well as</w:t>
      </w:r>
      <w:r w:rsidRPr="009807A0">
        <w:rPr>
          <w:rFonts w:ascii="Arial" w:hAnsi="Arial" w:cs="Arial"/>
          <w:color w:val="FF0000"/>
        </w:rPr>
        <w:t xml:space="preserve"> </w:t>
      </w:r>
      <w:r w:rsidRPr="009807A0">
        <w:rPr>
          <w:rFonts w:ascii="Arial" w:hAnsi="Arial" w:cs="Arial"/>
          <w:color w:val="000000"/>
        </w:rPr>
        <w:t>individuals rights and activism in mental health treatment are promoted, each sector has the ability to influence the other, individuals and communities will benefit from a better knowledge and outcome. </w:t>
      </w:r>
    </w:p>
    <w:p w14:paraId="132B6FD5" w14:textId="77777777" w:rsidR="004E4F47" w:rsidRDefault="004E4F47" w:rsidP="00B763AE">
      <w:pPr>
        <w:spacing w:line="360" w:lineRule="auto"/>
        <w:rPr>
          <w:rFonts w:ascii="Arial" w:hAnsi="Arial" w:cs="Arial"/>
          <w:color w:val="000000"/>
        </w:rPr>
      </w:pPr>
    </w:p>
    <w:p w14:paraId="0AFAD82E" w14:textId="77777777" w:rsidR="004E4F47" w:rsidRDefault="004E4F47" w:rsidP="00B763AE">
      <w:pPr>
        <w:spacing w:line="360" w:lineRule="auto"/>
        <w:rPr>
          <w:rFonts w:ascii="Arial" w:hAnsi="Arial" w:cs="Arial"/>
          <w:color w:val="000000"/>
        </w:rPr>
      </w:pPr>
    </w:p>
    <w:p w14:paraId="52395297" w14:textId="77777777" w:rsidR="004E4F47" w:rsidRPr="009807A0" w:rsidRDefault="004E4F47" w:rsidP="00B763AE">
      <w:pPr>
        <w:spacing w:line="360" w:lineRule="auto"/>
        <w:rPr>
          <w:rFonts w:ascii="Times New Roman" w:hAnsi="Times New Roman" w:cs="Times New Roman"/>
          <w:sz w:val="24"/>
          <w:szCs w:val="24"/>
        </w:rPr>
      </w:pPr>
    </w:p>
    <w:p w14:paraId="1F0E6FCE" w14:textId="77777777" w:rsidR="009807A0" w:rsidRPr="009807A0" w:rsidRDefault="009807A0" w:rsidP="00B763AE">
      <w:pPr>
        <w:spacing w:line="360" w:lineRule="auto"/>
        <w:rPr>
          <w:rFonts w:ascii="Times New Roman" w:eastAsia="Times New Roman" w:hAnsi="Times New Roman" w:cs="Times New Roman"/>
          <w:sz w:val="24"/>
          <w:szCs w:val="24"/>
        </w:rPr>
      </w:pPr>
    </w:p>
    <w:p w14:paraId="07E3E9BC" w14:textId="77777777" w:rsidR="009807A0" w:rsidRPr="009807A0" w:rsidRDefault="009807A0" w:rsidP="00B763AE">
      <w:pPr>
        <w:spacing w:line="360" w:lineRule="auto"/>
        <w:rPr>
          <w:rFonts w:ascii="Times New Roman" w:hAnsi="Times New Roman" w:cs="Times New Roman"/>
          <w:sz w:val="24"/>
          <w:szCs w:val="24"/>
        </w:rPr>
      </w:pPr>
      <w:r w:rsidRPr="009807A0">
        <w:rPr>
          <w:rFonts w:ascii="Arial" w:hAnsi="Arial" w:cs="Arial"/>
          <w:color w:val="000000"/>
        </w:rPr>
        <w:t>Taking stock of my views and opinions of formal mental health and religion has been very beneficial, as I have always thought of myself to be</w:t>
      </w:r>
      <w:r w:rsidRPr="009807A0">
        <w:rPr>
          <w:rFonts w:ascii="Arial" w:hAnsi="Arial" w:cs="Arial"/>
          <w:color w:val="FF0000"/>
        </w:rPr>
        <w:t xml:space="preserve"> </w:t>
      </w:r>
      <w:r w:rsidRPr="009807A0">
        <w:rPr>
          <w:rFonts w:ascii="Arial" w:hAnsi="Arial" w:cs="Arial"/>
          <w:color w:val="000000"/>
        </w:rPr>
        <w:t>an open individual who is unbiased and respectful of others’ perspective, ideas and beliefs before anything. Furthermore, understanding how religious beliefs may affect an individual's recovery and sense of self, which is not the same as merely acknowledging or accepting it.  Additionally, by relying on personal experience, pulling strength from it and becoming advocates from others, individuals and communities may effectively challenge the magnitude of social inequalities and their effect on mental health.</w:t>
      </w:r>
    </w:p>
    <w:p w14:paraId="4D8A981B" w14:textId="77777777" w:rsidR="009807A0" w:rsidRPr="009807A0" w:rsidRDefault="009807A0" w:rsidP="00B763AE">
      <w:pPr>
        <w:spacing w:after="240" w:line="360" w:lineRule="auto"/>
        <w:rPr>
          <w:rFonts w:ascii="Times New Roman" w:eastAsia="Times New Roman" w:hAnsi="Times New Roman" w:cs="Times New Roman"/>
          <w:sz w:val="24"/>
          <w:szCs w:val="24"/>
        </w:rPr>
      </w:pPr>
    </w:p>
    <w:p w14:paraId="45CABE01" w14:textId="77777777" w:rsidR="003B1A00" w:rsidRDefault="003B1A00" w:rsidP="00B763AE">
      <w:pPr>
        <w:spacing w:line="360" w:lineRule="auto"/>
      </w:pPr>
    </w:p>
    <w:p w14:paraId="15108A7E" w14:textId="77777777" w:rsidR="00D2740B" w:rsidRPr="00D2740B" w:rsidRDefault="00D2740B" w:rsidP="00D2740B">
      <w:pPr>
        <w:jc w:val="center"/>
        <w:divId w:val="1383403833"/>
        <w:rPr>
          <w:rFonts w:ascii="Times New Roman" w:hAnsi="Times New Roman" w:cs="Times New Roman"/>
          <w:sz w:val="24"/>
          <w:szCs w:val="24"/>
        </w:rPr>
      </w:pPr>
      <w:r w:rsidRPr="00D2740B">
        <w:rPr>
          <w:rFonts w:ascii="Arial" w:hAnsi="Arial" w:cs="Arial"/>
          <w:b/>
          <w:bCs/>
          <w:i/>
          <w:iCs/>
          <w:color w:val="000000"/>
          <w:sz w:val="26"/>
          <w:szCs w:val="26"/>
          <w:u w:val="single"/>
        </w:rPr>
        <w:t>Reference</w:t>
      </w:r>
      <w:r w:rsidRPr="00D2740B">
        <w:rPr>
          <w:rFonts w:ascii="Arial" w:hAnsi="Arial" w:cs="Arial"/>
          <w:b/>
          <w:bCs/>
          <w:i/>
          <w:iCs/>
          <w:color w:val="000000"/>
          <w:u w:val="single"/>
        </w:rPr>
        <w:t> </w:t>
      </w:r>
    </w:p>
    <w:p w14:paraId="369DB5C0" w14:textId="77777777" w:rsidR="00D2740B" w:rsidRPr="00D2740B" w:rsidRDefault="00D2740B" w:rsidP="00D2740B">
      <w:pPr>
        <w:spacing w:after="240"/>
        <w:divId w:val="1383403833"/>
        <w:rPr>
          <w:rFonts w:ascii="Times New Roman" w:eastAsia="Times New Roman" w:hAnsi="Times New Roman" w:cs="Times New Roman"/>
          <w:sz w:val="24"/>
          <w:szCs w:val="24"/>
        </w:rPr>
      </w:pPr>
      <w:r w:rsidRPr="00D2740B">
        <w:rPr>
          <w:rFonts w:ascii="Times New Roman" w:eastAsia="Times New Roman" w:hAnsi="Times New Roman" w:cs="Times New Roman"/>
          <w:sz w:val="24"/>
          <w:szCs w:val="24"/>
        </w:rPr>
        <w:br/>
      </w:r>
      <w:r w:rsidRPr="00D2740B">
        <w:rPr>
          <w:rFonts w:ascii="Times New Roman" w:eastAsia="Times New Roman" w:hAnsi="Times New Roman" w:cs="Times New Roman"/>
          <w:sz w:val="24"/>
          <w:szCs w:val="24"/>
        </w:rPr>
        <w:br/>
      </w:r>
    </w:p>
    <w:p w14:paraId="5B526682" w14:textId="77777777" w:rsidR="00D2740B" w:rsidRPr="00D2740B" w:rsidRDefault="00D2740B" w:rsidP="00D2740B">
      <w:pPr>
        <w:ind w:hanging="720"/>
        <w:divId w:val="1383403833"/>
        <w:rPr>
          <w:rFonts w:ascii="Times New Roman" w:hAnsi="Times New Roman" w:cs="Times New Roman"/>
          <w:sz w:val="24"/>
          <w:szCs w:val="24"/>
        </w:rPr>
      </w:pPr>
      <w:proofErr w:type="spellStart"/>
      <w:r w:rsidRPr="00D2740B">
        <w:rPr>
          <w:rFonts w:ascii="Arial" w:hAnsi="Arial" w:cs="Arial"/>
          <w:color w:val="000000"/>
        </w:rPr>
        <w:t>Cromby</w:t>
      </w:r>
      <w:proofErr w:type="spellEnd"/>
      <w:r w:rsidRPr="00D2740B">
        <w:rPr>
          <w:rFonts w:ascii="Arial" w:hAnsi="Arial" w:cs="Arial"/>
          <w:color w:val="000000"/>
        </w:rPr>
        <w:t xml:space="preserve">, J., Harper, D., &amp; </w:t>
      </w:r>
      <w:proofErr w:type="spellStart"/>
      <w:r w:rsidRPr="00D2740B">
        <w:rPr>
          <w:rFonts w:ascii="Arial" w:hAnsi="Arial" w:cs="Arial"/>
          <w:color w:val="000000"/>
        </w:rPr>
        <w:t>Reavey</w:t>
      </w:r>
      <w:proofErr w:type="spellEnd"/>
      <w:r w:rsidRPr="00D2740B">
        <w:rPr>
          <w:rFonts w:ascii="Arial" w:hAnsi="Arial" w:cs="Arial"/>
          <w:color w:val="000000"/>
        </w:rPr>
        <w:t xml:space="preserve">, P. (2013). </w:t>
      </w:r>
      <w:r w:rsidRPr="00D2740B">
        <w:rPr>
          <w:rFonts w:ascii="Arial" w:hAnsi="Arial" w:cs="Arial"/>
          <w:i/>
          <w:iCs/>
          <w:color w:val="000000"/>
        </w:rPr>
        <w:t>Psychology, mental health and distress</w:t>
      </w:r>
      <w:r w:rsidRPr="00D2740B">
        <w:rPr>
          <w:rFonts w:ascii="Arial" w:hAnsi="Arial" w:cs="Arial"/>
          <w:color w:val="000000"/>
        </w:rPr>
        <w:t xml:space="preserve">. </w:t>
      </w:r>
      <w:proofErr w:type="spellStart"/>
      <w:r w:rsidRPr="00D2740B">
        <w:rPr>
          <w:rFonts w:ascii="Arial" w:hAnsi="Arial" w:cs="Arial"/>
          <w:color w:val="000000"/>
        </w:rPr>
        <w:t>Palgrave</w:t>
      </w:r>
      <w:proofErr w:type="spellEnd"/>
      <w:r w:rsidRPr="00D2740B">
        <w:rPr>
          <w:rFonts w:ascii="Arial" w:hAnsi="Arial" w:cs="Arial"/>
          <w:color w:val="000000"/>
        </w:rPr>
        <w:t xml:space="preserve"> Macmillan/Springer Nature.</w:t>
      </w:r>
    </w:p>
    <w:p w14:paraId="03336851" w14:textId="77777777" w:rsidR="00D2740B" w:rsidRPr="00D2740B" w:rsidRDefault="00D2740B" w:rsidP="00D2740B">
      <w:pPr>
        <w:divId w:val="1383403833"/>
        <w:rPr>
          <w:rFonts w:ascii="Times New Roman" w:eastAsia="Times New Roman" w:hAnsi="Times New Roman" w:cs="Times New Roman"/>
          <w:sz w:val="24"/>
          <w:szCs w:val="24"/>
        </w:rPr>
      </w:pPr>
    </w:p>
    <w:p w14:paraId="66358BCB" w14:textId="77777777" w:rsidR="00D2740B" w:rsidRPr="00D2740B" w:rsidRDefault="00D2740B" w:rsidP="00D2740B">
      <w:pPr>
        <w:ind w:hanging="720"/>
        <w:divId w:val="1383403833"/>
        <w:rPr>
          <w:rFonts w:ascii="Times New Roman" w:hAnsi="Times New Roman" w:cs="Times New Roman"/>
          <w:sz w:val="24"/>
          <w:szCs w:val="24"/>
        </w:rPr>
      </w:pPr>
      <w:proofErr w:type="spellStart"/>
      <w:r w:rsidRPr="00D2740B">
        <w:rPr>
          <w:rFonts w:ascii="Arial" w:hAnsi="Arial" w:cs="Arial"/>
          <w:color w:val="000000"/>
        </w:rPr>
        <w:t>Fernado</w:t>
      </w:r>
      <w:proofErr w:type="spellEnd"/>
      <w:r w:rsidRPr="00D2740B">
        <w:rPr>
          <w:rFonts w:ascii="Arial" w:hAnsi="Arial" w:cs="Arial"/>
          <w:color w:val="000000"/>
        </w:rPr>
        <w:t xml:space="preserve">, S. (2009) </w:t>
      </w:r>
      <w:r w:rsidRPr="00D2740B">
        <w:rPr>
          <w:rFonts w:ascii="Arial" w:hAnsi="Arial" w:cs="Arial"/>
          <w:i/>
          <w:iCs/>
          <w:color w:val="000000"/>
        </w:rPr>
        <w:t>Mental Health, Race And Culture (3rd ed) (ppl 11 -27) Bloomsbury Publishing Plc. </w:t>
      </w:r>
    </w:p>
    <w:p w14:paraId="2F40D692" w14:textId="77777777" w:rsidR="00D2740B" w:rsidRPr="00D2740B" w:rsidRDefault="00D2740B" w:rsidP="00D2740B">
      <w:pPr>
        <w:spacing w:after="240"/>
        <w:divId w:val="1383403833"/>
        <w:rPr>
          <w:rFonts w:ascii="Times New Roman" w:eastAsia="Times New Roman" w:hAnsi="Times New Roman" w:cs="Times New Roman"/>
          <w:sz w:val="24"/>
          <w:szCs w:val="24"/>
        </w:rPr>
      </w:pPr>
    </w:p>
    <w:p w14:paraId="65747820" w14:textId="5621D3DF" w:rsidR="00D2740B" w:rsidRPr="00D2740B" w:rsidRDefault="00D2740B" w:rsidP="00D2740B">
      <w:pPr>
        <w:ind w:hanging="720"/>
        <w:divId w:val="1383403833"/>
        <w:rPr>
          <w:rFonts w:ascii="Times New Roman" w:hAnsi="Times New Roman" w:cs="Times New Roman"/>
          <w:sz w:val="24"/>
          <w:szCs w:val="24"/>
        </w:rPr>
      </w:pPr>
      <w:r w:rsidRPr="00D2740B">
        <w:rPr>
          <w:rFonts w:ascii="Arial" w:hAnsi="Arial" w:cs="Arial"/>
          <w:color w:val="000000"/>
        </w:rPr>
        <w:t xml:space="preserve">Jules R. </w:t>
      </w:r>
      <w:proofErr w:type="spellStart"/>
      <w:r w:rsidRPr="00D2740B">
        <w:rPr>
          <w:rFonts w:ascii="Arial" w:hAnsi="Arial" w:cs="Arial"/>
          <w:color w:val="000000"/>
        </w:rPr>
        <w:t>Bemporad</w:t>
      </w:r>
      <w:proofErr w:type="spellEnd"/>
      <w:r w:rsidRPr="00D2740B">
        <w:rPr>
          <w:rFonts w:ascii="Arial" w:hAnsi="Arial" w:cs="Arial"/>
          <w:color w:val="000000"/>
        </w:rPr>
        <w:t xml:space="preserve"> (1997)</w:t>
      </w:r>
      <w:r w:rsidRPr="00D2740B">
        <w:rPr>
          <w:rFonts w:ascii="Arial" w:hAnsi="Arial" w:cs="Arial"/>
          <w:i/>
          <w:iCs/>
          <w:color w:val="000000"/>
        </w:rPr>
        <w:t xml:space="preserve"> Cultural And Historical Aspects Of Eating Disorders. </w:t>
      </w:r>
      <w:r w:rsidRPr="00D2740B">
        <w:rPr>
          <w:rFonts w:ascii="Arial" w:hAnsi="Arial" w:cs="Arial"/>
          <w:color w:val="000000"/>
        </w:rPr>
        <w:t xml:space="preserve">Available at: </w:t>
      </w:r>
      <w:hyperlink r:id="rId4" w:history="1">
        <w:r w:rsidRPr="00D2740B">
          <w:rPr>
            <w:rFonts w:ascii="Arial" w:hAnsi="Arial" w:cs="Arial"/>
            <w:color w:val="1155CC"/>
            <w:u w:val="single"/>
          </w:rPr>
          <w:t>http://brown.uk.com/eatingdisorders/bemporad.pdf</w:t>
        </w:r>
      </w:hyperlink>
      <w:r w:rsidRPr="00D2740B">
        <w:rPr>
          <w:rFonts w:ascii="Arial" w:hAnsi="Arial" w:cs="Arial"/>
          <w:color w:val="000000"/>
        </w:rPr>
        <w:t xml:space="preserve"> (Accessed at </w:t>
      </w:r>
      <w:r w:rsidR="00FD2D5A">
        <w:rPr>
          <w:rFonts w:ascii="Arial" w:hAnsi="Arial" w:cs="Arial"/>
          <w:color w:val="000000"/>
        </w:rPr>
        <w:t>17 May 2000)</w:t>
      </w:r>
    </w:p>
    <w:p w14:paraId="403162B4" w14:textId="77777777" w:rsidR="00D2740B" w:rsidRPr="00D2740B" w:rsidRDefault="00D2740B" w:rsidP="00D2740B">
      <w:pPr>
        <w:divId w:val="1383403833"/>
        <w:rPr>
          <w:rFonts w:ascii="Times New Roman" w:eastAsia="Times New Roman" w:hAnsi="Times New Roman" w:cs="Times New Roman"/>
          <w:sz w:val="24"/>
          <w:szCs w:val="24"/>
        </w:rPr>
      </w:pPr>
    </w:p>
    <w:p w14:paraId="41A46FA1" w14:textId="77777777" w:rsidR="00D2740B" w:rsidRPr="00D2740B" w:rsidRDefault="00D2740B" w:rsidP="00D2740B">
      <w:pPr>
        <w:ind w:hanging="720"/>
        <w:divId w:val="1383403833"/>
        <w:rPr>
          <w:rFonts w:ascii="Times New Roman" w:hAnsi="Times New Roman" w:cs="Times New Roman"/>
          <w:sz w:val="24"/>
          <w:szCs w:val="24"/>
        </w:rPr>
      </w:pPr>
      <w:r w:rsidRPr="00D2740B">
        <w:rPr>
          <w:rFonts w:ascii="Arial" w:hAnsi="Arial" w:cs="Arial"/>
          <w:color w:val="000000"/>
        </w:rPr>
        <w:t xml:space="preserve">NSW Government (2020) </w:t>
      </w:r>
      <w:r w:rsidRPr="00D2740B">
        <w:rPr>
          <w:rFonts w:ascii="Arial" w:hAnsi="Arial" w:cs="Arial"/>
          <w:i/>
          <w:iCs/>
          <w:color w:val="000000"/>
        </w:rPr>
        <w:t xml:space="preserve">What Is A Holistic Approach. </w:t>
      </w:r>
      <w:r w:rsidRPr="00D2740B">
        <w:rPr>
          <w:rFonts w:ascii="Arial" w:hAnsi="Arial" w:cs="Arial"/>
          <w:color w:val="000000"/>
        </w:rPr>
        <w:t xml:space="preserve">Available at: </w:t>
      </w:r>
      <w:hyperlink r:id="rId5" w:history="1">
        <w:r w:rsidRPr="00D2740B">
          <w:rPr>
            <w:rFonts w:ascii="Arial" w:hAnsi="Arial" w:cs="Arial"/>
            <w:color w:val="1155CC"/>
            <w:u w:val="single"/>
          </w:rPr>
          <w:t>https://www.health.nsw.gov.au/mentalhealth/psychosocial/principles/Pages/holistic.aspx</w:t>
        </w:r>
      </w:hyperlink>
      <w:r w:rsidRPr="00D2740B">
        <w:rPr>
          <w:rFonts w:ascii="Arial" w:hAnsi="Arial" w:cs="Arial"/>
          <w:color w:val="000000"/>
        </w:rPr>
        <w:t xml:space="preserve"> (Accessed at 20 January 2020). </w:t>
      </w:r>
    </w:p>
    <w:p w14:paraId="5C5B3DF7" w14:textId="77777777" w:rsidR="00D2740B" w:rsidRPr="00D2740B" w:rsidRDefault="00D2740B" w:rsidP="00D2740B">
      <w:pPr>
        <w:spacing w:after="240"/>
        <w:divId w:val="1383403833"/>
        <w:rPr>
          <w:rFonts w:ascii="Times New Roman" w:eastAsia="Times New Roman" w:hAnsi="Times New Roman" w:cs="Times New Roman"/>
          <w:sz w:val="24"/>
          <w:szCs w:val="24"/>
        </w:rPr>
      </w:pPr>
    </w:p>
    <w:p w14:paraId="33651BB3" w14:textId="77777777" w:rsidR="00D2740B" w:rsidRPr="00D2740B" w:rsidRDefault="00D2740B" w:rsidP="00D2740B">
      <w:pPr>
        <w:ind w:hanging="720"/>
        <w:divId w:val="1383403833"/>
        <w:rPr>
          <w:rFonts w:ascii="Times New Roman" w:hAnsi="Times New Roman" w:cs="Times New Roman"/>
          <w:sz w:val="24"/>
          <w:szCs w:val="24"/>
        </w:rPr>
      </w:pPr>
      <w:r w:rsidRPr="00D2740B">
        <w:rPr>
          <w:rFonts w:ascii="Arial" w:hAnsi="Arial" w:cs="Arial"/>
          <w:color w:val="000000"/>
        </w:rPr>
        <w:t xml:space="preserve">Primary Care Hub (2018) </w:t>
      </w:r>
      <w:r w:rsidRPr="00D2740B">
        <w:rPr>
          <w:rFonts w:ascii="Arial" w:hAnsi="Arial" w:cs="Arial"/>
          <w:i/>
          <w:iCs/>
          <w:color w:val="000000"/>
        </w:rPr>
        <w:t xml:space="preserve">Social Prescribing In Wales. </w:t>
      </w:r>
      <w:r w:rsidRPr="00D2740B">
        <w:rPr>
          <w:rFonts w:ascii="Arial" w:hAnsi="Arial" w:cs="Arial"/>
          <w:color w:val="000000"/>
        </w:rPr>
        <w:t xml:space="preserve">Available at: </w:t>
      </w:r>
      <w:hyperlink r:id="rId6" w:history="1">
        <w:r w:rsidRPr="00D2740B">
          <w:rPr>
            <w:rFonts w:ascii="Arial" w:hAnsi="Arial" w:cs="Arial"/>
            <w:color w:val="1155CC"/>
            <w:u w:val="single"/>
          </w:rPr>
          <w:t>http://www.primarycareone.wales.nhs.uk/sitesplus/documents/1191/Social%20Prescribing%20Final%20Report%20v9%202018.pdf</w:t>
        </w:r>
      </w:hyperlink>
      <w:r w:rsidRPr="00D2740B">
        <w:rPr>
          <w:rFonts w:ascii="Arial" w:hAnsi="Arial" w:cs="Arial"/>
          <w:color w:val="000000"/>
        </w:rPr>
        <w:t xml:space="preserve"> (Accessed at 18 May 2018).  </w:t>
      </w:r>
    </w:p>
    <w:p w14:paraId="48E47C3E" w14:textId="77777777" w:rsidR="00D2740B" w:rsidRPr="00D2740B" w:rsidRDefault="00D2740B" w:rsidP="00D2740B">
      <w:pPr>
        <w:divId w:val="1383403833"/>
        <w:rPr>
          <w:rFonts w:ascii="Times New Roman" w:eastAsia="Times New Roman" w:hAnsi="Times New Roman" w:cs="Times New Roman"/>
          <w:sz w:val="24"/>
          <w:szCs w:val="24"/>
        </w:rPr>
      </w:pPr>
    </w:p>
    <w:p w14:paraId="007F24AE" w14:textId="77777777" w:rsidR="00D2740B" w:rsidRPr="00D2740B" w:rsidRDefault="00D2740B" w:rsidP="00D2740B">
      <w:pPr>
        <w:ind w:hanging="720"/>
        <w:divId w:val="1383403833"/>
        <w:rPr>
          <w:rFonts w:ascii="Times New Roman" w:hAnsi="Times New Roman" w:cs="Times New Roman"/>
          <w:sz w:val="24"/>
          <w:szCs w:val="24"/>
        </w:rPr>
      </w:pPr>
      <w:proofErr w:type="spellStart"/>
      <w:r w:rsidRPr="00D2740B">
        <w:rPr>
          <w:rFonts w:ascii="Arial" w:hAnsi="Arial" w:cs="Arial"/>
          <w:color w:val="000000"/>
        </w:rPr>
        <w:t>Westerberg</w:t>
      </w:r>
      <w:proofErr w:type="spellEnd"/>
      <w:r w:rsidRPr="00D2740B">
        <w:rPr>
          <w:rFonts w:ascii="Arial" w:hAnsi="Arial" w:cs="Arial"/>
          <w:color w:val="000000"/>
        </w:rPr>
        <w:t xml:space="preserve">, D., &amp; </w:t>
      </w:r>
      <w:proofErr w:type="spellStart"/>
      <w:r w:rsidRPr="00D2740B">
        <w:rPr>
          <w:rFonts w:ascii="Arial" w:hAnsi="Arial" w:cs="Arial"/>
          <w:color w:val="000000"/>
        </w:rPr>
        <w:t>Waitz</w:t>
      </w:r>
      <w:proofErr w:type="spellEnd"/>
      <w:r w:rsidRPr="00D2740B">
        <w:rPr>
          <w:rFonts w:ascii="Arial" w:hAnsi="Arial" w:cs="Arial"/>
          <w:color w:val="000000"/>
        </w:rPr>
        <w:t xml:space="preserve">, M. (1). </w:t>
      </w:r>
      <w:r w:rsidRPr="00D2740B">
        <w:rPr>
          <w:rFonts w:ascii="Arial" w:hAnsi="Arial" w:cs="Arial"/>
          <w:i/>
          <w:iCs/>
          <w:color w:val="000000"/>
        </w:rPr>
        <w:t>Binge-eating disorder. Osteopathic Family Physician,</w:t>
      </w:r>
      <w:r w:rsidRPr="00D2740B">
        <w:rPr>
          <w:rFonts w:ascii="Arial" w:hAnsi="Arial" w:cs="Arial"/>
          <w:color w:val="000000"/>
        </w:rPr>
        <w:t xml:space="preserve"> 5(6), 230-233. Retrieved from https://www.ofpjournal.com/index.php/ofp/article/view/334</w:t>
      </w:r>
    </w:p>
    <w:p w14:paraId="28AEC5A2" w14:textId="77777777" w:rsidR="00D2740B" w:rsidRPr="00D2740B" w:rsidRDefault="00D2740B" w:rsidP="00D2740B">
      <w:pPr>
        <w:spacing w:after="240"/>
        <w:divId w:val="1383403833"/>
        <w:rPr>
          <w:rFonts w:ascii="Times New Roman" w:eastAsia="Times New Roman" w:hAnsi="Times New Roman" w:cs="Times New Roman"/>
          <w:sz w:val="24"/>
          <w:szCs w:val="24"/>
        </w:rPr>
      </w:pPr>
    </w:p>
    <w:p w14:paraId="4CE84D59" w14:textId="77777777" w:rsidR="004E4F47" w:rsidRDefault="004E4F47" w:rsidP="00B763AE">
      <w:pPr>
        <w:spacing w:line="360" w:lineRule="auto"/>
      </w:pPr>
    </w:p>
    <w:sectPr w:rsidR="004E4F4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Playfair Display">
    <w:panose1 w:val="00000500000000000000"/>
    <w:charset w:val="4D"/>
    <w:family w:val="auto"/>
    <w:pitch w:val="variable"/>
    <w:sig w:usb0="20000207" w:usb1="00000000"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A00"/>
    <w:rsid w:val="002C15E7"/>
    <w:rsid w:val="00396FA3"/>
    <w:rsid w:val="003B1A00"/>
    <w:rsid w:val="004E4F47"/>
    <w:rsid w:val="006226EC"/>
    <w:rsid w:val="00646A6A"/>
    <w:rsid w:val="00721CF0"/>
    <w:rsid w:val="00934009"/>
    <w:rsid w:val="009807A0"/>
    <w:rsid w:val="00B763AE"/>
    <w:rsid w:val="00D256C1"/>
    <w:rsid w:val="00D2740B"/>
    <w:rsid w:val="00FD2D5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6F78A072"/>
  <w15:chartTrackingRefBased/>
  <w15:docId w15:val="{66BEE850-3B53-9040-B2A1-86EDD7C24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B1A00"/>
    <w:pPr>
      <w:spacing w:before="100" w:beforeAutospacing="1" w:after="100" w:afterAutospacing="1"/>
    </w:pPr>
    <w:rPr>
      <w:rFonts w:ascii="Times New Roman" w:hAnsi="Times New Roman" w:cs="Times New Roman"/>
      <w:sz w:val="24"/>
      <w:szCs w:val="24"/>
    </w:rPr>
  </w:style>
  <w:style w:type="character" w:styleId="Hyperlink">
    <w:name w:val="Hyperlink"/>
    <w:basedOn w:val="DefaultParagraphFont"/>
    <w:uiPriority w:val="99"/>
    <w:semiHidden/>
    <w:unhideWhenUsed/>
    <w:rsid w:val="00D2740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403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primarycareone.wales.nhs.uk/sitesplus/documents/1191/Social%20Prescribing%20Final%20Report%20v9%202018.pdf" TargetMode="External"/><Relationship Id="rId5" Type="http://schemas.openxmlformats.org/officeDocument/2006/relationships/hyperlink" Target="https://www.health.nsw.gov.au/mentalhealth/psychosocial/principles/Pages/holistic.aspx" TargetMode="External"/><Relationship Id="rId4" Type="http://schemas.openxmlformats.org/officeDocument/2006/relationships/hyperlink" Target="http://brown.uk.com/eatingdisorders/bempora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2343</Words>
  <Characters>13360</Characters>
  <Application>Microsoft Office Word</Application>
  <DocSecurity>0</DocSecurity>
  <Lines>111</Lines>
  <Paragraphs>31</Paragraphs>
  <ScaleCrop>false</ScaleCrop>
  <Company/>
  <LinksUpToDate>false</LinksUpToDate>
  <CharactersWithSpaces>15672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 Amir (1901848)</dc:creator>
  <cp:keywords/>
  <dc:description/>
  <cp:lastModifiedBy>Lena Amir (1901848)</cp:lastModifiedBy>
  <cp:revision>13</cp:revision>
  <dcterms:created xsi:type="dcterms:W3CDTF">2021-12-01T21:33:00Z</dcterms:created>
  <dcterms:modified xsi:type="dcterms:W3CDTF">2021-12-03T01:26:00Z</dcterms:modified>
</cp:coreProperties>
</file>