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35A61A" w14:textId="056AB873" w:rsidR="00EA573E" w:rsidRDefault="00D24E90" w:rsidP="00C45E97">
      <w:pPr>
        <w:spacing w:line="360" w:lineRule="auto"/>
        <w:jc w:val="center"/>
        <w:rPr>
          <w:u w:val="single"/>
        </w:rPr>
      </w:pPr>
      <w:r>
        <w:rPr>
          <w:u w:val="single"/>
        </w:rPr>
        <w:t>Bibliographic Description and Research</w:t>
      </w:r>
    </w:p>
    <w:p w14:paraId="2E241A78" w14:textId="77777777" w:rsidR="00D24E90" w:rsidRDefault="00D24E90" w:rsidP="00C45E97">
      <w:pPr>
        <w:spacing w:line="360" w:lineRule="auto"/>
        <w:jc w:val="center"/>
        <w:rPr>
          <w:u w:val="single"/>
        </w:rPr>
      </w:pPr>
    </w:p>
    <w:p w14:paraId="50903DF6" w14:textId="58291327" w:rsidR="00D24E90" w:rsidRDefault="00D24E90" w:rsidP="00C45E97">
      <w:pPr>
        <w:spacing w:line="360" w:lineRule="auto"/>
      </w:pPr>
      <w:r>
        <w:t>Book title: Legenda aurea (The Golden Legend)</w:t>
      </w:r>
      <w:r w:rsidR="0078009A">
        <w:t xml:space="preserve">, written </w:t>
      </w:r>
      <w:r w:rsidR="0078009A" w:rsidRPr="0078009A">
        <w:rPr>
          <w:i/>
          <w:iCs/>
        </w:rPr>
        <w:t>The Golden Legende</w:t>
      </w:r>
      <w:r w:rsidR="0078009A">
        <w:t xml:space="preserve"> in gold on the spine.</w:t>
      </w:r>
    </w:p>
    <w:p w14:paraId="32E81085" w14:textId="3386F9DC" w:rsidR="00D24E90" w:rsidRDefault="00D24E90" w:rsidP="00C45E97">
      <w:pPr>
        <w:spacing w:line="360" w:lineRule="auto"/>
      </w:pPr>
      <w:r>
        <w:t>Written by Jacobus de Voragine.</w:t>
      </w:r>
    </w:p>
    <w:p w14:paraId="5FF9ED37" w14:textId="4682AC4C" w:rsidR="00D24E90" w:rsidRDefault="00D24E90" w:rsidP="00C45E97">
      <w:pPr>
        <w:spacing w:line="360" w:lineRule="auto"/>
      </w:pPr>
      <w:r>
        <w:t>Printed by Wynkyn de Worde in 1498 on Caxton’s press in Westminster.</w:t>
      </w:r>
    </w:p>
    <w:p w14:paraId="2548B4CC" w14:textId="0A35F134" w:rsidR="00D24E90" w:rsidRDefault="00D24E90" w:rsidP="00C45E97">
      <w:pPr>
        <w:spacing w:line="360" w:lineRule="auto"/>
      </w:pPr>
      <w:r>
        <w:t>This book does not include a title page or a colophon</w:t>
      </w:r>
      <w:r w:rsidR="00EF40F3">
        <w:t>, however it does include a 2 leaf Prologue connected to a tabula between gatherings Gg</w:t>
      </w:r>
      <w:r w:rsidR="00EF40F3">
        <w:rPr>
          <w:vertAlign w:val="superscript"/>
        </w:rPr>
        <w:t>6</w:t>
      </w:r>
      <w:r w:rsidR="00EF40F3">
        <w:t xml:space="preserve"> and a</w:t>
      </w:r>
      <w:r w:rsidR="00EF40F3">
        <w:rPr>
          <w:vertAlign w:val="superscript"/>
        </w:rPr>
        <w:t>8</w:t>
      </w:r>
      <w:r w:rsidR="00EF40F3">
        <w:t>.</w:t>
      </w:r>
    </w:p>
    <w:p w14:paraId="6A1B1DB5" w14:textId="0C0061AF" w:rsidR="00DE6C47" w:rsidRDefault="00C34C56" w:rsidP="00C45E97">
      <w:pPr>
        <w:spacing w:line="360" w:lineRule="auto"/>
      </w:pPr>
      <w:r>
        <w:t>Written in Textura type</w:t>
      </w:r>
      <w:r w:rsidR="00B2480F">
        <w:t xml:space="preserve"> </w:t>
      </w:r>
      <w:r>
        <w:t xml:space="preserve">the book consists mainly of </w:t>
      </w:r>
      <w:r w:rsidR="00ED6A42">
        <w:t>gatherings of octavo</w:t>
      </w:r>
      <w:r w:rsidR="00C96C7D">
        <w:t xml:space="preserve">’s broken by some gatherings of 6’s, one gathering of 7, </w:t>
      </w:r>
      <w:r w:rsidR="00833E66">
        <w:t>one gathering of 10 and one of 5.</w:t>
      </w:r>
    </w:p>
    <w:p w14:paraId="6C4ABB6D" w14:textId="7256D317" w:rsidR="00D30077" w:rsidRDefault="00D30077" w:rsidP="00C45E97">
      <w:pPr>
        <w:spacing w:line="360" w:lineRule="auto"/>
      </w:pPr>
      <w:r>
        <w:t xml:space="preserve">The signatures are letters of the alphabet followed by </w:t>
      </w:r>
      <w:r w:rsidR="003F7357">
        <w:t>Roman Numerals.</w:t>
      </w:r>
    </w:p>
    <w:p w14:paraId="1580DBC1" w14:textId="61E20962" w:rsidR="000D100E" w:rsidRDefault="000D100E" w:rsidP="00C45E97">
      <w:pPr>
        <w:spacing w:line="360" w:lineRule="auto"/>
      </w:pPr>
      <w:r>
        <w:t>The Collation consists of:</w:t>
      </w:r>
    </w:p>
    <w:p w14:paraId="4775BCF1" w14:textId="693FFFF3" w:rsidR="004676B8" w:rsidRDefault="004676B8" w:rsidP="00C45E97">
      <w:pPr>
        <w:spacing w:line="360" w:lineRule="auto"/>
      </w:pPr>
      <w:r>
        <w:t>Aa</w:t>
      </w:r>
      <w:r>
        <w:rPr>
          <w:vertAlign w:val="superscript"/>
        </w:rPr>
        <w:t xml:space="preserve"> </w:t>
      </w:r>
      <w:r>
        <w:t>- Ff</w:t>
      </w:r>
      <w:r>
        <w:rPr>
          <w:vertAlign w:val="superscript"/>
        </w:rPr>
        <w:t>8</w:t>
      </w:r>
      <w:r>
        <w:t>, Gg</w:t>
      </w:r>
      <w:r>
        <w:rPr>
          <w:vertAlign w:val="superscript"/>
        </w:rPr>
        <w:t>6</w:t>
      </w:r>
      <w:r>
        <w:t xml:space="preserve">, </w:t>
      </w:r>
      <w:r w:rsidR="00B41C4D">
        <w:t>*</w:t>
      </w:r>
      <w:r w:rsidR="00045AB0">
        <w:rPr>
          <w:vertAlign w:val="superscript"/>
        </w:rPr>
        <w:t>2/4</w:t>
      </w:r>
    </w:p>
    <w:p w14:paraId="0ACF3062" w14:textId="10858D72" w:rsidR="004676B8" w:rsidRDefault="004676B8" w:rsidP="00C45E97">
      <w:pPr>
        <w:spacing w:line="360" w:lineRule="auto"/>
      </w:pPr>
      <w:r>
        <w:t>a-d</w:t>
      </w:r>
      <w:r>
        <w:rPr>
          <w:vertAlign w:val="superscript"/>
        </w:rPr>
        <w:t>8</w:t>
      </w:r>
      <w:r>
        <w:t>, e</w:t>
      </w:r>
      <w:r>
        <w:rPr>
          <w:vertAlign w:val="superscript"/>
        </w:rPr>
        <w:t>7</w:t>
      </w:r>
      <w:r>
        <w:t>, f-h</w:t>
      </w:r>
      <w:r>
        <w:rPr>
          <w:vertAlign w:val="superscript"/>
        </w:rPr>
        <w:t>8</w:t>
      </w:r>
      <w:r>
        <w:t xml:space="preserve">, </w:t>
      </w:r>
    </w:p>
    <w:p w14:paraId="497FE403" w14:textId="77777777" w:rsidR="004676B8" w:rsidRDefault="004676B8" w:rsidP="00C45E97">
      <w:pPr>
        <w:spacing w:line="360" w:lineRule="auto"/>
      </w:pPr>
      <w:r>
        <w:t>i</w:t>
      </w:r>
      <w:r>
        <w:rPr>
          <w:vertAlign w:val="superscript"/>
        </w:rPr>
        <w:t>10</w:t>
      </w:r>
      <w:r>
        <w:t>, k-u</w:t>
      </w:r>
      <w:r>
        <w:rPr>
          <w:vertAlign w:val="superscript"/>
        </w:rPr>
        <w:t>8</w:t>
      </w:r>
      <w:r>
        <w:t>, x-z</w:t>
      </w:r>
      <w:r>
        <w:rPr>
          <w:vertAlign w:val="superscript"/>
        </w:rPr>
        <w:t>8</w:t>
      </w:r>
      <w:r>
        <w:t>, A-I</w:t>
      </w:r>
      <w:r>
        <w:rPr>
          <w:vertAlign w:val="superscript"/>
        </w:rPr>
        <w:t>8</w:t>
      </w:r>
      <w:r>
        <w:t>, K- U</w:t>
      </w:r>
      <w:r>
        <w:rPr>
          <w:vertAlign w:val="superscript"/>
        </w:rPr>
        <w:t xml:space="preserve"> </w:t>
      </w:r>
      <w:r w:rsidRPr="005F5324">
        <w:rPr>
          <w:vertAlign w:val="superscript"/>
        </w:rPr>
        <w:t>8</w:t>
      </w:r>
      <w:r>
        <w:t>, X- Y</w:t>
      </w:r>
      <w:r>
        <w:rPr>
          <w:vertAlign w:val="superscript"/>
        </w:rPr>
        <w:t>8</w:t>
      </w:r>
      <w:r>
        <w:t xml:space="preserve">, </w:t>
      </w:r>
    </w:p>
    <w:p w14:paraId="4A5B1AB6" w14:textId="77777777" w:rsidR="004676B8" w:rsidRDefault="004676B8" w:rsidP="00C45E97">
      <w:pPr>
        <w:spacing w:line="360" w:lineRule="auto"/>
        <w:rPr>
          <w:vertAlign w:val="superscript"/>
        </w:rPr>
      </w:pPr>
      <w:r>
        <w:t>aa – bb</w:t>
      </w:r>
      <w:r>
        <w:rPr>
          <w:vertAlign w:val="superscript"/>
        </w:rPr>
        <w:t>8</w:t>
      </w:r>
      <w:r>
        <w:t>, cc</w:t>
      </w:r>
      <w:r>
        <w:rPr>
          <w:vertAlign w:val="superscript"/>
        </w:rPr>
        <w:t>6</w:t>
      </w:r>
      <w:r>
        <w:t>, d</w:t>
      </w:r>
      <w:r>
        <w:rPr>
          <w:vertAlign w:val="superscript"/>
        </w:rPr>
        <w:t>5</w:t>
      </w:r>
    </w:p>
    <w:p w14:paraId="7B13E9E2" w14:textId="77777777" w:rsidR="00AC409E" w:rsidRDefault="00045AB0" w:rsidP="00C45E97">
      <w:pPr>
        <w:spacing w:line="360" w:lineRule="auto"/>
      </w:pPr>
      <w:r>
        <w:t>*</w:t>
      </w:r>
      <w:r>
        <w:rPr>
          <w:vertAlign w:val="superscript"/>
        </w:rPr>
        <w:t>2/4</w:t>
      </w:r>
      <w:r>
        <w:t xml:space="preserve"> appear to be </w:t>
      </w:r>
      <w:r w:rsidR="00FC594F">
        <w:t>either 2 folios or 1 quart</w:t>
      </w:r>
      <w:r w:rsidR="004415D1">
        <w:t>o that does not have a signature or a folio pagination.</w:t>
      </w:r>
    </w:p>
    <w:p w14:paraId="7137C88F" w14:textId="576DC6FD" w:rsidR="00045AB0" w:rsidRPr="00045AB0" w:rsidRDefault="00AC409E" w:rsidP="00C45E97">
      <w:pPr>
        <w:spacing w:line="360" w:lineRule="auto"/>
      </w:pPr>
      <w:r>
        <w:t>T</w:t>
      </w:r>
      <w:r w:rsidR="008070A5">
        <w:t>he f gathering is in the order of; f, f3, f4, f5</w:t>
      </w:r>
      <w:r>
        <w:t xml:space="preserve"> but still consists of an octavo gathering.</w:t>
      </w:r>
    </w:p>
    <w:p w14:paraId="2265F17C" w14:textId="27B78EB8" w:rsidR="00D24E90" w:rsidRDefault="004257CD" w:rsidP="00C45E97">
      <w:pPr>
        <w:spacing w:line="360" w:lineRule="auto"/>
      </w:pPr>
      <w:r>
        <w:t xml:space="preserve">The Pagination numbers </w:t>
      </w:r>
      <w:r w:rsidR="00D30077">
        <w:t xml:space="preserve">every leaf rather than ever page and the numbering </w:t>
      </w:r>
      <w:r w:rsidR="001F07EC">
        <w:t>always start</w:t>
      </w:r>
      <w:r w:rsidR="004415D1">
        <w:t xml:space="preserve"> </w:t>
      </w:r>
      <w:r w:rsidR="001F07EC">
        <w:t>with the words Folio which is followed by a Roman Numeral.</w:t>
      </w:r>
      <w:r w:rsidR="00FF32AC">
        <w:t xml:space="preserve"> This pagination is also recorded in the </w:t>
      </w:r>
      <w:r w:rsidR="00635175">
        <w:t>tabula pages of the book.</w:t>
      </w:r>
    </w:p>
    <w:p w14:paraId="3CFF4F1A" w14:textId="5D3A3F6E" w:rsidR="001F07EC" w:rsidRDefault="00F150F2" w:rsidP="00C45E97">
      <w:pPr>
        <w:spacing w:line="360" w:lineRule="auto"/>
      </w:pPr>
      <w:r>
        <w:t xml:space="preserve">Folio. </w:t>
      </w:r>
      <w:r>
        <w:br/>
        <w:t>i-viij – li</w:t>
      </w:r>
      <w:r w:rsidR="00EE54CA">
        <w:t>i</w:t>
      </w:r>
      <w:r>
        <w:t xml:space="preserve">i, </w:t>
      </w:r>
      <w:r w:rsidR="00421002">
        <w:t>**</w:t>
      </w:r>
      <w:r>
        <w:br/>
        <w:t>i-xxxvi</w:t>
      </w:r>
      <w:r w:rsidR="00CC4BF5">
        <w:t xml:space="preserve"> </w:t>
      </w:r>
      <w:r>
        <w:t>-</w:t>
      </w:r>
      <w:r w:rsidR="001E73DA">
        <w:t>l</w:t>
      </w:r>
      <w:r w:rsidR="0084798A">
        <w:t xml:space="preserve">vii, </w:t>
      </w:r>
      <w:r w:rsidR="00EB5B66">
        <w:br/>
      </w:r>
      <w:r w:rsidR="00D722FF">
        <w:t xml:space="preserve">lxiii - </w:t>
      </w:r>
      <w:r>
        <w:t xml:space="preserve">lxix, </w:t>
      </w:r>
      <w:r w:rsidR="00BA5010">
        <w:br/>
      </w:r>
      <w:r>
        <w:t>lxxi</w:t>
      </w:r>
      <w:r w:rsidR="00FE74E5">
        <w:t>, lxxi</w:t>
      </w:r>
      <w:r w:rsidR="00B618E7">
        <w:t>,</w:t>
      </w:r>
      <w:r w:rsidR="0096130B">
        <w:t xml:space="preserve"> </w:t>
      </w:r>
      <w:r w:rsidR="00EB5B66">
        <w:br/>
      </w:r>
      <w:r>
        <w:t>lxxii-lxxii</w:t>
      </w:r>
      <w:r w:rsidR="00D50BB4">
        <w:t>i</w:t>
      </w:r>
      <w:r w:rsidR="00B618E7">
        <w:t xml:space="preserve">, </w:t>
      </w:r>
      <w:r>
        <w:t xml:space="preserve">lxxii </w:t>
      </w:r>
      <w:r w:rsidR="00335365">
        <w:br/>
      </w:r>
      <w:r>
        <w:t>lxxv</w:t>
      </w:r>
      <w:r w:rsidR="00A47433">
        <w:t xml:space="preserve"> </w:t>
      </w:r>
      <w:r>
        <w:t>-</w:t>
      </w:r>
      <w:r w:rsidR="005E5F8B">
        <w:t xml:space="preserve"> </w:t>
      </w:r>
      <w:r>
        <w:t>cxxx,</w:t>
      </w:r>
      <w:r>
        <w:br/>
        <w:t>cxl-clxxxxviii</w:t>
      </w:r>
    </w:p>
    <w:p w14:paraId="2D4B5850" w14:textId="13BCCB17" w:rsidR="00EB5B66" w:rsidRDefault="00421002" w:rsidP="00C45E97">
      <w:pPr>
        <w:spacing w:line="360" w:lineRule="auto"/>
      </w:pPr>
      <w:r>
        <w:lastRenderedPageBreak/>
        <w:t>** appear to be either 2 folios or 1 quarto that does not have a signature or a folio pagination</w:t>
      </w:r>
      <w:r w:rsidR="0096130B">
        <w:t>.</w:t>
      </w:r>
    </w:p>
    <w:p w14:paraId="5485306A" w14:textId="7236F34F" w:rsidR="00335365" w:rsidRDefault="0096130B" w:rsidP="00C45E97">
      <w:pPr>
        <w:spacing w:line="360" w:lineRule="auto"/>
      </w:pPr>
      <w:r>
        <w:t xml:space="preserve">Second </w:t>
      </w:r>
      <w:r w:rsidR="00516F15">
        <w:t xml:space="preserve">Folio. </w:t>
      </w:r>
      <w:r>
        <w:t>lxxi does not appear to be the same text printed twice.</w:t>
      </w:r>
    </w:p>
    <w:p w14:paraId="0944CC68" w14:textId="7BA32BB2" w:rsidR="003371C5" w:rsidRDefault="00335365" w:rsidP="00C45E97">
      <w:pPr>
        <w:spacing w:line="360" w:lineRule="auto"/>
      </w:pPr>
      <w:r>
        <w:t>Folio. l</w:t>
      </w:r>
      <w:r w:rsidR="00516F15">
        <w:t xml:space="preserve">xxii again does not appear to be a copy of the </w:t>
      </w:r>
      <w:r w:rsidR="00E23E07">
        <w:t>earlier</w:t>
      </w:r>
      <w:r w:rsidR="00516F15">
        <w:t xml:space="preserve"> lxxii.</w:t>
      </w:r>
    </w:p>
    <w:p w14:paraId="6F5189EF" w14:textId="77777777" w:rsidR="003371C5" w:rsidRDefault="003371C5" w:rsidP="00C45E97">
      <w:pPr>
        <w:spacing w:line="360" w:lineRule="auto"/>
      </w:pPr>
    </w:p>
    <w:p w14:paraId="53BDE050" w14:textId="20495B08" w:rsidR="00C93F12" w:rsidRDefault="00C93F12" w:rsidP="00C45E97">
      <w:pPr>
        <w:spacing w:line="360" w:lineRule="auto"/>
      </w:pPr>
      <w:r>
        <w:t>The author of this book is Jacobus de Voragine, born between 1229 and 1298</w:t>
      </w:r>
      <w:r w:rsidR="006360EA">
        <w:t>,</w:t>
      </w:r>
      <w:r>
        <w:t xml:space="preserve"> and he is believed to have published </w:t>
      </w:r>
      <w:r>
        <w:rPr>
          <w:i/>
          <w:iCs/>
        </w:rPr>
        <w:t xml:space="preserve">The Golden Legend </w:t>
      </w:r>
      <w:r>
        <w:t>in the 1260’s, which is described by William Granger Ryan as intended as an “aid for busy priests and preachers in the need of a handy source” with its “compendium” of the lives of saints and of “liturgical and doctrinal instructions</w:t>
      </w:r>
      <w:r w:rsidR="00211457">
        <w:t>.</w:t>
      </w:r>
      <w:r>
        <w:t>”</w:t>
      </w:r>
      <w:r>
        <w:rPr>
          <w:rStyle w:val="FootnoteReference"/>
        </w:rPr>
        <w:footnoteReference w:id="1"/>
      </w:r>
      <w:r>
        <w:t xml:space="preserve"> De Vorgagine himself is believed to have been “essentially a man of the Church</w:t>
      </w:r>
      <w:r w:rsidR="00FF11D6">
        <w:t>,</w:t>
      </w:r>
      <w:r>
        <w:t>” who joined the Dominican order during a time of the “development of education, with a growing emphasis on calculation, reason</w:t>
      </w:r>
      <w:r w:rsidR="00FF11D6">
        <w:t>,</w:t>
      </w:r>
      <w:r>
        <w:t xml:space="preserve"> and debate” within the church.</w:t>
      </w:r>
      <w:r>
        <w:rPr>
          <w:rStyle w:val="FootnoteReference"/>
        </w:rPr>
        <w:footnoteReference w:id="2"/>
      </w:r>
      <w:r>
        <w:t xml:space="preserve"> It is therefore not surprising that he wrote such a book dedicated to helping the faith he was so devoted to</w:t>
      </w:r>
      <w:r w:rsidR="006F35A8">
        <w:t>;</w:t>
      </w:r>
      <w:r>
        <w:t xml:space="preserve"> in fact</w:t>
      </w:r>
      <w:r w:rsidR="006F35A8">
        <w:t>,</w:t>
      </w:r>
      <w:r>
        <w:t xml:space="preserve"> Goff describes his devotion as “totally d</w:t>
      </w:r>
      <w:r w:rsidR="00864888">
        <w:t>edicated</w:t>
      </w:r>
      <w:r>
        <w:t xml:space="preserve"> to the city where he was probably born and certainly died at the head of its clergy</w:t>
      </w:r>
      <w:r w:rsidR="00864888">
        <w:t>,</w:t>
      </w:r>
      <w:r>
        <w:t>” as he dedicated his efforts to improving the Christian</w:t>
      </w:r>
      <w:r w:rsidR="0022582E">
        <w:t xml:space="preserve"> values of the</w:t>
      </w:r>
      <w:r>
        <w:t xml:space="preserve"> city of Genoa with his work.</w:t>
      </w:r>
      <w:r>
        <w:rPr>
          <w:rStyle w:val="FootnoteReference"/>
        </w:rPr>
        <w:footnoteReference w:id="3"/>
      </w:r>
      <w:r>
        <w:t xml:space="preserve"> It is argued by scholars that as an intellectual, de Voragine views past ancient societies as a Christian path that was “a novelty that brought salvation</w:t>
      </w:r>
      <w:r w:rsidR="006C319B">
        <w:t>,</w:t>
      </w:r>
      <w:r>
        <w:t>” as he believed so strongly in establishing the “truth” that he had no hesitation in mentioning “superior minds from who he borrowed and who served as indisputable guarantees of that truth</w:t>
      </w:r>
      <w:r w:rsidR="006C319B">
        <w:t>.</w:t>
      </w:r>
      <w:r>
        <w:t>”</w:t>
      </w:r>
      <w:r>
        <w:rPr>
          <w:rStyle w:val="FootnoteReference"/>
        </w:rPr>
        <w:footnoteReference w:id="4"/>
      </w:r>
      <w:r>
        <w:t xml:space="preserve"> This led him to writ</w:t>
      </w:r>
      <w:r w:rsidR="00507264">
        <w:t>e</w:t>
      </w:r>
      <w:r>
        <w:t xml:space="preserve"> about ancient Rome within this book</w:t>
      </w:r>
      <w:r w:rsidR="00A32FCD">
        <w:t xml:space="preserve">, </w:t>
      </w:r>
      <w:r w:rsidR="00A32FCD">
        <w:rPr>
          <w:i/>
          <w:iCs/>
        </w:rPr>
        <w:t>The Golden Legend,</w:t>
      </w:r>
      <w:r>
        <w:t xml:space="preserve"> in order to justify his interpretation </w:t>
      </w:r>
      <w:r w:rsidR="00507264">
        <w:t xml:space="preserve">of </w:t>
      </w:r>
      <w:r>
        <w:t xml:space="preserve">what he felt was the truth, </w:t>
      </w:r>
      <w:r w:rsidR="00580BE6">
        <w:t xml:space="preserve">which </w:t>
      </w:r>
      <w:r>
        <w:t>will inevitably benefit Christianity</w:t>
      </w:r>
      <w:r w:rsidR="00A32FCD">
        <w:t xml:space="preserve"> in his city</w:t>
      </w:r>
      <w:r>
        <w:t>, as “the Rome that Jacobus cites is not only the ancient and pagan Rome, but especially, a Christian Rome.”</w:t>
      </w:r>
      <w:r>
        <w:rPr>
          <w:rStyle w:val="FootnoteReference"/>
        </w:rPr>
        <w:footnoteReference w:id="5"/>
      </w:r>
      <w:r>
        <w:t xml:space="preserve"> It is therefore</w:t>
      </w:r>
      <w:r w:rsidR="007822C9">
        <w:t xml:space="preserve"> </w:t>
      </w:r>
      <w:r>
        <w:t xml:space="preserve">unsurprising that his work would have been </w:t>
      </w:r>
      <w:r>
        <w:lastRenderedPageBreak/>
        <w:t xml:space="preserve">of interest to Renaissance </w:t>
      </w:r>
      <w:r w:rsidR="007822C9">
        <w:t>h</w:t>
      </w:r>
      <w:r>
        <w:t>umanists</w:t>
      </w:r>
      <w:r w:rsidR="007822C9">
        <w:t>,</w:t>
      </w:r>
      <w:r>
        <w:t xml:space="preserve"> as it was not unusua</w:t>
      </w:r>
      <w:r w:rsidR="007822C9">
        <w:t>l</w:t>
      </w:r>
      <w:r>
        <w:t xml:space="preserve"> for humanists to be mainly Christians who also revived, renewed</w:t>
      </w:r>
      <w:r w:rsidR="007822C9">
        <w:t>,</w:t>
      </w:r>
      <w:r>
        <w:t xml:space="preserve"> and combined ancient classical texts to gain a deeper understanding or truth of Christianity. </w:t>
      </w:r>
    </w:p>
    <w:p w14:paraId="0BC852FB" w14:textId="2C21A70F" w:rsidR="003371C5" w:rsidRPr="00B5421B" w:rsidRDefault="00FC65CA" w:rsidP="00C45E97">
      <w:pPr>
        <w:spacing w:line="360" w:lineRule="auto"/>
        <w:ind w:firstLine="720"/>
      </w:pPr>
      <w:r>
        <w:t>This</w:t>
      </w:r>
      <w:r w:rsidR="000A63DF">
        <w:t xml:space="preserve"> copy of the</w:t>
      </w:r>
      <w:r>
        <w:t xml:space="preserve"> book</w:t>
      </w:r>
      <w:r w:rsidR="00B5421B">
        <w:t xml:space="preserve">, </w:t>
      </w:r>
      <w:r w:rsidR="00B5421B">
        <w:rPr>
          <w:i/>
          <w:iCs/>
        </w:rPr>
        <w:t xml:space="preserve">The Golden Legend, </w:t>
      </w:r>
      <w:r w:rsidR="00066D55">
        <w:t>which Ryan describes as “one of the most influen</w:t>
      </w:r>
      <w:r w:rsidR="009728CA">
        <w:t>tial books of the later Middle ages</w:t>
      </w:r>
      <w:r w:rsidR="00B03E08">
        <w:t>,</w:t>
      </w:r>
      <w:r w:rsidR="009728CA">
        <w:t>”</w:t>
      </w:r>
      <w:r w:rsidR="009728CA">
        <w:rPr>
          <w:rStyle w:val="FootnoteReference"/>
        </w:rPr>
        <w:footnoteReference w:id="6"/>
      </w:r>
      <w:r w:rsidR="009728CA">
        <w:t xml:space="preserve"> </w:t>
      </w:r>
      <w:r>
        <w:t>is a</w:t>
      </w:r>
      <w:r w:rsidR="008F0305">
        <w:t xml:space="preserve"> 1498</w:t>
      </w:r>
      <w:r>
        <w:t xml:space="preserve"> reprint</w:t>
      </w:r>
      <w:r w:rsidR="006C7F36">
        <w:t xml:space="preserve"> by </w:t>
      </w:r>
      <w:r w:rsidR="005852F4">
        <w:t>Wynkyn de Worde</w:t>
      </w:r>
      <w:r>
        <w:t xml:space="preserve"> of th</w:t>
      </w:r>
      <w:r w:rsidR="008F0305">
        <w:t>e original book that was first p</w:t>
      </w:r>
      <w:r w:rsidR="006C7F36">
        <w:t>rinted</w:t>
      </w:r>
      <w:r w:rsidR="008F0305">
        <w:t xml:space="preserve"> in English in </w:t>
      </w:r>
      <w:r w:rsidR="006C7F36">
        <w:t>1483</w:t>
      </w:r>
      <w:r w:rsidR="005852F4">
        <w:t xml:space="preserve"> by William Caxton</w:t>
      </w:r>
      <w:r w:rsidR="00DD1F8B">
        <w:t xml:space="preserve">; </w:t>
      </w:r>
      <w:r w:rsidR="005852F4">
        <w:t>however, both were printed in Caxton’s shop in Westminster</w:t>
      </w:r>
      <w:r w:rsidR="00DD1F8B">
        <w:t xml:space="preserve">, </w:t>
      </w:r>
      <w:r w:rsidR="00170516">
        <w:t>as before his death</w:t>
      </w:r>
      <w:r w:rsidR="00A02C91">
        <w:t>,</w:t>
      </w:r>
      <w:r w:rsidR="00DD1F8B">
        <w:t xml:space="preserve"> Wynkyn</w:t>
      </w:r>
      <w:r w:rsidR="00170516">
        <w:t xml:space="preserve"> </w:t>
      </w:r>
      <w:r w:rsidR="0086019C">
        <w:t>de Worde was Caxton’s shop foreman</w:t>
      </w:r>
      <w:r w:rsidR="00A02C91">
        <w:t>,</w:t>
      </w:r>
      <w:r w:rsidR="0086019C">
        <w:t xml:space="preserve"> who took over and inherited all of Caxton’s printing business after Caxton died</w:t>
      </w:r>
      <w:r w:rsidR="00D647E1">
        <w:t>.</w:t>
      </w:r>
      <w:r w:rsidR="00434714">
        <w:rPr>
          <w:rStyle w:val="FootnoteReference"/>
        </w:rPr>
        <w:footnoteReference w:id="7"/>
      </w:r>
      <w:r w:rsidR="00F40E72">
        <w:t xml:space="preserve"> It is </w:t>
      </w:r>
      <w:r w:rsidR="002C13A5">
        <w:t>believed</w:t>
      </w:r>
      <w:r w:rsidR="00D64DD5">
        <w:t xml:space="preserve"> by E. G</w:t>
      </w:r>
      <w:r w:rsidR="009933FF">
        <w:t>ordon Duff</w:t>
      </w:r>
      <w:r w:rsidR="002C13A5">
        <w:t xml:space="preserve"> that the printer Wynkyn de Worde </w:t>
      </w:r>
      <w:r w:rsidR="00174FA7">
        <w:t xml:space="preserve">“settled in Westminster as early as </w:t>
      </w:r>
      <w:r w:rsidR="00575E7F">
        <w:t xml:space="preserve">1480” from Germany, yet it is debated </w:t>
      </w:r>
      <w:r w:rsidR="00B03E08">
        <w:t>whether</w:t>
      </w:r>
      <w:r w:rsidR="00575E7F">
        <w:t xml:space="preserve"> he came to England as Caxton’s apprentice </w:t>
      </w:r>
      <w:r w:rsidR="009933FF">
        <w:t>in 14</w:t>
      </w:r>
      <w:r w:rsidR="00120B11">
        <w:t xml:space="preserve">76 </w:t>
      </w:r>
      <w:r w:rsidR="00575E7F">
        <w:t>or if he met Caxton after moving to England.</w:t>
      </w:r>
      <w:r w:rsidR="00575E7F">
        <w:rPr>
          <w:rStyle w:val="FootnoteReference"/>
        </w:rPr>
        <w:footnoteReference w:id="8"/>
      </w:r>
      <w:r w:rsidR="00575E7F">
        <w:t xml:space="preserve"> Nevertheless, </w:t>
      </w:r>
      <w:r w:rsidR="00120B11">
        <w:t xml:space="preserve">he was </w:t>
      </w:r>
      <w:r w:rsidR="00D23387">
        <w:t>c</w:t>
      </w:r>
      <w:r w:rsidR="00120B11">
        <w:t xml:space="preserve">lose enough with his employer that </w:t>
      </w:r>
      <w:r w:rsidR="00D64DD5">
        <w:t>after Caxton’s death</w:t>
      </w:r>
      <w:r w:rsidR="00ED482E">
        <w:t xml:space="preserve"> he inherited all of his printing business and materials and even continued to </w:t>
      </w:r>
      <w:r w:rsidR="007F408B">
        <w:t xml:space="preserve">print in Caxton’s name and using Caxton’s printing device even after </w:t>
      </w:r>
      <w:r w:rsidR="00B0520A">
        <w:t>1493</w:t>
      </w:r>
      <w:r w:rsidR="0073537A">
        <w:t>,</w:t>
      </w:r>
      <w:r w:rsidR="00B0520A">
        <w:t xml:space="preserve"> when he started a type of his own, but in 1494 </w:t>
      </w:r>
      <w:r w:rsidR="00480023">
        <w:t>he did start to put his own name int</w:t>
      </w:r>
      <w:r w:rsidR="00666AD1">
        <w:t>o</w:t>
      </w:r>
      <w:r w:rsidR="00480023">
        <w:t xml:space="preserve"> </w:t>
      </w:r>
      <w:r w:rsidR="00666AD1">
        <w:t>printed books, such as the one here, which is in gold engravings at the bottom of the spine</w:t>
      </w:r>
      <w:r w:rsidR="00B0775B">
        <w:t xml:space="preserve"> with its date of print.</w:t>
      </w:r>
      <w:r w:rsidR="00B0775B">
        <w:rPr>
          <w:rStyle w:val="FootnoteReference"/>
        </w:rPr>
        <w:footnoteReference w:id="9"/>
      </w:r>
      <w:r w:rsidR="00B0775B">
        <w:t xml:space="preserve"> </w:t>
      </w:r>
      <w:r w:rsidR="00BB52F0">
        <w:t xml:space="preserve">Including this book, it is believed that de Worde only printed </w:t>
      </w:r>
      <w:r w:rsidR="004E168A">
        <w:t xml:space="preserve">3 books in Caxton’s shop after his death </w:t>
      </w:r>
      <w:r w:rsidR="005E48C1">
        <w:t xml:space="preserve">before </w:t>
      </w:r>
      <w:r w:rsidR="004C40F9">
        <w:t>relocation</w:t>
      </w:r>
      <w:r w:rsidR="00235EA4">
        <w:t>.</w:t>
      </w:r>
      <w:r w:rsidR="001A4C63">
        <w:rPr>
          <w:rStyle w:val="FootnoteReference"/>
        </w:rPr>
        <w:footnoteReference w:id="10"/>
      </w:r>
      <w:r w:rsidR="00235EA4">
        <w:t xml:space="preserve"> He eventually died in 1535 with his later </w:t>
      </w:r>
      <w:r w:rsidR="009F3551">
        <w:t xml:space="preserve">works printed in </w:t>
      </w:r>
      <w:r w:rsidR="004B613A">
        <w:t>Flete-strete at the sygne of Sonne</w:t>
      </w:r>
      <w:r w:rsidR="00E1084B">
        <w:t xml:space="preserve">, </w:t>
      </w:r>
      <w:r w:rsidR="004C40F9">
        <w:t>and because Worde stilled used all of Caxton’s equipment and shop in making this book,</w:t>
      </w:r>
      <w:r w:rsidR="001A4C63" w:rsidRPr="001A4C63">
        <w:rPr>
          <w:rStyle w:val="FootnoteReference"/>
        </w:rPr>
        <w:t xml:space="preserve"> </w:t>
      </w:r>
      <w:r w:rsidR="004C40F9">
        <w:t xml:space="preserve">it seems only right to examine </w:t>
      </w:r>
      <w:r w:rsidR="009B3A28">
        <w:t xml:space="preserve">William </w:t>
      </w:r>
      <w:r w:rsidR="004C40F9">
        <w:t xml:space="preserve">Caxton and </w:t>
      </w:r>
      <w:r w:rsidR="00B5421B">
        <w:t xml:space="preserve">his methods in </w:t>
      </w:r>
      <w:r w:rsidR="009B3A28">
        <w:t xml:space="preserve">translating, </w:t>
      </w:r>
      <w:r w:rsidR="00B5421B">
        <w:t>printing</w:t>
      </w:r>
      <w:r w:rsidR="009B3A28">
        <w:t>,</w:t>
      </w:r>
      <w:r w:rsidR="00B5421B">
        <w:t xml:space="preserve"> and p</w:t>
      </w:r>
      <w:r w:rsidR="009B3A28">
        <w:t>ublishing</w:t>
      </w:r>
      <w:r w:rsidR="00B5421B">
        <w:t xml:space="preserve"> of the earlier copies of </w:t>
      </w:r>
      <w:r w:rsidR="00B5421B">
        <w:rPr>
          <w:i/>
          <w:iCs/>
        </w:rPr>
        <w:t>The Golden Legend</w:t>
      </w:r>
      <w:r w:rsidR="0073537A">
        <w:rPr>
          <w:i/>
          <w:iCs/>
        </w:rPr>
        <w:t>,</w:t>
      </w:r>
      <w:r w:rsidR="00B5421B">
        <w:t xml:space="preserve"> which influence</w:t>
      </w:r>
      <w:r w:rsidR="00C45E97">
        <w:t>,</w:t>
      </w:r>
      <w:r w:rsidR="00B5421B">
        <w:t xml:space="preserve"> the reprint of this copy.</w:t>
      </w:r>
      <w:r w:rsidR="00E1084B" w:rsidRPr="00E1084B">
        <w:rPr>
          <w:rStyle w:val="FootnoteReference"/>
        </w:rPr>
        <w:t xml:space="preserve"> </w:t>
      </w:r>
      <w:r w:rsidR="00E1084B">
        <w:rPr>
          <w:rStyle w:val="FootnoteReference"/>
        </w:rPr>
        <w:footnoteReference w:id="11"/>
      </w:r>
    </w:p>
    <w:p w14:paraId="49A09A3A" w14:textId="79578752" w:rsidR="003371C5" w:rsidRDefault="00CF4055" w:rsidP="00C45E97">
      <w:pPr>
        <w:spacing w:line="360" w:lineRule="auto"/>
      </w:pPr>
      <w:r>
        <w:tab/>
      </w:r>
      <w:r w:rsidR="00A529F2">
        <w:t xml:space="preserve">Earle Havens describes </w:t>
      </w:r>
      <w:r w:rsidR="000C4327">
        <w:t xml:space="preserve">William </w:t>
      </w:r>
      <w:r w:rsidR="00A529F2">
        <w:t>Caxton as “[t]he undisputed father of printing in England</w:t>
      </w:r>
      <w:r w:rsidR="0009072F">
        <w:t>,</w:t>
      </w:r>
      <w:r w:rsidR="00A529F2">
        <w:t xml:space="preserve">” who </w:t>
      </w:r>
      <w:r w:rsidR="00384167">
        <w:t xml:space="preserve">was distinguished as being fortunate to </w:t>
      </w:r>
      <w:r w:rsidR="0053315C">
        <w:t>not be</w:t>
      </w:r>
      <w:r w:rsidR="00384167">
        <w:t xml:space="preserve"> bankrupt by the </w:t>
      </w:r>
      <w:r w:rsidR="00562E7D">
        <w:t>“high capital investment and operating costs involved” with printing</w:t>
      </w:r>
      <w:r w:rsidR="00560766">
        <w:t>.</w:t>
      </w:r>
      <w:r w:rsidR="00560766">
        <w:rPr>
          <w:rStyle w:val="FootnoteReference"/>
        </w:rPr>
        <w:footnoteReference w:id="12"/>
      </w:r>
      <w:r w:rsidR="00A529F2">
        <w:t xml:space="preserve"> B</w:t>
      </w:r>
      <w:r>
        <w:t xml:space="preserve">elieved to have been born in the year </w:t>
      </w:r>
      <w:r w:rsidR="00061B12">
        <w:t xml:space="preserve">1422 </w:t>
      </w:r>
      <w:r w:rsidR="00DE561F">
        <w:t xml:space="preserve">in the wooded area of </w:t>
      </w:r>
      <w:r w:rsidR="009F3551">
        <w:t>Kent and</w:t>
      </w:r>
      <w:r w:rsidR="00DE561F">
        <w:t xml:space="preserve"> </w:t>
      </w:r>
      <w:r w:rsidR="0005151D">
        <w:t xml:space="preserve">thought to have </w:t>
      </w:r>
      <w:r w:rsidR="00DE561F">
        <w:t>died in</w:t>
      </w:r>
      <w:r w:rsidR="0005151D">
        <w:t xml:space="preserve"> the year 1476</w:t>
      </w:r>
      <w:r w:rsidR="00A3004A">
        <w:t xml:space="preserve">, </w:t>
      </w:r>
      <w:r w:rsidR="00D37946">
        <w:t xml:space="preserve">with much of his life being spent during </w:t>
      </w:r>
      <w:r w:rsidR="00D37946">
        <w:lastRenderedPageBreak/>
        <w:t xml:space="preserve">monarchic turmoil </w:t>
      </w:r>
      <w:r w:rsidR="00242126">
        <w:t>his work “demonstrates how life went on in those difficult years”</w:t>
      </w:r>
      <w:r w:rsidR="0005151D">
        <w:t>.</w:t>
      </w:r>
      <w:r w:rsidR="0005151D">
        <w:rPr>
          <w:rStyle w:val="FootnoteReference"/>
        </w:rPr>
        <w:footnoteReference w:id="13"/>
      </w:r>
      <w:r w:rsidR="00DA2A50">
        <w:t xml:space="preserve"> </w:t>
      </w:r>
      <w:r w:rsidR="0071296A">
        <w:t xml:space="preserve">H. S. Bennett writes that </w:t>
      </w:r>
      <w:r w:rsidR="00824B0B">
        <w:t xml:space="preserve">Caxton saw the printing and translating of this </w:t>
      </w:r>
      <w:r w:rsidR="001B4DCE">
        <w:t xml:space="preserve">book in English for the first time as a “gigantic task,” which </w:t>
      </w:r>
      <w:r w:rsidR="003D39D8">
        <w:t xml:space="preserve">became a large part </w:t>
      </w:r>
      <w:r w:rsidR="005C4046">
        <w:t xml:space="preserve">of his output to readers who wanted </w:t>
      </w:r>
      <w:r w:rsidR="006C43D0">
        <w:t>“</w:t>
      </w:r>
      <w:r w:rsidR="005C4046">
        <w:t>works of a religious and di</w:t>
      </w:r>
      <w:r w:rsidR="006C43D0">
        <w:t>dactic nature</w:t>
      </w:r>
      <w:r w:rsidR="00D6036E">
        <w:t>,</w:t>
      </w:r>
      <w:r w:rsidR="006C43D0">
        <w:t>”</w:t>
      </w:r>
      <w:r w:rsidR="00D6036E">
        <w:t xml:space="preserve"> yet he always ensured to print mainly books that he knew would be popular.</w:t>
      </w:r>
      <w:r w:rsidR="006C43D0">
        <w:rPr>
          <w:rStyle w:val="FootnoteReference"/>
        </w:rPr>
        <w:footnoteReference w:id="14"/>
      </w:r>
      <w:r w:rsidR="006C43D0">
        <w:t xml:space="preserve"> </w:t>
      </w:r>
      <w:r w:rsidR="00914BF4">
        <w:t xml:space="preserve">The work was </w:t>
      </w:r>
      <w:r w:rsidR="00E9285E">
        <w:t xml:space="preserve">dedicated to William Earl of Arundel, who promised </w:t>
      </w:r>
      <w:r w:rsidR="00F04795">
        <w:t>him a yearly fee of</w:t>
      </w:r>
      <w:r w:rsidR="00430A1E">
        <w:t xml:space="preserve"> </w:t>
      </w:r>
      <w:r w:rsidR="005A6AAB">
        <w:t>“a buck in summer and a doe in winter</w:t>
      </w:r>
      <w:r w:rsidR="00D6036E">
        <w:t>,</w:t>
      </w:r>
      <w:r w:rsidR="005A6AAB">
        <w:t xml:space="preserve">” which he placed a reminder of in his </w:t>
      </w:r>
      <w:r w:rsidR="004D365D">
        <w:t>p</w:t>
      </w:r>
      <w:r w:rsidR="005A6AAB">
        <w:t>rologue within the book</w:t>
      </w:r>
      <w:r w:rsidR="004D365D">
        <w:t xml:space="preserve">, </w:t>
      </w:r>
      <w:r w:rsidR="005A6AAB">
        <w:t xml:space="preserve">which is also found within this reprint between </w:t>
      </w:r>
      <w:r w:rsidR="003758A6">
        <w:t>the gathering</w:t>
      </w:r>
      <w:r w:rsidR="004D365D">
        <w:t>s</w:t>
      </w:r>
      <w:r w:rsidR="003758A6">
        <w:t xml:space="preserve"> Gg</w:t>
      </w:r>
      <w:r w:rsidR="003758A6">
        <w:rPr>
          <w:vertAlign w:val="superscript"/>
        </w:rPr>
        <w:t>6</w:t>
      </w:r>
      <w:r w:rsidR="003758A6">
        <w:t xml:space="preserve"> and aa</w:t>
      </w:r>
      <w:r w:rsidR="003758A6">
        <w:rPr>
          <w:vertAlign w:val="superscript"/>
        </w:rPr>
        <w:t>8</w:t>
      </w:r>
      <w:r w:rsidR="003758A6">
        <w:t>.</w:t>
      </w:r>
      <w:r w:rsidR="009108EF">
        <w:rPr>
          <w:rStyle w:val="FootnoteReference"/>
        </w:rPr>
        <w:footnoteReference w:id="15"/>
      </w:r>
      <w:r w:rsidR="009108EF">
        <w:t xml:space="preserve"> </w:t>
      </w:r>
      <w:r w:rsidR="00FB7B4E">
        <w:t>According to Penninger</w:t>
      </w:r>
      <w:r w:rsidR="008F0E14">
        <w:t>,</w:t>
      </w:r>
      <w:r w:rsidR="0043333B">
        <w:t xml:space="preserve"> “[t]he Golden Legend</w:t>
      </w:r>
      <w:r w:rsidR="00E07FEB">
        <w:t xml:space="preserve">, […] has the Prologue that contains his famous lament that the </w:t>
      </w:r>
      <w:r w:rsidR="006B61C0">
        <w:t>burden of translating and printing so large a work left him</w:t>
      </w:r>
      <w:r w:rsidR="00D03439">
        <w:t xml:space="preserve"> </w:t>
      </w:r>
      <w:r w:rsidR="006B61C0">
        <w:t xml:space="preserve">half </w:t>
      </w:r>
      <w:r w:rsidR="00D03439">
        <w:t xml:space="preserve">desperate </w:t>
      </w:r>
      <w:r w:rsidR="006B61C0">
        <w:t xml:space="preserve">because of the time and money involved,” as it was apparently common for Caxton to </w:t>
      </w:r>
      <w:r w:rsidR="00D03439">
        <w:t xml:space="preserve">use prologues and dedicate them to </w:t>
      </w:r>
      <w:r w:rsidR="00F5651F">
        <w:t>nobility with reminders to pay him for the commission.</w:t>
      </w:r>
      <w:r w:rsidR="00F5651F">
        <w:rPr>
          <w:rStyle w:val="FootnoteReference"/>
        </w:rPr>
        <w:footnoteReference w:id="16"/>
      </w:r>
      <w:r w:rsidR="00F5651F">
        <w:t xml:space="preserve"> </w:t>
      </w:r>
      <w:r w:rsidR="00840FE9">
        <w:t>It is also believed that “Caxton also identified some of his books by a woodcut de</w:t>
      </w:r>
      <w:r w:rsidR="00155CE0">
        <w:t xml:space="preserve">vice,” also known as a printers’ device, </w:t>
      </w:r>
      <w:r w:rsidR="00A323A1">
        <w:t>which for Caxton was the initials W.C</w:t>
      </w:r>
      <w:r w:rsidR="0054179B">
        <w:t>. with floral decoration around the boarder</w:t>
      </w:r>
      <w:r w:rsidR="00A323A1">
        <w:t xml:space="preserve"> that can also be found within this repri</w:t>
      </w:r>
      <w:r w:rsidR="00B9039C">
        <w:t xml:space="preserve">nt, </w:t>
      </w:r>
      <w:r w:rsidR="002F54CA">
        <w:t xml:space="preserve">which </w:t>
      </w:r>
      <w:r w:rsidR="00B9039C">
        <w:t xml:space="preserve">Penninger argues is because “no book printed by Caxton has a title page” and therefore his device was the </w:t>
      </w:r>
      <w:r w:rsidR="00D627CF">
        <w:t>main way for his printed books to be recognised as his</w:t>
      </w:r>
      <w:r w:rsidR="00A323A1">
        <w:t>.</w:t>
      </w:r>
      <w:r w:rsidR="00A323A1">
        <w:rPr>
          <w:rStyle w:val="FootnoteReference"/>
        </w:rPr>
        <w:footnoteReference w:id="17"/>
      </w:r>
      <w:r w:rsidR="00D627CF">
        <w:t xml:space="preserve"> </w:t>
      </w:r>
      <w:r w:rsidR="008A605B">
        <w:t xml:space="preserve">In </w:t>
      </w:r>
      <w:r w:rsidR="00FB786E">
        <w:t xml:space="preserve">Ronald B. Mckerrow’s book on devices, he writes that the device used </w:t>
      </w:r>
      <w:r w:rsidR="00D5711C">
        <w:t>by Caxton is 130x106.5mm</w:t>
      </w:r>
      <w:r w:rsidR="00214035">
        <w:t xml:space="preserve"> with a broken left-hand corner, but Worde reprinted it without the broken section of the corner of the mark after Caxton’s death, which can be seen to ring true within this reprint.</w:t>
      </w:r>
      <w:r w:rsidR="00214035">
        <w:rPr>
          <w:rStyle w:val="FootnoteReference"/>
        </w:rPr>
        <w:footnoteReference w:id="18"/>
      </w:r>
    </w:p>
    <w:p w14:paraId="0F380FE0" w14:textId="5D616BC5" w:rsidR="008E1CB0" w:rsidRPr="007E233A" w:rsidRDefault="008E1CB0" w:rsidP="00C45E97">
      <w:pPr>
        <w:spacing w:line="360" w:lineRule="auto"/>
      </w:pPr>
      <w:r>
        <w:tab/>
      </w:r>
      <w:r w:rsidR="00DB19AD">
        <w:t>It is believed by some scholars that between 1490 and 1500</w:t>
      </w:r>
      <w:r w:rsidR="006817B3">
        <w:t>,</w:t>
      </w:r>
      <w:r w:rsidR="007E233A">
        <w:t xml:space="preserve"> there were over 87 editions of </w:t>
      </w:r>
      <w:r w:rsidR="007E233A">
        <w:rPr>
          <w:i/>
          <w:iCs/>
        </w:rPr>
        <w:t xml:space="preserve">The Golden Legend </w:t>
      </w:r>
      <w:r w:rsidR="007E233A">
        <w:t xml:space="preserve">in Latin, </w:t>
      </w:r>
      <w:r w:rsidR="006817B3">
        <w:t xml:space="preserve">the </w:t>
      </w:r>
      <w:r w:rsidR="007E233A">
        <w:t xml:space="preserve">language that it was originally published in, </w:t>
      </w:r>
      <w:r w:rsidR="00EA6ACB">
        <w:t>69 editions in various European languages</w:t>
      </w:r>
      <w:r w:rsidR="000771A0">
        <w:t>,</w:t>
      </w:r>
      <w:r w:rsidR="00EA6ACB">
        <w:t xml:space="preserve"> and 4 editions</w:t>
      </w:r>
      <w:r w:rsidR="000771A0">
        <w:t xml:space="preserve"> in English</w:t>
      </w:r>
      <w:r w:rsidR="008D493E">
        <w:t>.</w:t>
      </w:r>
      <w:r w:rsidR="008D493E">
        <w:rPr>
          <w:rStyle w:val="FootnoteReference"/>
        </w:rPr>
        <w:footnoteReference w:id="19"/>
      </w:r>
      <w:r w:rsidR="00801127">
        <w:t xml:space="preserve"> Although it is generally agreed on that the first edition in English was published in </w:t>
      </w:r>
      <w:r w:rsidR="00863D48">
        <w:t>1483 and was reprinted</w:t>
      </w:r>
      <w:r w:rsidR="0074741E">
        <w:t xml:space="preserve"> approximately eight times in the years</w:t>
      </w:r>
      <w:r w:rsidR="009B12D5">
        <w:t xml:space="preserve"> </w:t>
      </w:r>
      <w:r w:rsidR="0074741E">
        <w:t xml:space="preserve">1487, </w:t>
      </w:r>
      <w:r w:rsidR="004E5179">
        <w:t>1493, 1498, 1507, 1512, 1521</w:t>
      </w:r>
      <w:r w:rsidR="009B12D5">
        <w:t>,</w:t>
      </w:r>
      <w:r w:rsidR="004E5179">
        <w:t xml:space="preserve"> and 1527</w:t>
      </w:r>
      <w:r w:rsidR="00B65952">
        <w:t xml:space="preserve">, </w:t>
      </w:r>
      <w:r w:rsidR="009B12D5">
        <w:t xml:space="preserve">this </w:t>
      </w:r>
      <w:r w:rsidR="00F10179">
        <w:t xml:space="preserve">shows just how popular this book must have </w:t>
      </w:r>
      <w:r w:rsidR="00F10179">
        <w:lastRenderedPageBreak/>
        <w:t>been to have been reprinted so many times after its original publication.</w:t>
      </w:r>
      <w:r w:rsidR="00C93F12">
        <w:rPr>
          <w:rStyle w:val="FootnoteReference"/>
        </w:rPr>
        <w:footnoteReference w:id="20"/>
      </w:r>
      <w:r w:rsidR="00617650">
        <w:t xml:space="preserve"> </w:t>
      </w:r>
      <w:r w:rsidR="00250D14">
        <w:t xml:space="preserve">During </w:t>
      </w:r>
      <w:r w:rsidR="00C725E5">
        <w:t xml:space="preserve">the fifty years of reprintings, the book is believed to have gone through “constant </w:t>
      </w:r>
      <w:r w:rsidR="00F833E9">
        <w:t>improvement and alterations</w:t>
      </w:r>
      <w:r w:rsidR="009B12D5">
        <w:t>,</w:t>
      </w:r>
      <w:r w:rsidR="00F833E9">
        <w:t>” and Wynkyn de Worde is believed to have also contributed to much of the changes that we can see reflected here in this copy.</w:t>
      </w:r>
      <w:r w:rsidR="00F833E9">
        <w:rPr>
          <w:rStyle w:val="FootnoteReference"/>
        </w:rPr>
        <w:footnoteReference w:id="21"/>
      </w:r>
      <w:r w:rsidR="00F833E9">
        <w:t xml:space="preserve"> </w:t>
      </w:r>
      <w:r w:rsidR="00C44A46">
        <w:t>For example, this copy is considered to be one of the earlier works to incorporate wood</w:t>
      </w:r>
      <w:r w:rsidR="004C5A21">
        <w:t xml:space="preserve">-cut illustrations, </w:t>
      </w:r>
      <w:r w:rsidR="008E2553">
        <w:t xml:space="preserve">which </w:t>
      </w:r>
      <w:r w:rsidR="008E2553" w:rsidRPr="008E2553">
        <w:t>Coatesworth</w:t>
      </w:r>
      <w:r w:rsidR="008E2553">
        <w:t xml:space="preserve"> argues was de Worde’s attempt at “broadening the audience</w:t>
      </w:r>
      <w:r w:rsidR="008856C2">
        <w:t>,</w:t>
      </w:r>
      <w:r w:rsidR="008E2553">
        <w:t>”</w:t>
      </w:r>
      <w:r w:rsidR="008856C2">
        <w:t xml:space="preserve"> </w:t>
      </w:r>
      <w:r w:rsidR="008F4732">
        <w:t>as th</w:t>
      </w:r>
      <w:r w:rsidR="00E00085">
        <w:t>is method of</w:t>
      </w:r>
      <w:r w:rsidR="008F4732">
        <w:t xml:space="preserve"> illustration w</w:t>
      </w:r>
      <w:r w:rsidR="000B63CC">
        <w:t>as</w:t>
      </w:r>
      <w:r w:rsidR="008F4732">
        <w:t xml:space="preserve"> becoming more popular</w:t>
      </w:r>
      <w:r w:rsidR="00E00085">
        <w:t xml:space="preserve">, and it is believed that he “increased the quantity of woodcuts </w:t>
      </w:r>
      <w:r w:rsidR="00005ACF">
        <w:t xml:space="preserve">[…] </w:t>
      </w:r>
      <w:r w:rsidR="008843F6">
        <w:t xml:space="preserve">by </w:t>
      </w:r>
      <w:r w:rsidR="00005ACF">
        <w:t>10 per cent”.</w:t>
      </w:r>
      <w:r w:rsidR="00005ACF">
        <w:rPr>
          <w:rStyle w:val="FootnoteReference"/>
        </w:rPr>
        <w:footnoteReference w:id="22"/>
      </w:r>
      <w:r w:rsidR="000B5881">
        <w:t xml:space="preserve"> De Worde is also described as using</w:t>
      </w:r>
      <w:r w:rsidR="003D7237">
        <w:t xml:space="preserve"> cuts that were</w:t>
      </w:r>
      <w:r w:rsidR="000B5881">
        <w:t xml:space="preserve"> “smaller and neater types</w:t>
      </w:r>
      <w:r w:rsidR="00F24934">
        <w:t>,</w:t>
      </w:r>
      <w:r w:rsidR="000B5881">
        <w:t xml:space="preserve">” along with </w:t>
      </w:r>
      <w:r w:rsidR="00AD426A">
        <w:t xml:space="preserve">his use of signatures, which also distinguishes some of the changes </w:t>
      </w:r>
      <w:r w:rsidR="003A02AB">
        <w:t>within this copy from previous works</w:t>
      </w:r>
      <w:r w:rsidR="00C22C58">
        <w:t xml:space="preserve">, which may have further boosted the continued popularity of the book </w:t>
      </w:r>
      <w:r w:rsidR="00C170D6">
        <w:t>and encouraged the further reprints years later</w:t>
      </w:r>
      <w:r w:rsidR="003A02AB">
        <w:t>.</w:t>
      </w:r>
      <w:r w:rsidR="00A96F1A">
        <w:rPr>
          <w:rStyle w:val="FootnoteReference"/>
        </w:rPr>
        <w:footnoteReference w:id="23"/>
      </w:r>
    </w:p>
    <w:p w14:paraId="29BF5E07" w14:textId="51136BD1" w:rsidR="00CF4055" w:rsidRPr="00710EFA" w:rsidRDefault="00E825F4" w:rsidP="00C45E97">
      <w:pPr>
        <w:spacing w:line="360" w:lineRule="auto"/>
      </w:pPr>
      <w:r>
        <w:br/>
        <w:t>Word Count: 14</w:t>
      </w:r>
      <w:r w:rsidR="00C170D6">
        <w:t>89</w:t>
      </w:r>
    </w:p>
    <w:p w14:paraId="7CB1CA7D" w14:textId="0AE1E4E4" w:rsidR="00FD625C" w:rsidRDefault="00FD625C" w:rsidP="00C45E97">
      <w:pPr>
        <w:spacing w:line="360" w:lineRule="auto"/>
      </w:pPr>
    </w:p>
    <w:p w14:paraId="1DA91A73" w14:textId="7C80B729" w:rsidR="003371C5" w:rsidRPr="003371C5" w:rsidRDefault="003371C5" w:rsidP="00C45E97">
      <w:pPr>
        <w:spacing w:line="360" w:lineRule="auto"/>
        <w:rPr>
          <w:u w:val="single"/>
        </w:rPr>
      </w:pPr>
      <w:r w:rsidRPr="003371C5">
        <w:rPr>
          <w:u w:val="single"/>
        </w:rPr>
        <w:t>Bibliography</w:t>
      </w:r>
    </w:p>
    <w:p w14:paraId="5743DA99" w14:textId="77777777" w:rsidR="00E40255" w:rsidRDefault="00E40255" w:rsidP="00C45E97">
      <w:pPr>
        <w:spacing w:line="360" w:lineRule="auto"/>
      </w:pPr>
      <w:r>
        <w:t xml:space="preserve">Bennett, H. S., </w:t>
      </w:r>
      <w:r>
        <w:rPr>
          <w:i/>
          <w:iCs/>
        </w:rPr>
        <w:t xml:space="preserve">English Books and Readers 1475 to 1557, </w:t>
      </w:r>
      <w:r>
        <w:t>2</w:t>
      </w:r>
      <w:r w:rsidRPr="00676CA1">
        <w:rPr>
          <w:vertAlign w:val="superscript"/>
        </w:rPr>
        <w:t>nd</w:t>
      </w:r>
      <w:r>
        <w:t xml:space="preserve"> edn (Cambridge: University Press, 1969)</w:t>
      </w:r>
    </w:p>
    <w:p w14:paraId="61260868" w14:textId="77777777" w:rsidR="00E40255" w:rsidRDefault="00E40255" w:rsidP="00C45E97">
      <w:pPr>
        <w:spacing w:line="360" w:lineRule="auto"/>
      </w:pPr>
      <w:r>
        <w:t xml:space="preserve">Coatesworth, Jessica, ‘The Design of the Golden Legend: English Printing in a European Context’, </w:t>
      </w:r>
      <w:r>
        <w:rPr>
          <w:i/>
          <w:iCs/>
        </w:rPr>
        <w:t xml:space="preserve">Bulletine of the John Rylands Library, </w:t>
      </w:r>
      <w:r>
        <w:t>2. 91, (2023), 21-29 &lt;</w:t>
      </w:r>
      <w:r w:rsidRPr="00525A20">
        <w:t xml:space="preserve"> </w:t>
      </w:r>
      <w:hyperlink r:id="rId6" w:history="1">
        <w:r w:rsidRPr="00696F9D">
          <w:rPr>
            <w:rStyle w:val="Hyperlink"/>
          </w:rPr>
          <w:t>https://doi-org.ezproxy.uwtsd.ac.uk/10.7227/BJRL.91.2.2</w:t>
        </w:r>
      </w:hyperlink>
      <w:r>
        <w:t>&gt; [accessed 31 January 2024]</w:t>
      </w:r>
    </w:p>
    <w:p w14:paraId="0B1D5C0B" w14:textId="77777777" w:rsidR="00E40255" w:rsidRDefault="00E40255" w:rsidP="00C45E97">
      <w:pPr>
        <w:spacing w:line="360" w:lineRule="auto"/>
      </w:pPr>
      <w:r>
        <w:t xml:space="preserve">Duff, E. Gordon, </w:t>
      </w:r>
      <w:r>
        <w:rPr>
          <w:i/>
          <w:iCs/>
        </w:rPr>
        <w:t xml:space="preserve">A Century of the English Book Trade, </w:t>
      </w:r>
      <w:r>
        <w:t>(London: The University Press, 1948)</w:t>
      </w:r>
    </w:p>
    <w:p w14:paraId="0060D8CF" w14:textId="77777777" w:rsidR="00E40255" w:rsidRPr="009F3BF6" w:rsidRDefault="00E40255" w:rsidP="00C45E97">
      <w:pPr>
        <w:spacing w:line="360" w:lineRule="auto"/>
      </w:pPr>
      <w:r>
        <w:t xml:space="preserve">Goff, Jacques Le, </w:t>
      </w:r>
      <w:r>
        <w:rPr>
          <w:i/>
          <w:iCs/>
        </w:rPr>
        <w:t xml:space="preserve">In Search of Sacred Times: Jacob de Voragine and the Golden Legend, </w:t>
      </w:r>
      <w:r>
        <w:t>(Princeton: Princeton University Press, 2014) &lt;</w:t>
      </w:r>
      <w:r w:rsidRPr="00D8563E">
        <w:t xml:space="preserve"> </w:t>
      </w:r>
      <w:hyperlink r:id="rId7" w:anchor="v=onepage&amp;q=Jacobus%20de%20Voragine&amp;f=false" w:history="1">
        <w:r>
          <w:rPr>
            <w:rStyle w:val="Hyperlink"/>
          </w:rPr>
          <w:t>In Search of Sacred Time: Jacobus de Voragine and The Golden Legend - Jacques Le Goff - Google Books</w:t>
        </w:r>
      </w:hyperlink>
      <w:r>
        <w:t>&gt; [accessed 31 January 2024]</w:t>
      </w:r>
    </w:p>
    <w:p w14:paraId="1E6A2344" w14:textId="77777777" w:rsidR="00E40255" w:rsidRDefault="00E40255" w:rsidP="00C45E97">
      <w:pPr>
        <w:spacing w:line="360" w:lineRule="auto"/>
      </w:pPr>
      <w:r>
        <w:t xml:space="preserve">Havens, Earle, </w:t>
      </w:r>
      <w:r w:rsidRPr="001D11CA">
        <w:rPr>
          <w:i/>
          <w:iCs/>
        </w:rPr>
        <w:t>Renaissance Printers’ Devices</w:t>
      </w:r>
      <w:r>
        <w:t>, (Maryland: Sheridan Libraries, 2015)</w:t>
      </w:r>
    </w:p>
    <w:p w14:paraId="68D7A5AB" w14:textId="77777777" w:rsidR="00E40255" w:rsidRDefault="00E40255" w:rsidP="00C45E97">
      <w:pPr>
        <w:spacing w:line="360" w:lineRule="auto"/>
      </w:pPr>
      <w:r>
        <w:lastRenderedPageBreak/>
        <w:t xml:space="preserve">Mckerrow, Ronald B., </w:t>
      </w:r>
      <w:r w:rsidRPr="004742C3">
        <w:rPr>
          <w:i/>
          <w:iCs/>
        </w:rPr>
        <w:t xml:space="preserve">Printers’ and Publishers’ Devices in England and Scottland 1485 – 1640, </w:t>
      </w:r>
      <w:r>
        <w:t>(Oxford: The University Press, 1949)</w:t>
      </w:r>
    </w:p>
    <w:p w14:paraId="33FB81AA" w14:textId="77777777" w:rsidR="00E40255" w:rsidRPr="00850853" w:rsidRDefault="00E40255" w:rsidP="00C45E97">
      <w:pPr>
        <w:spacing w:line="360" w:lineRule="auto"/>
      </w:pPr>
      <w:r w:rsidRPr="00850853">
        <w:t xml:space="preserve">Penninger, Frieda Elaine, </w:t>
      </w:r>
      <w:r w:rsidRPr="00850853">
        <w:rPr>
          <w:i/>
          <w:iCs/>
        </w:rPr>
        <w:t xml:space="preserve">William Caxton, </w:t>
      </w:r>
      <w:r w:rsidRPr="00850853">
        <w:t>ed by Sylvia E. Bowman (Boston: Twayne Publishers, 1979)</w:t>
      </w:r>
    </w:p>
    <w:p w14:paraId="52AA29DA" w14:textId="77777777" w:rsidR="00E40255" w:rsidRDefault="00E40255" w:rsidP="00C45E97">
      <w:pPr>
        <w:spacing w:line="360" w:lineRule="auto"/>
      </w:pPr>
      <w:r>
        <w:t xml:space="preserve">Ryan, William Granger, ‘Introduction to the 2012 Edition’, </w:t>
      </w:r>
      <w:r>
        <w:rPr>
          <w:i/>
          <w:iCs/>
        </w:rPr>
        <w:t xml:space="preserve">The Golden Legend: Readings on the Saints, </w:t>
      </w:r>
      <w:r>
        <w:t>(Princeton and Oxford: Princeton University Press, 2012) &lt;</w:t>
      </w:r>
      <w:r w:rsidRPr="00AC14C6">
        <w:rPr>
          <w:rFonts w:ascii="Helvetica" w:hAnsi="Helvetica" w:cs="Helvetica"/>
          <w:color w:val="343332"/>
          <w:spacing w:val="-5"/>
        </w:rPr>
        <w:t xml:space="preserve"> </w:t>
      </w:r>
      <w:hyperlink r:id="rId8" w:history="1">
        <w:r w:rsidRPr="00696F9D">
          <w:rPr>
            <w:rStyle w:val="Hyperlink"/>
            <w:rFonts w:ascii="Helvetica" w:hAnsi="Helvetica" w:cs="Helvetica"/>
            <w:spacing w:val="-5"/>
          </w:rPr>
          <w:t>https://www-jstor-org.ezproxy.uwtsd.ac.uk/stable/j.ctt7stkm</w:t>
        </w:r>
      </w:hyperlink>
      <w:r>
        <w:rPr>
          <w:rFonts w:ascii="Helvetica" w:hAnsi="Helvetica" w:cs="Helvetica"/>
          <w:color w:val="343332"/>
          <w:spacing w:val="-5"/>
        </w:rPr>
        <w:t>&gt;</w:t>
      </w:r>
      <w:r w:rsidRPr="00AC14C6">
        <w:t xml:space="preserve"> [accessed </w:t>
      </w:r>
      <w:r>
        <w:t>31 January 2024]</w:t>
      </w:r>
    </w:p>
    <w:p w14:paraId="19EFCDEF" w14:textId="77777777" w:rsidR="003371C5" w:rsidRPr="00D24E90" w:rsidRDefault="003371C5" w:rsidP="00D24E90"/>
    <w:sectPr w:rsidR="003371C5" w:rsidRPr="00D24E90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CA16FD" w14:textId="77777777" w:rsidR="0035581A" w:rsidRDefault="0035581A" w:rsidP="00D24E90">
      <w:pPr>
        <w:spacing w:after="0" w:line="240" w:lineRule="auto"/>
      </w:pPr>
      <w:r>
        <w:separator/>
      </w:r>
    </w:p>
  </w:endnote>
  <w:endnote w:type="continuationSeparator" w:id="0">
    <w:p w14:paraId="7E4C713E" w14:textId="77777777" w:rsidR="0035581A" w:rsidRDefault="0035581A" w:rsidP="00D24E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744881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4888A0" w14:textId="70B8AD02" w:rsidR="00D24E90" w:rsidRDefault="00D24E9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1D2AE6" w14:textId="77777777" w:rsidR="00D24E90" w:rsidRDefault="00D24E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ADD176" w14:textId="77777777" w:rsidR="0035581A" w:rsidRDefault="0035581A" w:rsidP="00D24E90">
      <w:pPr>
        <w:spacing w:after="0" w:line="240" w:lineRule="auto"/>
      </w:pPr>
      <w:r>
        <w:separator/>
      </w:r>
    </w:p>
  </w:footnote>
  <w:footnote w:type="continuationSeparator" w:id="0">
    <w:p w14:paraId="41D10276" w14:textId="77777777" w:rsidR="0035581A" w:rsidRDefault="0035581A" w:rsidP="00D24E90">
      <w:pPr>
        <w:spacing w:after="0" w:line="240" w:lineRule="auto"/>
      </w:pPr>
      <w:r>
        <w:continuationSeparator/>
      </w:r>
    </w:p>
  </w:footnote>
  <w:footnote w:id="1">
    <w:p w14:paraId="4980F08D" w14:textId="77777777" w:rsidR="00C93F12" w:rsidRDefault="00C93F12" w:rsidP="00C93F12">
      <w:r>
        <w:rPr>
          <w:rStyle w:val="FootnoteReference"/>
        </w:rPr>
        <w:footnoteRef/>
      </w:r>
      <w:r>
        <w:t xml:space="preserve"> </w:t>
      </w:r>
      <w:r w:rsidRPr="00710EFA">
        <w:rPr>
          <w:rFonts w:cstheme="minorHAnsi"/>
          <w:sz w:val="20"/>
          <w:szCs w:val="20"/>
        </w:rPr>
        <w:t>William Granger</w:t>
      </w:r>
      <w:r>
        <w:rPr>
          <w:rFonts w:cstheme="minorHAnsi"/>
          <w:sz w:val="20"/>
          <w:szCs w:val="20"/>
        </w:rPr>
        <w:t xml:space="preserve"> Ryan</w:t>
      </w:r>
      <w:r w:rsidRPr="00710EFA">
        <w:rPr>
          <w:rFonts w:cstheme="minorHAnsi"/>
          <w:sz w:val="20"/>
          <w:szCs w:val="20"/>
        </w:rPr>
        <w:t xml:space="preserve">, ‘Introduction to the 2012 Edition’, </w:t>
      </w:r>
      <w:r w:rsidRPr="00710EFA">
        <w:rPr>
          <w:rFonts w:cstheme="minorHAnsi"/>
          <w:i/>
          <w:iCs/>
          <w:sz w:val="20"/>
          <w:szCs w:val="20"/>
        </w:rPr>
        <w:t xml:space="preserve">The Golden Legend: Readings on the Saints, </w:t>
      </w:r>
      <w:r w:rsidRPr="00710EFA">
        <w:rPr>
          <w:rFonts w:cstheme="minorHAnsi"/>
          <w:sz w:val="20"/>
          <w:szCs w:val="20"/>
        </w:rPr>
        <w:t>(Princeton and Oxford: Princeton University Press, 2012)</w:t>
      </w:r>
      <w:r>
        <w:rPr>
          <w:rFonts w:cstheme="minorHAnsi"/>
          <w:sz w:val="20"/>
          <w:szCs w:val="20"/>
        </w:rPr>
        <w:t>, p.xi</w:t>
      </w:r>
      <w:r w:rsidRPr="00710EFA">
        <w:rPr>
          <w:rFonts w:cstheme="minorHAnsi"/>
          <w:sz w:val="20"/>
          <w:szCs w:val="20"/>
        </w:rPr>
        <w:t xml:space="preserve"> &lt;</w:t>
      </w:r>
      <w:r w:rsidRPr="00710EFA">
        <w:rPr>
          <w:rFonts w:cstheme="minorHAnsi"/>
          <w:color w:val="343332"/>
          <w:spacing w:val="-5"/>
          <w:sz w:val="20"/>
          <w:szCs w:val="20"/>
        </w:rPr>
        <w:t xml:space="preserve"> </w:t>
      </w:r>
      <w:hyperlink r:id="rId1" w:history="1">
        <w:r w:rsidRPr="00710EFA">
          <w:rPr>
            <w:rStyle w:val="Hyperlink"/>
            <w:rFonts w:cstheme="minorHAnsi"/>
            <w:spacing w:val="-5"/>
            <w:sz w:val="20"/>
            <w:szCs w:val="20"/>
          </w:rPr>
          <w:t>https://www-jstor-org.ezproxy.uwtsd.ac.uk/stable/j.ctt7stkm</w:t>
        </w:r>
      </w:hyperlink>
      <w:r w:rsidRPr="00710EFA">
        <w:rPr>
          <w:rFonts w:cstheme="minorHAnsi"/>
          <w:color w:val="343332"/>
          <w:spacing w:val="-5"/>
          <w:sz w:val="20"/>
          <w:szCs w:val="20"/>
        </w:rPr>
        <w:t>&gt;</w:t>
      </w:r>
      <w:r w:rsidRPr="00710EFA">
        <w:rPr>
          <w:rFonts w:cstheme="minorHAnsi"/>
          <w:sz w:val="20"/>
          <w:szCs w:val="20"/>
        </w:rPr>
        <w:t xml:space="preserve"> [accessed 31 January 2024]</w:t>
      </w:r>
      <w:r>
        <w:rPr>
          <w:rFonts w:cstheme="minorHAnsi"/>
          <w:sz w:val="20"/>
          <w:szCs w:val="20"/>
        </w:rPr>
        <w:t>.</w:t>
      </w:r>
    </w:p>
  </w:footnote>
  <w:footnote w:id="2">
    <w:p w14:paraId="72993925" w14:textId="77777777" w:rsidR="00C93F12" w:rsidRDefault="00C93F12" w:rsidP="00C93F12">
      <w:r>
        <w:rPr>
          <w:rStyle w:val="FootnoteReference"/>
        </w:rPr>
        <w:footnoteRef/>
      </w:r>
      <w:r>
        <w:t xml:space="preserve"> Goff, Jacques Le, </w:t>
      </w:r>
      <w:r>
        <w:rPr>
          <w:i/>
          <w:iCs/>
        </w:rPr>
        <w:t xml:space="preserve">In Search of Sacred Times: Jacob de Voragine and the Golden Legend, </w:t>
      </w:r>
      <w:r>
        <w:t>(Princeton: Princeton University Press, 2014), pp.4-7 &lt;</w:t>
      </w:r>
      <w:r w:rsidRPr="00D8563E">
        <w:t xml:space="preserve"> </w:t>
      </w:r>
      <w:hyperlink r:id="rId2" w:anchor="v=onepage&amp;q=Jacobus%20de%20Voragine&amp;f=false" w:history="1">
        <w:r>
          <w:rPr>
            <w:rStyle w:val="Hyperlink"/>
          </w:rPr>
          <w:t>In Search of Sacred Time: Jacobus de Voragine and The Golden Legend - Jacques Le Goff - Google Books</w:t>
        </w:r>
      </w:hyperlink>
      <w:r>
        <w:t>&gt; [accessed 31 January 2024].</w:t>
      </w:r>
    </w:p>
  </w:footnote>
  <w:footnote w:id="3">
    <w:p w14:paraId="7B323E2B" w14:textId="77777777" w:rsidR="00C93F12" w:rsidRDefault="00C93F12" w:rsidP="00C93F12">
      <w:pPr>
        <w:pStyle w:val="FootnoteText"/>
      </w:pPr>
      <w:r>
        <w:rPr>
          <w:rStyle w:val="FootnoteReference"/>
        </w:rPr>
        <w:footnoteRef/>
      </w:r>
      <w:r>
        <w:t xml:space="preserve"> Goff, Jacques Le, </w:t>
      </w:r>
      <w:r>
        <w:rPr>
          <w:i/>
          <w:iCs/>
        </w:rPr>
        <w:t xml:space="preserve">In Search of Sacred Times: Jacob de Voragine and the Golden Legend, </w:t>
      </w:r>
      <w:r>
        <w:t>(Princeton: Princeton University Press, 2014), p.4 &lt;</w:t>
      </w:r>
      <w:r w:rsidRPr="00D8563E">
        <w:t xml:space="preserve"> </w:t>
      </w:r>
      <w:hyperlink r:id="rId3" w:anchor="v=onepage&amp;q=Jacobus%20de%20Voragine&amp;f=false" w:history="1">
        <w:r>
          <w:rPr>
            <w:rStyle w:val="Hyperlink"/>
          </w:rPr>
          <w:t>In Search of Sacred Time: Jacobus de Voragine and The Golden Legend - Jacques Le Goff - Google Books</w:t>
        </w:r>
      </w:hyperlink>
      <w:r>
        <w:t>&gt; [accessed 31 January 2024].</w:t>
      </w:r>
    </w:p>
  </w:footnote>
  <w:footnote w:id="4">
    <w:p w14:paraId="5187F008" w14:textId="77777777" w:rsidR="00C93F12" w:rsidRDefault="00C93F12" w:rsidP="00C93F12">
      <w:pPr>
        <w:pStyle w:val="FootnoteText"/>
      </w:pPr>
      <w:r>
        <w:rPr>
          <w:rStyle w:val="FootnoteReference"/>
        </w:rPr>
        <w:footnoteRef/>
      </w:r>
      <w:r>
        <w:t xml:space="preserve"> Goff, Jacques Le, </w:t>
      </w:r>
      <w:r>
        <w:rPr>
          <w:i/>
          <w:iCs/>
        </w:rPr>
        <w:t xml:space="preserve">In Search of Sacred Times: Jacob de Voragine and the Golden Legend, </w:t>
      </w:r>
      <w:r>
        <w:t>(Princeton: Princeton University Press, 2014), pp.5-10 &lt;</w:t>
      </w:r>
      <w:r w:rsidRPr="00D8563E">
        <w:t xml:space="preserve"> </w:t>
      </w:r>
      <w:hyperlink r:id="rId4" w:anchor="v=onepage&amp;q=Jacobus%20de%20Voragine&amp;f=false" w:history="1">
        <w:r>
          <w:rPr>
            <w:rStyle w:val="Hyperlink"/>
          </w:rPr>
          <w:t>In Search of Sacred Time: Jacobus de Voragine and The Golden Legend - Jacques Le Goff - Google Books</w:t>
        </w:r>
      </w:hyperlink>
      <w:r>
        <w:t>&gt; [accessed 31 January 2024].</w:t>
      </w:r>
    </w:p>
  </w:footnote>
  <w:footnote w:id="5">
    <w:p w14:paraId="671038D9" w14:textId="77777777" w:rsidR="00C93F12" w:rsidRDefault="00C93F12" w:rsidP="00C93F12">
      <w:pPr>
        <w:pStyle w:val="FootnoteText"/>
      </w:pPr>
      <w:r>
        <w:rPr>
          <w:rStyle w:val="FootnoteReference"/>
        </w:rPr>
        <w:footnoteRef/>
      </w:r>
      <w:r>
        <w:t xml:space="preserve"> Goff, Jacques Le, </w:t>
      </w:r>
      <w:r>
        <w:rPr>
          <w:i/>
          <w:iCs/>
        </w:rPr>
        <w:t xml:space="preserve">In Search of Sacred Times: Jacob de Voragine and the Golden Legend, </w:t>
      </w:r>
      <w:r>
        <w:t>(Princeton: Princeton University Press, 2014), p.10 &lt;</w:t>
      </w:r>
      <w:r w:rsidRPr="00D8563E">
        <w:t xml:space="preserve"> </w:t>
      </w:r>
      <w:hyperlink r:id="rId5" w:anchor="v=onepage&amp;q=Jacobus%20de%20Voragine&amp;f=false" w:history="1">
        <w:r>
          <w:rPr>
            <w:rStyle w:val="Hyperlink"/>
          </w:rPr>
          <w:t>In Search of Sacred Time: Jacobus de Voragine and The Golden Legend - Jacques Le Goff - Google Books</w:t>
        </w:r>
      </w:hyperlink>
      <w:r>
        <w:t>&gt; [accessed 31 January 2024].</w:t>
      </w:r>
    </w:p>
  </w:footnote>
  <w:footnote w:id="6">
    <w:p w14:paraId="2084418D" w14:textId="177DC1AF" w:rsidR="009728CA" w:rsidRDefault="009728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0EFA">
        <w:rPr>
          <w:rFonts w:cstheme="minorHAnsi"/>
        </w:rPr>
        <w:t>William Granger</w:t>
      </w:r>
      <w:r>
        <w:rPr>
          <w:rFonts w:cstheme="minorHAnsi"/>
        </w:rPr>
        <w:t xml:space="preserve"> Ryan</w:t>
      </w:r>
      <w:r w:rsidRPr="00710EFA">
        <w:rPr>
          <w:rFonts w:cstheme="minorHAnsi"/>
        </w:rPr>
        <w:t xml:space="preserve">, ‘Introduction to the 2012 Edition’, </w:t>
      </w:r>
      <w:r w:rsidRPr="00710EFA">
        <w:rPr>
          <w:rFonts w:cstheme="minorHAnsi"/>
          <w:i/>
          <w:iCs/>
        </w:rPr>
        <w:t xml:space="preserve">The Golden Legend: Readings on the Saints, </w:t>
      </w:r>
      <w:r w:rsidRPr="00710EFA">
        <w:rPr>
          <w:rFonts w:cstheme="minorHAnsi"/>
        </w:rPr>
        <w:t>(Princeton and Oxford: Princeton University Press, 2012)</w:t>
      </w:r>
      <w:r>
        <w:rPr>
          <w:rFonts w:cstheme="minorHAnsi"/>
        </w:rPr>
        <w:t>, p.xi</w:t>
      </w:r>
      <w:r w:rsidRPr="00710EFA">
        <w:rPr>
          <w:rFonts w:cstheme="minorHAnsi"/>
        </w:rPr>
        <w:t xml:space="preserve"> &lt;</w:t>
      </w:r>
      <w:r w:rsidRPr="00710EFA">
        <w:rPr>
          <w:rFonts w:cstheme="minorHAnsi"/>
          <w:color w:val="343332"/>
          <w:spacing w:val="-5"/>
        </w:rPr>
        <w:t xml:space="preserve"> </w:t>
      </w:r>
      <w:hyperlink r:id="rId6" w:history="1">
        <w:r w:rsidRPr="00710EFA">
          <w:rPr>
            <w:rStyle w:val="Hyperlink"/>
            <w:rFonts w:cstheme="minorHAnsi"/>
            <w:spacing w:val="-5"/>
          </w:rPr>
          <w:t>https://www-jstor-org.ezproxy.uwtsd.ac.uk/stable/j.ctt7stkm</w:t>
        </w:r>
      </w:hyperlink>
      <w:r w:rsidRPr="00710EFA">
        <w:rPr>
          <w:rFonts w:cstheme="minorHAnsi"/>
          <w:color w:val="343332"/>
          <w:spacing w:val="-5"/>
        </w:rPr>
        <w:t>&gt;</w:t>
      </w:r>
      <w:r w:rsidRPr="00710EFA">
        <w:rPr>
          <w:rFonts w:cstheme="minorHAnsi"/>
        </w:rPr>
        <w:t xml:space="preserve"> [accessed 31 January 2024]</w:t>
      </w:r>
      <w:r>
        <w:rPr>
          <w:rFonts w:cstheme="minorHAnsi"/>
        </w:rPr>
        <w:t>.</w:t>
      </w:r>
    </w:p>
  </w:footnote>
  <w:footnote w:id="7">
    <w:p w14:paraId="0FEC501C" w14:textId="0C471C47" w:rsidR="00434714" w:rsidRDefault="00434714" w:rsidP="00DC7E85">
      <w:pPr>
        <w:spacing w:line="240" w:lineRule="auto"/>
      </w:pPr>
      <w:r w:rsidRPr="00F40E72">
        <w:rPr>
          <w:rStyle w:val="FootnoteReference"/>
          <w:sz w:val="20"/>
          <w:szCs w:val="20"/>
        </w:rPr>
        <w:footnoteRef/>
      </w:r>
      <w:r w:rsidRPr="00F40E72">
        <w:rPr>
          <w:sz w:val="20"/>
          <w:szCs w:val="20"/>
        </w:rPr>
        <w:t xml:space="preserve"> </w:t>
      </w:r>
      <w:r w:rsidR="00F40E72" w:rsidRPr="00F40E72">
        <w:rPr>
          <w:sz w:val="20"/>
          <w:szCs w:val="20"/>
        </w:rPr>
        <w:t xml:space="preserve">Frieda Elaine Penninger, </w:t>
      </w:r>
      <w:r w:rsidR="00F40E72" w:rsidRPr="00F40E72">
        <w:rPr>
          <w:i/>
          <w:iCs/>
          <w:sz w:val="20"/>
          <w:szCs w:val="20"/>
        </w:rPr>
        <w:t xml:space="preserve">William Caxton, </w:t>
      </w:r>
      <w:r w:rsidR="00F40E72" w:rsidRPr="00F40E72">
        <w:rPr>
          <w:sz w:val="20"/>
          <w:szCs w:val="20"/>
        </w:rPr>
        <w:t>ed by Sylvia E. Bowman (Boston: Twayne Publishers, 1979), p.41</w:t>
      </w:r>
      <w:r w:rsidR="00F40E72">
        <w:rPr>
          <w:sz w:val="20"/>
          <w:szCs w:val="20"/>
        </w:rPr>
        <w:t>.</w:t>
      </w:r>
    </w:p>
  </w:footnote>
  <w:footnote w:id="8">
    <w:p w14:paraId="010BD28C" w14:textId="1D67C0B6" w:rsidR="00575E7F" w:rsidRDefault="00575E7F" w:rsidP="00DC7E85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575E7F">
        <w:rPr>
          <w:sz w:val="20"/>
          <w:szCs w:val="20"/>
        </w:rPr>
        <w:t xml:space="preserve">E. Gordon Duff, </w:t>
      </w:r>
      <w:r w:rsidRPr="00575E7F">
        <w:rPr>
          <w:i/>
          <w:iCs/>
          <w:sz w:val="20"/>
          <w:szCs w:val="20"/>
        </w:rPr>
        <w:t xml:space="preserve">A Century of the English Book Trade, </w:t>
      </w:r>
      <w:r w:rsidRPr="00575E7F">
        <w:rPr>
          <w:sz w:val="20"/>
          <w:szCs w:val="20"/>
        </w:rPr>
        <w:t>(London: The University Press, 1948), p.173.</w:t>
      </w:r>
    </w:p>
  </w:footnote>
  <w:footnote w:id="9">
    <w:p w14:paraId="4F3C58AB" w14:textId="00751E21" w:rsidR="00B0775B" w:rsidRDefault="00B0775B" w:rsidP="00DC7E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5E7F">
        <w:t xml:space="preserve">E. Gordon Duff, </w:t>
      </w:r>
      <w:r w:rsidRPr="00575E7F">
        <w:rPr>
          <w:i/>
          <w:iCs/>
        </w:rPr>
        <w:t xml:space="preserve">A Century of the English Book Trade, </w:t>
      </w:r>
      <w:r w:rsidRPr="00575E7F">
        <w:t>(London: The University Press, 1948), p.173.</w:t>
      </w:r>
    </w:p>
  </w:footnote>
  <w:footnote w:id="10">
    <w:p w14:paraId="351C8A82" w14:textId="77777777" w:rsidR="001A4C63" w:rsidRDefault="001A4C63" w:rsidP="00DC7E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5E7F">
        <w:t xml:space="preserve">E. Gordon Duff, </w:t>
      </w:r>
      <w:r w:rsidRPr="00575E7F">
        <w:rPr>
          <w:i/>
          <w:iCs/>
        </w:rPr>
        <w:t xml:space="preserve">A Century of the English Book Trade, </w:t>
      </w:r>
      <w:r w:rsidRPr="00575E7F">
        <w:t>(London: The University Press, 1948), p.</w:t>
      </w:r>
      <w:r>
        <w:t>25</w:t>
      </w:r>
      <w:r w:rsidRPr="00575E7F">
        <w:t>.</w:t>
      </w:r>
    </w:p>
  </w:footnote>
  <w:footnote w:id="11">
    <w:p w14:paraId="3023D2A5" w14:textId="77777777" w:rsidR="00E1084B" w:rsidRDefault="00E1084B" w:rsidP="00E108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C43D0">
        <w:t xml:space="preserve">Bennett, H. S., </w:t>
      </w:r>
      <w:r w:rsidRPr="006C43D0">
        <w:rPr>
          <w:i/>
          <w:iCs/>
        </w:rPr>
        <w:t>English Books and Readers 1475 to 1557</w:t>
      </w:r>
      <w:r w:rsidRPr="006C43D0">
        <w:t>, 2nd edn (Cambridge: University Press, 1969)</w:t>
      </w:r>
      <w:r>
        <w:t>, p.178-180.</w:t>
      </w:r>
    </w:p>
  </w:footnote>
  <w:footnote w:id="12">
    <w:p w14:paraId="1674DA1C" w14:textId="7C9FD069" w:rsidR="00560766" w:rsidRDefault="00560766" w:rsidP="00DC7E85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1D11CA" w:rsidRPr="001D11CA">
        <w:rPr>
          <w:sz w:val="20"/>
          <w:szCs w:val="20"/>
        </w:rPr>
        <w:t xml:space="preserve">Earle Havens, </w:t>
      </w:r>
      <w:r w:rsidR="001D11CA" w:rsidRPr="001D11CA">
        <w:rPr>
          <w:i/>
          <w:iCs/>
          <w:sz w:val="20"/>
          <w:szCs w:val="20"/>
        </w:rPr>
        <w:t>Renaissance Printers’ Devices</w:t>
      </w:r>
      <w:r w:rsidR="001D11CA" w:rsidRPr="001D11CA">
        <w:rPr>
          <w:sz w:val="20"/>
          <w:szCs w:val="20"/>
        </w:rPr>
        <w:t>, (Maryland: Sheridan Libraries, 2015)</w:t>
      </w:r>
      <w:r w:rsidR="001D11CA">
        <w:rPr>
          <w:sz w:val="20"/>
          <w:szCs w:val="20"/>
        </w:rPr>
        <w:t>, p.47.</w:t>
      </w:r>
    </w:p>
  </w:footnote>
  <w:footnote w:id="13">
    <w:p w14:paraId="0B732DB5" w14:textId="6E2AAD31" w:rsidR="0005151D" w:rsidRDefault="0005151D" w:rsidP="00DC7E85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F40E72">
        <w:rPr>
          <w:sz w:val="20"/>
          <w:szCs w:val="20"/>
        </w:rPr>
        <w:t xml:space="preserve">Frieda Elaine Penninger, </w:t>
      </w:r>
      <w:r w:rsidRPr="00F40E72">
        <w:rPr>
          <w:i/>
          <w:iCs/>
          <w:sz w:val="20"/>
          <w:szCs w:val="20"/>
        </w:rPr>
        <w:t xml:space="preserve">William Caxton, </w:t>
      </w:r>
      <w:r w:rsidRPr="00F40E72">
        <w:rPr>
          <w:sz w:val="20"/>
          <w:szCs w:val="20"/>
        </w:rPr>
        <w:t>ed by Sylvia E. Bowman (Boston: Twayne Publishers, 1979), p</w:t>
      </w:r>
      <w:r w:rsidR="00D37946">
        <w:rPr>
          <w:sz w:val="20"/>
          <w:szCs w:val="20"/>
        </w:rPr>
        <w:t>p</w:t>
      </w:r>
      <w:r w:rsidR="003A72A8">
        <w:rPr>
          <w:sz w:val="20"/>
          <w:szCs w:val="20"/>
        </w:rPr>
        <w:t>.19</w:t>
      </w:r>
      <w:r w:rsidR="00D37946">
        <w:rPr>
          <w:sz w:val="20"/>
          <w:szCs w:val="20"/>
        </w:rPr>
        <w:t>-20</w:t>
      </w:r>
      <w:r w:rsidRPr="00F40E72">
        <w:rPr>
          <w:sz w:val="20"/>
          <w:szCs w:val="20"/>
        </w:rPr>
        <w:t>.</w:t>
      </w:r>
    </w:p>
  </w:footnote>
  <w:footnote w:id="14">
    <w:p w14:paraId="714E6772" w14:textId="7DA86CC3" w:rsidR="006C43D0" w:rsidRDefault="006C43D0" w:rsidP="00DC7E85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="00DC7E85" w:rsidRPr="006C43D0">
        <w:rPr>
          <w:sz w:val="20"/>
          <w:szCs w:val="20"/>
        </w:rPr>
        <w:t xml:space="preserve">Bennett, H. S., </w:t>
      </w:r>
      <w:r w:rsidR="00DC7E85" w:rsidRPr="006C43D0">
        <w:rPr>
          <w:i/>
          <w:iCs/>
          <w:sz w:val="20"/>
          <w:szCs w:val="20"/>
        </w:rPr>
        <w:t>English Books and Readers 1475 to 1557</w:t>
      </w:r>
      <w:r w:rsidR="00DC7E85" w:rsidRPr="006C43D0">
        <w:rPr>
          <w:sz w:val="20"/>
          <w:szCs w:val="20"/>
        </w:rPr>
        <w:t>, 2nd edn (Cambridge: University Press, 1969)</w:t>
      </w:r>
      <w:r w:rsidR="00DC7E85">
        <w:rPr>
          <w:sz w:val="20"/>
          <w:szCs w:val="20"/>
        </w:rPr>
        <w:t>, p.16-17.</w:t>
      </w:r>
    </w:p>
  </w:footnote>
  <w:footnote w:id="15">
    <w:p w14:paraId="21C0D645" w14:textId="6D7D9CD0" w:rsidR="009108EF" w:rsidRDefault="009108EF" w:rsidP="00DC7E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C43D0">
        <w:t xml:space="preserve">Bennett, H. S., </w:t>
      </w:r>
      <w:r w:rsidRPr="006C43D0">
        <w:rPr>
          <w:i/>
          <w:iCs/>
        </w:rPr>
        <w:t>English Books and Readers 1475 to 1557</w:t>
      </w:r>
      <w:r w:rsidRPr="006C43D0">
        <w:t>, 2nd edn (Cambridge: University Press, 1969)</w:t>
      </w:r>
      <w:r>
        <w:t>, p.16.</w:t>
      </w:r>
    </w:p>
  </w:footnote>
  <w:footnote w:id="16">
    <w:p w14:paraId="5834F751" w14:textId="1DBC7B49" w:rsidR="00F5651F" w:rsidRDefault="00F5651F" w:rsidP="00DC7E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40E72">
        <w:t xml:space="preserve">Frieda Elaine Penninger, </w:t>
      </w:r>
      <w:r w:rsidRPr="00F40E72">
        <w:rPr>
          <w:i/>
          <w:iCs/>
        </w:rPr>
        <w:t xml:space="preserve">William Caxton, </w:t>
      </w:r>
      <w:r w:rsidRPr="00F40E72">
        <w:t>ed by Sylvia E. Bowman (Boston: Twayne Publishers, 1979), p.</w:t>
      </w:r>
      <w:r>
        <w:t>35.</w:t>
      </w:r>
    </w:p>
  </w:footnote>
  <w:footnote w:id="17">
    <w:p w14:paraId="202519D6" w14:textId="199FB3A4" w:rsidR="00A323A1" w:rsidRDefault="00A323A1" w:rsidP="00DC7E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2812" w:rsidRPr="00F40E72">
        <w:t xml:space="preserve">Frieda Elaine Penninger, </w:t>
      </w:r>
      <w:r w:rsidR="002D2812" w:rsidRPr="00F40E72">
        <w:rPr>
          <w:i/>
          <w:iCs/>
        </w:rPr>
        <w:t xml:space="preserve">William Caxton, </w:t>
      </w:r>
      <w:r w:rsidR="002D2812" w:rsidRPr="00F40E72">
        <w:t>ed by Sylvia E. Bowman (Boston: Twayne Publishers, 1979), p</w:t>
      </w:r>
      <w:r w:rsidR="002D2812">
        <w:t>.27.</w:t>
      </w:r>
    </w:p>
  </w:footnote>
  <w:footnote w:id="18">
    <w:p w14:paraId="41E116E5" w14:textId="1E48C85A" w:rsidR="00214035" w:rsidRDefault="00214035" w:rsidP="00D27AAB">
      <w:r>
        <w:rPr>
          <w:rStyle w:val="FootnoteReference"/>
        </w:rPr>
        <w:footnoteRef/>
      </w:r>
      <w:r>
        <w:t xml:space="preserve"> </w:t>
      </w:r>
      <w:r w:rsidR="00D27AAB" w:rsidRPr="00D27AAB">
        <w:rPr>
          <w:sz w:val="20"/>
          <w:szCs w:val="20"/>
        </w:rPr>
        <w:t xml:space="preserve">Ronald B. Mckerrow, </w:t>
      </w:r>
      <w:r w:rsidR="00D27AAB" w:rsidRPr="00D27AAB">
        <w:rPr>
          <w:i/>
          <w:iCs/>
          <w:sz w:val="20"/>
          <w:szCs w:val="20"/>
        </w:rPr>
        <w:t xml:space="preserve">Printers’ and Publishers’ Devices in England and Scottland 1485 – 1640, </w:t>
      </w:r>
      <w:r w:rsidR="00D27AAB" w:rsidRPr="00D27AAB">
        <w:rPr>
          <w:sz w:val="20"/>
          <w:szCs w:val="20"/>
        </w:rPr>
        <w:t>(Oxford: The University Press, 1949)</w:t>
      </w:r>
      <w:r w:rsidR="00D27AAB">
        <w:rPr>
          <w:sz w:val="20"/>
          <w:szCs w:val="20"/>
        </w:rPr>
        <w:t>, p.1.</w:t>
      </w:r>
    </w:p>
  </w:footnote>
  <w:footnote w:id="19">
    <w:p w14:paraId="489CC763" w14:textId="02041F6B" w:rsidR="008D493E" w:rsidRDefault="008D49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0EFA">
        <w:rPr>
          <w:rFonts w:cstheme="minorHAnsi"/>
        </w:rPr>
        <w:t>William Granger</w:t>
      </w:r>
      <w:r>
        <w:rPr>
          <w:rFonts w:cstheme="minorHAnsi"/>
        </w:rPr>
        <w:t xml:space="preserve"> Ryan</w:t>
      </w:r>
      <w:r w:rsidRPr="00710EFA">
        <w:rPr>
          <w:rFonts w:cstheme="minorHAnsi"/>
        </w:rPr>
        <w:t xml:space="preserve">, ‘Introduction to the 2012 Edition’, </w:t>
      </w:r>
      <w:r w:rsidRPr="00710EFA">
        <w:rPr>
          <w:rFonts w:cstheme="minorHAnsi"/>
          <w:i/>
          <w:iCs/>
        </w:rPr>
        <w:t xml:space="preserve">The Golden Legend: Readings on the Saints, </w:t>
      </w:r>
      <w:r w:rsidRPr="00710EFA">
        <w:rPr>
          <w:rFonts w:cstheme="minorHAnsi"/>
        </w:rPr>
        <w:t>(Princeton and Oxford: Princeton University Press, 2012)</w:t>
      </w:r>
      <w:r>
        <w:rPr>
          <w:rFonts w:cstheme="minorHAnsi"/>
        </w:rPr>
        <w:t>, p.xi</w:t>
      </w:r>
      <w:r w:rsidRPr="00710EFA">
        <w:rPr>
          <w:rFonts w:cstheme="minorHAnsi"/>
        </w:rPr>
        <w:t xml:space="preserve"> &lt;</w:t>
      </w:r>
      <w:r w:rsidRPr="00710EFA">
        <w:rPr>
          <w:rFonts w:cstheme="minorHAnsi"/>
          <w:color w:val="343332"/>
          <w:spacing w:val="-5"/>
        </w:rPr>
        <w:t xml:space="preserve"> </w:t>
      </w:r>
      <w:hyperlink r:id="rId7" w:history="1">
        <w:r w:rsidRPr="00710EFA">
          <w:rPr>
            <w:rStyle w:val="Hyperlink"/>
            <w:rFonts w:cstheme="minorHAnsi"/>
            <w:spacing w:val="-5"/>
          </w:rPr>
          <w:t>https://www-jstor-org.ezproxy.uwtsd.ac.uk/stable/j.ctt7stkm</w:t>
        </w:r>
      </w:hyperlink>
      <w:r w:rsidRPr="00710EFA">
        <w:rPr>
          <w:rFonts w:cstheme="minorHAnsi"/>
          <w:color w:val="343332"/>
          <w:spacing w:val="-5"/>
        </w:rPr>
        <w:t>&gt;</w:t>
      </w:r>
      <w:r w:rsidRPr="00710EFA">
        <w:rPr>
          <w:rFonts w:cstheme="minorHAnsi"/>
        </w:rPr>
        <w:t xml:space="preserve"> [accessed 31 January 2024]</w:t>
      </w:r>
      <w:r>
        <w:rPr>
          <w:rFonts w:cstheme="minorHAnsi"/>
        </w:rPr>
        <w:t>.</w:t>
      </w:r>
    </w:p>
  </w:footnote>
  <w:footnote w:id="20">
    <w:p w14:paraId="44E7A7E2" w14:textId="6232B5D3" w:rsidR="00C93F12" w:rsidRDefault="00C93F12" w:rsidP="00617650">
      <w:r>
        <w:rPr>
          <w:rStyle w:val="FootnoteReference"/>
        </w:rPr>
        <w:footnoteRef/>
      </w:r>
      <w:r>
        <w:t xml:space="preserve"> </w:t>
      </w:r>
      <w:r w:rsidR="00617650" w:rsidRPr="00617650">
        <w:rPr>
          <w:sz w:val="20"/>
          <w:szCs w:val="20"/>
        </w:rPr>
        <w:t>Jessica</w:t>
      </w:r>
      <w:r w:rsidR="00617650">
        <w:rPr>
          <w:sz w:val="20"/>
          <w:szCs w:val="20"/>
        </w:rPr>
        <w:t xml:space="preserve"> Coatesworth</w:t>
      </w:r>
      <w:r w:rsidR="00617650" w:rsidRPr="00617650">
        <w:rPr>
          <w:sz w:val="20"/>
          <w:szCs w:val="20"/>
        </w:rPr>
        <w:t xml:space="preserve">, ‘The Design of the Golden Legend: English Printing in a European Context’, </w:t>
      </w:r>
      <w:r w:rsidR="00617650" w:rsidRPr="00617650">
        <w:rPr>
          <w:i/>
          <w:iCs/>
          <w:sz w:val="20"/>
          <w:szCs w:val="20"/>
        </w:rPr>
        <w:t xml:space="preserve">Bulletine of the John Rylands Library, </w:t>
      </w:r>
      <w:r w:rsidR="00617650" w:rsidRPr="00617650">
        <w:rPr>
          <w:sz w:val="20"/>
          <w:szCs w:val="20"/>
        </w:rPr>
        <w:t>2. 91, (2023), 21-29</w:t>
      </w:r>
      <w:r w:rsidR="00E40255">
        <w:rPr>
          <w:sz w:val="20"/>
          <w:szCs w:val="20"/>
        </w:rPr>
        <w:t xml:space="preserve"> (p.24)</w:t>
      </w:r>
      <w:r w:rsidR="00617650" w:rsidRPr="00617650">
        <w:rPr>
          <w:sz w:val="20"/>
          <w:szCs w:val="20"/>
        </w:rPr>
        <w:t xml:space="preserve"> &lt; </w:t>
      </w:r>
      <w:hyperlink r:id="rId8" w:history="1">
        <w:r w:rsidR="00617650" w:rsidRPr="00617650">
          <w:rPr>
            <w:rStyle w:val="Hyperlink"/>
            <w:sz w:val="20"/>
            <w:szCs w:val="20"/>
          </w:rPr>
          <w:t>https://doi-org.ezproxy.uwtsd.ac.uk/10.7227/BJRL.91.2.2</w:t>
        </w:r>
      </w:hyperlink>
      <w:r w:rsidR="00617650" w:rsidRPr="00617650">
        <w:rPr>
          <w:sz w:val="20"/>
          <w:szCs w:val="20"/>
        </w:rPr>
        <w:t>&gt; [accessed 31 January 2024].</w:t>
      </w:r>
    </w:p>
  </w:footnote>
  <w:footnote w:id="21">
    <w:p w14:paraId="4125479E" w14:textId="2F7C7E4B" w:rsidR="00F833E9" w:rsidRDefault="00F833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17650">
        <w:t>Jessica</w:t>
      </w:r>
      <w:r>
        <w:t xml:space="preserve"> Coatesworth</w:t>
      </w:r>
      <w:r w:rsidRPr="00617650">
        <w:t xml:space="preserve">, ‘The Design of the Golden Legend: English Printing in a European Context’, </w:t>
      </w:r>
      <w:r w:rsidRPr="00617650">
        <w:rPr>
          <w:i/>
          <w:iCs/>
        </w:rPr>
        <w:t xml:space="preserve">Bulletine of the John Rylands Library, </w:t>
      </w:r>
      <w:r w:rsidRPr="00617650">
        <w:t>2. 91, (2023), 21-29</w:t>
      </w:r>
      <w:r>
        <w:t xml:space="preserve"> (p</w:t>
      </w:r>
      <w:r w:rsidR="00005ACF">
        <w:t>p</w:t>
      </w:r>
      <w:r>
        <w:t>.24-26)</w:t>
      </w:r>
      <w:r w:rsidRPr="00617650">
        <w:t xml:space="preserve"> &lt; </w:t>
      </w:r>
      <w:hyperlink r:id="rId9" w:history="1">
        <w:r w:rsidRPr="00617650">
          <w:rPr>
            <w:rStyle w:val="Hyperlink"/>
          </w:rPr>
          <w:t>https://doi-org.ezproxy.uwtsd.ac.uk/10.7227/BJRL.91.2.2</w:t>
        </w:r>
      </w:hyperlink>
      <w:r w:rsidRPr="00617650">
        <w:t>&gt; [accessed 31 January 2024].</w:t>
      </w:r>
    </w:p>
  </w:footnote>
  <w:footnote w:id="22">
    <w:p w14:paraId="730F42EB" w14:textId="1325E2DA" w:rsidR="00005ACF" w:rsidRDefault="00005A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17650">
        <w:t>Jessica</w:t>
      </w:r>
      <w:r>
        <w:t xml:space="preserve"> Coatesworth</w:t>
      </w:r>
      <w:r w:rsidRPr="00617650">
        <w:t xml:space="preserve">, ‘The Design of the Golden Legend: English Printing in a European Context’, </w:t>
      </w:r>
      <w:r w:rsidRPr="00617650">
        <w:rPr>
          <w:i/>
          <w:iCs/>
        </w:rPr>
        <w:t xml:space="preserve">Bulletine of the John Rylands Library, </w:t>
      </w:r>
      <w:r w:rsidRPr="00617650">
        <w:t>2. 91, (2023), 21-29</w:t>
      </w:r>
      <w:r>
        <w:t xml:space="preserve"> (p.26)</w:t>
      </w:r>
      <w:r w:rsidRPr="00617650">
        <w:t xml:space="preserve"> &lt; </w:t>
      </w:r>
      <w:hyperlink r:id="rId10" w:history="1">
        <w:r w:rsidRPr="00617650">
          <w:rPr>
            <w:rStyle w:val="Hyperlink"/>
          </w:rPr>
          <w:t>https://doi-org.ezproxy.uwtsd.ac.uk/10.7227/BJRL.91.2.2</w:t>
        </w:r>
      </w:hyperlink>
      <w:r w:rsidRPr="00617650">
        <w:t>&gt; [accessed 31 January 2024].</w:t>
      </w:r>
    </w:p>
  </w:footnote>
  <w:footnote w:id="23">
    <w:p w14:paraId="1F1DCA5F" w14:textId="3607C459" w:rsidR="00A96F1A" w:rsidRDefault="00A96F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D7237" w:rsidRPr="00575E7F">
        <w:t xml:space="preserve">E. Gordon Duff, </w:t>
      </w:r>
      <w:r w:rsidR="003D7237" w:rsidRPr="00575E7F">
        <w:rPr>
          <w:i/>
          <w:iCs/>
        </w:rPr>
        <w:t xml:space="preserve">A Century of the English Book Trade, </w:t>
      </w:r>
      <w:r w:rsidR="003D7237" w:rsidRPr="00575E7F">
        <w:t>(London: The University Press, 1948), p.</w:t>
      </w:r>
      <w:r w:rsidR="003D7237">
        <w:t>2</w:t>
      </w:r>
      <w:r w:rsidR="003D7237">
        <w:t>4.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C7B3D8" w14:textId="264BCFB0" w:rsidR="00D24E90" w:rsidRDefault="00D24E90">
    <w:pPr>
      <w:pStyle w:val="Header"/>
    </w:pPr>
    <w:r>
      <w:t>Lois Wilcox 2200825</w:t>
    </w:r>
    <w:r>
      <w:ptab w:relativeTo="margin" w:alignment="center" w:leader="none"/>
    </w:r>
    <w:r>
      <w:t>The Book, The Body, and The Mind</w:t>
    </w:r>
    <w:r>
      <w:ptab w:relativeTo="margin" w:alignment="right" w:leader="none"/>
    </w:r>
    <w:r>
      <w:t>30/01/2024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E90"/>
    <w:rsid w:val="00005ACF"/>
    <w:rsid w:val="00027639"/>
    <w:rsid w:val="00045AB0"/>
    <w:rsid w:val="0005151D"/>
    <w:rsid w:val="00061B12"/>
    <w:rsid w:val="00066D55"/>
    <w:rsid w:val="00067E8A"/>
    <w:rsid w:val="000771A0"/>
    <w:rsid w:val="0009072F"/>
    <w:rsid w:val="000A24FB"/>
    <w:rsid w:val="000A63DF"/>
    <w:rsid w:val="000B5881"/>
    <w:rsid w:val="000B63CC"/>
    <w:rsid w:val="000C4327"/>
    <w:rsid w:val="000D100E"/>
    <w:rsid w:val="000E4187"/>
    <w:rsid w:val="000F2163"/>
    <w:rsid w:val="00120B11"/>
    <w:rsid w:val="00152FB7"/>
    <w:rsid w:val="00155CE0"/>
    <w:rsid w:val="00170516"/>
    <w:rsid w:val="00174FA7"/>
    <w:rsid w:val="001A3F29"/>
    <w:rsid w:val="001A4C63"/>
    <w:rsid w:val="001B4DCE"/>
    <w:rsid w:val="001B7556"/>
    <w:rsid w:val="001D11CA"/>
    <w:rsid w:val="001E3502"/>
    <w:rsid w:val="001E73DA"/>
    <w:rsid w:val="001F07EC"/>
    <w:rsid w:val="00211457"/>
    <w:rsid w:val="00214035"/>
    <w:rsid w:val="00214956"/>
    <w:rsid w:val="00224CF9"/>
    <w:rsid w:val="0022582E"/>
    <w:rsid w:val="00235EA4"/>
    <w:rsid w:val="00242126"/>
    <w:rsid w:val="00250D14"/>
    <w:rsid w:val="002C13A5"/>
    <w:rsid w:val="002D2812"/>
    <w:rsid w:val="002D4537"/>
    <w:rsid w:val="002F54CA"/>
    <w:rsid w:val="00323BE8"/>
    <w:rsid w:val="00335365"/>
    <w:rsid w:val="003371C5"/>
    <w:rsid w:val="0035090C"/>
    <w:rsid w:val="0035581A"/>
    <w:rsid w:val="00365E09"/>
    <w:rsid w:val="00367F7F"/>
    <w:rsid w:val="003758A6"/>
    <w:rsid w:val="00384167"/>
    <w:rsid w:val="003A02AB"/>
    <w:rsid w:val="003A0657"/>
    <w:rsid w:val="003A72A8"/>
    <w:rsid w:val="003D39D8"/>
    <w:rsid w:val="003D7237"/>
    <w:rsid w:val="003F7357"/>
    <w:rsid w:val="00421002"/>
    <w:rsid w:val="004257CD"/>
    <w:rsid w:val="00430A1E"/>
    <w:rsid w:val="0043333B"/>
    <w:rsid w:val="00434714"/>
    <w:rsid w:val="004415D1"/>
    <w:rsid w:val="004676B8"/>
    <w:rsid w:val="00480023"/>
    <w:rsid w:val="00483E3A"/>
    <w:rsid w:val="00496AA7"/>
    <w:rsid w:val="004A3F79"/>
    <w:rsid w:val="004A5540"/>
    <w:rsid w:val="004B613A"/>
    <w:rsid w:val="004C40F9"/>
    <w:rsid w:val="004C5A21"/>
    <w:rsid w:val="004D365D"/>
    <w:rsid w:val="004E0B18"/>
    <w:rsid w:val="004E168A"/>
    <w:rsid w:val="004E5179"/>
    <w:rsid w:val="00507264"/>
    <w:rsid w:val="00507B2B"/>
    <w:rsid w:val="00516F15"/>
    <w:rsid w:val="00525A20"/>
    <w:rsid w:val="0053315C"/>
    <w:rsid w:val="00533D00"/>
    <w:rsid w:val="0054179B"/>
    <w:rsid w:val="00556A94"/>
    <w:rsid w:val="00560766"/>
    <w:rsid w:val="00562E7D"/>
    <w:rsid w:val="00567ECE"/>
    <w:rsid w:val="00575E7F"/>
    <w:rsid w:val="00580ABA"/>
    <w:rsid w:val="00580BE6"/>
    <w:rsid w:val="005852F4"/>
    <w:rsid w:val="00594FD2"/>
    <w:rsid w:val="005A6AAB"/>
    <w:rsid w:val="005A7A93"/>
    <w:rsid w:val="005C4046"/>
    <w:rsid w:val="005C4152"/>
    <w:rsid w:val="005E48C1"/>
    <w:rsid w:val="005E5F8B"/>
    <w:rsid w:val="005F2462"/>
    <w:rsid w:val="00617650"/>
    <w:rsid w:val="00635175"/>
    <w:rsid w:val="006360EA"/>
    <w:rsid w:val="0065567F"/>
    <w:rsid w:val="006647CC"/>
    <w:rsid w:val="00666AD1"/>
    <w:rsid w:val="006817B3"/>
    <w:rsid w:val="00690D1B"/>
    <w:rsid w:val="0069443A"/>
    <w:rsid w:val="006B08D5"/>
    <w:rsid w:val="006B2DA4"/>
    <w:rsid w:val="006B61C0"/>
    <w:rsid w:val="006B711D"/>
    <w:rsid w:val="006C319B"/>
    <w:rsid w:val="006C43D0"/>
    <w:rsid w:val="006C7F36"/>
    <w:rsid w:val="006D4EA7"/>
    <w:rsid w:val="006E2081"/>
    <w:rsid w:val="006E4D63"/>
    <w:rsid w:val="006F35A8"/>
    <w:rsid w:val="0070348F"/>
    <w:rsid w:val="00705AD7"/>
    <w:rsid w:val="00710EFA"/>
    <w:rsid w:val="0071296A"/>
    <w:rsid w:val="0073537A"/>
    <w:rsid w:val="00743146"/>
    <w:rsid w:val="0074741E"/>
    <w:rsid w:val="0078009A"/>
    <w:rsid w:val="007822C9"/>
    <w:rsid w:val="007A4075"/>
    <w:rsid w:val="007D57E0"/>
    <w:rsid w:val="007D72BF"/>
    <w:rsid w:val="007E233A"/>
    <w:rsid w:val="007F408B"/>
    <w:rsid w:val="00801127"/>
    <w:rsid w:val="00802DC2"/>
    <w:rsid w:val="008070A5"/>
    <w:rsid w:val="00824B0B"/>
    <w:rsid w:val="00824EAF"/>
    <w:rsid w:val="00833E66"/>
    <w:rsid w:val="008357DF"/>
    <w:rsid w:val="00840FE9"/>
    <w:rsid w:val="0084798A"/>
    <w:rsid w:val="00847F94"/>
    <w:rsid w:val="00850853"/>
    <w:rsid w:val="0086019C"/>
    <w:rsid w:val="00860E01"/>
    <w:rsid w:val="00863D48"/>
    <w:rsid w:val="00864888"/>
    <w:rsid w:val="00876C25"/>
    <w:rsid w:val="008843F6"/>
    <w:rsid w:val="008856C2"/>
    <w:rsid w:val="008A605B"/>
    <w:rsid w:val="008C1556"/>
    <w:rsid w:val="008C53F1"/>
    <w:rsid w:val="008D493E"/>
    <w:rsid w:val="008E1CB0"/>
    <w:rsid w:val="008E2553"/>
    <w:rsid w:val="008F0305"/>
    <w:rsid w:val="008F0E14"/>
    <w:rsid w:val="008F4732"/>
    <w:rsid w:val="008F5F45"/>
    <w:rsid w:val="009108EF"/>
    <w:rsid w:val="00911DC7"/>
    <w:rsid w:val="00914BF4"/>
    <w:rsid w:val="0096130B"/>
    <w:rsid w:val="009728CA"/>
    <w:rsid w:val="009933FF"/>
    <w:rsid w:val="009B12D5"/>
    <w:rsid w:val="009B3A28"/>
    <w:rsid w:val="009F3551"/>
    <w:rsid w:val="009F3BF6"/>
    <w:rsid w:val="009F666C"/>
    <w:rsid w:val="00A017C9"/>
    <w:rsid w:val="00A02C91"/>
    <w:rsid w:val="00A235A7"/>
    <w:rsid w:val="00A3004A"/>
    <w:rsid w:val="00A323A1"/>
    <w:rsid w:val="00A32FCD"/>
    <w:rsid w:val="00A47433"/>
    <w:rsid w:val="00A529F2"/>
    <w:rsid w:val="00A96F1A"/>
    <w:rsid w:val="00AC14C6"/>
    <w:rsid w:val="00AC409E"/>
    <w:rsid w:val="00AD426A"/>
    <w:rsid w:val="00AE242B"/>
    <w:rsid w:val="00B03E08"/>
    <w:rsid w:val="00B0520A"/>
    <w:rsid w:val="00B0775B"/>
    <w:rsid w:val="00B22236"/>
    <w:rsid w:val="00B2432A"/>
    <w:rsid w:val="00B2480F"/>
    <w:rsid w:val="00B41C4D"/>
    <w:rsid w:val="00B5421B"/>
    <w:rsid w:val="00B6153A"/>
    <w:rsid w:val="00B618E7"/>
    <w:rsid w:val="00B65952"/>
    <w:rsid w:val="00B9039C"/>
    <w:rsid w:val="00BA5010"/>
    <w:rsid w:val="00BB52F0"/>
    <w:rsid w:val="00BB576B"/>
    <w:rsid w:val="00C170D6"/>
    <w:rsid w:val="00C22C58"/>
    <w:rsid w:val="00C246A5"/>
    <w:rsid w:val="00C34C56"/>
    <w:rsid w:val="00C44A46"/>
    <w:rsid w:val="00C45E97"/>
    <w:rsid w:val="00C725E5"/>
    <w:rsid w:val="00C76C75"/>
    <w:rsid w:val="00C91EDA"/>
    <w:rsid w:val="00C93F12"/>
    <w:rsid w:val="00C96C7D"/>
    <w:rsid w:val="00CA0F6F"/>
    <w:rsid w:val="00CA3B82"/>
    <w:rsid w:val="00CB008B"/>
    <w:rsid w:val="00CC4BF5"/>
    <w:rsid w:val="00CC76FB"/>
    <w:rsid w:val="00CF28B7"/>
    <w:rsid w:val="00CF4055"/>
    <w:rsid w:val="00CF59FC"/>
    <w:rsid w:val="00D03439"/>
    <w:rsid w:val="00D05F10"/>
    <w:rsid w:val="00D23387"/>
    <w:rsid w:val="00D24E90"/>
    <w:rsid w:val="00D27215"/>
    <w:rsid w:val="00D27AAB"/>
    <w:rsid w:val="00D30077"/>
    <w:rsid w:val="00D31B53"/>
    <w:rsid w:val="00D37946"/>
    <w:rsid w:val="00D50BB4"/>
    <w:rsid w:val="00D5602B"/>
    <w:rsid w:val="00D5711C"/>
    <w:rsid w:val="00D6036E"/>
    <w:rsid w:val="00D623F2"/>
    <w:rsid w:val="00D627CF"/>
    <w:rsid w:val="00D647E1"/>
    <w:rsid w:val="00D64DD5"/>
    <w:rsid w:val="00D722FF"/>
    <w:rsid w:val="00D83DEF"/>
    <w:rsid w:val="00D8563E"/>
    <w:rsid w:val="00DA2A50"/>
    <w:rsid w:val="00DB19AD"/>
    <w:rsid w:val="00DC3B46"/>
    <w:rsid w:val="00DC57F3"/>
    <w:rsid w:val="00DC7E85"/>
    <w:rsid w:val="00DD1F8B"/>
    <w:rsid w:val="00DE561F"/>
    <w:rsid w:val="00DE5C96"/>
    <w:rsid w:val="00DE6C47"/>
    <w:rsid w:val="00E00085"/>
    <w:rsid w:val="00E008B1"/>
    <w:rsid w:val="00E06B14"/>
    <w:rsid w:val="00E07FEB"/>
    <w:rsid w:val="00E1084B"/>
    <w:rsid w:val="00E23E07"/>
    <w:rsid w:val="00E332AC"/>
    <w:rsid w:val="00E40255"/>
    <w:rsid w:val="00E55DA3"/>
    <w:rsid w:val="00E80BD2"/>
    <w:rsid w:val="00E825F4"/>
    <w:rsid w:val="00E9285E"/>
    <w:rsid w:val="00EA573E"/>
    <w:rsid w:val="00EA6ACB"/>
    <w:rsid w:val="00EB5B66"/>
    <w:rsid w:val="00ED482E"/>
    <w:rsid w:val="00ED5797"/>
    <w:rsid w:val="00ED6A42"/>
    <w:rsid w:val="00EE54CA"/>
    <w:rsid w:val="00EE74A9"/>
    <w:rsid w:val="00EF40F3"/>
    <w:rsid w:val="00F04795"/>
    <w:rsid w:val="00F10179"/>
    <w:rsid w:val="00F12452"/>
    <w:rsid w:val="00F150F2"/>
    <w:rsid w:val="00F24934"/>
    <w:rsid w:val="00F3160C"/>
    <w:rsid w:val="00F37C3B"/>
    <w:rsid w:val="00F40E72"/>
    <w:rsid w:val="00F5651F"/>
    <w:rsid w:val="00F75139"/>
    <w:rsid w:val="00F833E9"/>
    <w:rsid w:val="00FB463E"/>
    <w:rsid w:val="00FB786E"/>
    <w:rsid w:val="00FB7B4E"/>
    <w:rsid w:val="00FC3F8B"/>
    <w:rsid w:val="00FC594F"/>
    <w:rsid w:val="00FC65CA"/>
    <w:rsid w:val="00FD625C"/>
    <w:rsid w:val="00FE74E5"/>
    <w:rsid w:val="00FF11D6"/>
    <w:rsid w:val="00FF3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401F08"/>
  <w15:chartTrackingRefBased/>
  <w15:docId w15:val="{CD5AA9E4-53B9-421D-83D2-018997DB05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4E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4E90"/>
  </w:style>
  <w:style w:type="paragraph" w:styleId="Footer">
    <w:name w:val="footer"/>
    <w:basedOn w:val="Normal"/>
    <w:link w:val="FooterChar"/>
    <w:uiPriority w:val="99"/>
    <w:unhideWhenUsed/>
    <w:rsid w:val="00D24E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4E90"/>
  </w:style>
  <w:style w:type="paragraph" w:styleId="FootnoteText">
    <w:name w:val="footnote text"/>
    <w:basedOn w:val="Normal"/>
    <w:link w:val="FootnoteTextChar"/>
    <w:uiPriority w:val="99"/>
    <w:semiHidden/>
    <w:unhideWhenUsed/>
    <w:rsid w:val="0043471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471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3471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C14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14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jstor-org.ezproxy.uwtsd.ac.uk/stable/j.ctt7stk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ooks.google.co.uk/books?hl=en&amp;lr=&amp;id=suo9DwAAQBAJ&amp;oi=fnd&amp;pg=PR9&amp;dq=Jacobus+de+Voragine&amp;ots=_H2tJm9lxU&amp;sig=KS9IYEp5LcvHEpC4xMWPh5DOfis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-org.ezproxy.uwtsd.ac.uk/10.7227/BJRL.91.2.2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7227/BJRL.91.2.2" TargetMode="External"/><Relationship Id="rId3" Type="http://schemas.openxmlformats.org/officeDocument/2006/relationships/hyperlink" Target="https://books.google.co.uk/books?hl=en&amp;lr=&amp;id=suo9DwAAQBAJ&amp;oi=fnd&amp;pg=PR9&amp;dq=Jacobus+de+Voragine&amp;ots=_H2tJm9lxU&amp;sig=KS9IYEp5LcvHEpC4xMWPh5DOfis" TargetMode="External"/><Relationship Id="rId7" Type="http://schemas.openxmlformats.org/officeDocument/2006/relationships/hyperlink" Target="https://www-jstor-org.ezproxy.uwtsd.ac.uk/stable/j.ctt7stkm" TargetMode="External"/><Relationship Id="rId2" Type="http://schemas.openxmlformats.org/officeDocument/2006/relationships/hyperlink" Target="https://books.google.co.uk/books?hl=en&amp;lr=&amp;id=suo9DwAAQBAJ&amp;oi=fnd&amp;pg=PR9&amp;dq=Jacobus+de+Voragine&amp;ots=_H2tJm9lxU&amp;sig=KS9IYEp5LcvHEpC4xMWPh5DOfis" TargetMode="External"/><Relationship Id="rId1" Type="http://schemas.openxmlformats.org/officeDocument/2006/relationships/hyperlink" Target="https://www-jstor-org.ezproxy.uwtsd.ac.uk/stable/j.ctt7stkm" TargetMode="External"/><Relationship Id="rId6" Type="http://schemas.openxmlformats.org/officeDocument/2006/relationships/hyperlink" Target="https://www-jstor-org.ezproxy.uwtsd.ac.uk/stable/j.ctt7stkm" TargetMode="External"/><Relationship Id="rId5" Type="http://schemas.openxmlformats.org/officeDocument/2006/relationships/hyperlink" Target="https://books.google.co.uk/books?hl=en&amp;lr=&amp;id=suo9DwAAQBAJ&amp;oi=fnd&amp;pg=PR9&amp;dq=Jacobus+de+Voragine&amp;ots=_H2tJm9lxU&amp;sig=KS9IYEp5LcvHEpC4xMWPh5DOfis" TargetMode="External"/><Relationship Id="rId10" Type="http://schemas.openxmlformats.org/officeDocument/2006/relationships/hyperlink" Target="https://doi-org.ezproxy.uwtsd.ac.uk/10.7227/BJRL.91.2.2" TargetMode="External"/><Relationship Id="rId4" Type="http://schemas.openxmlformats.org/officeDocument/2006/relationships/hyperlink" Target="https://books.google.co.uk/books?hl=en&amp;lr=&amp;id=suo9DwAAQBAJ&amp;oi=fnd&amp;pg=PR9&amp;dq=Jacobus+de+Voragine&amp;ots=_H2tJm9lxU&amp;sig=KS9IYEp5LcvHEpC4xMWPh5DOfis" TargetMode="External"/><Relationship Id="rId9" Type="http://schemas.openxmlformats.org/officeDocument/2006/relationships/hyperlink" Target="https://doi-org.ezproxy.uwtsd.ac.uk/10.7227/BJRL.91.2.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6</Pages>
  <Words>1526</Words>
  <Characters>8701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282</cp:revision>
  <dcterms:created xsi:type="dcterms:W3CDTF">2024-01-29T10:16:00Z</dcterms:created>
  <dcterms:modified xsi:type="dcterms:W3CDTF">2024-01-31T15:51:00Z</dcterms:modified>
</cp:coreProperties>
</file>