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D28F8" w14:textId="77777777" w:rsidR="000D4DEE" w:rsidRPr="000D4DEE" w:rsidRDefault="000D4DEE" w:rsidP="000D4DEE">
      <w:pPr>
        <w:rPr>
          <w:rFonts w:ascii="Times New Roman" w:hAnsi="Times New Roman" w:cs="Times New Roman"/>
          <w:b/>
          <w:bCs/>
          <w:sz w:val="28"/>
          <w:szCs w:val="28"/>
        </w:rPr>
      </w:pPr>
      <w:r w:rsidRPr="000D4DEE">
        <w:rPr>
          <w:rFonts w:ascii="Times New Roman" w:hAnsi="Times New Roman" w:cs="Times New Roman"/>
          <w:b/>
          <w:bCs/>
          <w:sz w:val="28"/>
          <w:szCs w:val="28"/>
        </w:rPr>
        <w:t>International Meetings Management for the Hotel Industry</w:t>
      </w:r>
    </w:p>
    <w:p w14:paraId="0439789B" w14:textId="77777777" w:rsidR="000D4DEE" w:rsidRDefault="000D4DEE" w:rsidP="000D4DEE">
      <w:pPr>
        <w:rPr>
          <w:rFonts w:ascii="Times New Roman" w:hAnsi="Times New Roman" w:cs="Times New Roman"/>
          <w:b/>
          <w:bCs/>
          <w:sz w:val="28"/>
          <w:szCs w:val="28"/>
        </w:rPr>
      </w:pPr>
      <w:r w:rsidRPr="000D4DEE">
        <w:rPr>
          <w:rFonts w:ascii="Times New Roman" w:hAnsi="Times New Roman" w:cs="Times New Roman"/>
          <w:b/>
          <w:bCs/>
          <w:sz w:val="28"/>
          <w:szCs w:val="28"/>
        </w:rPr>
        <w:t>BMIH6007</w:t>
      </w:r>
    </w:p>
    <w:p w14:paraId="4ADA83E2" w14:textId="16785644" w:rsidR="002D308B" w:rsidRDefault="002D308B" w:rsidP="000D4DEE">
      <w:pPr>
        <w:rPr>
          <w:rFonts w:ascii="Times New Roman" w:hAnsi="Times New Roman" w:cs="Times New Roman"/>
          <w:b/>
          <w:bCs/>
          <w:sz w:val="28"/>
          <w:szCs w:val="28"/>
        </w:rPr>
      </w:pPr>
      <w:r>
        <w:rPr>
          <w:rFonts w:ascii="Times New Roman" w:hAnsi="Times New Roman" w:cs="Times New Roman"/>
          <w:b/>
          <w:bCs/>
          <w:sz w:val="28"/>
          <w:szCs w:val="28"/>
        </w:rPr>
        <w:t>Irina-Diana Buture</w:t>
      </w:r>
    </w:p>
    <w:p w14:paraId="1585D9B8" w14:textId="3B140DA4" w:rsidR="002D308B" w:rsidRPr="000D4DEE" w:rsidRDefault="002D308B" w:rsidP="000D4DEE">
      <w:pPr>
        <w:rPr>
          <w:rFonts w:ascii="Times New Roman" w:hAnsi="Times New Roman" w:cs="Times New Roman"/>
          <w:b/>
          <w:bCs/>
          <w:sz w:val="28"/>
          <w:szCs w:val="28"/>
        </w:rPr>
      </w:pPr>
      <w:r>
        <w:rPr>
          <w:rFonts w:ascii="Times New Roman" w:hAnsi="Times New Roman" w:cs="Times New Roman"/>
          <w:b/>
          <w:bCs/>
          <w:sz w:val="28"/>
          <w:szCs w:val="28"/>
        </w:rPr>
        <w:t>2239006</w:t>
      </w:r>
    </w:p>
    <w:p w14:paraId="12DA3FF1" w14:textId="77777777" w:rsidR="00B151A8" w:rsidRPr="000D4DEE" w:rsidRDefault="00B151A8">
      <w:pPr>
        <w:rPr>
          <w:rFonts w:ascii="Times New Roman" w:hAnsi="Times New Roman" w:cs="Times New Roman"/>
          <w:sz w:val="28"/>
          <w:szCs w:val="28"/>
        </w:rPr>
      </w:pPr>
    </w:p>
    <w:p w14:paraId="12AD26BD" w14:textId="77777777" w:rsidR="000D4DEE" w:rsidRPr="000D4DEE" w:rsidRDefault="000D4DEE">
      <w:pPr>
        <w:rPr>
          <w:rFonts w:ascii="Times New Roman" w:hAnsi="Times New Roman" w:cs="Times New Roman"/>
          <w:sz w:val="28"/>
          <w:szCs w:val="28"/>
        </w:rPr>
      </w:pPr>
    </w:p>
    <w:p w14:paraId="69E3A89E" w14:textId="77777777" w:rsidR="000D4DEE" w:rsidRPr="000D4DEE" w:rsidRDefault="000D4DEE">
      <w:pPr>
        <w:rPr>
          <w:rFonts w:ascii="Times New Roman" w:hAnsi="Times New Roman" w:cs="Times New Roman"/>
          <w:sz w:val="28"/>
          <w:szCs w:val="28"/>
        </w:rPr>
      </w:pPr>
    </w:p>
    <w:p w14:paraId="73653ABC" w14:textId="77777777" w:rsidR="000D4DEE" w:rsidRPr="000D4DEE" w:rsidRDefault="000D4DEE">
      <w:pPr>
        <w:rPr>
          <w:rFonts w:ascii="Times New Roman" w:hAnsi="Times New Roman" w:cs="Times New Roman"/>
          <w:sz w:val="28"/>
          <w:szCs w:val="28"/>
        </w:rPr>
      </w:pPr>
    </w:p>
    <w:p w14:paraId="2DC4D60B" w14:textId="77777777" w:rsidR="000D4DEE" w:rsidRPr="000D4DEE" w:rsidRDefault="000D4DEE">
      <w:pPr>
        <w:rPr>
          <w:rFonts w:ascii="Times New Roman" w:hAnsi="Times New Roman" w:cs="Times New Roman"/>
          <w:sz w:val="28"/>
          <w:szCs w:val="28"/>
        </w:rPr>
      </w:pPr>
    </w:p>
    <w:p w14:paraId="01C6AD11" w14:textId="77777777" w:rsidR="000D4DEE" w:rsidRPr="000D4DEE" w:rsidRDefault="000D4DEE">
      <w:pPr>
        <w:rPr>
          <w:rFonts w:ascii="Times New Roman" w:hAnsi="Times New Roman" w:cs="Times New Roman"/>
          <w:sz w:val="28"/>
          <w:szCs w:val="28"/>
        </w:rPr>
      </w:pPr>
    </w:p>
    <w:p w14:paraId="5608EFA3" w14:textId="77777777" w:rsidR="000D4DEE" w:rsidRPr="000D4DEE" w:rsidRDefault="000D4DEE">
      <w:pPr>
        <w:rPr>
          <w:rFonts w:ascii="Times New Roman" w:hAnsi="Times New Roman" w:cs="Times New Roman"/>
          <w:sz w:val="28"/>
          <w:szCs w:val="28"/>
        </w:rPr>
      </w:pPr>
    </w:p>
    <w:p w14:paraId="79F5D616" w14:textId="77777777" w:rsidR="000D4DEE" w:rsidRPr="000D4DEE" w:rsidRDefault="000D4DEE">
      <w:pPr>
        <w:rPr>
          <w:rFonts w:ascii="Times New Roman" w:hAnsi="Times New Roman" w:cs="Times New Roman"/>
          <w:sz w:val="28"/>
          <w:szCs w:val="28"/>
        </w:rPr>
      </w:pPr>
    </w:p>
    <w:p w14:paraId="458A5A80" w14:textId="2D8CF533" w:rsidR="000D4DEE" w:rsidRDefault="000D4DEE">
      <w:pPr>
        <w:rPr>
          <w:rFonts w:ascii="Times New Roman" w:hAnsi="Times New Roman" w:cs="Times New Roman"/>
          <w:sz w:val="28"/>
          <w:szCs w:val="28"/>
        </w:rPr>
      </w:pPr>
      <w:r w:rsidRPr="000D4DEE">
        <w:rPr>
          <w:rFonts w:ascii="Times New Roman" w:hAnsi="Times New Roman" w:cs="Times New Roman"/>
          <w:sz w:val="28"/>
          <w:szCs w:val="28"/>
        </w:rPr>
        <w:t xml:space="preserve">I confirm that I have used Grammarly to correct my grammar in the text. </w:t>
      </w:r>
    </w:p>
    <w:p w14:paraId="6627639F" w14:textId="77777777" w:rsidR="000D4DEE" w:rsidRDefault="000D4DEE">
      <w:pPr>
        <w:rPr>
          <w:rFonts w:ascii="Times New Roman" w:hAnsi="Times New Roman" w:cs="Times New Roman"/>
          <w:sz w:val="28"/>
          <w:szCs w:val="28"/>
        </w:rPr>
      </w:pPr>
    </w:p>
    <w:p w14:paraId="12DD0EF1" w14:textId="77777777" w:rsidR="000D4DEE" w:rsidRDefault="000D4DEE">
      <w:pPr>
        <w:rPr>
          <w:rFonts w:ascii="Times New Roman" w:hAnsi="Times New Roman" w:cs="Times New Roman"/>
          <w:sz w:val="28"/>
          <w:szCs w:val="28"/>
        </w:rPr>
      </w:pPr>
    </w:p>
    <w:p w14:paraId="32CF2586" w14:textId="77777777" w:rsidR="000D4DEE" w:rsidRDefault="000D4DEE">
      <w:pPr>
        <w:rPr>
          <w:rFonts w:ascii="Times New Roman" w:hAnsi="Times New Roman" w:cs="Times New Roman"/>
          <w:sz w:val="28"/>
          <w:szCs w:val="28"/>
        </w:rPr>
      </w:pPr>
    </w:p>
    <w:p w14:paraId="4394AEB3" w14:textId="77777777" w:rsidR="000D4DEE" w:rsidRDefault="000D4DEE">
      <w:pPr>
        <w:rPr>
          <w:rFonts w:ascii="Times New Roman" w:hAnsi="Times New Roman" w:cs="Times New Roman"/>
          <w:sz w:val="28"/>
          <w:szCs w:val="28"/>
        </w:rPr>
      </w:pPr>
    </w:p>
    <w:p w14:paraId="04071CAB" w14:textId="77777777" w:rsidR="000D4DEE" w:rsidRDefault="000D4DEE">
      <w:pPr>
        <w:rPr>
          <w:rFonts w:ascii="Times New Roman" w:hAnsi="Times New Roman" w:cs="Times New Roman"/>
          <w:sz w:val="28"/>
          <w:szCs w:val="28"/>
        </w:rPr>
      </w:pPr>
    </w:p>
    <w:p w14:paraId="73AEB8C1" w14:textId="77777777" w:rsidR="000D4DEE" w:rsidRDefault="000D4DEE">
      <w:pPr>
        <w:rPr>
          <w:rFonts w:ascii="Times New Roman" w:hAnsi="Times New Roman" w:cs="Times New Roman"/>
          <w:sz w:val="28"/>
          <w:szCs w:val="28"/>
        </w:rPr>
      </w:pPr>
    </w:p>
    <w:p w14:paraId="4A8ABE62" w14:textId="77777777" w:rsidR="000D4DEE" w:rsidRDefault="000D4DEE">
      <w:pPr>
        <w:rPr>
          <w:rFonts w:ascii="Times New Roman" w:hAnsi="Times New Roman" w:cs="Times New Roman"/>
          <w:sz w:val="28"/>
          <w:szCs w:val="28"/>
        </w:rPr>
      </w:pPr>
    </w:p>
    <w:p w14:paraId="407061D2" w14:textId="77777777" w:rsidR="000D4DEE" w:rsidRDefault="000D4DEE">
      <w:pPr>
        <w:rPr>
          <w:rFonts w:ascii="Times New Roman" w:hAnsi="Times New Roman" w:cs="Times New Roman"/>
          <w:sz w:val="28"/>
          <w:szCs w:val="28"/>
        </w:rPr>
      </w:pPr>
    </w:p>
    <w:p w14:paraId="7B732AB4" w14:textId="77777777" w:rsidR="000D4DEE" w:rsidRDefault="000D4DEE">
      <w:pPr>
        <w:rPr>
          <w:rFonts w:ascii="Times New Roman" w:hAnsi="Times New Roman" w:cs="Times New Roman"/>
          <w:sz w:val="28"/>
          <w:szCs w:val="28"/>
        </w:rPr>
      </w:pPr>
    </w:p>
    <w:p w14:paraId="2EF93FF8" w14:textId="77777777" w:rsidR="000D4DEE" w:rsidRDefault="000D4DEE">
      <w:pPr>
        <w:rPr>
          <w:rFonts w:ascii="Times New Roman" w:hAnsi="Times New Roman" w:cs="Times New Roman"/>
          <w:sz w:val="28"/>
          <w:szCs w:val="28"/>
        </w:rPr>
      </w:pPr>
    </w:p>
    <w:p w14:paraId="4A8E03D7" w14:textId="77777777" w:rsidR="000D4DEE" w:rsidRDefault="000D4DEE">
      <w:pPr>
        <w:rPr>
          <w:rFonts w:ascii="Times New Roman" w:hAnsi="Times New Roman" w:cs="Times New Roman"/>
          <w:sz w:val="28"/>
          <w:szCs w:val="28"/>
        </w:rPr>
      </w:pPr>
    </w:p>
    <w:p w14:paraId="47B415C5" w14:textId="77777777" w:rsidR="000D4DEE" w:rsidRDefault="000D4DEE">
      <w:pPr>
        <w:rPr>
          <w:rFonts w:ascii="Times New Roman" w:hAnsi="Times New Roman" w:cs="Times New Roman"/>
          <w:sz w:val="28"/>
          <w:szCs w:val="28"/>
        </w:rPr>
      </w:pPr>
    </w:p>
    <w:p w14:paraId="2EF08269" w14:textId="77777777" w:rsidR="000D4DEE" w:rsidRDefault="000D4DEE">
      <w:pPr>
        <w:rPr>
          <w:rFonts w:ascii="Times New Roman" w:hAnsi="Times New Roman" w:cs="Times New Roman"/>
          <w:sz w:val="28"/>
          <w:szCs w:val="28"/>
        </w:rPr>
      </w:pPr>
    </w:p>
    <w:p w14:paraId="1A5AB58B" w14:textId="77777777" w:rsidR="000D4DEE" w:rsidRDefault="000D4DEE">
      <w:pPr>
        <w:rPr>
          <w:rFonts w:ascii="Times New Roman" w:hAnsi="Times New Roman" w:cs="Times New Roman"/>
          <w:sz w:val="28"/>
          <w:szCs w:val="28"/>
        </w:rPr>
      </w:pPr>
    </w:p>
    <w:p w14:paraId="2490E6A4" w14:textId="77777777" w:rsidR="000D4DEE" w:rsidRDefault="000D4DEE">
      <w:pPr>
        <w:rPr>
          <w:rFonts w:ascii="Times New Roman" w:hAnsi="Times New Roman" w:cs="Times New Roman"/>
          <w:sz w:val="28"/>
          <w:szCs w:val="28"/>
        </w:rPr>
      </w:pPr>
    </w:p>
    <w:p w14:paraId="4A37A5F0" w14:textId="77777777" w:rsidR="000D4DEE" w:rsidRDefault="000D4DEE">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084722933"/>
        <w:docPartObj>
          <w:docPartGallery w:val="Table of Contents"/>
          <w:docPartUnique/>
        </w:docPartObj>
      </w:sdtPr>
      <w:sdtEndPr>
        <w:rPr>
          <w:b/>
          <w:bCs/>
          <w:noProof/>
        </w:rPr>
      </w:sdtEndPr>
      <w:sdtContent>
        <w:p w14:paraId="094D5E8A" w14:textId="01F7F3E1" w:rsidR="004C062B" w:rsidRPr="004C062B" w:rsidRDefault="004C062B" w:rsidP="004C062B">
          <w:pPr>
            <w:pStyle w:val="TOCHeading"/>
            <w:spacing w:line="360" w:lineRule="auto"/>
            <w:rPr>
              <w:rFonts w:ascii="Times New Roman" w:hAnsi="Times New Roman" w:cs="Times New Roman"/>
            </w:rPr>
          </w:pPr>
          <w:r w:rsidRPr="004C062B">
            <w:rPr>
              <w:rFonts w:ascii="Times New Roman" w:hAnsi="Times New Roman" w:cs="Times New Roman"/>
            </w:rPr>
            <w:t>Contents</w:t>
          </w:r>
        </w:p>
        <w:p w14:paraId="17E9EBF7" w14:textId="6868D04C"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r w:rsidRPr="004C062B">
            <w:rPr>
              <w:rFonts w:ascii="Times New Roman" w:hAnsi="Times New Roman" w:cs="Times New Roman"/>
            </w:rPr>
            <w:fldChar w:fldCharType="begin"/>
          </w:r>
          <w:r w:rsidRPr="004C062B">
            <w:rPr>
              <w:rFonts w:ascii="Times New Roman" w:hAnsi="Times New Roman" w:cs="Times New Roman"/>
            </w:rPr>
            <w:instrText xml:space="preserve"> TOC \o "1-3" \h \z \u </w:instrText>
          </w:r>
          <w:r w:rsidRPr="004C062B">
            <w:rPr>
              <w:rFonts w:ascii="Times New Roman" w:hAnsi="Times New Roman" w:cs="Times New Roman"/>
            </w:rPr>
            <w:fldChar w:fldCharType="separate"/>
          </w:r>
          <w:hyperlink w:anchor="_Toc200739161" w:history="1">
            <w:r w:rsidRPr="004C062B">
              <w:rPr>
                <w:rStyle w:val="Hyperlink"/>
                <w:rFonts w:ascii="Times New Roman" w:hAnsi="Times New Roman" w:cs="Times New Roman"/>
                <w:noProof/>
              </w:rPr>
              <w:t>1.</w:t>
            </w:r>
            <w:r w:rsidRPr="004C062B">
              <w:rPr>
                <w:rFonts w:ascii="Times New Roman" w:hAnsi="Times New Roman" w:cs="Times New Roman"/>
                <w:noProof/>
              </w:rPr>
              <w:tab/>
            </w:r>
            <w:r w:rsidRPr="004C062B">
              <w:rPr>
                <w:rStyle w:val="Hyperlink"/>
                <w:rFonts w:ascii="Times New Roman" w:hAnsi="Times New Roman" w:cs="Times New Roman"/>
                <w:noProof/>
              </w:rPr>
              <w:t>Introduction</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_Toc200739161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3</w:t>
            </w:r>
            <w:r w:rsidRPr="004C062B">
              <w:rPr>
                <w:rFonts w:ascii="Times New Roman" w:hAnsi="Times New Roman" w:cs="Times New Roman"/>
                <w:noProof/>
                <w:webHidden/>
              </w:rPr>
              <w:fldChar w:fldCharType="end"/>
            </w:r>
          </w:hyperlink>
        </w:p>
        <w:p w14:paraId="040E20B3" w14:textId="1CCC0D4A"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2" w:history="1">
            <w:r w:rsidRPr="004C062B">
              <w:rPr>
                <w:rStyle w:val="Hyperlink"/>
                <w:rFonts w:ascii="Times New Roman" w:hAnsi="Times New Roman" w:cs="Times New Roman"/>
                <w:noProof/>
              </w:rPr>
              <w:t>2.</w:t>
            </w:r>
            <w:r w:rsidRPr="004C062B">
              <w:rPr>
                <w:rFonts w:ascii="Times New Roman" w:hAnsi="Times New Roman" w:cs="Times New Roman"/>
                <w:noProof/>
              </w:rPr>
              <w:tab/>
            </w:r>
            <w:r w:rsidRPr="004C062B">
              <w:rPr>
                <w:rStyle w:val="Hyperlink"/>
                <w:rFonts w:ascii="Times New Roman" w:hAnsi="Times New Roman" w:cs="Times New Roman"/>
                <w:noProof/>
              </w:rPr>
              <w:t>The Event Cycle</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_Toc200739162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3</w:t>
            </w:r>
            <w:r w:rsidRPr="004C062B">
              <w:rPr>
                <w:rFonts w:ascii="Times New Roman" w:hAnsi="Times New Roman" w:cs="Times New Roman"/>
                <w:noProof/>
                <w:webHidden/>
              </w:rPr>
              <w:fldChar w:fldCharType="end"/>
            </w:r>
          </w:hyperlink>
        </w:p>
        <w:p w14:paraId="2D092ED2" w14:textId="72759077"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3" w:history="1">
            <w:r w:rsidRPr="004C062B">
              <w:rPr>
                <w:rStyle w:val="Hyperlink"/>
                <w:rFonts w:ascii="Times New Roman" w:hAnsi="Times New Roman" w:cs="Times New Roman"/>
                <w:noProof/>
              </w:rPr>
              <w:t>3.</w:t>
            </w:r>
            <w:r w:rsidRPr="004C062B">
              <w:rPr>
                <w:rFonts w:ascii="Times New Roman" w:hAnsi="Times New Roman" w:cs="Times New Roman"/>
                <w:noProof/>
              </w:rPr>
              <w:tab/>
            </w:r>
            <w:r w:rsidRPr="004C062B">
              <w:rPr>
                <w:rStyle w:val="Hyperlink"/>
                <w:rFonts w:ascii="Times New Roman" w:hAnsi="Times New Roman" w:cs="Times New Roman"/>
                <w:noProof/>
              </w:rPr>
              <w:t>Event Concept</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_Toc200739163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4</w:t>
            </w:r>
            <w:r w:rsidRPr="004C062B">
              <w:rPr>
                <w:rFonts w:ascii="Times New Roman" w:hAnsi="Times New Roman" w:cs="Times New Roman"/>
                <w:noProof/>
                <w:webHidden/>
              </w:rPr>
              <w:fldChar w:fldCharType="end"/>
            </w:r>
          </w:hyperlink>
        </w:p>
        <w:p w14:paraId="5456062E" w14:textId="22E32131"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4" w:history="1">
            <w:r w:rsidRPr="004C062B">
              <w:rPr>
                <w:rStyle w:val="Hyperlink"/>
                <w:rFonts w:ascii="Times New Roman" w:hAnsi="Times New Roman" w:cs="Times New Roman"/>
                <w:noProof/>
              </w:rPr>
              <w:t>4.</w:t>
            </w:r>
            <w:r w:rsidRPr="004C062B">
              <w:rPr>
                <w:rFonts w:ascii="Times New Roman" w:hAnsi="Times New Roman" w:cs="Times New Roman"/>
                <w:noProof/>
              </w:rPr>
              <w:tab/>
            </w:r>
            <w:r w:rsidRPr="004C062B">
              <w:rPr>
                <w:rStyle w:val="Hyperlink"/>
                <w:rFonts w:ascii="Times New Roman" w:hAnsi="Times New Roman" w:cs="Times New Roman"/>
                <w:noProof/>
              </w:rPr>
              <w:t>Aim and Objectives of the Meeting</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_Toc200739164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6</w:t>
            </w:r>
            <w:r w:rsidRPr="004C062B">
              <w:rPr>
                <w:rFonts w:ascii="Times New Roman" w:hAnsi="Times New Roman" w:cs="Times New Roman"/>
                <w:noProof/>
                <w:webHidden/>
              </w:rPr>
              <w:fldChar w:fldCharType="end"/>
            </w:r>
          </w:hyperlink>
        </w:p>
        <w:p w14:paraId="0337EF07" w14:textId="23257EBE"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5" w:history="1">
            <w:r w:rsidRPr="004C062B">
              <w:rPr>
                <w:rStyle w:val="Hyperlink"/>
                <w:rFonts w:ascii="Times New Roman" w:hAnsi="Times New Roman" w:cs="Times New Roman"/>
                <w:noProof/>
              </w:rPr>
              <w:t>5.</w:t>
            </w:r>
            <w:r w:rsidRPr="004C062B">
              <w:rPr>
                <w:rFonts w:ascii="Times New Roman" w:hAnsi="Times New Roman" w:cs="Times New Roman"/>
                <w:noProof/>
              </w:rPr>
              <w:tab/>
            </w:r>
            <w:r w:rsidRPr="004C062B">
              <w:rPr>
                <w:rStyle w:val="Hyperlink"/>
                <w:rFonts w:ascii="Times New Roman" w:hAnsi="Times New Roman" w:cs="Times New Roman"/>
                <w:noProof/>
              </w:rPr>
              <w:t>Event Management</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_Toc200739165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6</w:t>
            </w:r>
            <w:r w:rsidRPr="004C062B">
              <w:rPr>
                <w:rFonts w:ascii="Times New Roman" w:hAnsi="Times New Roman" w:cs="Times New Roman"/>
                <w:noProof/>
                <w:webHidden/>
              </w:rPr>
              <w:fldChar w:fldCharType="end"/>
            </w:r>
          </w:hyperlink>
        </w:p>
        <w:p w14:paraId="13D98AA1" w14:textId="6331AF33"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6" w:history="1">
            <w:r w:rsidRPr="004C062B">
              <w:rPr>
                <w:rStyle w:val="Hyperlink"/>
                <w:rFonts w:ascii="Times New Roman" w:hAnsi="Times New Roman" w:cs="Times New Roman"/>
                <w:noProof/>
              </w:rPr>
              <w:t>6.</w:t>
            </w:r>
            <w:r w:rsidRPr="004C062B">
              <w:rPr>
                <w:rFonts w:ascii="Times New Roman" w:hAnsi="Times New Roman" w:cs="Times New Roman"/>
                <w:noProof/>
              </w:rPr>
              <w:tab/>
            </w:r>
            <w:r w:rsidRPr="004C062B">
              <w:rPr>
                <w:rStyle w:val="Hyperlink"/>
                <w:rFonts w:ascii="Times New Roman" w:hAnsi="Times New Roman" w:cs="Times New Roman"/>
                <w:noProof/>
              </w:rPr>
              <w:t>Event Budget</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_Toc200739166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8</w:t>
            </w:r>
            <w:r w:rsidRPr="004C062B">
              <w:rPr>
                <w:rFonts w:ascii="Times New Roman" w:hAnsi="Times New Roman" w:cs="Times New Roman"/>
                <w:noProof/>
                <w:webHidden/>
              </w:rPr>
              <w:fldChar w:fldCharType="end"/>
            </w:r>
          </w:hyperlink>
        </w:p>
        <w:p w14:paraId="1BA806FA" w14:textId="1D81944E"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7" w:history="1">
            <w:r w:rsidRPr="004C062B">
              <w:rPr>
                <w:rStyle w:val="Hyperlink"/>
                <w:rFonts w:ascii="Times New Roman" w:hAnsi="Times New Roman" w:cs="Times New Roman"/>
                <w:noProof/>
              </w:rPr>
              <w:t>7.</w:t>
            </w:r>
            <w:r w:rsidRPr="004C062B">
              <w:rPr>
                <w:rFonts w:ascii="Times New Roman" w:hAnsi="Times New Roman" w:cs="Times New Roman"/>
                <w:noProof/>
              </w:rPr>
              <w:tab/>
            </w:r>
            <w:r w:rsidRPr="004C062B">
              <w:rPr>
                <w:rStyle w:val="Hyperlink"/>
                <w:rFonts w:ascii="Times New Roman" w:hAnsi="Times New Roman" w:cs="Times New Roman"/>
                <w:noProof/>
              </w:rPr>
              <w:t>Industry Trends / Issues / Impacts</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_Toc200739167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9</w:t>
            </w:r>
            <w:r w:rsidRPr="004C062B">
              <w:rPr>
                <w:rFonts w:ascii="Times New Roman" w:hAnsi="Times New Roman" w:cs="Times New Roman"/>
                <w:noProof/>
                <w:webHidden/>
              </w:rPr>
              <w:fldChar w:fldCharType="end"/>
            </w:r>
          </w:hyperlink>
        </w:p>
        <w:p w14:paraId="1820700D" w14:textId="55F1433F" w:rsidR="004C062B" w:rsidRPr="004C062B" w:rsidRDefault="004C062B" w:rsidP="004C062B">
          <w:pPr>
            <w:pStyle w:val="TOC1"/>
            <w:tabs>
              <w:tab w:val="left" w:pos="480"/>
              <w:tab w:val="right" w:leader="dot" w:pos="9016"/>
            </w:tabs>
            <w:spacing w:line="360" w:lineRule="auto"/>
            <w:rPr>
              <w:rFonts w:ascii="Times New Roman" w:hAnsi="Times New Roman" w:cs="Times New Roman"/>
              <w:noProof/>
            </w:rPr>
          </w:pPr>
          <w:hyperlink w:anchor="_Toc200739168" w:history="1">
            <w:r w:rsidRPr="004C062B">
              <w:rPr>
                <w:rStyle w:val="Hyperlink"/>
                <w:rFonts w:ascii="Times New Roman" w:hAnsi="Times New Roman" w:cs="Times New Roman"/>
                <w:noProof/>
              </w:rPr>
              <w:t>8.</w:t>
            </w:r>
            <w:r w:rsidRPr="004C062B">
              <w:rPr>
                <w:rFonts w:ascii="Times New Roman" w:hAnsi="Times New Roman" w:cs="Times New Roman"/>
                <w:noProof/>
              </w:rPr>
              <w:tab/>
            </w:r>
            <w:r w:rsidRPr="004C062B">
              <w:rPr>
                <w:rStyle w:val="Hyperlink"/>
                <w:rFonts w:ascii="Times New Roman" w:hAnsi="Times New Roman" w:cs="Times New Roman"/>
                <w:noProof/>
              </w:rPr>
              <w:t>Situational and Cultural Considerations</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_Toc200739168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10</w:t>
            </w:r>
            <w:r w:rsidRPr="004C062B">
              <w:rPr>
                <w:rFonts w:ascii="Times New Roman" w:hAnsi="Times New Roman" w:cs="Times New Roman"/>
                <w:noProof/>
                <w:webHidden/>
              </w:rPr>
              <w:fldChar w:fldCharType="end"/>
            </w:r>
          </w:hyperlink>
        </w:p>
        <w:p w14:paraId="2F776449" w14:textId="58A91CA7" w:rsidR="004C062B" w:rsidRPr="004C062B" w:rsidRDefault="004C062B" w:rsidP="004C062B">
          <w:pPr>
            <w:pStyle w:val="TOC1"/>
            <w:tabs>
              <w:tab w:val="left" w:pos="720"/>
              <w:tab w:val="right" w:leader="dot" w:pos="9016"/>
            </w:tabs>
            <w:spacing w:line="360" w:lineRule="auto"/>
            <w:rPr>
              <w:rFonts w:ascii="Times New Roman" w:hAnsi="Times New Roman" w:cs="Times New Roman"/>
              <w:noProof/>
            </w:rPr>
          </w:pPr>
          <w:hyperlink w:anchor="_Toc200739169" w:history="1">
            <w:r w:rsidRPr="004C062B">
              <w:rPr>
                <w:rStyle w:val="Hyperlink"/>
                <w:rFonts w:ascii="Times New Roman" w:hAnsi="Times New Roman" w:cs="Times New Roman"/>
                <w:noProof/>
              </w:rPr>
              <w:t>8.1.</w:t>
            </w:r>
            <w:r w:rsidRPr="004C062B">
              <w:rPr>
                <w:rFonts w:ascii="Times New Roman" w:hAnsi="Times New Roman" w:cs="Times New Roman"/>
                <w:noProof/>
              </w:rPr>
              <w:tab/>
            </w:r>
            <w:r w:rsidRPr="004C062B">
              <w:rPr>
                <w:rStyle w:val="Hyperlink"/>
                <w:rFonts w:ascii="Times New Roman" w:hAnsi="Times New Roman" w:cs="Times New Roman"/>
                <w:noProof/>
              </w:rPr>
              <w:t>SWOT Analysis</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_Toc200739169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10</w:t>
            </w:r>
            <w:r w:rsidRPr="004C062B">
              <w:rPr>
                <w:rFonts w:ascii="Times New Roman" w:hAnsi="Times New Roman" w:cs="Times New Roman"/>
                <w:noProof/>
                <w:webHidden/>
              </w:rPr>
              <w:fldChar w:fldCharType="end"/>
            </w:r>
          </w:hyperlink>
        </w:p>
        <w:p w14:paraId="124F1BE4" w14:textId="73C34FCE" w:rsidR="004C062B" w:rsidRPr="004C062B" w:rsidRDefault="004C062B" w:rsidP="004C062B">
          <w:pPr>
            <w:pStyle w:val="TOC1"/>
            <w:tabs>
              <w:tab w:val="left" w:pos="720"/>
              <w:tab w:val="right" w:leader="dot" w:pos="9016"/>
            </w:tabs>
            <w:spacing w:line="360" w:lineRule="auto"/>
            <w:rPr>
              <w:rFonts w:ascii="Times New Roman" w:hAnsi="Times New Roman" w:cs="Times New Roman"/>
              <w:noProof/>
            </w:rPr>
          </w:pPr>
          <w:hyperlink w:anchor="_Toc200739170" w:history="1">
            <w:r w:rsidRPr="004C062B">
              <w:rPr>
                <w:rStyle w:val="Hyperlink"/>
                <w:rFonts w:ascii="Times New Roman" w:hAnsi="Times New Roman" w:cs="Times New Roman"/>
                <w:noProof/>
              </w:rPr>
              <w:t>8.2.</w:t>
            </w:r>
            <w:r w:rsidRPr="004C062B">
              <w:rPr>
                <w:rFonts w:ascii="Times New Roman" w:hAnsi="Times New Roman" w:cs="Times New Roman"/>
                <w:noProof/>
              </w:rPr>
              <w:tab/>
            </w:r>
            <w:r w:rsidRPr="004C062B">
              <w:rPr>
                <w:rStyle w:val="Hyperlink"/>
                <w:rFonts w:ascii="Times New Roman" w:hAnsi="Times New Roman" w:cs="Times New Roman"/>
                <w:noProof/>
              </w:rPr>
              <w:t>PESTEL Analysis</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_Toc200739170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10</w:t>
            </w:r>
            <w:r w:rsidRPr="004C062B">
              <w:rPr>
                <w:rFonts w:ascii="Times New Roman" w:hAnsi="Times New Roman" w:cs="Times New Roman"/>
                <w:noProof/>
                <w:webHidden/>
              </w:rPr>
              <w:fldChar w:fldCharType="end"/>
            </w:r>
          </w:hyperlink>
        </w:p>
        <w:p w14:paraId="7FEDA55C" w14:textId="049ED18E" w:rsidR="004C062B" w:rsidRPr="004C062B" w:rsidRDefault="004C062B" w:rsidP="004C062B">
          <w:pPr>
            <w:pStyle w:val="TOC1"/>
            <w:tabs>
              <w:tab w:val="right" w:leader="dot" w:pos="9016"/>
            </w:tabs>
            <w:spacing w:line="360" w:lineRule="auto"/>
            <w:rPr>
              <w:rFonts w:ascii="Times New Roman" w:hAnsi="Times New Roman" w:cs="Times New Roman"/>
              <w:noProof/>
            </w:rPr>
          </w:pPr>
          <w:hyperlink w:anchor="_Toc200739171" w:history="1">
            <w:r w:rsidRPr="004C062B">
              <w:rPr>
                <w:rStyle w:val="Hyperlink"/>
                <w:rFonts w:ascii="Times New Roman" w:hAnsi="Times New Roman" w:cs="Times New Roman"/>
                <w:noProof/>
              </w:rPr>
              <w:t>References</w:t>
            </w:r>
            <w:r w:rsidRPr="004C062B">
              <w:rPr>
                <w:rFonts w:ascii="Times New Roman" w:hAnsi="Times New Roman" w:cs="Times New Roman"/>
                <w:noProof/>
                <w:webHidden/>
              </w:rPr>
              <w:tab/>
            </w:r>
            <w:r w:rsidRPr="004C062B">
              <w:rPr>
                <w:rFonts w:ascii="Times New Roman" w:hAnsi="Times New Roman" w:cs="Times New Roman"/>
                <w:noProof/>
                <w:webHidden/>
              </w:rPr>
              <w:fldChar w:fldCharType="begin"/>
            </w:r>
            <w:r w:rsidRPr="004C062B">
              <w:rPr>
                <w:rFonts w:ascii="Times New Roman" w:hAnsi="Times New Roman" w:cs="Times New Roman"/>
                <w:noProof/>
                <w:webHidden/>
              </w:rPr>
              <w:instrText xml:space="preserve"> PAGEREF _Toc200739171 \h </w:instrText>
            </w:r>
            <w:r w:rsidRPr="004C062B">
              <w:rPr>
                <w:rFonts w:ascii="Times New Roman" w:hAnsi="Times New Roman" w:cs="Times New Roman"/>
                <w:noProof/>
                <w:webHidden/>
              </w:rPr>
            </w:r>
            <w:r w:rsidRPr="004C062B">
              <w:rPr>
                <w:rFonts w:ascii="Times New Roman" w:hAnsi="Times New Roman" w:cs="Times New Roman"/>
                <w:noProof/>
                <w:webHidden/>
              </w:rPr>
              <w:fldChar w:fldCharType="separate"/>
            </w:r>
            <w:r w:rsidR="001E757A">
              <w:rPr>
                <w:rFonts w:ascii="Times New Roman" w:hAnsi="Times New Roman" w:cs="Times New Roman"/>
                <w:noProof/>
                <w:webHidden/>
              </w:rPr>
              <w:t>12</w:t>
            </w:r>
            <w:r w:rsidRPr="004C062B">
              <w:rPr>
                <w:rFonts w:ascii="Times New Roman" w:hAnsi="Times New Roman" w:cs="Times New Roman"/>
                <w:noProof/>
                <w:webHidden/>
              </w:rPr>
              <w:fldChar w:fldCharType="end"/>
            </w:r>
          </w:hyperlink>
        </w:p>
        <w:p w14:paraId="783087E8" w14:textId="752E080E" w:rsidR="004C062B" w:rsidRDefault="004C062B" w:rsidP="004C062B">
          <w:pPr>
            <w:spacing w:line="360" w:lineRule="auto"/>
          </w:pPr>
          <w:r w:rsidRPr="004C062B">
            <w:rPr>
              <w:rFonts w:ascii="Times New Roman" w:hAnsi="Times New Roman" w:cs="Times New Roman"/>
              <w:b/>
              <w:bCs/>
              <w:noProof/>
            </w:rPr>
            <w:fldChar w:fldCharType="end"/>
          </w:r>
        </w:p>
      </w:sdtContent>
    </w:sdt>
    <w:p w14:paraId="31346E00" w14:textId="77777777" w:rsidR="000D4DEE" w:rsidRDefault="000D4DEE">
      <w:pPr>
        <w:rPr>
          <w:rFonts w:ascii="Times New Roman" w:hAnsi="Times New Roman" w:cs="Times New Roman"/>
          <w:sz w:val="28"/>
          <w:szCs w:val="28"/>
        </w:rPr>
      </w:pPr>
    </w:p>
    <w:p w14:paraId="3D913DC2" w14:textId="77777777" w:rsidR="000D4DEE" w:rsidRDefault="000D4DEE">
      <w:pPr>
        <w:rPr>
          <w:rFonts w:ascii="Times New Roman" w:hAnsi="Times New Roman" w:cs="Times New Roman"/>
          <w:sz w:val="28"/>
          <w:szCs w:val="28"/>
        </w:rPr>
      </w:pPr>
    </w:p>
    <w:p w14:paraId="6EFF9DE7" w14:textId="77777777" w:rsidR="000D4DEE" w:rsidRDefault="000D4DEE">
      <w:pPr>
        <w:rPr>
          <w:rFonts w:ascii="Times New Roman" w:hAnsi="Times New Roman" w:cs="Times New Roman"/>
          <w:sz w:val="28"/>
          <w:szCs w:val="28"/>
        </w:rPr>
      </w:pPr>
    </w:p>
    <w:p w14:paraId="0BE353CE" w14:textId="77777777" w:rsidR="000D4DEE" w:rsidRDefault="000D4DEE">
      <w:pPr>
        <w:rPr>
          <w:rFonts w:ascii="Times New Roman" w:hAnsi="Times New Roman" w:cs="Times New Roman"/>
          <w:sz w:val="28"/>
          <w:szCs w:val="28"/>
        </w:rPr>
      </w:pPr>
    </w:p>
    <w:p w14:paraId="08C09F36" w14:textId="77777777" w:rsidR="000D4DEE" w:rsidRDefault="000D4DEE">
      <w:pPr>
        <w:rPr>
          <w:rFonts w:ascii="Times New Roman" w:hAnsi="Times New Roman" w:cs="Times New Roman"/>
          <w:sz w:val="28"/>
          <w:szCs w:val="28"/>
        </w:rPr>
      </w:pPr>
    </w:p>
    <w:p w14:paraId="3EB05143" w14:textId="77777777" w:rsidR="000D4DEE" w:rsidRDefault="000D4DEE">
      <w:pPr>
        <w:rPr>
          <w:rFonts w:ascii="Times New Roman" w:hAnsi="Times New Roman" w:cs="Times New Roman"/>
          <w:sz w:val="28"/>
          <w:szCs w:val="28"/>
        </w:rPr>
      </w:pPr>
    </w:p>
    <w:p w14:paraId="282369CB" w14:textId="77777777" w:rsidR="000D4DEE" w:rsidRDefault="000D4DEE">
      <w:pPr>
        <w:rPr>
          <w:rFonts w:ascii="Times New Roman" w:hAnsi="Times New Roman" w:cs="Times New Roman"/>
          <w:sz w:val="28"/>
          <w:szCs w:val="28"/>
        </w:rPr>
      </w:pPr>
    </w:p>
    <w:p w14:paraId="64CDB546" w14:textId="77777777" w:rsidR="000D4DEE" w:rsidRDefault="000D4DEE">
      <w:pPr>
        <w:rPr>
          <w:rFonts w:ascii="Times New Roman" w:hAnsi="Times New Roman" w:cs="Times New Roman"/>
          <w:sz w:val="28"/>
          <w:szCs w:val="28"/>
        </w:rPr>
      </w:pPr>
    </w:p>
    <w:p w14:paraId="7DCA253F" w14:textId="77777777" w:rsidR="000D4DEE" w:rsidRDefault="000D4DEE">
      <w:pPr>
        <w:rPr>
          <w:rFonts w:ascii="Times New Roman" w:hAnsi="Times New Roman" w:cs="Times New Roman"/>
          <w:sz w:val="28"/>
          <w:szCs w:val="28"/>
        </w:rPr>
      </w:pPr>
    </w:p>
    <w:p w14:paraId="6092BA4B" w14:textId="77777777" w:rsidR="000D4DEE" w:rsidRDefault="000D4DEE">
      <w:pPr>
        <w:rPr>
          <w:rFonts w:ascii="Times New Roman" w:hAnsi="Times New Roman" w:cs="Times New Roman"/>
          <w:sz w:val="28"/>
          <w:szCs w:val="28"/>
        </w:rPr>
      </w:pPr>
    </w:p>
    <w:p w14:paraId="7621BBBC" w14:textId="77777777" w:rsidR="000D4DEE" w:rsidRDefault="000D4DEE">
      <w:pPr>
        <w:rPr>
          <w:rFonts w:ascii="Times New Roman" w:hAnsi="Times New Roman" w:cs="Times New Roman"/>
          <w:sz w:val="28"/>
          <w:szCs w:val="28"/>
        </w:rPr>
      </w:pPr>
    </w:p>
    <w:p w14:paraId="402DE602" w14:textId="77777777" w:rsidR="000D4DEE" w:rsidRDefault="000D4DEE">
      <w:pPr>
        <w:rPr>
          <w:rFonts w:ascii="Times New Roman" w:hAnsi="Times New Roman" w:cs="Times New Roman"/>
          <w:sz w:val="28"/>
          <w:szCs w:val="28"/>
        </w:rPr>
      </w:pPr>
    </w:p>
    <w:p w14:paraId="43D50B4E" w14:textId="77777777" w:rsidR="000D4DEE" w:rsidRDefault="000D4DEE">
      <w:pPr>
        <w:rPr>
          <w:rFonts w:ascii="Times New Roman" w:hAnsi="Times New Roman" w:cs="Times New Roman"/>
          <w:sz w:val="28"/>
          <w:szCs w:val="28"/>
        </w:rPr>
      </w:pPr>
    </w:p>
    <w:p w14:paraId="56B64257" w14:textId="77777777" w:rsidR="000D4DEE" w:rsidRDefault="000D4DEE">
      <w:pPr>
        <w:rPr>
          <w:rFonts w:ascii="Times New Roman" w:hAnsi="Times New Roman" w:cs="Times New Roman"/>
          <w:sz w:val="28"/>
          <w:szCs w:val="28"/>
        </w:rPr>
      </w:pPr>
    </w:p>
    <w:p w14:paraId="1539E3C5" w14:textId="77777777" w:rsidR="000D4DEE" w:rsidRDefault="000D4DEE">
      <w:pPr>
        <w:rPr>
          <w:rFonts w:ascii="Times New Roman" w:hAnsi="Times New Roman" w:cs="Times New Roman"/>
          <w:sz w:val="28"/>
          <w:szCs w:val="28"/>
        </w:rPr>
      </w:pPr>
    </w:p>
    <w:p w14:paraId="421EC983" w14:textId="2F9BCE4D" w:rsidR="000D4DEE" w:rsidRPr="001E757A" w:rsidRDefault="000D4DEE" w:rsidP="001E757A">
      <w:pPr>
        <w:pStyle w:val="EU"/>
        <w:numPr>
          <w:ilvl w:val="0"/>
          <w:numId w:val="1"/>
        </w:numPr>
        <w:spacing w:line="360" w:lineRule="auto"/>
        <w:rPr>
          <w:rFonts w:ascii="Times New Roman" w:hAnsi="Times New Roman" w:cs="Times New Roman"/>
          <w:color w:val="000000" w:themeColor="text1"/>
        </w:rPr>
      </w:pPr>
      <w:bookmarkStart w:id="0" w:name="_Toc200739161"/>
      <w:r w:rsidRPr="001E757A">
        <w:rPr>
          <w:rFonts w:ascii="Times New Roman" w:hAnsi="Times New Roman" w:cs="Times New Roman"/>
          <w:color w:val="000000" w:themeColor="text1"/>
        </w:rPr>
        <w:t>Introduction</w:t>
      </w:r>
      <w:bookmarkEnd w:id="0"/>
    </w:p>
    <w:p w14:paraId="5CEF98AE" w14:textId="560CAAF1" w:rsidR="001863AA" w:rsidRPr="001E757A" w:rsidRDefault="001863A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On September 14, 2025, in Caer Ffynnon, a preserved stone mansion from the 18th century above St. Bride's Bay in Pembrokeshire, thirty incentive and conference planners will meet for the Micro Music &amp; Môr Session (</w:t>
      </w:r>
      <w:r w:rsidR="00685A7F" w:rsidRPr="001E757A">
        <w:rPr>
          <w:rFonts w:ascii="Times New Roman" w:hAnsi="Times New Roman" w:cs="Times New Roman"/>
          <w:color w:val="000000" w:themeColor="text1"/>
          <w:sz w:val="24"/>
          <w:szCs w:val="24"/>
          <w:lang w:eastAsia="en-GB"/>
        </w:rPr>
        <w:t>Kitchin and Ferdinand, 2021</w:t>
      </w:r>
      <w:r w:rsidRPr="001E757A">
        <w:rPr>
          <w:rFonts w:ascii="Times New Roman" w:hAnsi="Times New Roman" w:cs="Times New Roman"/>
          <w:color w:val="000000" w:themeColor="text1"/>
          <w:sz w:val="24"/>
          <w:szCs w:val="24"/>
          <w:lang w:eastAsia="en-GB"/>
        </w:rPr>
        <w:t>). The gathering fits with Visit Wales's Year of Croeso campaign, which urges partners to show off a warm national welcome via narrative about places (Visit Wales, 2025). The vintage location was selected because small spaces make things seem more real and let people connect with one other better, which is what high-value MICE travellers want (Getz and Page, 2019). The marine scenery of Pembrokeshire has a dramatic story that goes back hundreds of years to fishing and slate commerce, which makes the delegates feel more connected to the area (</w:t>
      </w:r>
      <w:r w:rsidR="0073539A" w:rsidRPr="001E757A">
        <w:rPr>
          <w:rFonts w:ascii="Times New Roman" w:hAnsi="Times New Roman" w:cs="Times New Roman"/>
          <w:color w:val="000000" w:themeColor="text1"/>
          <w:sz w:val="24"/>
          <w:szCs w:val="24"/>
          <w:lang w:eastAsia="en-GB"/>
        </w:rPr>
        <w:t>da Silva et al., 2022</w:t>
      </w:r>
      <w:r w:rsidRPr="001E757A">
        <w:rPr>
          <w:rFonts w:ascii="Times New Roman" w:hAnsi="Times New Roman" w:cs="Times New Roman"/>
          <w:color w:val="000000" w:themeColor="text1"/>
          <w:sz w:val="24"/>
          <w:szCs w:val="24"/>
          <w:lang w:eastAsia="en-GB"/>
        </w:rPr>
        <w:t>). The program will include live harp music, seaside foraging, and hands-on craft workshops. This is in line with experience design concepts that make memories and feelings stronger (Bladen et al., 2022). These small gatherings keep ecological footprints low while directing spending into local supply chains, which is in line with the goals of sustainable tourism for peripheral areas</w:t>
      </w:r>
      <w:r w:rsidR="0073539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Studies of rural events demonstrate that gatherings that are part of the community strengthen cultural identity and make visitors happy (</w:t>
      </w:r>
      <w:r w:rsidR="0073539A" w:rsidRPr="001E757A">
        <w:rPr>
          <w:rFonts w:ascii="Times New Roman" w:hAnsi="Times New Roman" w:cs="Times New Roman"/>
          <w:color w:val="000000" w:themeColor="text1"/>
          <w:sz w:val="24"/>
          <w:szCs w:val="24"/>
          <w:lang w:eastAsia="en-GB"/>
        </w:rPr>
        <w:t>Afifi et al.</w:t>
      </w:r>
      <w:r w:rsidRPr="001E757A">
        <w:rPr>
          <w:rFonts w:ascii="Times New Roman" w:hAnsi="Times New Roman" w:cs="Times New Roman"/>
          <w:color w:val="000000" w:themeColor="text1"/>
          <w:sz w:val="24"/>
          <w:szCs w:val="24"/>
          <w:lang w:eastAsia="en-GB"/>
        </w:rPr>
        <w:t>, 201</w:t>
      </w:r>
      <w:r w:rsidR="0073539A" w:rsidRPr="001E757A">
        <w:rPr>
          <w:rFonts w:ascii="Times New Roman" w:hAnsi="Times New Roman" w:cs="Times New Roman"/>
          <w:color w:val="000000" w:themeColor="text1"/>
          <w:sz w:val="24"/>
          <w:szCs w:val="24"/>
          <w:lang w:eastAsia="en-GB"/>
        </w:rPr>
        <w:t>6</w:t>
      </w:r>
      <w:r w:rsidRPr="001E757A">
        <w:rPr>
          <w:rFonts w:ascii="Times New Roman" w:hAnsi="Times New Roman" w:cs="Times New Roman"/>
          <w:color w:val="000000" w:themeColor="text1"/>
          <w:sz w:val="24"/>
          <w:szCs w:val="24"/>
          <w:lang w:eastAsia="en-GB"/>
        </w:rPr>
        <w:t>). Micro Music &amp; Môr Session shows how Year of Croeso events may promote economic resilience, environmental care, and meaningful human connection by combining small size, strong feeling of location, and sustainable practice (O’Toole, 201</w:t>
      </w:r>
      <w:r w:rsidR="0073539A" w:rsidRPr="001E757A">
        <w:rPr>
          <w:rFonts w:ascii="Times New Roman" w:hAnsi="Times New Roman" w:cs="Times New Roman"/>
          <w:color w:val="000000" w:themeColor="text1"/>
          <w:sz w:val="24"/>
          <w:szCs w:val="24"/>
          <w:lang w:eastAsia="en-GB"/>
        </w:rPr>
        <w:t>0</w:t>
      </w:r>
      <w:r w:rsidRPr="001E757A">
        <w:rPr>
          <w:rFonts w:ascii="Times New Roman" w:hAnsi="Times New Roman" w:cs="Times New Roman"/>
          <w:color w:val="000000" w:themeColor="text1"/>
          <w:sz w:val="24"/>
          <w:szCs w:val="24"/>
          <w:lang w:eastAsia="en-GB"/>
        </w:rPr>
        <w:t>).</w:t>
      </w:r>
    </w:p>
    <w:p w14:paraId="490976B2" w14:textId="084E159F" w:rsidR="001863AA" w:rsidRPr="001E757A" w:rsidRDefault="001863AA" w:rsidP="001E757A">
      <w:pPr>
        <w:pStyle w:val="EU"/>
        <w:numPr>
          <w:ilvl w:val="0"/>
          <w:numId w:val="1"/>
        </w:numPr>
        <w:spacing w:line="360" w:lineRule="auto"/>
        <w:rPr>
          <w:rFonts w:ascii="Times New Roman" w:hAnsi="Times New Roman" w:cs="Times New Roman"/>
          <w:color w:val="000000" w:themeColor="text1"/>
        </w:rPr>
      </w:pPr>
      <w:bookmarkStart w:id="1" w:name="_Toc200739162"/>
      <w:r w:rsidRPr="001E757A">
        <w:rPr>
          <w:rFonts w:ascii="Times New Roman" w:hAnsi="Times New Roman" w:cs="Times New Roman"/>
          <w:color w:val="000000" w:themeColor="text1"/>
        </w:rPr>
        <w:t>The Event Cycle</w:t>
      </w:r>
      <w:bookmarkEnd w:id="1"/>
      <w:r w:rsidRPr="001E757A">
        <w:rPr>
          <w:rFonts w:ascii="Times New Roman" w:hAnsi="Times New Roman" w:cs="Times New Roman"/>
          <w:color w:val="000000" w:themeColor="text1"/>
        </w:rPr>
        <w:t xml:space="preserve">  </w:t>
      </w:r>
    </w:p>
    <w:p w14:paraId="16264297" w14:textId="78AFE00F"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The event cycle guides planners from concept to legacy by aligning goals, resources, and stakeholder expectations (Goldblatt, 201</w:t>
      </w:r>
      <w:r w:rsidR="0073539A" w:rsidRPr="001E757A">
        <w:rPr>
          <w:rFonts w:ascii="Times New Roman" w:hAnsi="Times New Roman" w:cs="Times New Roman"/>
          <w:color w:val="000000" w:themeColor="text1"/>
          <w:sz w:val="24"/>
          <w:szCs w:val="24"/>
          <w:lang w:eastAsia="en-GB"/>
        </w:rPr>
        <w:t>4</w:t>
      </w:r>
      <w:r w:rsidRPr="001E757A">
        <w:rPr>
          <w:rFonts w:ascii="Times New Roman" w:hAnsi="Times New Roman" w:cs="Times New Roman"/>
          <w:color w:val="000000" w:themeColor="text1"/>
          <w:sz w:val="24"/>
          <w:szCs w:val="24"/>
          <w:lang w:eastAsia="en-GB"/>
        </w:rPr>
        <w:t>). The Micro Music &amp; Môr Session, a one-day event for thirty incentive and conference planners in Caer Ffynnon above St Bride's Bay on September 14, 2025, involves research, design, planning, coordination, and assessment. For small, experience-led events, the five-phase approach works well (Bowdin et al., 2022). Market intelligence and policy analysis confirm the need for close, culturally integrated experiences and link plans with the Welsh Government's goal of dispersing tourism benefits to rural communities during research</w:t>
      </w:r>
      <w:r w:rsidR="0073539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Structured interviews with ten UK incentive buyers improve a site assessment that identifies capacity, access, and health-and-safety issues, leading in a SWOT analysis that helps decide whether to hold the event (</w:t>
      </w:r>
      <w:r w:rsidR="0073539A" w:rsidRPr="001E757A">
        <w:rPr>
          <w:rFonts w:ascii="Times New Roman" w:hAnsi="Times New Roman" w:cs="Times New Roman"/>
          <w:color w:val="000000" w:themeColor="text1"/>
          <w:sz w:val="24"/>
          <w:szCs w:val="24"/>
          <w:lang w:eastAsia="en-GB"/>
        </w:rPr>
        <w:t>Mair, 2019</w:t>
      </w:r>
      <w:r w:rsidRPr="001E757A">
        <w:rPr>
          <w:rFonts w:ascii="Times New Roman" w:hAnsi="Times New Roman" w:cs="Times New Roman"/>
          <w:color w:val="000000" w:themeColor="text1"/>
          <w:sz w:val="24"/>
          <w:szCs w:val="24"/>
          <w:lang w:eastAsia="en-GB"/>
        </w:rPr>
        <w:t xml:space="preserve">). The design phase </w:t>
      </w:r>
      <w:r w:rsidRPr="001E757A">
        <w:rPr>
          <w:rFonts w:ascii="Times New Roman" w:hAnsi="Times New Roman" w:cs="Times New Roman"/>
          <w:color w:val="000000" w:themeColor="text1"/>
          <w:sz w:val="24"/>
          <w:szCs w:val="24"/>
          <w:lang w:eastAsia="en-GB"/>
        </w:rPr>
        <w:lastRenderedPageBreak/>
        <w:t>creates a narrative with interactive elements based on maritime history. To maintain people's attention and establish memory peaks, it uses three themed blocks: Coast, Craft, and Celtic Music. This strategy is backed by experience event theory (</w:t>
      </w:r>
      <w:r w:rsidR="0073539A" w:rsidRPr="001E757A">
        <w:rPr>
          <w:rFonts w:ascii="Times New Roman" w:hAnsi="Times New Roman" w:cs="Times New Roman"/>
          <w:color w:val="000000" w:themeColor="text1"/>
          <w:sz w:val="24"/>
          <w:szCs w:val="24"/>
          <w:lang w:eastAsia="en-GB"/>
        </w:rPr>
        <w:t>Park and Santos, 2017</w:t>
      </w:r>
      <w:r w:rsidRPr="001E757A">
        <w:rPr>
          <w:rFonts w:ascii="Times New Roman" w:hAnsi="Times New Roman" w:cs="Times New Roman"/>
          <w:color w:val="000000" w:themeColor="text1"/>
          <w:sz w:val="24"/>
          <w:szCs w:val="24"/>
          <w:lang w:eastAsia="en-GB"/>
        </w:rPr>
        <w:t>). SMART targets, such as 90% delegate satisfaction and a 5% break-even surplus, give clear goals for evaluation (Masterman and Wood, 20</w:t>
      </w:r>
      <w:r w:rsidR="0073539A" w:rsidRPr="001E757A">
        <w:rPr>
          <w:rFonts w:ascii="Times New Roman" w:hAnsi="Times New Roman" w:cs="Times New Roman"/>
          <w:color w:val="000000" w:themeColor="text1"/>
          <w:sz w:val="24"/>
          <w:szCs w:val="24"/>
          <w:lang w:eastAsia="en-GB"/>
        </w:rPr>
        <w:t>0</w:t>
      </w:r>
      <w:r w:rsidRPr="001E757A">
        <w:rPr>
          <w:rFonts w:ascii="Times New Roman" w:hAnsi="Times New Roman" w:cs="Times New Roman"/>
          <w:color w:val="000000" w:themeColor="text1"/>
          <w:sz w:val="24"/>
          <w:szCs w:val="24"/>
          <w:lang w:eastAsia="en-GB"/>
        </w:rPr>
        <w:t>6). Using a Gantt chart to monitor supplier contracts, environmental permits, and targeted LinkedIn marketing translates the creative blueprint into logistics. All of these activities must be completed by deadlines to avoid schedule slippage (Raj et al., 2017). The temporary budget estimates £6,500 in income and £6,200 in expenses, with a 10% cushion for surprises. This follows rural event financial prudence (</w:t>
      </w:r>
      <w:r w:rsidR="00731C60" w:rsidRPr="001E757A">
        <w:rPr>
          <w:rFonts w:ascii="Times New Roman" w:hAnsi="Times New Roman" w:cs="Times New Roman"/>
          <w:color w:val="000000" w:themeColor="text1"/>
          <w:sz w:val="24"/>
          <w:szCs w:val="24"/>
          <w:lang w:eastAsia="en-GB"/>
        </w:rPr>
        <w:t>Els et al., 2016</w:t>
      </w:r>
      <w:r w:rsidRPr="001E757A">
        <w:rPr>
          <w:rFonts w:ascii="Times New Roman" w:hAnsi="Times New Roman" w:cs="Times New Roman"/>
          <w:color w:val="000000" w:themeColor="text1"/>
          <w:sz w:val="24"/>
          <w:szCs w:val="24"/>
          <w:lang w:eastAsia="en-GB"/>
        </w:rPr>
        <w:t>). Bad weather, supplier failure, and medical crises are prioritised by risk management using a probability-impact matrix. It then offers indoor backup and qualified first-aid coverage to prevent these issues (Getz and Page, 2019). Coordination uses the day's plan, which includes a clear hierarchy of event manager, operations deputy, and safety officer, a real-time communication channel, and a cue sheet to ensure suppliers load in smoothly, delegates are transported by pre-booked minibus, and activities stay on track</w:t>
      </w:r>
      <w:r w:rsidR="00731C60"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Financial performance, social media reach, and a five-minute digital poll of delegate comments conclude the assessment cycle. After three months, it examines whether curiosity has translated into Welsh business, which might inform the following Year of Croeso program (Bladen et al., 2022). The framework reduces uncertainty and increases stakeholder trust by requiring each phase to meet specified standards (O'Toole, 201</w:t>
      </w:r>
      <w:r w:rsidR="00731C60" w:rsidRPr="001E757A">
        <w:rPr>
          <w:rFonts w:ascii="Times New Roman" w:hAnsi="Times New Roman" w:cs="Times New Roman"/>
          <w:color w:val="000000" w:themeColor="text1"/>
          <w:sz w:val="24"/>
          <w:szCs w:val="24"/>
          <w:lang w:eastAsia="en-GB"/>
        </w:rPr>
        <w:t>0</w:t>
      </w:r>
      <w:r w:rsidRPr="001E757A">
        <w:rPr>
          <w:rFonts w:ascii="Times New Roman" w:hAnsi="Times New Roman" w:cs="Times New Roman"/>
          <w:color w:val="000000" w:themeColor="text1"/>
          <w:sz w:val="24"/>
          <w:szCs w:val="24"/>
          <w:lang w:eastAsia="en-GB"/>
        </w:rPr>
        <w:t>). The event cycle is built to balance creative vision with operational accuracy, benefit stakeholders economically and experientially, and build a replicable framework for community-focused micro-meetings</w:t>
      </w:r>
      <w:r w:rsidR="00731C60" w:rsidRPr="001E757A">
        <w:rPr>
          <w:rFonts w:ascii="Times New Roman" w:hAnsi="Times New Roman" w:cs="Times New Roman"/>
          <w:color w:val="000000" w:themeColor="text1"/>
          <w:sz w:val="24"/>
          <w:szCs w:val="24"/>
          <w:lang w:eastAsia="en-GB"/>
        </w:rPr>
        <w:t>.</w:t>
      </w:r>
    </w:p>
    <w:p w14:paraId="5AB7F3D6" w14:textId="519429C9" w:rsidR="00787430" w:rsidRPr="001E757A" w:rsidRDefault="00787430" w:rsidP="001E757A">
      <w:pPr>
        <w:pStyle w:val="EU"/>
        <w:numPr>
          <w:ilvl w:val="0"/>
          <w:numId w:val="1"/>
        </w:numPr>
        <w:spacing w:line="360" w:lineRule="auto"/>
        <w:rPr>
          <w:rFonts w:ascii="Times New Roman" w:hAnsi="Times New Roman" w:cs="Times New Roman"/>
          <w:color w:val="000000" w:themeColor="text1"/>
        </w:rPr>
      </w:pPr>
      <w:bookmarkStart w:id="2" w:name="_Toc200739163"/>
      <w:r w:rsidRPr="001E757A">
        <w:rPr>
          <w:rFonts w:ascii="Times New Roman" w:hAnsi="Times New Roman" w:cs="Times New Roman"/>
          <w:color w:val="000000" w:themeColor="text1"/>
        </w:rPr>
        <w:t>Event Concept</w:t>
      </w:r>
      <w:bookmarkEnd w:id="2"/>
    </w:p>
    <w:tbl>
      <w:tblPr>
        <w:tblStyle w:val="TableGrid"/>
        <w:tblW w:w="0" w:type="auto"/>
        <w:tblLook w:val="04A0" w:firstRow="1" w:lastRow="0" w:firstColumn="1" w:lastColumn="0" w:noHBand="0" w:noVBand="1"/>
      </w:tblPr>
      <w:tblGrid>
        <w:gridCol w:w="1803"/>
        <w:gridCol w:w="1803"/>
        <w:gridCol w:w="1803"/>
        <w:gridCol w:w="1803"/>
        <w:gridCol w:w="1804"/>
      </w:tblGrid>
      <w:tr w:rsidR="001E757A" w:rsidRPr="001E757A" w14:paraId="5EB47715" w14:textId="77777777" w:rsidTr="00787430">
        <w:tc>
          <w:tcPr>
            <w:tcW w:w="1803" w:type="dxa"/>
          </w:tcPr>
          <w:p w14:paraId="4AC4B456" w14:textId="457E614B"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Time</w:t>
            </w:r>
          </w:p>
        </w:tc>
        <w:tc>
          <w:tcPr>
            <w:tcW w:w="1803" w:type="dxa"/>
          </w:tcPr>
          <w:p w14:paraId="7747317D" w14:textId="1C67658C"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Activity</w:t>
            </w:r>
          </w:p>
        </w:tc>
        <w:tc>
          <w:tcPr>
            <w:tcW w:w="1803" w:type="dxa"/>
          </w:tcPr>
          <w:p w14:paraId="014277FC" w14:textId="45AF6388"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Detail</w:t>
            </w:r>
          </w:p>
        </w:tc>
        <w:tc>
          <w:tcPr>
            <w:tcW w:w="1803" w:type="dxa"/>
          </w:tcPr>
          <w:p w14:paraId="6E019D7D" w14:textId="748A30AB"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Lead</w:t>
            </w:r>
          </w:p>
        </w:tc>
        <w:tc>
          <w:tcPr>
            <w:tcW w:w="1804" w:type="dxa"/>
          </w:tcPr>
          <w:p w14:paraId="4F03C54A" w14:textId="747A0F46"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Objective</w:t>
            </w:r>
          </w:p>
        </w:tc>
      </w:tr>
      <w:tr w:rsidR="001E757A" w:rsidRPr="001E757A" w14:paraId="20774D41" w14:textId="77777777" w:rsidTr="00787430">
        <w:tc>
          <w:tcPr>
            <w:tcW w:w="1803" w:type="dxa"/>
          </w:tcPr>
          <w:p w14:paraId="4C493A3E" w14:textId="09A8D3B7"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09:30</w:t>
            </w:r>
          </w:p>
        </w:tc>
        <w:tc>
          <w:tcPr>
            <w:tcW w:w="1803" w:type="dxa"/>
          </w:tcPr>
          <w:p w14:paraId="304C3FA8" w14:textId="2CCEBA85"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Coastal welcome</w:t>
            </w:r>
          </w:p>
        </w:tc>
        <w:tc>
          <w:tcPr>
            <w:tcW w:w="1803" w:type="dxa"/>
          </w:tcPr>
          <w:p w14:paraId="7832CF6B" w14:textId="11D64C26"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Fresh laverbread bites, harp prelude, safety briefing</w:t>
            </w:r>
          </w:p>
        </w:tc>
        <w:tc>
          <w:tcPr>
            <w:tcW w:w="1803" w:type="dxa"/>
          </w:tcPr>
          <w:p w14:paraId="504C2F56" w14:textId="6533FA63"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Event manager</w:t>
            </w:r>
          </w:p>
        </w:tc>
        <w:tc>
          <w:tcPr>
            <w:tcW w:w="1804" w:type="dxa"/>
          </w:tcPr>
          <w:p w14:paraId="15C0CCA3" w14:textId="161984BB"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Anchor place identity</w:t>
            </w:r>
          </w:p>
        </w:tc>
      </w:tr>
      <w:tr w:rsidR="001E757A" w:rsidRPr="001E757A" w14:paraId="0DA6A7AB" w14:textId="77777777" w:rsidTr="00787430">
        <w:tc>
          <w:tcPr>
            <w:tcW w:w="1803" w:type="dxa"/>
          </w:tcPr>
          <w:p w14:paraId="1BDB6765" w14:textId="6C05A876"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10:00</w:t>
            </w:r>
          </w:p>
        </w:tc>
        <w:tc>
          <w:tcPr>
            <w:tcW w:w="1803" w:type="dxa"/>
          </w:tcPr>
          <w:p w14:paraId="4B1A4AAF" w14:textId="301CAF5A"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Shoreline walk</w:t>
            </w:r>
          </w:p>
        </w:tc>
        <w:tc>
          <w:tcPr>
            <w:tcW w:w="1803" w:type="dxa"/>
          </w:tcPr>
          <w:p w14:paraId="4AAFEFDE" w14:textId="577FEC88"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Ranger-led tour of tidal pools and slate quay</w:t>
            </w:r>
          </w:p>
        </w:tc>
        <w:tc>
          <w:tcPr>
            <w:tcW w:w="1803" w:type="dxa"/>
          </w:tcPr>
          <w:p w14:paraId="5A91FEC0" w14:textId="61A1F94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National Park guide</w:t>
            </w:r>
          </w:p>
        </w:tc>
        <w:tc>
          <w:tcPr>
            <w:tcW w:w="1804" w:type="dxa"/>
          </w:tcPr>
          <w:p w14:paraId="2DE6E331" w14:textId="1DE49A12"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Embed natural heritage</w:t>
            </w:r>
          </w:p>
        </w:tc>
      </w:tr>
      <w:tr w:rsidR="001E757A" w:rsidRPr="001E757A" w14:paraId="7744FE40" w14:textId="77777777" w:rsidTr="00787430">
        <w:tc>
          <w:tcPr>
            <w:tcW w:w="1803" w:type="dxa"/>
          </w:tcPr>
          <w:p w14:paraId="4D7B0EEE" w14:textId="65F75B62"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11:30</w:t>
            </w:r>
          </w:p>
        </w:tc>
        <w:tc>
          <w:tcPr>
            <w:tcW w:w="1803" w:type="dxa"/>
          </w:tcPr>
          <w:p w14:paraId="04F8A911" w14:textId="5D79BD4E"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Catch-to-kitchen</w:t>
            </w:r>
          </w:p>
        </w:tc>
        <w:tc>
          <w:tcPr>
            <w:tcW w:w="1803" w:type="dxa"/>
          </w:tcPr>
          <w:p w14:paraId="527A942B" w14:textId="22603919"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 xml:space="preserve">Delegates prepare mussel </w:t>
            </w:r>
            <w:r w:rsidRPr="001E757A">
              <w:rPr>
                <w:rFonts w:ascii="Times New Roman" w:hAnsi="Times New Roman" w:cs="Times New Roman"/>
                <w:color w:val="000000" w:themeColor="text1"/>
                <w:sz w:val="24"/>
                <w:szCs w:val="24"/>
              </w:rPr>
              <w:lastRenderedPageBreak/>
              <w:t>stew with local chefs</w:t>
            </w:r>
          </w:p>
        </w:tc>
        <w:tc>
          <w:tcPr>
            <w:tcW w:w="1803" w:type="dxa"/>
          </w:tcPr>
          <w:p w14:paraId="439308CB" w14:textId="607B2CCD"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lastRenderedPageBreak/>
              <w:t>Chef team</w:t>
            </w:r>
          </w:p>
        </w:tc>
        <w:tc>
          <w:tcPr>
            <w:tcW w:w="1804" w:type="dxa"/>
          </w:tcPr>
          <w:p w14:paraId="7AC51F0C" w14:textId="7072A191"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Foster co-creation</w:t>
            </w:r>
          </w:p>
        </w:tc>
      </w:tr>
      <w:tr w:rsidR="001E757A" w:rsidRPr="001E757A" w14:paraId="3AEE0100" w14:textId="77777777" w:rsidTr="00787430">
        <w:tc>
          <w:tcPr>
            <w:tcW w:w="1803" w:type="dxa"/>
          </w:tcPr>
          <w:p w14:paraId="2CDAD6DC" w14:textId="78AD237F"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13:00</w:t>
            </w:r>
          </w:p>
        </w:tc>
        <w:tc>
          <w:tcPr>
            <w:tcW w:w="1803" w:type="dxa"/>
          </w:tcPr>
          <w:p w14:paraId="62718844" w14:textId="2537A7AA"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Shared lunch</w:t>
            </w:r>
          </w:p>
        </w:tc>
        <w:tc>
          <w:tcPr>
            <w:tcW w:w="1803" w:type="dxa"/>
          </w:tcPr>
          <w:p w14:paraId="38858A72" w14:textId="6327E738"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Communal table in walled garden</w:t>
            </w:r>
          </w:p>
        </w:tc>
        <w:tc>
          <w:tcPr>
            <w:tcW w:w="1803" w:type="dxa"/>
          </w:tcPr>
          <w:p w14:paraId="761D06E9" w14:textId="0CDE2D9B"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Catering lead</w:t>
            </w:r>
          </w:p>
        </w:tc>
        <w:tc>
          <w:tcPr>
            <w:tcW w:w="1804" w:type="dxa"/>
          </w:tcPr>
          <w:p w14:paraId="529F0E22" w14:textId="42885A1E"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Build social ties</w:t>
            </w:r>
          </w:p>
        </w:tc>
      </w:tr>
      <w:tr w:rsidR="001E757A" w:rsidRPr="001E757A" w14:paraId="79669633" w14:textId="77777777" w:rsidTr="00787430">
        <w:tc>
          <w:tcPr>
            <w:tcW w:w="1803" w:type="dxa"/>
          </w:tcPr>
          <w:p w14:paraId="57A91DE3" w14:textId="03F5FD5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14:00</w:t>
            </w:r>
          </w:p>
        </w:tc>
        <w:tc>
          <w:tcPr>
            <w:tcW w:w="1803" w:type="dxa"/>
          </w:tcPr>
          <w:p w14:paraId="0DEC72D9" w14:textId="0F043D7C"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Celtic harp story</w:t>
            </w:r>
          </w:p>
        </w:tc>
        <w:tc>
          <w:tcPr>
            <w:tcW w:w="1803" w:type="dxa"/>
          </w:tcPr>
          <w:p w14:paraId="42FE9917" w14:textId="30B779D7"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Musician links tunes to maritime myths</w:t>
            </w:r>
          </w:p>
        </w:tc>
        <w:tc>
          <w:tcPr>
            <w:tcW w:w="1803" w:type="dxa"/>
          </w:tcPr>
          <w:p w14:paraId="3C43F247" w14:textId="09CA0500"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Harpist</w:t>
            </w:r>
          </w:p>
        </w:tc>
        <w:tc>
          <w:tcPr>
            <w:tcW w:w="1804" w:type="dxa"/>
          </w:tcPr>
          <w:p w14:paraId="15B26F5A" w14:textId="262E86F3"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Manage cognitive load</w:t>
            </w:r>
          </w:p>
        </w:tc>
      </w:tr>
      <w:tr w:rsidR="001E757A" w:rsidRPr="001E757A" w14:paraId="176EF8DF" w14:textId="77777777" w:rsidTr="00787430">
        <w:tc>
          <w:tcPr>
            <w:tcW w:w="1803" w:type="dxa"/>
          </w:tcPr>
          <w:p w14:paraId="6F9D1FCE" w14:textId="61FBE9B9"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15:00</w:t>
            </w:r>
          </w:p>
        </w:tc>
        <w:tc>
          <w:tcPr>
            <w:tcW w:w="1803" w:type="dxa"/>
          </w:tcPr>
          <w:p w14:paraId="79DA16A5" w14:textId="1842490F"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Micro trade showcase</w:t>
            </w:r>
          </w:p>
        </w:tc>
        <w:tc>
          <w:tcPr>
            <w:tcW w:w="1803" w:type="dxa"/>
          </w:tcPr>
          <w:p w14:paraId="3EA3BF0A" w14:textId="41F978AD"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Five local producers in speed-meet format</w:t>
            </w:r>
          </w:p>
        </w:tc>
        <w:tc>
          <w:tcPr>
            <w:tcW w:w="1803" w:type="dxa"/>
          </w:tcPr>
          <w:p w14:paraId="2AE4A94B" w14:textId="1A974F7B"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Trade curator</w:t>
            </w:r>
          </w:p>
        </w:tc>
        <w:tc>
          <w:tcPr>
            <w:tcW w:w="1804" w:type="dxa"/>
          </w:tcPr>
          <w:p w14:paraId="213F60BD" w14:textId="39D0D1DD"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Enable business links</w:t>
            </w:r>
          </w:p>
        </w:tc>
      </w:tr>
      <w:tr w:rsidR="001E757A" w:rsidRPr="001E757A" w14:paraId="3E97416A" w14:textId="77777777" w:rsidTr="00787430">
        <w:tc>
          <w:tcPr>
            <w:tcW w:w="1803" w:type="dxa"/>
          </w:tcPr>
          <w:p w14:paraId="56F6AFF7" w14:textId="1B0FDD42"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16:30</w:t>
            </w:r>
          </w:p>
        </w:tc>
        <w:tc>
          <w:tcPr>
            <w:tcW w:w="1803" w:type="dxa"/>
          </w:tcPr>
          <w:p w14:paraId="50C97690" w14:textId="4AA7FBE0"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Craft workshop</w:t>
            </w:r>
          </w:p>
        </w:tc>
        <w:tc>
          <w:tcPr>
            <w:tcW w:w="1803" w:type="dxa"/>
          </w:tcPr>
          <w:p w14:paraId="5BD6585D" w14:textId="2976A47B"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Hand-carved slate coaster keepsake</w:t>
            </w:r>
          </w:p>
        </w:tc>
        <w:tc>
          <w:tcPr>
            <w:tcW w:w="1803" w:type="dxa"/>
          </w:tcPr>
          <w:p w14:paraId="4908D0C2" w14:textId="4790CFEF"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Artisan</w:t>
            </w:r>
          </w:p>
        </w:tc>
        <w:tc>
          <w:tcPr>
            <w:tcW w:w="1804" w:type="dxa"/>
          </w:tcPr>
          <w:p w14:paraId="723D8EAC" w14:textId="1985E815"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Reinforce memory</w:t>
            </w:r>
          </w:p>
        </w:tc>
      </w:tr>
      <w:tr w:rsidR="001E757A" w:rsidRPr="001E757A" w14:paraId="17E988E2" w14:textId="77777777" w:rsidTr="00787430">
        <w:tc>
          <w:tcPr>
            <w:tcW w:w="1803" w:type="dxa"/>
          </w:tcPr>
          <w:p w14:paraId="4F020A12" w14:textId="4125227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18:00</w:t>
            </w:r>
          </w:p>
        </w:tc>
        <w:tc>
          <w:tcPr>
            <w:tcW w:w="1803" w:type="dxa"/>
          </w:tcPr>
          <w:p w14:paraId="1C493AF8" w14:textId="48A79827"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Sunset storytelling</w:t>
            </w:r>
          </w:p>
        </w:tc>
        <w:tc>
          <w:tcPr>
            <w:tcW w:w="1803" w:type="dxa"/>
          </w:tcPr>
          <w:p w14:paraId="4067FB2F" w14:textId="6084EC1A"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Fisherman recounts sea legends by firepit</w:t>
            </w:r>
          </w:p>
        </w:tc>
        <w:tc>
          <w:tcPr>
            <w:tcW w:w="1803" w:type="dxa"/>
          </w:tcPr>
          <w:p w14:paraId="701C11AA" w14:textId="66629CC6"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Storyteller</w:t>
            </w:r>
          </w:p>
        </w:tc>
        <w:tc>
          <w:tcPr>
            <w:tcW w:w="1804" w:type="dxa"/>
          </w:tcPr>
          <w:p w14:paraId="7FDE8D8E" w14:textId="70255761"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Create peak emotion</w:t>
            </w:r>
          </w:p>
        </w:tc>
      </w:tr>
      <w:tr w:rsidR="001E757A" w:rsidRPr="001E757A" w14:paraId="19BA1E39" w14:textId="77777777" w:rsidTr="00787430">
        <w:tc>
          <w:tcPr>
            <w:tcW w:w="1803" w:type="dxa"/>
          </w:tcPr>
          <w:p w14:paraId="5651D315" w14:textId="63962351"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19:00</w:t>
            </w:r>
          </w:p>
        </w:tc>
        <w:tc>
          <w:tcPr>
            <w:tcW w:w="1803" w:type="dxa"/>
          </w:tcPr>
          <w:p w14:paraId="1C1BB3CF" w14:textId="11D5B6AA"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Reflection circle</w:t>
            </w:r>
          </w:p>
        </w:tc>
        <w:tc>
          <w:tcPr>
            <w:tcW w:w="1803" w:type="dxa"/>
          </w:tcPr>
          <w:p w14:paraId="6DCDC43E" w14:textId="4ECD623C"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Digital survey and pledge wall</w:t>
            </w:r>
          </w:p>
        </w:tc>
        <w:tc>
          <w:tcPr>
            <w:tcW w:w="1803" w:type="dxa"/>
          </w:tcPr>
          <w:p w14:paraId="09EE79A2" w14:textId="383E86C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Evaluation lead</w:t>
            </w:r>
          </w:p>
        </w:tc>
        <w:tc>
          <w:tcPr>
            <w:tcW w:w="1804" w:type="dxa"/>
          </w:tcPr>
          <w:p w14:paraId="1CBD001D" w14:textId="51C4E76B"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Capture feedback</w:t>
            </w:r>
          </w:p>
        </w:tc>
      </w:tr>
      <w:tr w:rsidR="001E757A" w:rsidRPr="001E757A" w14:paraId="37197839" w14:textId="77777777" w:rsidTr="00787430">
        <w:tc>
          <w:tcPr>
            <w:tcW w:w="1803" w:type="dxa"/>
          </w:tcPr>
          <w:p w14:paraId="174E3E0F" w14:textId="09EEC206"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19:30</w:t>
            </w:r>
          </w:p>
        </w:tc>
        <w:tc>
          <w:tcPr>
            <w:tcW w:w="1803" w:type="dxa"/>
          </w:tcPr>
          <w:p w14:paraId="2FAF7E05" w14:textId="279624F7"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Departure</w:t>
            </w:r>
          </w:p>
        </w:tc>
        <w:tc>
          <w:tcPr>
            <w:tcW w:w="1803" w:type="dxa"/>
          </w:tcPr>
          <w:p w14:paraId="7A8264F9" w14:textId="4614E7D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Shuttle to rail station</w:t>
            </w:r>
          </w:p>
        </w:tc>
        <w:tc>
          <w:tcPr>
            <w:tcW w:w="1803" w:type="dxa"/>
          </w:tcPr>
          <w:p w14:paraId="77689885" w14:textId="2B0E9086"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Transport marshal</w:t>
            </w:r>
          </w:p>
        </w:tc>
        <w:tc>
          <w:tcPr>
            <w:tcW w:w="1804" w:type="dxa"/>
          </w:tcPr>
          <w:p w14:paraId="02B00E19" w14:textId="68CB3CB8"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Close logistical loop</w:t>
            </w:r>
          </w:p>
        </w:tc>
      </w:tr>
    </w:tbl>
    <w:p w14:paraId="0BA8231C" w14:textId="2FC46E74"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The idea puts together different experiences to keep brains fresh and emotions high (Getz and Page, 2019). The welcome uses local flavours, noises, and sea air to help people remember things</w:t>
      </w:r>
      <w:r w:rsidR="00731C60"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A guided stroll down the coast converts moving into learning and being attached to a place</w:t>
      </w:r>
      <w:r w:rsidR="00731C60"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Delegates then prepare mussels alongside chefs, which builds trust by working together to make something (</w:t>
      </w:r>
      <w:r w:rsidR="00731C60" w:rsidRPr="001E757A">
        <w:rPr>
          <w:rFonts w:ascii="Times New Roman" w:hAnsi="Times New Roman" w:cs="Times New Roman"/>
          <w:color w:val="000000" w:themeColor="text1"/>
          <w:sz w:val="24"/>
          <w:szCs w:val="24"/>
          <w:lang w:eastAsia="en-GB"/>
        </w:rPr>
        <w:t>Robinson et al., 2010</w:t>
      </w:r>
      <w:r w:rsidRPr="001E757A">
        <w:rPr>
          <w:rFonts w:ascii="Times New Roman" w:hAnsi="Times New Roman" w:cs="Times New Roman"/>
          <w:color w:val="000000" w:themeColor="text1"/>
          <w:sz w:val="24"/>
          <w:szCs w:val="24"/>
          <w:lang w:eastAsia="en-GB"/>
        </w:rPr>
        <w:t>). A peaceful harp break helps clear your mind and get you ready to network (Bowdin et al., 2022). The trade fair has short, targeted encounters that don't wear people out but yet increase the chances of making a sale</w:t>
      </w:r>
      <w:r w:rsidR="00731C60"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Sunset storytelling elicits profound emotions, which research associates with long-term memory retention (Bladen et al., 2022). Lastly, a reflection circle collects comments and makes promises to support Welsh company, which completes the journey from experience to legacy (Getz and Page, 2019).</w:t>
      </w:r>
    </w:p>
    <w:p w14:paraId="355F49C9" w14:textId="297F5C58" w:rsidR="00787430" w:rsidRPr="001E757A" w:rsidRDefault="00787430" w:rsidP="001E757A">
      <w:pPr>
        <w:pStyle w:val="EU"/>
        <w:numPr>
          <w:ilvl w:val="0"/>
          <w:numId w:val="1"/>
        </w:numPr>
        <w:spacing w:line="360" w:lineRule="auto"/>
        <w:rPr>
          <w:rFonts w:ascii="Times New Roman" w:hAnsi="Times New Roman" w:cs="Times New Roman"/>
          <w:color w:val="000000" w:themeColor="text1"/>
        </w:rPr>
      </w:pPr>
      <w:bookmarkStart w:id="3" w:name="_Toc200739164"/>
      <w:r w:rsidRPr="001E757A">
        <w:rPr>
          <w:rFonts w:ascii="Times New Roman" w:hAnsi="Times New Roman" w:cs="Times New Roman"/>
          <w:color w:val="000000" w:themeColor="text1"/>
        </w:rPr>
        <w:lastRenderedPageBreak/>
        <w:t>Aim and Objectives of the Meeting</w:t>
      </w:r>
      <w:bookmarkEnd w:id="3"/>
    </w:p>
    <w:p w14:paraId="51EB79CA" w14:textId="06653571" w:rsidR="00787430" w:rsidRPr="001E757A" w:rsidRDefault="0078743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The Micro Music &amp; Môr Session wants to show off Pembrokeshire's maritime history and bring in new high-value incentive business for Wales by giving thirty UK event planners an immersive, community-based experience on September 14, 2025 (Getz and Page, 2019).</w:t>
      </w:r>
    </w:p>
    <w:p w14:paraId="3B09EA10" w14:textId="77777777" w:rsidR="00787430" w:rsidRPr="001E757A" w:rsidRDefault="00787430"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lang w:eastAsia="en-GB"/>
        </w:rPr>
        <w:t>Objectives:</w:t>
      </w:r>
    </w:p>
    <w:p w14:paraId="530C0F4F" w14:textId="0E2247C6" w:rsidR="00787430" w:rsidRPr="001E757A" w:rsidRDefault="00787430" w:rsidP="001E757A">
      <w:pPr>
        <w:pStyle w:val="ListParagraph"/>
        <w:numPr>
          <w:ilvl w:val="0"/>
          <w:numId w:val="2"/>
        </w:num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At least twenty-five of the thirty delegates will provide an overall satisfaction rating of nine or higher on a ten-point digital survey that they fill out before they leave. This will meet the 90% satisfaction criteria</w:t>
      </w:r>
      <w:r w:rsidR="00731C60" w:rsidRPr="001E757A">
        <w:rPr>
          <w:rFonts w:ascii="Times New Roman" w:hAnsi="Times New Roman" w:cs="Times New Roman"/>
          <w:color w:val="000000" w:themeColor="text1"/>
          <w:sz w:val="24"/>
          <w:szCs w:val="24"/>
          <w:lang w:eastAsia="en-GB"/>
        </w:rPr>
        <w:t xml:space="preserve">. </w:t>
      </w:r>
    </w:p>
    <w:p w14:paraId="68AA837A" w14:textId="2490F7D2" w:rsidR="00787430" w:rsidRPr="001E757A" w:rsidRDefault="00787430" w:rsidP="001E757A">
      <w:pPr>
        <w:pStyle w:val="ListParagraph"/>
        <w:numPr>
          <w:ilvl w:val="0"/>
          <w:numId w:val="2"/>
        </w:num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Delegates will ratify at least five contractual Welsh incentive programs for a total of £50,000 within three months after the event. This will be recorded in the organizer's CRM, which will show that the market has changed (Bowdin et al., 2022).</w:t>
      </w:r>
    </w:p>
    <w:p w14:paraId="2CE06B03" w14:textId="33F06920" w:rsidR="00787430" w:rsidRPr="001E757A" w:rsidRDefault="00787430" w:rsidP="001E757A">
      <w:pPr>
        <w:pStyle w:val="ListParagraph"/>
        <w:numPr>
          <w:ilvl w:val="0"/>
          <w:numId w:val="2"/>
        </w:num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The event will spend at least 80% of its procurement budget on suppliers who are within forty miles of Caer Ffynnon. A post-event audit will make sure that per-capita carbon emissions stay below 12 kg CO₂e, which is in line with sustainable tourism standards</w:t>
      </w:r>
      <w:r w:rsidR="00731C60" w:rsidRPr="001E757A">
        <w:rPr>
          <w:rFonts w:ascii="Times New Roman" w:hAnsi="Times New Roman" w:cs="Times New Roman"/>
          <w:color w:val="000000" w:themeColor="text1"/>
          <w:sz w:val="24"/>
          <w:szCs w:val="24"/>
          <w:lang w:eastAsia="en-GB"/>
        </w:rPr>
        <w:t>.</w:t>
      </w:r>
    </w:p>
    <w:p w14:paraId="091366BB" w14:textId="6D19CD15" w:rsidR="00787430" w:rsidRPr="001E757A" w:rsidRDefault="00787430" w:rsidP="001E757A">
      <w:pPr>
        <w:pStyle w:val="EU"/>
        <w:numPr>
          <w:ilvl w:val="0"/>
          <w:numId w:val="1"/>
        </w:numPr>
        <w:spacing w:line="360" w:lineRule="auto"/>
        <w:rPr>
          <w:rFonts w:ascii="Times New Roman" w:hAnsi="Times New Roman" w:cs="Times New Roman"/>
          <w:color w:val="000000" w:themeColor="text1"/>
        </w:rPr>
      </w:pPr>
      <w:bookmarkStart w:id="4" w:name="_Toc200739165"/>
      <w:r w:rsidRPr="001E757A">
        <w:rPr>
          <w:rFonts w:ascii="Times New Roman" w:hAnsi="Times New Roman" w:cs="Times New Roman"/>
          <w:color w:val="000000" w:themeColor="text1"/>
        </w:rPr>
        <w:t>Event Management</w:t>
      </w:r>
      <w:bookmarkEnd w:id="4"/>
    </w:p>
    <w:p w14:paraId="78CBB799" w14:textId="5B9D8F4D"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To successfully offer the Micro Music &amp; Môr Session, you need to be good at strategic project management, which includes network scheduling, critical-path analysis, and document control. These skills help decrease uncertainty when resources are limited (Shone and Parry, 2019). A professionally qualified manager must convert innovative ideas into work packages and milestones to ensure that procurement, permits, and marketing happen in a logical order (Kitchin</w:t>
      </w:r>
      <w:r w:rsidR="00731C60" w:rsidRPr="001E757A">
        <w:rPr>
          <w:rFonts w:ascii="Times New Roman" w:hAnsi="Times New Roman" w:cs="Times New Roman"/>
          <w:color w:val="000000" w:themeColor="text1"/>
          <w:sz w:val="24"/>
          <w:szCs w:val="24"/>
          <w:lang w:eastAsia="en-GB"/>
        </w:rPr>
        <w:t xml:space="preserve"> and Ferdinand,</w:t>
      </w:r>
      <w:r w:rsidRPr="001E757A">
        <w:rPr>
          <w:rFonts w:ascii="Times New Roman" w:hAnsi="Times New Roman" w:cs="Times New Roman"/>
          <w:color w:val="000000" w:themeColor="text1"/>
          <w:sz w:val="24"/>
          <w:szCs w:val="24"/>
          <w:lang w:eastAsia="en-GB"/>
        </w:rPr>
        <w:t xml:space="preserve"> 2017). To keep costs under control, you need to know how to estimate, analyse variances, and safeguard your cash flow. A cloud budget tracker that alerts you to overspending in real time may help (</w:t>
      </w:r>
      <w:r w:rsidR="00731C60" w:rsidRPr="001E757A">
        <w:rPr>
          <w:rFonts w:ascii="Times New Roman" w:hAnsi="Times New Roman" w:cs="Times New Roman"/>
          <w:color w:val="000000" w:themeColor="text1"/>
          <w:sz w:val="24"/>
          <w:szCs w:val="24"/>
          <w:lang w:eastAsia="en-GB"/>
        </w:rPr>
        <w:t>Smith</w:t>
      </w:r>
      <w:r w:rsidRPr="001E757A">
        <w:rPr>
          <w:rFonts w:ascii="Times New Roman" w:hAnsi="Times New Roman" w:cs="Times New Roman"/>
          <w:color w:val="000000" w:themeColor="text1"/>
          <w:sz w:val="24"/>
          <w:szCs w:val="24"/>
          <w:lang w:eastAsia="en-GB"/>
        </w:rPr>
        <w:t>, 2012). ISO 31000 methodology may help you develop the skills you need to complete a full risk assessment. This will help find dangers from the weather, transportation, and health care and provide them the right amount of protection, such as indoor contingency space and first-aid cover</w:t>
      </w:r>
      <w:r w:rsidR="00731C60"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 xml:space="preserve">Operational execution necessitates logistics coordination, supplier relationship management, and front-of-house service choreography that may be tailored to a rural historic site with constrained back-of-house capacity (Mallen and Adams, 2017). To attract UK incentive buyers via LinkedIn campaigns, trade-newsletter articles, and search-optimized microsites, you need to know how to do digital marketing (Crowther and Donlan, 2011). This will help you get the most out of your little expenses. Post-event relationship management depends on CRM analytics that keep track of </w:t>
      </w:r>
      <w:r w:rsidRPr="001E757A">
        <w:rPr>
          <w:rFonts w:ascii="Times New Roman" w:hAnsi="Times New Roman" w:cs="Times New Roman"/>
          <w:color w:val="000000" w:themeColor="text1"/>
          <w:sz w:val="24"/>
          <w:szCs w:val="24"/>
          <w:lang w:eastAsia="en-GB"/>
        </w:rPr>
        <w:lastRenderedPageBreak/>
        <w:t>how engaged delegates are, how many sales are in the pipeline, and how much money the experience made, which supports claims of return on investment</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Sustainability competency is also very important. For example, procurement officers must get at least 80% of their suppliers from within 40 miles, check carbon outputs, and put into place waste-minimization techniques that fit with community-based tourism concepts (</w:t>
      </w:r>
      <w:r w:rsidR="00D610ED" w:rsidRPr="001E757A">
        <w:rPr>
          <w:rFonts w:ascii="Times New Roman" w:hAnsi="Times New Roman" w:cs="Times New Roman"/>
          <w:color w:val="000000" w:themeColor="text1"/>
          <w:sz w:val="24"/>
          <w:szCs w:val="24"/>
          <w:lang w:eastAsia="en-GB"/>
        </w:rPr>
        <w:t>Hudson and Hudson, 2023</w:t>
      </w:r>
      <w:r w:rsidRPr="001E757A">
        <w:rPr>
          <w:rFonts w:ascii="Times New Roman" w:hAnsi="Times New Roman" w:cs="Times New Roman"/>
          <w:color w:val="000000" w:themeColor="text1"/>
          <w:sz w:val="24"/>
          <w:szCs w:val="24"/>
          <w:lang w:eastAsia="en-GB"/>
        </w:rPr>
        <w:t>). Involving local chefs, craftsmen, and residents in decision-making is an example of continuous stakeholder engagement skills that can build social license and promote cultural authenticity and legacy results (</w:t>
      </w:r>
      <w:r w:rsidR="00D610ED" w:rsidRPr="001E757A">
        <w:rPr>
          <w:rFonts w:ascii="Times New Roman" w:hAnsi="Times New Roman" w:cs="Times New Roman"/>
          <w:color w:val="000000" w:themeColor="text1"/>
          <w:sz w:val="24"/>
          <w:szCs w:val="24"/>
          <w:lang w:eastAsia="en-GB"/>
        </w:rPr>
        <w:t>Stevenson,2020</w:t>
      </w:r>
      <w:r w:rsidRPr="001E757A">
        <w:rPr>
          <w:rFonts w:ascii="Times New Roman" w:hAnsi="Times New Roman" w:cs="Times New Roman"/>
          <w:color w:val="000000" w:themeColor="text1"/>
          <w:sz w:val="24"/>
          <w:szCs w:val="24"/>
          <w:lang w:eastAsia="en-GB"/>
        </w:rPr>
        <w:t xml:space="preserve">). </w:t>
      </w:r>
      <w:r w:rsidR="00D610ED" w:rsidRPr="001E757A">
        <w:rPr>
          <w:rFonts w:ascii="Times New Roman" w:hAnsi="Times New Roman" w:cs="Times New Roman"/>
          <w:color w:val="000000" w:themeColor="text1"/>
          <w:sz w:val="24"/>
          <w:szCs w:val="24"/>
          <w:lang w:eastAsia="en-GB"/>
        </w:rPr>
        <w:t>Thus</w:t>
      </w:r>
      <w:r w:rsidRPr="001E757A">
        <w:rPr>
          <w:rFonts w:ascii="Times New Roman" w:hAnsi="Times New Roman" w:cs="Times New Roman"/>
          <w:color w:val="000000" w:themeColor="text1"/>
          <w:sz w:val="24"/>
          <w:szCs w:val="24"/>
          <w:lang w:eastAsia="en-GB"/>
        </w:rPr>
        <w:t>, project-management software, mobile point-of-sale devices, portable audiovisual equipment, a 4G communications hub, and a pre-booked minibus fleet are all core physical resources. To keep the supply chain strong, all of these things must be contracted eight weeks before show day (Shone and Parry, 2019). All of these different talents and resources come together to create a system that enables the safe, fun, and cost-effective delivery of the Year of Croeso micro-meeting.</w:t>
      </w:r>
      <w:r w:rsidRPr="001E757A">
        <w:rPr>
          <w:rFonts w:ascii="Times New Roman" w:hAnsi="Times New Roman" w:cs="Times New Roman"/>
          <w:color w:val="000000" w:themeColor="text1"/>
          <w:sz w:val="24"/>
          <w:szCs w:val="24"/>
        </w:rPr>
        <w:t xml:space="preserve"> </w:t>
      </w:r>
      <w:r w:rsidRPr="001E757A">
        <w:rPr>
          <w:rFonts w:ascii="Times New Roman" w:hAnsi="Times New Roman" w:cs="Times New Roman"/>
          <w:color w:val="000000" w:themeColor="text1"/>
          <w:sz w:val="24"/>
          <w:szCs w:val="24"/>
          <w:lang w:eastAsia="en-GB"/>
        </w:rPr>
        <w:t>By developing these interconnecting soft and hard talents, the organising team can turn innovative ideas into dependable delivery</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Each skill class is important for a different part of the event cycle. If there are gaps in competence, the conference might go over budget or lose its good name (Getz and Page, 2019). The team strikes a balance between operational efficiency and a human-centered experience that meets the needs of today's high-value MICE purchasers (Ferdinand and Kitchin, 2017). Continuous reflective practice embeds lessons for future Year of Croeso editions and supports organisational learning</w:t>
      </w:r>
      <w:r w:rsidR="00D610ED" w:rsidRPr="001E757A">
        <w:rPr>
          <w:rFonts w:ascii="Times New Roman" w:hAnsi="Times New Roman" w:cs="Times New Roman"/>
          <w:color w:val="000000" w:themeColor="text1"/>
          <w:sz w:val="24"/>
          <w:szCs w:val="24"/>
          <w:lang w:eastAsia="en-GB"/>
        </w:rPr>
        <w:t>.</w:t>
      </w:r>
    </w:p>
    <w:tbl>
      <w:tblPr>
        <w:tblStyle w:val="TableGrid"/>
        <w:tblW w:w="0" w:type="auto"/>
        <w:tblLook w:val="04A0" w:firstRow="1" w:lastRow="0" w:firstColumn="1" w:lastColumn="0" w:noHBand="0" w:noVBand="1"/>
      </w:tblPr>
      <w:tblGrid>
        <w:gridCol w:w="3005"/>
        <w:gridCol w:w="3005"/>
        <w:gridCol w:w="3006"/>
      </w:tblGrid>
      <w:tr w:rsidR="001E757A" w:rsidRPr="001E757A" w14:paraId="4AF3895E" w14:textId="77777777" w:rsidTr="001C0E7D">
        <w:tc>
          <w:tcPr>
            <w:tcW w:w="3005" w:type="dxa"/>
          </w:tcPr>
          <w:p w14:paraId="3B58B03B" w14:textId="79957069"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Skill category</w:t>
            </w:r>
          </w:p>
        </w:tc>
        <w:tc>
          <w:tcPr>
            <w:tcW w:w="3005" w:type="dxa"/>
          </w:tcPr>
          <w:p w14:paraId="546DA505" w14:textId="75065FE8"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Specific skill</w:t>
            </w:r>
          </w:p>
        </w:tc>
        <w:tc>
          <w:tcPr>
            <w:tcW w:w="3006" w:type="dxa"/>
          </w:tcPr>
          <w:p w14:paraId="0D6085A3" w14:textId="109A398D"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Application to Micro Music &amp; Môr Session</w:t>
            </w:r>
          </w:p>
        </w:tc>
      </w:tr>
      <w:tr w:rsidR="001E757A" w:rsidRPr="001E757A" w14:paraId="18FF0FAE" w14:textId="77777777" w:rsidTr="001C0E7D">
        <w:tc>
          <w:tcPr>
            <w:tcW w:w="3005" w:type="dxa"/>
          </w:tcPr>
          <w:p w14:paraId="7BE9BC1A" w14:textId="079E89D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Strategic leadership</w:t>
            </w:r>
          </w:p>
        </w:tc>
        <w:tc>
          <w:tcPr>
            <w:tcW w:w="3005" w:type="dxa"/>
          </w:tcPr>
          <w:p w14:paraId="50E2334C" w14:textId="681B297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Vision setting and decisive judgement</w:t>
            </w:r>
          </w:p>
        </w:tc>
        <w:tc>
          <w:tcPr>
            <w:tcW w:w="3006" w:type="dxa"/>
          </w:tcPr>
          <w:p w14:paraId="10D6BC36" w14:textId="7511A532"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Aligns objectives with Year of Croeso goals</w:t>
            </w:r>
          </w:p>
        </w:tc>
      </w:tr>
      <w:tr w:rsidR="001E757A" w:rsidRPr="001E757A" w14:paraId="49AD87C3" w14:textId="77777777" w:rsidTr="001C0E7D">
        <w:tc>
          <w:tcPr>
            <w:tcW w:w="3005" w:type="dxa"/>
          </w:tcPr>
          <w:p w14:paraId="0C093233" w14:textId="40FB648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Project management</w:t>
            </w:r>
          </w:p>
        </w:tc>
        <w:tc>
          <w:tcPr>
            <w:tcW w:w="3005" w:type="dxa"/>
          </w:tcPr>
          <w:p w14:paraId="57D7738A" w14:textId="074B6DB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Network scheduling and time control</w:t>
            </w:r>
          </w:p>
        </w:tc>
        <w:tc>
          <w:tcPr>
            <w:tcW w:w="3006" w:type="dxa"/>
          </w:tcPr>
          <w:p w14:paraId="7F786AFE" w14:textId="73BD2945"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Keeps permits, procurement and marketing on track</w:t>
            </w:r>
          </w:p>
        </w:tc>
      </w:tr>
      <w:tr w:rsidR="001E757A" w:rsidRPr="001E757A" w14:paraId="655FAC88" w14:textId="77777777" w:rsidTr="001C0E7D">
        <w:tc>
          <w:tcPr>
            <w:tcW w:w="3005" w:type="dxa"/>
          </w:tcPr>
          <w:p w14:paraId="213E167D" w14:textId="3AE53ED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Communication</w:t>
            </w:r>
          </w:p>
        </w:tc>
        <w:tc>
          <w:tcPr>
            <w:tcW w:w="3005" w:type="dxa"/>
          </w:tcPr>
          <w:p w14:paraId="65F17A4C" w14:textId="07A7B06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Clear briefings and supplier negotiation</w:t>
            </w:r>
          </w:p>
        </w:tc>
        <w:tc>
          <w:tcPr>
            <w:tcW w:w="3006" w:type="dxa"/>
          </w:tcPr>
          <w:p w14:paraId="7BED9AFC" w14:textId="4727C034"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Secures cooperation in a venue with limited space</w:t>
            </w:r>
          </w:p>
        </w:tc>
      </w:tr>
      <w:tr w:rsidR="001E757A" w:rsidRPr="001E757A" w14:paraId="4E507623" w14:textId="77777777" w:rsidTr="001C0E7D">
        <w:tc>
          <w:tcPr>
            <w:tcW w:w="3005" w:type="dxa"/>
          </w:tcPr>
          <w:p w14:paraId="226AC855" w14:textId="5B0561B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Interpersonal empathy</w:t>
            </w:r>
          </w:p>
        </w:tc>
        <w:tc>
          <w:tcPr>
            <w:tcW w:w="3005" w:type="dxa"/>
          </w:tcPr>
          <w:p w14:paraId="75942012" w14:textId="788330C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Cultural sensitivity and active listening</w:t>
            </w:r>
          </w:p>
        </w:tc>
        <w:tc>
          <w:tcPr>
            <w:tcW w:w="3006" w:type="dxa"/>
          </w:tcPr>
          <w:p w14:paraId="4E9F3F69" w14:textId="5BF32712"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Creates an inclusive Welsh welcome for delegates</w:t>
            </w:r>
          </w:p>
        </w:tc>
      </w:tr>
      <w:tr w:rsidR="001E757A" w:rsidRPr="001E757A" w14:paraId="32576048" w14:textId="77777777" w:rsidTr="001C0E7D">
        <w:tc>
          <w:tcPr>
            <w:tcW w:w="3005" w:type="dxa"/>
          </w:tcPr>
          <w:p w14:paraId="7FD0F221" w14:textId="1A2EC33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Problem solving</w:t>
            </w:r>
          </w:p>
        </w:tc>
        <w:tc>
          <w:tcPr>
            <w:tcW w:w="3005" w:type="dxa"/>
          </w:tcPr>
          <w:p w14:paraId="0DE5DEE4" w14:textId="0F04017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Rapid issue diagnosis and improvisation</w:t>
            </w:r>
          </w:p>
        </w:tc>
        <w:tc>
          <w:tcPr>
            <w:tcW w:w="3006" w:type="dxa"/>
          </w:tcPr>
          <w:p w14:paraId="46A490E4" w14:textId="27B97FC3"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Handles weather shifts or transport delays in rural settings</w:t>
            </w:r>
          </w:p>
        </w:tc>
      </w:tr>
      <w:tr w:rsidR="001C0E7D" w:rsidRPr="001E757A" w14:paraId="27138132" w14:textId="77777777" w:rsidTr="001C0E7D">
        <w:tc>
          <w:tcPr>
            <w:tcW w:w="3005" w:type="dxa"/>
          </w:tcPr>
          <w:p w14:paraId="002B74F1" w14:textId="12671889"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lastRenderedPageBreak/>
              <w:t>Digital literacy</w:t>
            </w:r>
          </w:p>
        </w:tc>
        <w:tc>
          <w:tcPr>
            <w:tcW w:w="3005" w:type="dxa"/>
          </w:tcPr>
          <w:p w14:paraId="1E31F4BB" w14:textId="1824F83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Social-media targeting and CRM analytics</w:t>
            </w:r>
          </w:p>
        </w:tc>
        <w:tc>
          <w:tcPr>
            <w:tcW w:w="3006" w:type="dxa"/>
          </w:tcPr>
          <w:p w14:paraId="7D865FBB" w14:textId="5D52410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Reaches incentive buyers and tracks post-event sales</w:t>
            </w:r>
          </w:p>
        </w:tc>
      </w:tr>
      <w:tr w:rsidR="001E757A" w:rsidRPr="001E757A" w14:paraId="52F3A17F" w14:textId="77777777" w:rsidTr="001C0E7D">
        <w:tc>
          <w:tcPr>
            <w:tcW w:w="3005" w:type="dxa"/>
          </w:tcPr>
          <w:p w14:paraId="5D1581BF" w14:textId="3795592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Financial acumen</w:t>
            </w:r>
          </w:p>
        </w:tc>
        <w:tc>
          <w:tcPr>
            <w:tcW w:w="3005" w:type="dxa"/>
          </w:tcPr>
          <w:p w14:paraId="1D1F6331" w14:textId="7788E13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Zero-based budgeting and variance analysis</w:t>
            </w:r>
          </w:p>
        </w:tc>
        <w:tc>
          <w:tcPr>
            <w:tcW w:w="3006" w:type="dxa"/>
          </w:tcPr>
          <w:p w14:paraId="582D0A5E" w14:textId="5934C47C"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Protects the 5 % surplus and cash flow</w:t>
            </w:r>
          </w:p>
        </w:tc>
      </w:tr>
      <w:tr w:rsidR="001C0E7D" w:rsidRPr="001E757A" w14:paraId="652D2D57" w14:textId="77777777" w:rsidTr="001C0E7D">
        <w:tc>
          <w:tcPr>
            <w:tcW w:w="3005" w:type="dxa"/>
          </w:tcPr>
          <w:p w14:paraId="5FB43BC9" w14:textId="5862AA3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Risk awareness</w:t>
            </w:r>
          </w:p>
        </w:tc>
        <w:tc>
          <w:tcPr>
            <w:tcW w:w="3005" w:type="dxa"/>
          </w:tcPr>
          <w:p w14:paraId="206665FD" w14:textId="5C29637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Hazard identification and emergency scripting</w:t>
            </w:r>
          </w:p>
        </w:tc>
        <w:tc>
          <w:tcPr>
            <w:tcW w:w="3006" w:type="dxa"/>
          </w:tcPr>
          <w:p w14:paraId="136357D4" w14:textId="3AD99164"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Ensures delegate safety under ISO 31000 principles</w:t>
            </w:r>
          </w:p>
        </w:tc>
      </w:tr>
      <w:tr w:rsidR="001C0E7D" w:rsidRPr="001E757A" w14:paraId="28F36096" w14:textId="77777777" w:rsidTr="001C0E7D">
        <w:tc>
          <w:tcPr>
            <w:tcW w:w="3005" w:type="dxa"/>
          </w:tcPr>
          <w:p w14:paraId="26077C5D" w14:textId="47AB75E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Sustainability mindset</w:t>
            </w:r>
          </w:p>
        </w:tc>
        <w:tc>
          <w:tcPr>
            <w:tcW w:w="3005" w:type="dxa"/>
          </w:tcPr>
          <w:p w14:paraId="083AC1B2" w14:textId="17D7113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Ethical sourcing and carbon auditing</w:t>
            </w:r>
          </w:p>
        </w:tc>
        <w:tc>
          <w:tcPr>
            <w:tcW w:w="3006" w:type="dxa"/>
          </w:tcPr>
          <w:p w14:paraId="51258F32" w14:textId="30BB11FD"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Delivers the 80 % local-procurement target</w:t>
            </w:r>
          </w:p>
        </w:tc>
      </w:tr>
      <w:tr w:rsidR="001E757A" w:rsidRPr="001E757A" w14:paraId="2B196EA2" w14:textId="77777777" w:rsidTr="001C0E7D">
        <w:tc>
          <w:tcPr>
            <w:tcW w:w="3005" w:type="dxa"/>
          </w:tcPr>
          <w:p w14:paraId="67876DCF" w14:textId="13ADEF8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Customer orientation</w:t>
            </w:r>
          </w:p>
        </w:tc>
        <w:tc>
          <w:tcPr>
            <w:tcW w:w="3005" w:type="dxa"/>
          </w:tcPr>
          <w:p w14:paraId="518C94E3" w14:textId="12CBC97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Service recovery and quality monitoring</w:t>
            </w:r>
          </w:p>
        </w:tc>
        <w:tc>
          <w:tcPr>
            <w:tcW w:w="3006" w:type="dxa"/>
          </w:tcPr>
          <w:p w14:paraId="19389784" w14:textId="2EFDB56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Maintains ≥ 90 % delegate satisfaction</w:t>
            </w:r>
          </w:p>
        </w:tc>
      </w:tr>
    </w:tbl>
    <w:p w14:paraId="0B91DB19" w14:textId="77777777"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p>
    <w:p w14:paraId="03B14068" w14:textId="646D6547" w:rsidR="001C0E7D" w:rsidRPr="001E757A" w:rsidRDefault="001C0E7D" w:rsidP="001E757A">
      <w:pPr>
        <w:pStyle w:val="EU"/>
        <w:numPr>
          <w:ilvl w:val="0"/>
          <w:numId w:val="1"/>
        </w:numPr>
        <w:spacing w:line="360" w:lineRule="auto"/>
        <w:rPr>
          <w:rFonts w:ascii="Times New Roman" w:hAnsi="Times New Roman" w:cs="Times New Roman"/>
          <w:color w:val="000000" w:themeColor="text1"/>
        </w:rPr>
      </w:pPr>
      <w:bookmarkStart w:id="5" w:name="_Toc200739166"/>
      <w:r w:rsidRPr="001E757A">
        <w:rPr>
          <w:rFonts w:ascii="Times New Roman" w:hAnsi="Times New Roman" w:cs="Times New Roman"/>
          <w:color w:val="000000" w:themeColor="text1"/>
        </w:rPr>
        <w:t>Event Budget</w:t>
      </w:r>
      <w:bookmarkEnd w:id="5"/>
    </w:p>
    <w:p w14:paraId="437C72F3" w14:textId="77777777" w:rsidR="001C0E7D" w:rsidRPr="001E757A" w:rsidRDefault="001C0E7D" w:rsidP="001E757A">
      <w:pPr>
        <w:spacing w:line="360" w:lineRule="auto"/>
        <w:jc w:val="both"/>
        <w:rPr>
          <w:rFonts w:ascii="Times New Roman" w:eastAsiaTheme="majorEastAsia" w:hAnsi="Times New Roman" w:cs="Times New Roman"/>
          <w:b/>
          <w:color w:val="000000" w:themeColor="text1"/>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1E757A" w:rsidRPr="001E757A" w14:paraId="2FE56FED" w14:textId="77777777" w:rsidTr="001C0E7D">
        <w:tc>
          <w:tcPr>
            <w:tcW w:w="3005" w:type="dxa"/>
          </w:tcPr>
          <w:p w14:paraId="7D211EEA" w14:textId="519437BC"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Income source</w:t>
            </w:r>
          </w:p>
        </w:tc>
        <w:tc>
          <w:tcPr>
            <w:tcW w:w="3005" w:type="dxa"/>
          </w:tcPr>
          <w:p w14:paraId="7AABE17A" w14:textId="3E2B0EEC"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Calculation</w:t>
            </w:r>
          </w:p>
        </w:tc>
        <w:tc>
          <w:tcPr>
            <w:tcW w:w="3006" w:type="dxa"/>
          </w:tcPr>
          <w:p w14:paraId="2EF609DF" w14:textId="14E85598"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Amount (£)</w:t>
            </w:r>
          </w:p>
        </w:tc>
      </w:tr>
      <w:tr w:rsidR="001E757A" w:rsidRPr="001E757A" w14:paraId="380D7A27" w14:textId="77777777" w:rsidTr="001C0E7D">
        <w:tc>
          <w:tcPr>
            <w:tcW w:w="3005" w:type="dxa"/>
          </w:tcPr>
          <w:p w14:paraId="1003AE9E" w14:textId="3028643D"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Delegate registration</w:t>
            </w:r>
          </w:p>
        </w:tc>
        <w:tc>
          <w:tcPr>
            <w:tcW w:w="3005" w:type="dxa"/>
          </w:tcPr>
          <w:p w14:paraId="784E9CDE" w14:textId="189A3E9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30 delegates × £120</w:t>
            </w:r>
          </w:p>
        </w:tc>
        <w:tc>
          <w:tcPr>
            <w:tcW w:w="3006" w:type="dxa"/>
          </w:tcPr>
          <w:p w14:paraId="7AE4D6B3" w14:textId="70601D2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3 600</w:t>
            </w:r>
          </w:p>
        </w:tc>
      </w:tr>
      <w:tr w:rsidR="001E757A" w:rsidRPr="001E757A" w14:paraId="2F858F29" w14:textId="77777777" w:rsidTr="001C0E7D">
        <w:tc>
          <w:tcPr>
            <w:tcW w:w="3005" w:type="dxa"/>
          </w:tcPr>
          <w:p w14:paraId="7813FE02" w14:textId="324BCD3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Visit Wales “Year of Croeso” grant</w:t>
            </w:r>
          </w:p>
        </w:tc>
        <w:tc>
          <w:tcPr>
            <w:tcW w:w="3005" w:type="dxa"/>
          </w:tcPr>
          <w:p w14:paraId="32049CBF" w14:textId="210BB13C"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Fixed grant</w:t>
            </w:r>
          </w:p>
        </w:tc>
        <w:tc>
          <w:tcPr>
            <w:tcW w:w="3006" w:type="dxa"/>
          </w:tcPr>
          <w:p w14:paraId="75FE1557" w14:textId="589B1BD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1 500</w:t>
            </w:r>
          </w:p>
        </w:tc>
      </w:tr>
      <w:tr w:rsidR="001E757A" w:rsidRPr="001E757A" w14:paraId="56503BF0" w14:textId="77777777" w:rsidTr="001C0E7D">
        <w:tc>
          <w:tcPr>
            <w:tcW w:w="3005" w:type="dxa"/>
          </w:tcPr>
          <w:p w14:paraId="31D1E8BE" w14:textId="51890204"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Corporate sponsorship</w:t>
            </w:r>
          </w:p>
        </w:tc>
        <w:tc>
          <w:tcPr>
            <w:tcW w:w="3005" w:type="dxa"/>
          </w:tcPr>
          <w:p w14:paraId="5CDA9A7D" w14:textId="101F42A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Local tourism partnership</w:t>
            </w:r>
          </w:p>
        </w:tc>
        <w:tc>
          <w:tcPr>
            <w:tcW w:w="3006" w:type="dxa"/>
          </w:tcPr>
          <w:p w14:paraId="4965829A" w14:textId="1A4CA31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900</w:t>
            </w:r>
          </w:p>
        </w:tc>
      </w:tr>
      <w:tr w:rsidR="001E757A" w:rsidRPr="001E757A" w14:paraId="0468F70F" w14:textId="77777777" w:rsidTr="001C0E7D">
        <w:tc>
          <w:tcPr>
            <w:tcW w:w="3005" w:type="dxa"/>
          </w:tcPr>
          <w:p w14:paraId="5F1858E7" w14:textId="09185E9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Producer stand fees</w:t>
            </w:r>
          </w:p>
        </w:tc>
        <w:tc>
          <w:tcPr>
            <w:tcW w:w="3005" w:type="dxa"/>
          </w:tcPr>
          <w:p w14:paraId="44177347" w14:textId="06F1FFD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5 producers × £100</w:t>
            </w:r>
          </w:p>
        </w:tc>
        <w:tc>
          <w:tcPr>
            <w:tcW w:w="3006" w:type="dxa"/>
          </w:tcPr>
          <w:p w14:paraId="52AE5112" w14:textId="0CF13A1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500</w:t>
            </w:r>
          </w:p>
        </w:tc>
      </w:tr>
      <w:tr w:rsidR="001E757A" w:rsidRPr="001E757A" w14:paraId="1D83D974" w14:textId="77777777" w:rsidTr="001C0E7D">
        <w:trPr>
          <w:trHeight w:val="302"/>
        </w:trPr>
        <w:tc>
          <w:tcPr>
            <w:tcW w:w="3005" w:type="dxa"/>
          </w:tcPr>
          <w:p w14:paraId="49DAB3EB" w14:textId="1D4E73C7"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Total income</w:t>
            </w:r>
          </w:p>
        </w:tc>
        <w:tc>
          <w:tcPr>
            <w:tcW w:w="3005" w:type="dxa"/>
          </w:tcPr>
          <w:p w14:paraId="6635246C" w14:textId="77777777"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p>
        </w:tc>
        <w:tc>
          <w:tcPr>
            <w:tcW w:w="3006" w:type="dxa"/>
          </w:tcPr>
          <w:p w14:paraId="1FC32C36" w14:textId="65BC5097"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6 500</w:t>
            </w:r>
          </w:p>
        </w:tc>
      </w:tr>
    </w:tbl>
    <w:p w14:paraId="364AADF1" w14:textId="77777777"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p>
    <w:tbl>
      <w:tblPr>
        <w:tblStyle w:val="TableGrid"/>
        <w:tblW w:w="0" w:type="auto"/>
        <w:tblLook w:val="04A0" w:firstRow="1" w:lastRow="0" w:firstColumn="1" w:lastColumn="0" w:noHBand="0" w:noVBand="1"/>
      </w:tblPr>
      <w:tblGrid>
        <w:gridCol w:w="3005"/>
        <w:gridCol w:w="3005"/>
        <w:gridCol w:w="3006"/>
      </w:tblGrid>
      <w:tr w:rsidR="001E757A" w:rsidRPr="001E757A" w14:paraId="63B9BAE8" w14:textId="77777777" w:rsidTr="001C0E7D">
        <w:tc>
          <w:tcPr>
            <w:tcW w:w="3005" w:type="dxa"/>
          </w:tcPr>
          <w:p w14:paraId="5D13991B" w14:textId="1BEE204F"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Cost category</w:t>
            </w:r>
          </w:p>
        </w:tc>
        <w:tc>
          <w:tcPr>
            <w:tcW w:w="3005" w:type="dxa"/>
          </w:tcPr>
          <w:p w14:paraId="53E59386" w14:textId="195A3C63"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Notes / calculation</w:t>
            </w:r>
          </w:p>
        </w:tc>
        <w:tc>
          <w:tcPr>
            <w:tcW w:w="3006" w:type="dxa"/>
          </w:tcPr>
          <w:p w14:paraId="2959590B" w14:textId="35CB5298"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Amount (£)</w:t>
            </w:r>
          </w:p>
        </w:tc>
      </w:tr>
      <w:tr w:rsidR="001E757A" w:rsidRPr="001E757A" w14:paraId="700A15BC" w14:textId="77777777" w:rsidTr="001C0E7D">
        <w:tc>
          <w:tcPr>
            <w:tcW w:w="3005" w:type="dxa"/>
          </w:tcPr>
          <w:p w14:paraId="67445429" w14:textId="542C66A3"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Venue hire &amp; utilities</w:t>
            </w:r>
          </w:p>
        </w:tc>
        <w:tc>
          <w:tcPr>
            <w:tcW w:w="3005" w:type="dxa"/>
          </w:tcPr>
          <w:p w14:paraId="435D88BA" w14:textId="466A57C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Heritage house, full day</w:t>
            </w:r>
          </w:p>
        </w:tc>
        <w:tc>
          <w:tcPr>
            <w:tcW w:w="3006" w:type="dxa"/>
          </w:tcPr>
          <w:p w14:paraId="76532D9F" w14:textId="78B54719"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600</w:t>
            </w:r>
          </w:p>
        </w:tc>
      </w:tr>
      <w:tr w:rsidR="001E757A" w:rsidRPr="001E757A" w14:paraId="5DE8530E" w14:textId="77777777" w:rsidTr="001C0E7D">
        <w:tc>
          <w:tcPr>
            <w:tcW w:w="3005" w:type="dxa"/>
          </w:tcPr>
          <w:p w14:paraId="4DF0B991" w14:textId="5D758EE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Catering</w:t>
            </w:r>
          </w:p>
        </w:tc>
        <w:tc>
          <w:tcPr>
            <w:tcW w:w="3005" w:type="dxa"/>
          </w:tcPr>
          <w:p w14:paraId="270BDBA6" w14:textId="01F91C4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30 meals × £35</w:t>
            </w:r>
          </w:p>
        </w:tc>
        <w:tc>
          <w:tcPr>
            <w:tcW w:w="3006" w:type="dxa"/>
          </w:tcPr>
          <w:p w14:paraId="0CF63F55" w14:textId="4CBD8A4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1 050</w:t>
            </w:r>
          </w:p>
        </w:tc>
      </w:tr>
      <w:tr w:rsidR="001E757A" w:rsidRPr="001E757A" w14:paraId="4AE69B84" w14:textId="77777777" w:rsidTr="001C0E7D">
        <w:tc>
          <w:tcPr>
            <w:tcW w:w="3005" w:type="dxa"/>
          </w:tcPr>
          <w:p w14:paraId="34C71C40" w14:textId="1E6ECD7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Chef &amp; ranger fees</w:t>
            </w:r>
          </w:p>
        </w:tc>
        <w:tc>
          <w:tcPr>
            <w:tcW w:w="3005" w:type="dxa"/>
          </w:tcPr>
          <w:p w14:paraId="559386C2" w14:textId="1BCE2362"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Professional services</w:t>
            </w:r>
          </w:p>
        </w:tc>
        <w:tc>
          <w:tcPr>
            <w:tcW w:w="3006" w:type="dxa"/>
          </w:tcPr>
          <w:p w14:paraId="17A5B392" w14:textId="4E301A74"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650</w:t>
            </w:r>
          </w:p>
        </w:tc>
      </w:tr>
      <w:tr w:rsidR="001E757A" w:rsidRPr="001E757A" w14:paraId="21AB6177" w14:textId="77777777" w:rsidTr="001C0E7D">
        <w:tc>
          <w:tcPr>
            <w:tcW w:w="3005" w:type="dxa"/>
          </w:tcPr>
          <w:p w14:paraId="0BE8E8A1" w14:textId="2673A24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Entertainment</w:t>
            </w:r>
          </w:p>
        </w:tc>
        <w:tc>
          <w:tcPr>
            <w:tcW w:w="3005" w:type="dxa"/>
          </w:tcPr>
          <w:p w14:paraId="01311B85" w14:textId="3D25DC0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Harpist, storyteller</w:t>
            </w:r>
          </w:p>
        </w:tc>
        <w:tc>
          <w:tcPr>
            <w:tcW w:w="3006" w:type="dxa"/>
          </w:tcPr>
          <w:p w14:paraId="53F9652D" w14:textId="7076EF0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500</w:t>
            </w:r>
          </w:p>
        </w:tc>
      </w:tr>
      <w:tr w:rsidR="001E757A" w:rsidRPr="001E757A" w14:paraId="21C9E177" w14:textId="77777777" w:rsidTr="001C0E7D">
        <w:tc>
          <w:tcPr>
            <w:tcW w:w="3005" w:type="dxa"/>
          </w:tcPr>
          <w:p w14:paraId="46C6E9AC" w14:textId="1DBBD9E0"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Craft-workshop materials</w:t>
            </w:r>
          </w:p>
        </w:tc>
        <w:tc>
          <w:tcPr>
            <w:tcW w:w="3005" w:type="dxa"/>
          </w:tcPr>
          <w:p w14:paraId="57FF4459" w14:textId="4AA2180D"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Slate, tools</w:t>
            </w:r>
          </w:p>
        </w:tc>
        <w:tc>
          <w:tcPr>
            <w:tcW w:w="3006" w:type="dxa"/>
          </w:tcPr>
          <w:p w14:paraId="76EDF481" w14:textId="478194F9"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300</w:t>
            </w:r>
          </w:p>
        </w:tc>
      </w:tr>
      <w:tr w:rsidR="001E757A" w:rsidRPr="001E757A" w14:paraId="14257B6C" w14:textId="77777777" w:rsidTr="001C0E7D">
        <w:tc>
          <w:tcPr>
            <w:tcW w:w="3005" w:type="dxa"/>
          </w:tcPr>
          <w:p w14:paraId="58DB5B96" w14:textId="513CDDA9"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Minibus transport</w:t>
            </w:r>
          </w:p>
        </w:tc>
        <w:tc>
          <w:tcPr>
            <w:tcW w:w="3005" w:type="dxa"/>
          </w:tcPr>
          <w:p w14:paraId="72555CA9" w14:textId="271087F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Station–venue shuttles</w:t>
            </w:r>
          </w:p>
        </w:tc>
        <w:tc>
          <w:tcPr>
            <w:tcW w:w="3006" w:type="dxa"/>
          </w:tcPr>
          <w:p w14:paraId="4FD0B10F" w14:textId="403DEED2"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450</w:t>
            </w:r>
          </w:p>
        </w:tc>
      </w:tr>
      <w:tr w:rsidR="001C0E7D" w:rsidRPr="001E757A" w14:paraId="162E4E65" w14:textId="77777777" w:rsidTr="001C0E7D">
        <w:tc>
          <w:tcPr>
            <w:tcW w:w="3005" w:type="dxa"/>
          </w:tcPr>
          <w:p w14:paraId="137E23A9" w14:textId="22FFB613"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Marketing &amp; design</w:t>
            </w:r>
          </w:p>
        </w:tc>
        <w:tc>
          <w:tcPr>
            <w:tcW w:w="3005" w:type="dxa"/>
          </w:tcPr>
          <w:p w14:paraId="692ACB48" w14:textId="46F8AAD4"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Digital assets</w:t>
            </w:r>
          </w:p>
        </w:tc>
        <w:tc>
          <w:tcPr>
            <w:tcW w:w="3006" w:type="dxa"/>
          </w:tcPr>
          <w:p w14:paraId="29C56E89" w14:textId="4CBE5C22"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350</w:t>
            </w:r>
          </w:p>
        </w:tc>
      </w:tr>
      <w:tr w:rsidR="001E757A" w:rsidRPr="001E757A" w14:paraId="4A74B50A" w14:textId="77777777" w:rsidTr="001C0E7D">
        <w:tc>
          <w:tcPr>
            <w:tcW w:w="3005" w:type="dxa"/>
          </w:tcPr>
          <w:p w14:paraId="7CFC9215" w14:textId="3DE16B61"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Audio-visual rental</w:t>
            </w:r>
          </w:p>
        </w:tc>
        <w:tc>
          <w:tcPr>
            <w:tcW w:w="3005" w:type="dxa"/>
          </w:tcPr>
          <w:p w14:paraId="007D2426" w14:textId="0BE138B7"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Projector, PA</w:t>
            </w:r>
          </w:p>
        </w:tc>
        <w:tc>
          <w:tcPr>
            <w:tcW w:w="3006" w:type="dxa"/>
          </w:tcPr>
          <w:p w14:paraId="5BE0644D" w14:textId="5A497B1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300</w:t>
            </w:r>
          </w:p>
        </w:tc>
      </w:tr>
      <w:tr w:rsidR="001C0E7D" w:rsidRPr="001E757A" w14:paraId="25BD96D4" w14:textId="77777777" w:rsidTr="001C0E7D">
        <w:tc>
          <w:tcPr>
            <w:tcW w:w="3005" w:type="dxa"/>
          </w:tcPr>
          <w:p w14:paraId="2B36943D" w14:textId="50047E3E"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lastRenderedPageBreak/>
              <w:t>Insurance &amp; permits</w:t>
            </w:r>
          </w:p>
        </w:tc>
        <w:tc>
          <w:tcPr>
            <w:tcW w:w="3005" w:type="dxa"/>
          </w:tcPr>
          <w:p w14:paraId="67E1A3E0" w14:textId="576BFCA5"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Public liability, music licence</w:t>
            </w:r>
          </w:p>
        </w:tc>
        <w:tc>
          <w:tcPr>
            <w:tcW w:w="3006" w:type="dxa"/>
          </w:tcPr>
          <w:p w14:paraId="5658BFA9" w14:textId="64C823E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250</w:t>
            </w:r>
          </w:p>
        </w:tc>
      </w:tr>
      <w:tr w:rsidR="001C0E7D" w:rsidRPr="001E757A" w14:paraId="0F001181" w14:textId="77777777" w:rsidTr="001C0E7D">
        <w:tc>
          <w:tcPr>
            <w:tcW w:w="3005" w:type="dxa"/>
          </w:tcPr>
          <w:p w14:paraId="25C28A11" w14:textId="6D16263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Event-day staffing</w:t>
            </w:r>
          </w:p>
        </w:tc>
        <w:tc>
          <w:tcPr>
            <w:tcW w:w="3005" w:type="dxa"/>
          </w:tcPr>
          <w:p w14:paraId="33377EE0" w14:textId="05C4E8E5"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Manager, safety officer, crew</w:t>
            </w:r>
          </w:p>
        </w:tc>
        <w:tc>
          <w:tcPr>
            <w:tcW w:w="3006" w:type="dxa"/>
          </w:tcPr>
          <w:p w14:paraId="730B2E67" w14:textId="6E2755A8"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1 000</w:t>
            </w:r>
          </w:p>
        </w:tc>
      </w:tr>
      <w:tr w:rsidR="001C0E7D" w:rsidRPr="001E757A" w14:paraId="6A61ABEA" w14:textId="77777777" w:rsidTr="001C0E7D">
        <w:tc>
          <w:tcPr>
            <w:tcW w:w="3005" w:type="dxa"/>
          </w:tcPr>
          <w:p w14:paraId="1652F90D" w14:textId="760DFE45"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Carbon audit &amp; waste</w:t>
            </w:r>
          </w:p>
        </w:tc>
        <w:tc>
          <w:tcPr>
            <w:tcW w:w="3005" w:type="dxa"/>
          </w:tcPr>
          <w:p w14:paraId="0829374D" w14:textId="11E0A12B"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External consultant</w:t>
            </w:r>
          </w:p>
        </w:tc>
        <w:tc>
          <w:tcPr>
            <w:tcW w:w="3006" w:type="dxa"/>
          </w:tcPr>
          <w:p w14:paraId="303B34B4" w14:textId="7193AB16"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200</w:t>
            </w:r>
          </w:p>
        </w:tc>
      </w:tr>
      <w:tr w:rsidR="001C0E7D" w:rsidRPr="001E757A" w14:paraId="5EEF2311" w14:textId="77777777" w:rsidTr="001C0E7D">
        <w:tc>
          <w:tcPr>
            <w:tcW w:w="3005" w:type="dxa"/>
          </w:tcPr>
          <w:p w14:paraId="15D8C338" w14:textId="49175B3C"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Contingency reserve</w:t>
            </w:r>
          </w:p>
        </w:tc>
        <w:tc>
          <w:tcPr>
            <w:tcW w:w="3005" w:type="dxa"/>
          </w:tcPr>
          <w:p w14:paraId="37C5EDEC" w14:textId="2013EA89"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 9 % of direct costs</w:t>
            </w:r>
          </w:p>
        </w:tc>
        <w:tc>
          <w:tcPr>
            <w:tcW w:w="3006" w:type="dxa"/>
          </w:tcPr>
          <w:p w14:paraId="3F454183" w14:textId="3719462A" w:rsidR="001C0E7D" w:rsidRPr="001E757A" w:rsidRDefault="001C0E7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550</w:t>
            </w:r>
          </w:p>
        </w:tc>
      </w:tr>
      <w:tr w:rsidR="001E757A" w:rsidRPr="001E757A" w14:paraId="1B9BB033" w14:textId="77777777" w:rsidTr="001C0E7D">
        <w:tc>
          <w:tcPr>
            <w:tcW w:w="3005" w:type="dxa"/>
          </w:tcPr>
          <w:p w14:paraId="33522639" w14:textId="5FA57C2B"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Total expenditure</w:t>
            </w:r>
          </w:p>
        </w:tc>
        <w:tc>
          <w:tcPr>
            <w:tcW w:w="3005" w:type="dxa"/>
          </w:tcPr>
          <w:p w14:paraId="7191388A" w14:textId="77777777"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p>
        </w:tc>
        <w:tc>
          <w:tcPr>
            <w:tcW w:w="3006" w:type="dxa"/>
          </w:tcPr>
          <w:p w14:paraId="6B32EC2F" w14:textId="6A995F53" w:rsidR="001C0E7D" w:rsidRPr="001E757A" w:rsidRDefault="001C0E7D"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6 200</w:t>
            </w:r>
          </w:p>
        </w:tc>
      </w:tr>
    </w:tbl>
    <w:p w14:paraId="19B0DF3D" w14:textId="10EF9E25"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The revenue structure divides risk between three sources: delegate fees, governmental support, and private sponsorship. Delegate revenue makes up 55% of overall revenues. This limits the risk of attendance changes and keeps the registration fee (£120) below the UK coastal-incentive mean of £140. The Visit Wales funding lowers the pressure to break even and shows that the policy is in line with the local tourist partnership's sponsorship, which builds community support and gives the partnership more reach without costing any more money</w:t>
      </w:r>
      <w:r w:rsidR="00D610ED" w:rsidRPr="001E757A">
        <w:rPr>
          <w:rFonts w:ascii="Times New Roman" w:hAnsi="Times New Roman" w:cs="Times New Roman"/>
          <w:color w:val="000000" w:themeColor="text1"/>
          <w:sz w:val="24"/>
          <w:szCs w:val="24"/>
          <w:lang w:eastAsia="en-GB"/>
        </w:rPr>
        <w:t xml:space="preserve"> (Bowdin et al., 2023)</w:t>
      </w:r>
      <w:r w:rsidRPr="001E757A">
        <w:rPr>
          <w:rFonts w:ascii="Times New Roman" w:hAnsi="Times New Roman" w:cs="Times New Roman"/>
          <w:color w:val="000000" w:themeColor="text1"/>
          <w:sz w:val="24"/>
          <w:szCs w:val="24"/>
          <w:lang w:eastAsia="en-GB"/>
        </w:rPr>
        <w:t>. The event's promise of an experience is reflected in the way people spend their money. Catering takes up the biggest single portion (17% of the budget) since local seafood and "catch-to-kitchen" contact provide value for delegates. However, seasonal sourcing keeps the unit cost at £35 per person. Staffing and professional fees make up 26% of the budget, which shows how labour-intensive customised service is. However, these costs may be kept low by using short, task-specific contracts. Because of an off-peak hiring arrangement, venue-related expenditures are less than the 20% average for rural historic sites. A contingency reserve of £550 (around 9% of spending) protects against late price changes and is in line with the 5–10% safety buffer recommended for small events</w:t>
      </w:r>
      <w:r w:rsidR="00D610ED" w:rsidRPr="001E757A">
        <w:rPr>
          <w:rFonts w:ascii="Times New Roman" w:hAnsi="Times New Roman" w:cs="Times New Roman"/>
          <w:color w:val="000000" w:themeColor="text1"/>
          <w:sz w:val="24"/>
          <w:szCs w:val="24"/>
          <w:lang w:eastAsia="en-GB"/>
        </w:rPr>
        <w:t xml:space="preserve"> (Wilson, 2017).</w:t>
      </w:r>
      <w:r w:rsidRPr="001E757A">
        <w:rPr>
          <w:rFonts w:ascii="Times New Roman" w:hAnsi="Times New Roman" w:cs="Times New Roman"/>
          <w:color w:val="000000" w:themeColor="text1"/>
          <w:sz w:val="24"/>
          <w:szCs w:val="24"/>
          <w:lang w:eastAsia="en-GB"/>
        </w:rPr>
        <w:t xml:space="preserve"> The break-even point is £110 per delegate, therefore the proposed charge gives a 9% cushion and allows for up to three no-shows without losing money. The planned £300 surplus will help prepare for the next Year of Croeso cycle, which will meet both smart financial management and legacy goals.</w:t>
      </w:r>
    </w:p>
    <w:p w14:paraId="64F92027" w14:textId="56EC0049" w:rsidR="004C062B" w:rsidRPr="001E757A" w:rsidRDefault="004C062B" w:rsidP="001E757A">
      <w:pPr>
        <w:pStyle w:val="EU"/>
        <w:numPr>
          <w:ilvl w:val="0"/>
          <w:numId w:val="1"/>
        </w:numPr>
        <w:spacing w:line="360" w:lineRule="auto"/>
        <w:rPr>
          <w:rFonts w:ascii="Times New Roman" w:hAnsi="Times New Roman" w:cs="Times New Roman"/>
          <w:color w:val="000000" w:themeColor="text1"/>
        </w:rPr>
      </w:pPr>
      <w:bookmarkStart w:id="6" w:name="_Toc200739167"/>
      <w:r w:rsidRPr="001E757A">
        <w:rPr>
          <w:rFonts w:ascii="Times New Roman" w:hAnsi="Times New Roman" w:cs="Times New Roman"/>
          <w:color w:val="000000" w:themeColor="text1"/>
        </w:rPr>
        <w:t>Industry Trends / Issues / Impacts</w:t>
      </w:r>
      <w:bookmarkEnd w:id="6"/>
    </w:p>
    <w:p w14:paraId="0FAE7F19" w14:textId="29817443"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Three factors are now coming together to affect how meetings are planned. First, hybrid distribution has become the standard for sharing information since it reaches more people and causes less pollution from travel (</w:t>
      </w:r>
      <w:r w:rsidR="00D610ED" w:rsidRPr="001E757A">
        <w:rPr>
          <w:rFonts w:ascii="Times New Roman" w:hAnsi="Times New Roman" w:cs="Times New Roman"/>
          <w:color w:val="000000" w:themeColor="text1"/>
          <w:sz w:val="24"/>
          <w:szCs w:val="24"/>
          <w:lang w:eastAsia="en-GB"/>
        </w:rPr>
        <w:t>Chodor, 2020</w:t>
      </w:r>
      <w:r w:rsidRPr="001E757A">
        <w:rPr>
          <w:rFonts w:ascii="Times New Roman" w:hAnsi="Times New Roman" w:cs="Times New Roman"/>
          <w:color w:val="000000" w:themeColor="text1"/>
          <w:sz w:val="24"/>
          <w:szCs w:val="24"/>
          <w:lang w:eastAsia="en-GB"/>
        </w:rPr>
        <w:t>). The Micro Music &amp; Môr Session is still totally in-person, but it follows the hybrid mind-set by live-streaming the sunset narrative to planners who are not there, which helps to brand the area without requiring further travel for delegates. Second, planners are under more and more pressure to reduce their carbon footprints and show that their work has a net beneficial effect</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The event's response is to restrict attendance to thirty people, get 80% of supplies from within forty miles, and provide rail-to-</w:t>
      </w:r>
      <w:r w:rsidRPr="001E757A">
        <w:rPr>
          <w:rFonts w:ascii="Times New Roman" w:hAnsi="Times New Roman" w:cs="Times New Roman"/>
          <w:color w:val="000000" w:themeColor="text1"/>
          <w:sz w:val="24"/>
          <w:szCs w:val="24"/>
          <w:lang w:eastAsia="en-GB"/>
        </w:rPr>
        <w:lastRenderedPageBreak/>
        <w:t>venue shuttles. These are all in line with the 'carbon-light' standards that are starting to come out in rural MICE research</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Third, delegates today want experiences that are focused on a specific goal and are very local, so they can really connect with the people and cultures of the places they visit (</w:t>
      </w:r>
      <w:r w:rsidR="00D610ED" w:rsidRPr="001E757A">
        <w:rPr>
          <w:rFonts w:ascii="Times New Roman" w:hAnsi="Times New Roman" w:cs="Times New Roman"/>
          <w:color w:val="000000" w:themeColor="text1"/>
          <w:sz w:val="24"/>
          <w:szCs w:val="24"/>
          <w:lang w:eastAsia="en-GB"/>
        </w:rPr>
        <w:t>Allen et al., 2022</w:t>
      </w:r>
      <w:r w:rsidRPr="001E757A">
        <w:rPr>
          <w:rFonts w:ascii="Times New Roman" w:hAnsi="Times New Roman" w:cs="Times New Roman"/>
          <w:color w:val="000000" w:themeColor="text1"/>
          <w:sz w:val="24"/>
          <w:szCs w:val="24"/>
          <w:lang w:eastAsia="en-GB"/>
        </w:rPr>
        <w:t>). The session satisfies this need and promotes Visit Wales' aims for regenerative tourism by include Welsh chefs, craftspeople, and storytellers. At the same time, the sector is dealing with a lack of workers after the pandemic, which makes cross-functional soft skills and flexible employment methods even more valuable</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The micro scale lets a small team do many jobs, which lowers the risk of hiring while keeping the quality of service high. Lastly, data ethics has become a concern as organisers use digital monitoring to show ROI</w:t>
      </w:r>
      <w:r w:rsidR="00D610ED"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The session only allows the collection of anonymous satisfaction surveys and GDPR-compliant CRM tags, which strikes a balance between insight and delegate trus</w:t>
      </w:r>
      <w:r w:rsidR="00D610ED" w:rsidRPr="001E757A">
        <w:rPr>
          <w:rFonts w:ascii="Times New Roman" w:hAnsi="Times New Roman" w:cs="Times New Roman"/>
          <w:color w:val="000000" w:themeColor="text1"/>
          <w:sz w:val="24"/>
          <w:szCs w:val="24"/>
          <w:lang w:eastAsia="en-GB"/>
        </w:rPr>
        <w:t>t</w:t>
      </w:r>
      <w:r w:rsidR="00D610ED" w:rsidRPr="001E757A">
        <w:rPr>
          <w:rFonts w:ascii="Times New Roman" w:hAnsi="Times New Roman" w:cs="Times New Roman"/>
          <w:color w:val="000000" w:themeColor="text1"/>
          <w:sz w:val="24"/>
          <w:szCs w:val="24"/>
        </w:rPr>
        <w:t xml:space="preserve"> </w:t>
      </w:r>
      <w:r w:rsidR="00D610ED" w:rsidRPr="001E757A">
        <w:rPr>
          <w:rFonts w:ascii="Times New Roman" w:hAnsi="Times New Roman" w:cs="Times New Roman"/>
          <w:color w:val="000000" w:themeColor="text1"/>
          <w:sz w:val="24"/>
          <w:szCs w:val="24"/>
          <w:lang w:eastAsia="en-GB"/>
        </w:rPr>
        <w:t>(Allioui and Mourdi, 2023)</w:t>
      </w:r>
      <w:r w:rsidRPr="001E757A">
        <w:rPr>
          <w:rFonts w:ascii="Times New Roman" w:hAnsi="Times New Roman" w:cs="Times New Roman"/>
          <w:color w:val="000000" w:themeColor="text1"/>
          <w:sz w:val="24"/>
          <w:szCs w:val="24"/>
          <w:lang w:eastAsia="en-GB"/>
        </w:rPr>
        <w:t>. These tendencies show that the event is strategically in line with where the industry is headed, while also showing hazards that it has already dealt with.</w:t>
      </w:r>
    </w:p>
    <w:p w14:paraId="186517B1" w14:textId="032C5F1E" w:rsidR="004C062B" w:rsidRPr="001E757A" w:rsidRDefault="004C062B" w:rsidP="001E757A">
      <w:pPr>
        <w:pStyle w:val="EU"/>
        <w:numPr>
          <w:ilvl w:val="0"/>
          <w:numId w:val="1"/>
        </w:numPr>
        <w:spacing w:line="360" w:lineRule="auto"/>
        <w:rPr>
          <w:rFonts w:ascii="Times New Roman" w:hAnsi="Times New Roman" w:cs="Times New Roman"/>
          <w:color w:val="000000" w:themeColor="text1"/>
        </w:rPr>
      </w:pPr>
      <w:bookmarkStart w:id="7" w:name="_Toc200739168"/>
      <w:r w:rsidRPr="001E757A">
        <w:rPr>
          <w:rFonts w:ascii="Times New Roman" w:hAnsi="Times New Roman" w:cs="Times New Roman"/>
          <w:color w:val="000000" w:themeColor="text1"/>
        </w:rPr>
        <w:t>Situational and Cultural Considerations</w:t>
      </w:r>
      <w:bookmarkEnd w:id="7"/>
    </w:p>
    <w:p w14:paraId="3F904D11" w14:textId="01C6DD75" w:rsidR="004C062B" w:rsidRPr="001E757A" w:rsidRDefault="004C062B" w:rsidP="001E757A">
      <w:pPr>
        <w:pStyle w:val="EU"/>
        <w:numPr>
          <w:ilvl w:val="1"/>
          <w:numId w:val="1"/>
        </w:numPr>
        <w:spacing w:line="360" w:lineRule="auto"/>
        <w:rPr>
          <w:rFonts w:ascii="Times New Roman" w:hAnsi="Times New Roman" w:cs="Times New Roman"/>
          <w:color w:val="000000" w:themeColor="text1"/>
        </w:rPr>
      </w:pPr>
      <w:bookmarkStart w:id="8" w:name="_Toc200739169"/>
      <w:r w:rsidRPr="001E757A">
        <w:rPr>
          <w:rFonts w:ascii="Times New Roman" w:hAnsi="Times New Roman" w:cs="Times New Roman"/>
          <w:color w:val="000000" w:themeColor="text1"/>
        </w:rPr>
        <w:t>SWOT Analysis</w:t>
      </w:r>
      <w:bookmarkEnd w:id="8"/>
    </w:p>
    <w:tbl>
      <w:tblPr>
        <w:tblStyle w:val="TableGrid"/>
        <w:tblW w:w="0" w:type="auto"/>
        <w:tblLook w:val="04A0" w:firstRow="1" w:lastRow="0" w:firstColumn="1" w:lastColumn="0" w:noHBand="0" w:noVBand="1"/>
      </w:tblPr>
      <w:tblGrid>
        <w:gridCol w:w="2263"/>
        <w:gridCol w:w="6753"/>
      </w:tblGrid>
      <w:tr w:rsidR="001E757A" w:rsidRPr="001E757A" w14:paraId="38F2C82F" w14:textId="77777777" w:rsidTr="004C062B">
        <w:tc>
          <w:tcPr>
            <w:tcW w:w="2263" w:type="dxa"/>
          </w:tcPr>
          <w:p w14:paraId="1CDFA359" w14:textId="422647D7"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Strengths</w:t>
            </w:r>
          </w:p>
        </w:tc>
        <w:tc>
          <w:tcPr>
            <w:tcW w:w="6753" w:type="dxa"/>
          </w:tcPr>
          <w:p w14:paraId="4A8A5BDB" w14:textId="519ED048"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Authentic maritime setting; strong alignment with Year of Croeso narrative; high supplier-locality ratio</w:t>
            </w:r>
          </w:p>
        </w:tc>
      </w:tr>
      <w:tr w:rsidR="001E757A" w:rsidRPr="001E757A" w14:paraId="5D7634E6" w14:textId="77777777" w:rsidTr="004C062B">
        <w:tc>
          <w:tcPr>
            <w:tcW w:w="2263" w:type="dxa"/>
          </w:tcPr>
          <w:p w14:paraId="54F694EE" w14:textId="54A93771"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Weaknesses</w:t>
            </w:r>
          </w:p>
        </w:tc>
        <w:tc>
          <w:tcPr>
            <w:tcW w:w="6753" w:type="dxa"/>
          </w:tcPr>
          <w:p w14:paraId="12BC50D8" w14:textId="7AC0C95B"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Limited accommodation near venue; dependency on good weather for outdoor blocks; small marketing budget</w:t>
            </w:r>
          </w:p>
        </w:tc>
      </w:tr>
      <w:tr w:rsidR="001E757A" w:rsidRPr="001E757A" w14:paraId="08E238A1" w14:textId="77777777" w:rsidTr="004C062B">
        <w:tc>
          <w:tcPr>
            <w:tcW w:w="2263" w:type="dxa"/>
          </w:tcPr>
          <w:p w14:paraId="1AD851DE" w14:textId="50F9AA0F"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Opportunities</w:t>
            </w:r>
          </w:p>
        </w:tc>
        <w:tc>
          <w:tcPr>
            <w:tcW w:w="6753" w:type="dxa"/>
          </w:tcPr>
          <w:p w14:paraId="77C98437" w14:textId="14FDE0FC"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Growing demand for purpose-driven micro-meetings; Visit Wales grant schemes; rail service improvements to Haverfordwest</w:t>
            </w:r>
          </w:p>
        </w:tc>
      </w:tr>
      <w:tr w:rsidR="001E757A" w:rsidRPr="001E757A" w14:paraId="547349D9" w14:textId="77777777" w:rsidTr="004C062B">
        <w:tc>
          <w:tcPr>
            <w:tcW w:w="2263" w:type="dxa"/>
          </w:tcPr>
          <w:p w14:paraId="69A33BB2" w14:textId="6AACEDB9"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Threats</w:t>
            </w:r>
          </w:p>
        </w:tc>
        <w:tc>
          <w:tcPr>
            <w:tcW w:w="6753" w:type="dxa"/>
          </w:tcPr>
          <w:p w14:paraId="3636193F" w14:textId="0728CBAB"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Talent shortages in rural hospitality; inflationary pressure on artisanal food; extreme-weather events disrupting coast access</w:t>
            </w:r>
          </w:p>
        </w:tc>
      </w:tr>
    </w:tbl>
    <w:p w14:paraId="3AC64591" w14:textId="77777777"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p>
    <w:p w14:paraId="1168A595" w14:textId="085A2898" w:rsidR="004C062B" w:rsidRPr="001E757A" w:rsidRDefault="004C062B" w:rsidP="001E757A">
      <w:pPr>
        <w:pStyle w:val="EU"/>
        <w:numPr>
          <w:ilvl w:val="1"/>
          <w:numId w:val="1"/>
        </w:numPr>
        <w:spacing w:line="360" w:lineRule="auto"/>
        <w:rPr>
          <w:rFonts w:ascii="Times New Roman" w:hAnsi="Times New Roman" w:cs="Times New Roman"/>
          <w:color w:val="000000" w:themeColor="text1"/>
        </w:rPr>
      </w:pPr>
      <w:bookmarkStart w:id="9" w:name="_Toc200739170"/>
      <w:r w:rsidRPr="001E757A">
        <w:rPr>
          <w:rFonts w:ascii="Times New Roman" w:hAnsi="Times New Roman" w:cs="Times New Roman"/>
          <w:color w:val="000000" w:themeColor="text1"/>
        </w:rPr>
        <w:t>PESTEL Analysis</w:t>
      </w:r>
      <w:bookmarkEnd w:id="9"/>
      <w:r w:rsidRPr="001E757A">
        <w:rPr>
          <w:rFonts w:ascii="Times New Roman" w:hAnsi="Times New Roman" w:cs="Times New Roman"/>
          <w:color w:val="000000" w:themeColor="text1"/>
        </w:rPr>
        <w:t xml:space="preserve"> </w:t>
      </w:r>
    </w:p>
    <w:tbl>
      <w:tblPr>
        <w:tblStyle w:val="TableGrid"/>
        <w:tblW w:w="0" w:type="auto"/>
        <w:tblLook w:val="04A0" w:firstRow="1" w:lastRow="0" w:firstColumn="1" w:lastColumn="0" w:noHBand="0" w:noVBand="1"/>
      </w:tblPr>
      <w:tblGrid>
        <w:gridCol w:w="1759"/>
        <w:gridCol w:w="7257"/>
      </w:tblGrid>
      <w:tr w:rsidR="001E757A" w:rsidRPr="001E757A" w14:paraId="23C0555D" w14:textId="77777777" w:rsidTr="004C062B">
        <w:tc>
          <w:tcPr>
            <w:tcW w:w="1759" w:type="dxa"/>
          </w:tcPr>
          <w:p w14:paraId="704EA76D" w14:textId="14F4BD6C"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Political</w:t>
            </w:r>
          </w:p>
        </w:tc>
        <w:tc>
          <w:tcPr>
            <w:tcW w:w="7257" w:type="dxa"/>
          </w:tcPr>
          <w:p w14:paraId="1479E7DA" w14:textId="0C138F4F"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Welsh Government dispersal policy favours peripheral events and unlocks grant support</w:t>
            </w:r>
          </w:p>
        </w:tc>
      </w:tr>
      <w:tr w:rsidR="001E757A" w:rsidRPr="001E757A" w14:paraId="0DC1EB98" w14:textId="77777777" w:rsidTr="004C062B">
        <w:tc>
          <w:tcPr>
            <w:tcW w:w="1759" w:type="dxa"/>
          </w:tcPr>
          <w:p w14:paraId="249788FC" w14:textId="656D9094"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Economic</w:t>
            </w:r>
          </w:p>
        </w:tc>
        <w:tc>
          <w:tcPr>
            <w:tcW w:w="7257" w:type="dxa"/>
          </w:tcPr>
          <w:p w14:paraId="646EE7DD" w14:textId="37507786"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Post-pandemic cost volatility raises input prices but also lifts “staycation” demand among UK planners</w:t>
            </w:r>
          </w:p>
        </w:tc>
      </w:tr>
      <w:tr w:rsidR="001E757A" w:rsidRPr="001E757A" w14:paraId="3C771223" w14:textId="77777777" w:rsidTr="004C062B">
        <w:tc>
          <w:tcPr>
            <w:tcW w:w="1759" w:type="dxa"/>
          </w:tcPr>
          <w:p w14:paraId="6377E5AE" w14:textId="25062FE4"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Social</w:t>
            </w:r>
          </w:p>
        </w:tc>
        <w:tc>
          <w:tcPr>
            <w:tcW w:w="7257" w:type="dxa"/>
          </w:tcPr>
          <w:p w14:paraId="09B33EA6" w14:textId="7967F9FE"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Delegates seek culturally rich, community-embedded experiences and expect visible sustainability credentials</w:t>
            </w:r>
          </w:p>
        </w:tc>
      </w:tr>
      <w:tr w:rsidR="001E757A" w:rsidRPr="001E757A" w14:paraId="601507D3" w14:textId="77777777" w:rsidTr="004C062B">
        <w:tc>
          <w:tcPr>
            <w:tcW w:w="1759" w:type="dxa"/>
          </w:tcPr>
          <w:p w14:paraId="3EFFAC85" w14:textId="24EE8002"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lastRenderedPageBreak/>
              <w:t>Technological</w:t>
            </w:r>
          </w:p>
        </w:tc>
        <w:tc>
          <w:tcPr>
            <w:tcW w:w="7257" w:type="dxa"/>
          </w:tcPr>
          <w:p w14:paraId="718A420E" w14:textId="6CB19495"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Hybrid-ready AV and cloud ticketing widen reach and streamline operations despite rural bandwidth limits</w:t>
            </w:r>
          </w:p>
        </w:tc>
      </w:tr>
      <w:tr w:rsidR="001E757A" w:rsidRPr="001E757A" w14:paraId="6F9750CD" w14:textId="77777777" w:rsidTr="004C062B">
        <w:tc>
          <w:tcPr>
            <w:tcW w:w="1759" w:type="dxa"/>
          </w:tcPr>
          <w:p w14:paraId="21DA037E" w14:textId="739DF962"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Environmental</w:t>
            </w:r>
          </w:p>
        </w:tc>
        <w:tc>
          <w:tcPr>
            <w:tcW w:w="7257" w:type="dxa"/>
          </w:tcPr>
          <w:p w14:paraId="43C4CA72" w14:textId="0E751C1E"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National Park climate strategy tightens waste and carbon targets; coastal weather variability mandates contingencies</w:t>
            </w:r>
          </w:p>
        </w:tc>
      </w:tr>
      <w:tr w:rsidR="001E757A" w:rsidRPr="001E757A" w14:paraId="2C65B8A8" w14:textId="77777777" w:rsidTr="004C062B">
        <w:trPr>
          <w:trHeight w:val="50"/>
        </w:trPr>
        <w:tc>
          <w:tcPr>
            <w:tcW w:w="1759" w:type="dxa"/>
          </w:tcPr>
          <w:p w14:paraId="1B03BD10" w14:textId="3DC45396" w:rsidR="004C062B" w:rsidRPr="001E757A" w:rsidRDefault="004C062B" w:rsidP="001E757A">
            <w:pPr>
              <w:spacing w:line="360" w:lineRule="auto"/>
              <w:jc w:val="both"/>
              <w:rPr>
                <w:rFonts w:ascii="Times New Roman" w:hAnsi="Times New Roman" w:cs="Times New Roman"/>
                <w:b/>
                <w:bCs/>
                <w:color w:val="000000" w:themeColor="text1"/>
                <w:sz w:val="24"/>
                <w:szCs w:val="24"/>
                <w:lang w:eastAsia="en-GB"/>
              </w:rPr>
            </w:pPr>
            <w:r w:rsidRPr="001E757A">
              <w:rPr>
                <w:rFonts w:ascii="Times New Roman" w:hAnsi="Times New Roman" w:cs="Times New Roman"/>
                <w:b/>
                <w:bCs/>
                <w:color w:val="000000" w:themeColor="text1"/>
                <w:sz w:val="24"/>
                <w:szCs w:val="24"/>
              </w:rPr>
              <w:t>Legal</w:t>
            </w:r>
          </w:p>
        </w:tc>
        <w:tc>
          <w:tcPr>
            <w:tcW w:w="7257" w:type="dxa"/>
          </w:tcPr>
          <w:p w14:paraId="7978DA90" w14:textId="2FC76D2C"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rPr>
              <w:t>GDPR governs delegate data capture; music-performance licensing and food-safety regulations shape compliance workload</w:t>
            </w:r>
          </w:p>
        </w:tc>
      </w:tr>
    </w:tbl>
    <w:p w14:paraId="3446D801" w14:textId="4102BEB0"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SWOT highlights strengths and weaknesses. The event's main draw—its immersive coastal narrative—fits the “experience economy” paradigm that values storytelling</w:t>
      </w:r>
      <w:r w:rsidR="001E757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Block reservations at Haverfordwest hotels and scheduled shuttles are risk measures since local accommodation is scarce and might reduce delegate comfort. Rural-tourism research shows a move towards personal, regenerative meetings with local producers, creating opportunities (Page</w:t>
      </w:r>
      <w:r w:rsidR="001E757A" w:rsidRPr="001E757A">
        <w:rPr>
          <w:rFonts w:ascii="Times New Roman" w:hAnsi="Times New Roman" w:cs="Times New Roman"/>
          <w:color w:val="000000" w:themeColor="text1"/>
          <w:sz w:val="24"/>
          <w:szCs w:val="24"/>
          <w:lang w:eastAsia="en-GB"/>
        </w:rPr>
        <w:t xml:space="preserve"> and Connell</w:t>
      </w:r>
      <w:r w:rsidRPr="001E757A">
        <w:rPr>
          <w:rFonts w:ascii="Times New Roman" w:hAnsi="Times New Roman" w:cs="Times New Roman"/>
          <w:color w:val="000000" w:themeColor="text1"/>
          <w:sz w:val="24"/>
          <w:szCs w:val="24"/>
          <w:lang w:eastAsia="en-GB"/>
        </w:rPr>
        <w:t>, 2019). The biggest issue is labour shortage, although multi-skilled teams and volunteer partnerships may help. PESTLE reveals outside influences. Politically, the Welsh dispersion plan provides legitimacy and finance but raises community benefit scrutiny (Jones and Comfort, 2020). Inflation hurts the budget but boosts domestic demand when planners eliminate long-term incentives (Dwyer</w:t>
      </w:r>
      <w:r w:rsidR="001E757A" w:rsidRPr="001E757A">
        <w:rPr>
          <w:rFonts w:ascii="Times New Roman" w:hAnsi="Times New Roman" w:cs="Times New Roman"/>
          <w:color w:val="000000" w:themeColor="text1"/>
          <w:sz w:val="24"/>
          <w:szCs w:val="24"/>
          <w:lang w:eastAsia="en-GB"/>
        </w:rPr>
        <w:t>, Forsyth</w:t>
      </w:r>
      <w:r w:rsidRPr="001E757A">
        <w:rPr>
          <w:rFonts w:ascii="Times New Roman" w:hAnsi="Times New Roman" w:cs="Times New Roman"/>
          <w:color w:val="000000" w:themeColor="text1"/>
          <w:sz w:val="24"/>
          <w:szCs w:val="24"/>
          <w:lang w:eastAsia="en-GB"/>
        </w:rPr>
        <w:t xml:space="preserve"> and Seetaram, 20</w:t>
      </w:r>
      <w:r w:rsidR="001E757A" w:rsidRPr="001E757A">
        <w:rPr>
          <w:rFonts w:ascii="Times New Roman" w:hAnsi="Times New Roman" w:cs="Times New Roman"/>
          <w:color w:val="000000" w:themeColor="text1"/>
          <w:sz w:val="24"/>
          <w:szCs w:val="24"/>
          <w:lang w:eastAsia="en-GB"/>
        </w:rPr>
        <w:t>20</w:t>
      </w:r>
      <w:r w:rsidRPr="001E757A">
        <w:rPr>
          <w:rFonts w:ascii="Times New Roman" w:hAnsi="Times New Roman" w:cs="Times New Roman"/>
          <w:color w:val="000000" w:themeColor="text1"/>
          <w:sz w:val="24"/>
          <w:szCs w:val="24"/>
          <w:lang w:eastAsia="en-GB"/>
        </w:rPr>
        <w:t>). Socially, purpose-driven participants want visible sustainability, therefore the event's 80% local-procurement mandate is marketing</w:t>
      </w:r>
      <w:r w:rsidR="001E757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Rapid digitalisation leverages technology—live-streaming the sunset tale increases brand reach—but rural connectivity restrictions need pre-cached information (Buhalis, 2020). As environmental regulation tightens carbon accounting, the rail-and-shuttle approach maintains per-capita emissions under “carbon-light” criteria</w:t>
      </w:r>
      <w:r w:rsidR="001E757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GDPR compliance guides data-collection design, while music-licence payments and allergy labels enrich operations</w:t>
      </w:r>
      <w:r w:rsidR="001E757A" w:rsidRPr="001E757A">
        <w:rPr>
          <w:rFonts w:ascii="Times New Roman" w:hAnsi="Times New Roman" w:cs="Times New Roman"/>
          <w:color w:val="000000" w:themeColor="text1"/>
          <w:sz w:val="24"/>
          <w:szCs w:val="24"/>
          <w:lang w:eastAsia="en-GB"/>
        </w:rPr>
        <w:t xml:space="preserve">. </w:t>
      </w:r>
      <w:r w:rsidRPr="001E757A">
        <w:rPr>
          <w:rFonts w:ascii="Times New Roman" w:hAnsi="Times New Roman" w:cs="Times New Roman"/>
          <w:color w:val="000000" w:themeColor="text1"/>
          <w:sz w:val="24"/>
          <w:szCs w:val="24"/>
          <w:lang w:eastAsia="en-GB"/>
        </w:rPr>
        <w:t>Understanding these interconnected situational and cultural influences helps the organising team align strategy, manage risk, and create an event that connects with delegates and policymakers.</w:t>
      </w:r>
    </w:p>
    <w:p w14:paraId="712C96FC" w14:textId="77777777" w:rsidR="004C062B" w:rsidRPr="001E757A" w:rsidRDefault="004C062B" w:rsidP="001E757A">
      <w:pPr>
        <w:spacing w:line="360" w:lineRule="auto"/>
        <w:jc w:val="both"/>
        <w:rPr>
          <w:rFonts w:ascii="Times New Roman" w:hAnsi="Times New Roman" w:cs="Times New Roman"/>
          <w:color w:val="000000" w:themeColor="text1"/>
          <w:sz w:val="24"/>
          <w:szCs w:val="24"/>
          <w:lang w:eastAsia="en-GB"/>
        </w:rPr>
      </w:pPr>
    </w:p>
    <w:p w14:paraId="50C2CDD5" w14:textId="77777777" w:rsidR="00685A7F" w:rsidRPr="001E757A" w:rsidRDefault="00685A7F" w:rsidP="001E757A">
      <w:pPr>
        <w:spacing w:line="360" w:lineRule="auto"/>
        <w:jc w:val="both"/>
        <w:rPr>
          <w:rFonts w:ascii="Times New Roman" w:hAnsi="Times New Roman" w:cs="Times New Roman"/>
          <w:color w:val="000000" w:themeColor="text1"/>
          <w:sz w:val="24"/>
          <w:szCs w:val="24"/>
          <w:lang w:eastAsia="en-GB"/>
        </w:rPr>
      </w:pPr>
    </w:p>
    <w:p w14:paraId="000475C7" w14:textId="77777777"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p>
    <w:p w14:paraId="60613A94" w14:textId="77777777"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p>
    <w:p w14:paraId="36BF2F53" w14:textId="630B81AB" w:rsidR="004C062B" w:rsidRPr="001E757A" w:rsidRDefault="004C062B" w:rsidP="001E757A">
      <w:pPr>
        <w:pStyle w:val="EU"/>
        <w:spacing w:line="360" w:lineRule="auto"/>
        <w:rPr>
          <w:rFonts w:ascii="Times New Roman" w:hAnsi="Times New Roman" w:cs="Times New Roman"/>
          <w:color w:val="000000" w:themeColor="text1"/>
        </w:rPr>
      </w:pPr>
      <w:bookmarkStart w:id="10" w:name="_Toc200739171"/>
      <w:r w:rsidRPr="001E757A">
        <w:rPr>
          <w:rFonts w:ascii="Times New Roman" w:hAnsi="Times New Roman" w:cs="Times New Roman"/>
          <w:color w:val="000000" w:themeColor="text1"/>
        </w:rPr>
        <w:lastRenderedPageBreak/>
        <w:t>References</w:t>
      </w:r>
      <w:bookmarkEnd w:id="10"/>
    </w:p>
    <w:p w14:paraId="37EF2261" w14:textId="31578B44" w:rsidR="0073539A"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Afifi, G.M., Jones, E. and Morgan, N., 2016. Modelling welsh cultural events. Tourism Management Perspectives, 19, pp.80-89.</w:t>
      </w:r>
    </w:p>
    <w:p w14:paraId="6DE7FE40" w14:textId="5AE26A6C"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Allen, J., Harris, R. and Jago, L., 2022. Festival &amp; special event management. John Wiley &amp; Sons.</w:t>
      </w:r>
    </w:p>
    <w:p w14:paraId="0AF81BBE" w14:textId="63464924"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Allioui, H. and Mourdi, Y. (2023). Exploring the Full Potentials of IoT for Better Financial Growth and Stability: a Comprehensive Survey. Sensors, [online] 23(19), p.8015. Available at: https://www.mdpi.com/1424-8220/23/19/8015.</w:t>
      </w:r>
    </w:p>
    <w:p w14:paraId="3E470E4C" w14:textId="6C06AD1D" w:rsidR="00685A7F"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Bladen, C., Kennell, J., Abson, E. and Wilde, N., 2022. Events management: An introduction. Routledge.</w:t>
      </w:r>
    </w:p>
    <w:p w14:paraId="40BA1809" w14:textId="652A0011"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Bowdin, G.A., Allen, J., Harris, R., Jago, L., O'toole, W. and McDonnell, I., 2023. Events management. Routledge.</w:t>
      </w:r>
    </w:p>
    <w:p w14:paraId="1CB55955" w14:textId="008BA826" w:rsidR="001E757A" w:rsidRPr="001E757A" w:rsidRDefault="001E757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Buhalis, D., 2020. Technology in tourism-from information communication technologies to eTourism and smart tourism towards ambient intelligence tourism: a perspective article. Tourism Review, 75(1), pp.267-272.</w:t>
      </w:r>
    </w:p>
    <w:p w14:paraId="4CBFD8B4" w14:textId="2C0DDC48"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Chodor, B., 2020. Transitioning to virtual and hybrid events: How to create, adapt, and market an engaging online experience. John Wiley &amp; Sons.</w:t>
      </w:r>
    </w:p>
    <w:p w14:paraId="57AC0077" w14:textId="5B4C4ABF"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Crowther, P. and Donlan, L., 2011. Value-creation space: The role of events in a service-dominant marketing paradigm. Journal of Marketing Management, 27(13-14), pp.1444-1463.</w:t>
      </w:r>
    </w:p>
    <w:p w14:paraId="0BECB36D" w14:textId="52E91335" w:rsidR="001E757A" w:rsidRPr="001E757A" w:rsidRDefault="001E757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Dwyer, L., Forsyth, P. and Dwyer, W., 2020. Tourism economics and policy (Vol. 5). Channel View Publications.</w:t>
      </w:r>
    </w:p>
    <w:p w14:paraId="6B169724" w14:textId="0682E4DD" w:rsidR="00731C60" w:rsidRPr="001E757A" w:rsidRDefault="00731C6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Els, G., Reed, I., Mawer, V. and Pielichaty, H., 2016. Events project management. Routledge.</w:t>
      </w:r>
    </w:p>
    <w:p w14:paraId="58D8176C" w14:textId="4115E927" w:rsidR="00685A7F"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Ferreira da Silva, M., Vegas Macias, J., Taylor, S., Ferguson, L., Sousa, L.P., Lamers, M., Flannery, W., Martins, F., Costa, C. and Pita, C., 2022. Tourism and coastal &amp; maritime cultural heritage: a dual relation. Journal of Tourism and Cultural Change, 20(6), pp.806-826.</w:t>
      </w:r>
    </w:p>
    <w:p w14:paraId="3A3A802F" w14:textId="786FAE85" w:rsidR="00685A7F" w:rsidRPr="001E757A" w:rsidRDefault="00685A7F" w:rsidP="001E757A">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1E757A">
        <w:rPr>
          <w:rFonts w:ascii="Times New Roman" w:eastAsiaTheme="majorEastAsia" w:hAnsi="Times New Roman" w:cs="Times New Roman"/>
          <w:bCs/>
          <w:color w:val="000000" w:themeColor="text1"/>
          <w:kern w:val="0"/>
          <w:sz w:val="24"/>
          <w:szCs w:val="24"/>
          <w:lang w:eastAsia="en-GB"/>
          <w14:ligatures w14:val="none"/>
        </w:rPr>
        <w:t>Getz, D. and Page, S. J. (2019) Event Studies: Theory, Research and Policy for Planned Events. 4th edn. London: Routledge.</w:t>
      </w:r>
    </w:p>
    <w:p w14:paraId="759E5833" w14:textId="18228407" w:rsidR="0073539A" w:rsidRPr="001E757A" w:rsidRDefault="0073539A" w:rsidP="001E757A">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1E757A">
        <w:rPr>
          <w:rFonts w:ascii="Times New Roman" w:eastAsiaTheme="majorEastAsia" w:hAnsi="Times New Roman" w:cs="Times New Roman"/>
          <w:bCs/>
          <w:color w:val="000000" w:themeColor="text1"/>
          <w:kern w:val="0"/>
          <w:sz w:val="24"/>
          <w:szCs w:val="24"/>
          <w:lang w:eastAsia="en-GB"/>
          <w14:ligatures w14:val="none"/>
        </w:rPr>
        <w:t>Goldblatt, J.J., 2014. Special events: creating and sustaining a new world for celebration. (No Title).</w:t>
      </w:r>
    </w:p>
    <w:p w14:paraId="3EDE4919" w14:textId="7F8C765F" w:rsidR="00D610ED" w:rsidRPr="001E757A" w:rsidRDefault="00D610ED" w:rsidP="001E757A">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1E757A">
        <w:rPr>
          <w:rFonts w:ascii="Times New Roman" w:eastAsiaTheme="majorEastAsia" w:hAnsi="Times New Roman" w:cs="Times New Roman"/>
          <w:bCs/>
          <w:color w:val="000000" w:themeColor="text1"/>
          <w:kern w:val="0"/>
          <w:sz w:val="24"/>
          <w:szCs w:val="24"/>
          <w:lang w:eastAsia="en-GB"/>
          <w14:ligatures w14:val="none"/>
        </w:rPr>
        <w:lastRenderedPageBreak/>
        <w:t>Hudson, S. and Hudson, L., 2023. Marketing for tourism, hospitality &amp; events: a global &amp; digital approach. Sage Publications Limited.</w:t>
      </w:r>
    </w:p>
    <w:p w14:paraId="4C3A877E" w14:textId="0215BD62" w:rsidR="00685A7F" w:rsidRPr="001E757A" w:rsidRDefault="00685A7F"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Kitchin, P.J. and Ferdinand, N., 2021. Events management: An international approach.</w:t>
      </w:r>
    </w:p>
    <w:p w14:paraId="192D087D" w14:textId="2451A20B" w:rsidR="0073539A"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Mair, J. ed., 2019. The Routledge handbook of festivals (pp. 1-11). Abingdon Oxford: Routledge.</w:t>
      </w:r>
    </w:p>
    <w:p w14:paraId="08A5B0E0" w14:textId="2B617CE1"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Mallen, C. and Adams, L.J., 2017. Event management in sport, recreation and tourism: theoretical and practical dimensions. Routledge.</w:t>
      </w:r>
    </w:p>
    <w:p w14:paraId="4D85CF4E" w14:textId="4F8452B4" w:rsidR="0073539A"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Masterman, G. and Wood, E.H., 2006. Innovative marketing communications: Strategies for the events industry. Routledge.</w:t>
      </w:r>
    </w:p>
    <w:p w14:paraId="7EDAF051" w14:textId="090250E2" w:rsidR="0073539A"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O'Toole, W., 2010. Events feasibility and development. Routledge.</w:t>
      </w:r>
    </w:p>
    <w:p w14:paraId="75FB5F39" w14:textId="64E8F743" w:rsidR="001E757A" w:rsidRPr="001E757A" w:rsidRDefault="001E757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Page, S.J. and Connell, J., 2020. Rural tourism. In Tourism (pp. 466-483). Routledge.</w:t>
      </w:r>
    </w:p>
    <w:p w14:paraId="6113C2A5" w14:textId="799B4BD8" w:rsidR="0073539A" w:rsidRPr="001E757A" w:rsidRDefault="0073539A"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Park, S. and Santos, C.A., 2017. Exploring the tourist experience: A sequential approach. Journal of Travel Research, 56(1), pp.16-27.</w:t>
      </w:r>
    </w:p>
    <w:p w14:paraId="723C9D0E" w14:textId="51078BC4" w:rsidR="00731C60" w:rsidRPr="001E757A" w:rsidRDefault="00731C6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Raj, R., Rashid, T. and Walters, P., 2017. Events management: principles and practice.</w:t>
      </w:r>
    </w:p>
    <w:p w14:paraId="197B2C50" w14:textId="28AE7F5F" w:rsidR="00731C60" w:rsidRPr="001E757A" w:rsidRDefault="00731C6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Robinson, P., Wale, D. and Dickson, G. eds., 2010. Events management. Cabi.</w:t>
      </w:r>
    </w:p>
    <w:p w14:paraId="2881491B" w14:textId="0D42F466" w:rsidR="00731C60" w:rsidRPr="001E757A" w:rsidRDefault="00731C6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Shone, A. and Parry, B., 2019. Successful event management: a practical handbook. Cengage learning.</w:t>
      </w:r>
    </w:p>
    <w:p w14:paraId="3ED3809B" w14:textId="2FA8F231" w:rsidR="00731C60" w:rsidRPr="001E757A" w:rsidRDefault="00731C60"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Smith, A. (2012) Events and urban regeneration: the strategic use of events to revitalise cities. Routledge: Oxford</w:t>
      </w:r>
    </w:p>
    <w:p w14:paraId="1A92680E" w14:textId="2F4EFF8B" w:rsidR="00D610ED"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Stevenson, N., 2020. Having a say? The potential of local events as a tool for community engagement. Event Management, 24(4), pp.435-445.</w:t>
      </w:r>
    </w:p>
    <w:p w14:paraId="7062A3B0" w14:textId="45F49372" w:rsidR="00685A7F" w:rsidRPr="001E757A" w:rsidRDefault="00685A7F"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Visit Wales (2025). Visit Wales invites world to feel the ‘hwyl’ in 2025 | GOV.WALES. [online] Available at: https://www.gov.wales/visit-wales-invites-world-feel-hwyl-2025.</w:t>
      </w:r>
    </w:p>
    <w:p w14:paraId="132E8802" w14:textId="1D8EF8E8" w:rsidR="00685A7F" w:rsidRPr="001E757A" w:rsidRDefault="00D610ED" w:rsidP="001E757A">
      <w:pPr>
        <w:spacing w:line="360" w:lineRule="auto"/>
        <w:jc w:val="both"/>
        <w:rPr>
          <w:rFonts w:ascii="Times New Roman" w:hAnsi="Times New Roman" w:cs="Times New Roman"/>
          <w:color w:val="000000" w:themeColor="text1"/>
          <w:sz w:val="24"/>
          <w:szCs w:val="24"/>
          <w:lang w:eastAsia="en-GB"/>
        </w:rPr>
      </w:pPr>
      <w:r w:rsidRPr="001E757A">
        <w:rPr>
          <w:rFonts w:ascii="Times New Roman" w:hAnsi="Times New Roman" w:cs="Times New Roman"/>
          <w:color w:val="000000" w:themeColor="text1"/>
          <w:sz w:val="24"/>
          <w:szCs w:val="24"/>
          <w:lang w:eastAsia="en-GB"/>
        </w:rPr>
        <w:t>Wilson, R., 2017. Event finance. In Events Management (pp. 132-157). Routledge.</w:t>
      </w:r>
    </w:p>
    <w:p w14:paraId="73189EAF" w14:textId="7B246BF2" w:rsidR="00685A7F" w:rsidRPr="00685A7F" w:rsidRDefault="00685A7F" w:rsidP="00685A7F">
      <w:pPr>
        <w:spacing w:line="360" w:lineRule="auto"/>
        <w:jc w:val="both"/>
        <w:rPr>
          <w:rFonts w:ascii="Times New Roman" w:hAnsi="Times New Roman" w:cs="Times New Roman"/>
          <w:color w:val="000000" w:themeColor="text1"/>
          <w:sz w:val="24"/>
          <w:szCs w:val="24"/>
          <w:lang w:eastAsia="en-GB"/>
        </w:rPr>
      </w:pPr>
      <w:r w:rsidRPr="00685A7F">
        <w:rPr>
          <w:rFonts w:ascii="Times New Roman" w:hAnsi="Times New Roman" w:cs="Times New Roman"/>
          <w:color w:val="000000" w:themeColor="text1"/>
          <w:sz w:val="24"/>
          <w:szCs w:val="24"/>
          <w:lang w:eastAsia="en-GB"/>
        </w:rPr>
        <w:t>‌</w:t>
      </w:r>
    </w:p>
    <w:sectPr w:rsidR="00685A7F" w:rsidRPr="00685A7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931B0" w14:textId="77777777" w:rsidR="00AC34BA" w:rsidRDefault="00AC34BA" w:rsidP="000D4DEE">
      <w:pPr>
        <w:spacing w:after="0" w:line="240" w:lineRule="auto"/>
      </w:pPr>
      <w:r>
        <w:separator/>
      </w:r>
    </w:p>
  </w:endnote>
  <w:endnote w:type="continuationSeparator" w:id="0">
    <w:p w14:paraId="6CA2195A" w14:textId="77777777" w:rsidR="00AC34BA" w:rsidRDefault="00AC34BA" w:rsidP="000D4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22011"/>
      <w:docPartObj>
        <w:docPartGallery w:val="Page Numbers (Bottom of Page)"/>
        <w:docPartUnique/>
      </w:docPartObj>
    </w:sdtPr>
    <w:sdtEndPr>
      <w:rPr>
        <w:noProof/>
      </w:rPr>
    </w:sdtEndPr>
    <w:sdtContent>
      <w:p w14:paraId="46EB2EE1" w14:textId="06A0E566" w:rsidR="000D4DEE" w:rsidRDefault="000D4D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695B33" w14:textId="77777777" w:rsidR="000D4DEE" w:rsidRDefault="000D4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E9EBB" w14:textId="77777777" w:rsidR="00AC34BA" w:rsidRDefault="00AC34BA" w:rsidP="000D4DEE">
      <w:pPr>
        <w:spacing w:after="0" w:line="240" w:lineRule="auto"/>
      </w:pPr>
      <w:r>
        <w:separator/>
      </w:r>
    </w:p>
  </w:footnote>
  <w:footnote w:type="continuationSeparator" w:id="0">
    <w:p w14:paraId="091F45F5" w14:textId="77777777" w:rsidR="00AC34BA" w:rsidRDefault="00AC34BA" w:rsidP="000D4D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62830"/>
    <w:multiLevelType w:val="multilevel"/>
    <w:tmpl w:val="B90CB6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60D1C6F"/>
    <w:multiLevelType w:val="hybridMultilevel"/>
    <w:tmpl w:val="FCEA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635095">
    <w:abstractNumId w:val="0"/>
  </w:num>
  <w:num w:numId="2" w16cid:durableId="269818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DEE"/>
    <w:rsid w:val="000D4DEE"/>
    <w:rsid w:val="001863AA"/>
    <w:rsid w:val="001C0E7D"/>
    <w:rsid w:val="001E757A"/>
    <w:rsid w:val="002176D5"/>
    <w:rsid w:val="002D308B"/>
    <w:rsid w:val="004C062B"/>
    <w:rsid w:val="00685A7F"/>
    <w:rsid w:val="00731C60"/>
    <w:rsid w:val="0073539A"/>
    <w:rsid w:val="00787430"/>
    <w:rsid w:val="007B0CC3"/>
    <w:rsid w:val="00AC34BA"/>
    <w:rsid w:val="00B151A8"/>
    <w:rsid w:val="00C82D1F"/>
    <w:rsid w:val="00D610ED"/>
    <w:rsid w:val="00D73CFE"/>
    <w:rsid w:val="00E91F58"/>
    <w:rsid w:val="00F43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BBE526"/>
  <w15:chartTrackingRefBased/>
  <w15:docId w15:val="{835471B6-29A9-41C9-BB04-D011F2EFC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4D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4D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4D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4D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4D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D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D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D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D4D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4D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4D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4D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4D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D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D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DEE"/>
    <w:rPr>
      <w:rFonts w:eastAsiaTheme="majorEastAsia" w:cstheme="majorBidi"/>
      <w:color w:val="272727" w:themeColor="text1" w:themeTint="D8"/>
    </w:rPr>
  </w:style>
  <w:style w:type="paragraph" w:styleId="Title">
    <w:name w:val="Title"/>
    <w:basedOn w:val="Normal"/>
    <w:next w:val="Normal"/>
    <w:link w:val="TitleChar"/>
    <w:uiPriority w:val="10"/>
    <w:qFormat/>
    <w:rsid w:val="000D4D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D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D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D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DEE"/>
    <w:pPr>
      <w:spacing w:before="160"/>
      <w:jc w:val="center"/>
    </w:pPr>
    <w:rPr>
      <w:i/>
      <w:iCs/>
      <w:color w:val="404040" w:themeColor="text1" w:themeTint="BF"/>
    </w:rPr>
  </w:style>
  <w:style w:type="character" w:customStyle="1" w:styleId="QuoteChar">
    <w:name w:val="Quote Char"/>
    <w:basedOn w:val="DefaultParagraphFont"/>
    <w:link w:val="Quote"/>
    <w:uiPriority w:val="29"/>
    <w:rsid w:val="000D4DEE"/>
    <w:rPr>
      <w:i/>
      <w:iCs/>
      <w:color w:val="404040" w:themeColor="text1" w:themeTint="BF"/>
    </w:rPr>
  </w:style>
  <w:style w:type="paragraph" w:styleId="ListParagraph">
    <w:name w:val="List Paragraph"/>
    <w:basedOn w:val="Normal"/>
    <w:uiPriority w:val="34"/>
    <w:qFormat/>
    <w:rsid w:val="000D4DEE"/>
    <w:pPr>
      <w:ind w:left="720"/>
      <w:contextualSpacing/>
    </w:pPr>
  </w:style>
  <w:style w:type="character" w:styleId="IntenseEmphasis">
    <w:name w:val="Intense Emphasis"/>
    <w:basedOn w:val="DefaultParagraphFont"/>
    <w:uiPriority w:val="21"/>
    <w:qFormat/>
    <w:rsid w:val="000D4DEE"/>
    <w:rPr>
      <w:i/>
      <w:iCs/>
      <w:color w:val="2F5496" w:themeColor="accent1" w:themeShade="BF"/>
    </w:rPr>
  </w:style>
  <w:style w:type="paragraph" w:styleId="IntenseQuote">
    <w:name w:val="Intense Quote"/>
    <w:basedOn w:val="Normal"/>
    <w:next w:val="Normal"/>
    <w:link w:val="IntenseQuoteChar"/>
    <w:uiPriority w:val="30"/>
    <w:qFormat/>
    <w:rsid w:val="000D4D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4DEE"/>
    <w:rPr>
      <w:i/>
      <w:iCs/>
      <w:color w:val="2F5496" w:themeColor="accent1" w:themeShade="BF"/>
    </w:rPr>
  </w:style>
  <w:style w:type="character" w:styleId="IntenseReference">
    <w:name w:val="Intense Reference"/>
    <w:basedOn w:val="DefaultParagraphFont"/>
    <w:uiPriority w:val="32"/>
    <w:qFormat/>
    <w:rsid w:val="000D4DEE"/>
    <w:rPr>
      <w:b/>
      <w:bCs/>
      <w:smallCaps/>
      <w:color w:val="2F5496" w:themeColor="accent1" w:themeShade="BF"/>
      <w:spacing w:val="5"/>
    </w:rPr>
  </w:style>
  <w:style w:type="paragraph" w:styleId="Header">
    <w:name w:val="header"/>
    <w:basedOn w:val="Normal"/>
    <w:link w:val="HeaderChar"/>
    <w:uiPriority w:val="99"/>
    <w:unhideWhenUsed/>
    <w:rsid w:val="000D4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DEE"/>
  </w:style>
  <w:style w:type="paragraph" w:styleId="Footer">
    <w:name w:val="footer"/>
    <w:basedOn w:val="Normal"/>
    <w:link w:val="FooterChar"/>
    <w:uiPriority w:val="99"/>
    <w:unhideWhenUsed/>
    <w:rsid w:val="000D4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DEE"/>
  </w:style>
  <w:style w:type="table" w:styleId="TableGrid">
    <w:name w:val="Table Grid"/>
    <w:basedOn w:val="TableNormal"/>
    <w:uiPriority w:val="39"/>
    <w:rsid w:val="00787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062B"/>
    <w:pPr>
      <w:outlineLvl w:val="9"/>
    </w:pPr>
    <w:rPr>
      <w:kern w:val="0"/>
      <w:lang w:val="en-US"/>
      <w14:ligatures w14:val="none"/>
    </w:rPr>
  </w:style>
  <w:style w:type="paragraph" w:styleId="TOC1">
    <w:name w:val="toc 1"/>
    <w:basedOn w:val="Normal"/>
    <w:next w:val="Normal"/>
    <w:autoRedefine/>
    <w:uiPriority w:val="39"/>
    <w:unhideWhenUsed/>
    <w:rsid w:val="004C062B"/>
    <w:pPr>
      <w:spacing w:after="100"/>
    </w:pPr>
  </w:style>
  <w:style w:type="character" w:styleId="Hyperlink">
    <w:name w:val="Hyperlink"/>
    <w:basedOn w:val="DefaultParagraphFont"/>
    <w:uiPriority w:val="99"/>
    <w:unhideWhenUsed/>
    <w:rsid w:val="004C06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E2A41-4BA9-4BF6-95FB-30FD0352B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3532</Words>
  <Characters>20628</Characters>
  <Application>Microsoft Office Word</Application>
  <DocSecurity>0</DocSecurity>
  <Lines>557</Lines>
  <Paragraphs>280</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The Event Cycle  </vt:lpstr>
      <vt:lpstr>Event Concept</vt:lpstr>
      <vt:lpstr>Aim and Objectives of the Meeting</vt:lpstr>
      <vt:lpstr>Event Management</vt:lpstr>
      <vt:lpstr>Event Budget</vt:lpstr>
      <vt:lpstr>Industry Trends / Issues / Impacts</vt:lpstr>
      <vt:lpstr>Situational and Cultural Considerations</vt:lpstr>
      <vt:lpstr>SWOT Analysis</vt:lpstr>
      <vt:lpstr>PESTEL Analysis </vt:lpstr>
      <vt:lpstr>References</vt:lpstr>
    </vt:vector>
  </TitlesOfParts>
  <Company/>
  <LinksUpToDate>false</LinksUpToDate>
  <CharactersWithSpaces>23880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2</cp:revision>
  <dcterms:created xsi:type="dcterms:W3CDTF">2025-06-13T18:42:00Z</dcterms:created>
  <dcterms:modified xsi:type="dcterms:W3CDTF">2025-06-13T20:35:00Z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6577c6df-2467-4bff-b204-0d5a3be456b0</vt:lpwstr>
  </property>
</Properties>
</file>