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6C762" w14:textId="77777777" w:rsidR="00360E18" w:rsidRDefault="003E5F9B">
      <w:pPr>
        <w:spacing w:line="720" w:lineRule="auto"/>
        <w:jc w:val="center"/>
        <w:rPr>
          <w:sz w:val="36"/>
          <w:szCs w:val="36"/>
          <w:lang w:val="en-GB"/>
        </w:rPr>
      </w:pPr>
      <w:r>
        <w:rPr>
          <w:sz w:val="36"/>
          <w:szCs w:val="36"/>
          <w:lang w:val="en-GB"/>
        </w:rPr>
        <w:t>A QUALITATIVE  CONTENT ANALYSIS EXPLORING AND DESCRIBING THE CONDUCT OF BELL POTTINGER IN THE ECONOMIC EMANCIPATION CAMPAIGN: RECOMMENDATIONS FOR THE REVISION OF THE PRCA AND PRISA’S ETHICAL CODE OF CONDUCT</w:t>
      </w:r>
    </w:p>
    <w:p w14:paraId="114BDD5C" w14:textId="77777777" w:rsidR="00360E18" w:rsidRDefault="003E5F9B">
      <w:pPr>
        <w:rPr>
          <w:lang w:val="en-GB"/>
        </w:rPr>
      </w:pPr>
      <w:r>
        <w:rPr>
          <w:lang w:val="en-GB"/>
        </w:rPr>
        <w:br w:type="page"/>
      </w:r>
    </w:p>
    <w:p w14:paraId="2677D556" w14:textId="77777777" w:rsidR="00360E18" w:rsidRDefault="003E5F9B">
      <w:pPr>
        <w:pStyle w:val="Heading1"/>
        <w:rPr>
          <w:lang w:val="en-GB"/>
        </w:rPr>
      </w:pPr>
      <w:r>
        <w:rPr>
          <w:lang w:val="en-GB"/>
        </w:rPr>
        <w:t xml:space="preserve">CHAPTER ONE: INTRODUCTION </w:t>
      </w:r>
    </w:p>
    <w:p w14:paraId="5E3FFF95" w14:textId="77777777" w:rsidR="00360E18" w:rsidRDefault="003E5F9B">
      <w:pPr>
        <w:pStyle w:val="Heading2"/>
        <w:rPr>
          <w:lang w:val="en-GB"/>
        </w:rPr>
      </w:pPr>
      <w:r>
        <w:rPr>
          <w:lang w:val="en-GB"/>
        </w:rPr>
        <w:t xml:space="preserve">1.1 Introduction </w:t>
      </w:r>
    </w:p>
    <w:p w14:paraId="583CF1EF" w14:textId="77777777" w:rsidR="00360E18" w:rsidRDefault="003E5F9B">
      <w:pPr>
        <w:spacing w:line="360" w:lineRule="auto"/>
        <w:ind w:firstLineChars="200" w:firstLine="480"/>
        <w:rPr>
          <w:lang w:val="en-GB"/>
        </w:rPr>
      </w:pPr>
      <w:r>
        <w:rPr>
          <w:lang w:val="en-GB"/>
        </w:rPr>
        <w:t>This chapter provides a background, contextualises the research problem, objectives, research questions, significance of the study and delimitations. The chapter brings out the need to scrutinize Bell Pottinger’s economic campaign with a view to exploring potential recommendations that would enhance Public Relations and Communication Association (PRCA) and Public Relations Institute of Southern Africa (PRISA) codes of conduct.</w:t>
      </w:r>
    </w:p>
    <w:p w14:paraId="351A52DD" w14:textId="77777777" w:rsidR="00360E18" w:rsidRDefault="003E5F9B">
      <w:pPr>
        <w:pStyle w:val="Heading2"/>
        <w:rPr>
          <w:lang w:val="en-GB"/>
        </w:rPr>
      </w:pPr>
      <w:r>
        <w:rPr>
          <w:lang w:val="en-GB"/>
        </w:rPr>
        <w:t xml:space="preserve">1.2 Background to the Study </w:t>
      </w:r>
    </w:p>
    <w:p w14:paraId="4DE9B77C" w14:textId="77777777" w:rsidR="00360E18" w:rsidRDefault="003E5F9B">
      <w:pPr>
        <w:spacing w:line="360" w:lineRule="auto"/>
        <w:ind w:firstLineChars="200" w:firstLine="480"/>
        <w:rPr>
          <w:lang w:val="en-GB"/>
        </w:rPr>
      </w:pPr>
      <w:r>
        <w:rPr>
          <w:lang w:val="en-GB"/>
        </w:rPr>
        <w:t>Bell Pottinger emerged as a global media force in the 1980s, focusing on Public Relations and Communication, with a global reach (Faull 2017). Bell Pottinger’s entrance in South Africa was influenced by the ever influential Gupta family, whose business Oakbay Investment sought the guidance of the British Company to lead an economic emancipation campaign in 2016 (Nyoni 2019). Nyoni added that when the campaign began in 2017, there were complaints from the opposition parties, particularly the Democratic Alliance (DA), investigative journalists and the wider South African communities through social media, that the Pell Pottinger, under the leadership of Lord Timothy Bell, Victoria Geoghengan and Jonathan Lehrle, that the campaign was inciting racial tensions in South Africa. Various media complaints like the Daily Maverick, revealed that the British Company, the Gupta family and some government officials had been involved in a series of communication which which border on fraud, corruption, state capture and criminality (University of South Africa, 2021). From a Public Relations (PR) and Communications point of view, the conduct of Bell Pottinger thus merits an investigation that would juxtapose the company’s operations in South Africa back then and the PRCA and PRISA’s code of conduct. The idea is to look into ways in which the conduct could have been handled at an institutional and governance level.</w:t>
      </w:r>
    </w:p>
    <w:p w14:paraId="1A30E9AA" w14:textId="77777777" w:rsidR="00360E18" w:rsidRDefault="003E5F9B">
      <w:pPr>
        <w:spacing w:line="360" w:lineRule="auto"/>
        <w:ind w:firstLineChars="200" w:firstLine="480"/>
        <w:rPr>
          <w:lang w:val="en-GB"/>
        </w:rPr>
      </w:pPr>
      <w:r>
        <w:rPr>
          <w:lang w:val="en-GB"/>
        </w:rPr>
        <w:t xml:space="preserve">According to PRISA (2021) the DA raised a complaint with it in July 2017 which was duly received and confirmed. The Institute took deliberate efforts to determine whether the case was the appropriate disciplinary process as opposed to arbitration (Ibid). The investigative processes of the PRISA revealed that Bell Pottinger violated Professional Charter Clause 1.1 which stipulates that organisations must </w:t>
      </w:r>
      <w:r>
        <w:rPr>
          <w:i/>
          <w:iCs/>
          <w:lang w:val="en-GB"/>
        </w:rPr>
        <w:t>‘have a positive duty to observe the highest standards in the practice of Public Relations and Communications. Furthermore, a member has the responsibility at all to deal fairly and honestly with fellow members and professionals, the Public Relations and Communications Profession, other professions, suppliers, intermediaries, the media of communication, colleagues and above all else the public,’</w:t>
      </w:r>
      <w:r>
        <w:rPr>
          <w:lang w:val="en-GB"/>
        </w:rPr>
        <w:t xml:space="preserve"> (PRISA Director Francis Ingham 2017). In announcing the expulsion of Bell Pottinger, PRISA revealed that the organisation further breached clause 12 which is concerned about the reputation of the organisation and clause 13 which prohibits bad behaviour. In summary, the complaints raised by the DA had been found to be real by the investigating committee. While the PRISA acted diligently to censor Bell Pottinger, it is critically important to address the loopholes within the code of conduct that could have been exploited by Bell Pottinger with a view to adjusting and reform such governing principles.</w:t>
      </w:r>
    </w:p>
    <w:p w14:paraId="6180DB86" w14:textId="77777777" w:rsidR="00360E18" w:rsidRDefault="003E5F9B">
      <w:pPr>
        <w:spacing w:line="360" w:lineRule="auto"/>
        <w:ind w:firstLineChars="200" w:firstLine="480"/>
        <w:rPr>
          <w:lang w:val="en-GB"/>
        </w:rPr>
      </w:pPr>
      <w:r>
        <w:rPr>
          <w:lang w:val="en-GB"/>
        </w:rPr>
        <w:t>While Bell Pottinger denied the allegations of racial divisions in the first place, it later on issued an apology that was accompanied with an internal investigation (Henderson 2017). The internal investigation was conducted concurrently with the PRCA’s own investigation (Timeslive 2017). Consequently, the PRCA, just like PRISA terminated the membership of Bell Pottinger, a confirmation that the communications company grossly violated the principles of Public Relations. Breaching the principles and code of conduct of different organisations is not just a sign of incompetence and lack of judgement, it significantly raises questions relating to the governing authorities’ within South Africa capacity to serve the public in a transparent and accountable manner. While the DA did the profession thing of raising a complaint, there is a glaring lack of proactive measures by the governing institutes thus influencing this study.</w:t>
      </w:r>
    </w:p>
    <w:p w14:paraId="2772896F" w14:textId="77777777" w:rsidR="00360E18" w:rsidRDefault="003E5F9B">
      <w:pPr>
        <w:pStyle w:val="Heading3"/>
        <w:rPr>
          <w:lang w:val="en-GB"/>
        </w:rPr>
      </w:pPr>
      <w:r>
        <w:rPr>
          <w:lang w:val="en-GB"/>
        </w:rPr>
        <w:t>1.2.3 Bell Pottinger’s Economic Emancipation Campaign</w:t>
      </w:r>
    </w:p>
    <w:p w14:paraId="700F346C" w14:textId="77777777" w:rsidR="00360E18" w:rsidRDefault="003E5F9B">
      <w:pPr>
        <w:spacing w:line="360" w:lineRule="auto"/>
        <w:ind w:firstLineChars="200" w:firstLine="480"/>
        <w:rPr>
          <w:lang w:val="en-GB"/>
        </w:rPr>
      </w:pPr>
      <w:r>
        <w:rPr>
          <w:lang w:val="en-GB"/>
        </w:rPr>
        <w:t>As stated in the background, Bell Pottinger is British based public relations company which was brought to South Africa to deliver the economic emancipation campaign. The economic emancipation campaign which was championed by Bell Pottinger in terms of information dissemination and fuelling of propaganda was reportedly sponsored by the notorious Gupta family (Plaut 2018). The problem is not about information dissemination, it goes to capture the racial undertones within the campaign, deviating from the prospects of actual emancipation (</w:t>
      </w:r>
      <w:r>
        <w:t xml:space="preserve">Fischer </w:t>
      </w:r>
      <w:r>
        <w:rPr>
          <w:lang w:val="en-GB"/>
        </w:rPr>
        <w:t>and</w:t>
      </w:r>
      <w:r>
        <w:t xml:space="preserve"> Klazar 202</w:t>
      </w:r>
      <w:r>
        <w:rPr>
          <w:lang w:val="en-GB"/>
        </w:rPr>
        <w:t xml:space="preserve">0). From this standpoint, it can be realised the Bell Pottinger consulting firm was hired to perpetuate racial tensions within South Africa. This would result in a few elites connected to the powerful politicians benefiting from the campaign and the overall management of the South African economy. It boggles the minds of Public Relations practitioners that a company that purportedly fronts organisational communication and public relations would be used to advance elitist, racist and discriminatory campaigns at the expense of ethical considerations observed within the field of public relations. </w:t>
      </w:r>
    </w:p>
    <w:p w14:paraId="125B0FEB" w14:textId="77777777" w:rsidR="00360E18" w:rsidRDefault="003E5F9B">
      <w:pPr>
        <w:spacing w:line="360" w:lineRule="auto"/>
        <w:ind w:firstLineChars="200" w:firstLine="480"/>
        <w:rPr>
          <w:lang w:val="en-GB"/>
        </w:rPr>
      </w:pPr>
      <w:r>
        <w:rPr>
          <w:lang w:val="en-GB"/>
        </w:rPr>
        <w:t>It is pertinent to note that any poverty eradication policy or programme is welcome in Africa, particularly in South Africa where there are divisions in terms of economic opportunities between the majority black South Africans and a privileged few whites. According to the PRCA (2018) the Democratic Alliance accused the Bell Pottinger group of working in cahoots with the Gupta family to fuel racial tensions to advance their economic interests in South Africa. The PRCA further clarified that the documents that Bell Pottinger submitted to the Oakbay Capital had indeed the capacity to flame racial divisions. Ponono (2020) posited that the propaganda and lies disseminated by Bell Pottinger to promote a certain narrative about the societal structure in South Africa. This would then benefit the Gupta family supposedly through maintaining the status quo. From the available literature so far, the hand of powerful politicians within South Africa’s political and economic structure could not be ruled out. The Gupta family, if the accounts presented have anything to go by, could not manage to control the narrative without the blessing of powerful politicians. It then poses more questions regarding the ethical standing of Bell Pottinger as to who the company would choose profit in place of reputation and compliance with legal and ethical provisions guiding their work within the public relations spectrum.</w:t>
      </w:r>
    </w:p>
    <w:p w14:paraId="4A7E6770" w14:textId="77777777" w:rsidR="00360E18" w:rsidRDefault="003E5F9B">
      <w:pPr>
        <w:spacing w:line="360" w:lineRule="auto"/>
        <w:ind w:firstLineChars="200" w:firstLine="480"/>
        <w:rPr>
          <w:lang w:val="en-GB"/>
        </w:rPr>
      </w:pPr>
      <w:r>
        <w:rPr>
          <w:lang w:val="en-GB"/>
        </w:rPr>
        <w:t>Cave (2017) revealed in the Guardian that the purpose of the economic emancipation campaign was not to actually emancipate South Africans but to sell a public ‘narrative that grabs the attention of the grass-roots populations who must identify with it, connect with it and feel united by it.’ From this standpoint, one could believe that the idea was actually to emancipate underprivileged South Africans. Cave (2017) went on to reveal that Bell Pottinger was to ‘foment greater debate about inequalities due to economic apartheid in South Africa, a mandate that increasingly became seen as diverting attention from attacks on the Guptas. Considering that the Gupta family members are friends to former South African President Jacob Zuma and that three of Zuma’s children worked for the Gupta companies, including Duduzane, it cannot be discounted that economic emancipation was a tool to further alienate poor South Africans from the real economic empowerment (Webb 2019). The fact that the Bell Pottinger mess was reported by the Democratic Alliance is a further indication that Bell Pottinger fell to whims of political interests at the expense of the actual emancipation of grass-roots people across South Africa’s ten provinces. Bell Pottinger representatives could have done more to analyse the pressure that was mounting on the Gupta family, Jacob Zuma and other powerful politicians within the ruling African National Congress (ANC). It can therefore not discounted that the Bell Pottinger’s economic emancipation campaign had more to do with financial gains as Cave (2017) reported the consulting firm was making 100 thousand pounds a month from its role in South Africa. There is less emancipation that could be gained from such a lucrative deal. On the ethical side of the story, it could not be denied that the Bell Pottinger was betraying the very reasons for which it existed which is to enhance organisational communication and enhance quality public relations that does not compromise the reputation of the firm and their families (Ibid).</w:t>
      </w:r>
    </w:p>
    <w:p w14:paraId="6E530EF3" w14:textId="77777777" w:rsidR="00360E18" w:rsidRDefault="003E5F9B">
      <w:pPr>
        <w:spacing w:line="360" w:lineRule="auto"/>
        <w:ind w:firstLineChars="200" w:firstLine="480"/>
        <w:rPr>
          <w:lang w:val="en-GB"/>
        </w:rPr>
      </w:pPr>
      <w:r>
        <w:rPr>
          <w:lang w:val="en-GB"/>
        </w:rPr>
        <w:t>According to Webb (2019) the Gupta family received unusual treatment from South Africa including the unorthodox naturalisation as permanent citizens of South Africa, the use of the Waterkloof military airport by the family and the procurement and advertising deals that the family company was awarded by the government. Bell Pottinger was then brought in to advance elitist and discriminatory messages as opposed to the ethos and conduct of public relations firms. Webb added that the economic emancipation champaign was meant to soil divisions between white and black South Africans through the ‘white monopoly of capital’ by the white folks. This would exonerate the Gupta family from any allegations of state capture. One can therefore deduce that there is everything wrong with the conduct of Bell Pottinger when it entered into a deal that would violate the same principles that it seeks to promote and enhance in its business dealings. This then justifies why it is important to look at ethics in detail in chapter two.</w:t>
      </w:r>
    </w:p>
    <w:p w14:paraId="03716343" w14:textId="77777777" w:rsidR="00360E18" w:rsidRDefault="00360E18">
      <w:pPr>
        <w:spacing w:line="360" w:lineRule="auto"/>
        <w:ind w:firstLineChars="200" w:firstLine="480"/>
        <w:rPr>
          <w:lang w:val="en-GB"/>
        </w:rPr>
      </w:pPr>
    </w:p>
    <w:p w14:paraId="2FF9B2DE" w14:textId="77777777" w:rsidR="00360E18" w:rsidRDefault="003E5F9B">
      <w:pPr>
        <w:pStyle w:val="Heading2"/>
        <w:rPr>
          <w:lang w:val="en-GB"/>
        </w:rPr>
      </w:pPr>
      <w:r>
        <w:rPr>
          <w:lang w:val="en-GB"/>
        </w:rPr>
        <w:t>1.3 Research Problem</w:t>
      </w:r>
    </w:p>
    <w:p w14:paraId="194FCAF6" w14:textId="77777777" w:rsidR="00360E18" w:rsidRDefault="003E5F9B">
      <w:pPr>
        <w:spacing w:line="360" w:lineRule="auto"/>
        <w:ind w:firstLineChars="200" w:firstLine="480"/>
        <w:rPr>
          <w:lang w:val="en-GB"/>
        </w:rPr>
      </w:pPr>
      <w:r>
        <w:rPr>
          <w:lang w:val="en-GB"/>
        </w:rPr>
        <w:t>Adherence to ethical code of conduct has become a serious problem within the Public Relations and Communications fraternity. While failing to abide by the stated rules of engagement squarely falls on the organisations, the fact that the conduct of Bell Pottinger happened with the involvement of some government officials reveals the extent to which public organisations coalesce with the private sector in damaging communication practice and principles. In addition, the PRCA and PRISA’s ethical code of conduct require adjustments and reforms to help them identify cases of ethical breach before they degenerate into a serious PR problem like the Bell Pottinger case. This study therefore used the Bell Pottinger case to explore ways in which the ethical codes conduct can be revised to make them proactive and effective to limit potential PR damage by media companies.</w:t>
      </w:r>
    </w:p>
    <w:p w14:paraId="252A10D1" w14:textId="77777777" w:rsidR="00360E18" w:rsidRDefault="003E5F9B">
      <w:pPr>
        <w:pStyle w:val="Heading2"/>
        <w:rPr>
          <w:lang w:val="en-GB"/>
        </w:rPr>
      </w:pPr>
      <w:r>
        <w:rPr>
          <w:lang w:val="en-GB"/>
        </w:rPr>
        <w:t xml:space="preserve">1.4 Research Questions </w:t>
      </w:r>
    </w:p>
    <w:p w14:paraId="59D3E669" w14:textId="77777777" w:rsidR="00360E18" w:rsidRDefault="003E5F9B">
      <w:pPr>
        <w:spacing w:line="360" w:lineRule="auto"/>
        <w:ind w:firstLineChars="200" w:firstLine="480"/>
        <w:rPr>
          <w:lang w:val="en-GB"/>
        </w:rPr>
      </w:pPr>
      <w:r>
        <w:rPr>
          <w:lang w:val="en-GB"/>
        </w:rPr>
        <w:t>The following research questions were critical in unpacking the problem of breach of PR and communications by Bell Pottinger;</w:t>
      </w:r>
    </w:p>
    <w:p w14:paraId="313B24BC" w14:textId="77777777" w:rsidR="00360E18" w:rsidRDefault="003E5F9B">
      <w:pPr>
        <w:numPr>
          <w:ilvl w:val="0"/>
          <w:numId w:val="11"/>
        </w:numPr>
        <w:spacing w:line="360" w:lineRule="auto"/>
        <w:rPr>
          <w:lang w:val="en-GB"/>
        </w:rPr>
      </w:pPr>
      <w:r>
        <w:rPr>
          <w:lang w:val="en-GB"/>
        </w:rPr>
        <w:t>What was the PR motivation of Bell Pottinger in the economic emancipation campaign in South Africa?</w:t>
      </w:r>
    </w:p>
    <w:p w14:paraId="44FD0AED" w14:textId="77777777" w:rsidR="00360E18" w:rsidRDefault="003E5F9B">
      <w:pPr>
        <w:numPr>
          <w:ilvl w:val="0"/>
          <w:numId w:val="11"/>
        </w:numPr>
        <w:spacing w:line="360" w:lineRule="auto"/>
        <w:rPr>
          <w:lang w:val="en-GB"/>
        </w:rPr>
      </w:pPr>
      <w:r>
        <w:rPr>
          <w:lang w:val="en-GB"/>
        </w:rPr>
        <w:t>How can PR organisations like Bell Pottinger balance the need for profit and ethical principles of public relations?</w:t>
      </w:r>
    </w:p>
    <w:p w14:paraId="3A98FCA4" w14:textId="77777777" w:rsidR="00360E18" w:rsidRDefault="003E5F9B">
      <w:pPr>
        <w:numPr>
          <w:ilvl w:val="0"/>
          <w:numId w:val="11"/>
        </w:numPr>
        <w:spacing w:line="360" w:lineRule="auto"/>
        <w:rPr>
          <w:lang w:val="en-GB"/>
        </w:rPr>
      </w:pPr>
      <w:r>
        <w:rPr>
          <w:lang w:val="en-GB"/>
        </w:rPr>
        <w:t>How can PRCA and PRISA codes of conduct be enhanced to minimise violation the principles of public relations by companies?</w:t>
      </w:r>
    </w:p>
    <w:p w14:paraId="1A20F18D" w14:textId="77777777" w:rsidR="00360E18" w:rsidRDefault="003E5F9B">
      <w:pPr>
        <w:pStyle w:val="Heading2"/>
        <w:rPr>
          <w:lang w:val="en-GB"/>
        </w:rPr>
      </w:pPr>
      <w:r>
        <w:rPr>
          <w:lang w:val="en-GB"/>
        </w:rPr>
        <w:t>1.5 Research Objectives</w:t>
      </w:r>
    </w:p>
    <w:p w14:paraId="7CDF7D1E" w14:textId="77777777" w:rsidR="00360E18" w:rsidRDefault="003E5F9B">
      <w:pPr>
        <w:spacing w:line="360" w:lineRule="auto"/>
        <w:ind w:firstLineChars="200" w:firstLine="480"/>
        <w:rPr>
          <w:lang w:val="en-GB"/>
        </w:rPr>
      </w:pPr>
      <w:r>
        <w:rPr>
          <w:lang w:val="en-GB"/>
        </w:rPr>
        <w:t>The following objectives were thus crafted to guide the inquiry of the research questions presented in the preceding section;</w:t>
      </w:r>
    </w:p>
    <w:p w14:paraId="24CFF25E" w14:textId="77777777" w:rsidR="00360E18" w:rsidRDefault="003E5F9B">
      <w:pPr>
        <w:numPr>
          <w:ilvl w:val="0"/>
          <w:numId w:val="12"/>
        </w:numPr>
        <w:spacing w:line="360" w:lineRule="auto"/>
        <w:rPr>
          <w:lang w:val="en-GB"/>
        </w:rPr>
      </w:pPr>
      <w:r>
        <w:rPr>
          <w:lang w:val="en-GB"/>
        </w:rPr>
        <w:t>To analyse the public relations motivation of Bell Pottinger in the economic emancipation campaign.</w:t>
      </w:r>
    </w:p>
    <w:p w14:paraId="5891CD66" w14:textId="77777777" w:rsidR="00360E18" w:rsidRDefault="003E5F9B">
      <w:pPr>
        <w:numPr>
          <w:ilvl w:val="0"/>
          <w:numId w:val="12"/>
        </w:numPr>
        <w:spacing w:line="360" w:lineRule="auto"/>
        <w:rPr>
          <w:lang w:val="en-GB"/>
        </w:rPr>
      </w:pPr>
      <w:r>
        <w:rPr>
          <w:lang w:val="en-GB"/>
        </w:rPr>
        <w:t xml:space="preserve">To explore ways in which Bell Pottinger could have balanced profit accumulation and public relations ethical code of conduct. </w:t>
      </w:r>
    </w:p>
    <w:p w14:paraId="6C81A64E" w14:textId="77777777" w:rsidR="00360E18" w:rsidRDefault="003E5F9B">
      <w:pPr>
        <w:numPr>
          <w:ilvl w:val="0"/>
          <w:numId w:val="12"/>
        </w:numPr>
        <w:spacing w:line="360" w:lineRule="auto"/>
        <w:rPr>
          <w:lang w:val="en-GB"/>
        </w:rPr>
      </w:pPr>
      <w:r>
        <w:rPr>
          <w:lang w:val="en-GB"/>
        </w:rPr>
        <w:t>To explore the ways in which PRCA and PRISA can enhance their codes of conduct to minimise violation of public relations principles by companies.</w:t>
      </w:r>
    </w:p>
    <w:p w14:paraId="44D5FFE3" w14:textId="77777777" w:rsidR="00360E18" w:rsidRDefault="003E5F9B">
      <w:pPr>
        <w:pStyle w:val="Heading2"/>
        <w:rPr>
          <w:lang w:val="en-GB"/>
        </w:rPr>
      </w:pPr>
      <w:r>
        <w:rPr>
          <w:lang w:val="en-GB"/>
        </w:rPr>
        <w:t>1.6 Theoretical Underpinnings of the Study</w:t>
      </w:r>
    </w:p>
    <w:p w14:paraId="60C6838D" w14:textId="77777777" w:rsidR="00360E18" w:rsidRDefault="003E5F9B">
      <w:pPr>
        <w:spacing w:line="360" w:lineRule="auto"/>
        <w:ind w:firstLineChars="200" w:firstLine="480"/>
        <w:rPr>
          <w:lang w:val="en-GB"/>
        </w:rPr>
      </w:pPr>
      <w:r>
        <w:rPr>
          <w:lang w:val="en-GB"/>
        </w:rPr>
        <w:t>This study was grounded on the two dominant theories within the public relations and communications spectrum, namely, The Excellence theory in public relations and the systems theory. These theories were critical in not only understanding how public relations manifest in companies but they provide a convergence of public relations with other spheres of public life of companies such as Bell Pottinger.</w:t>
      </w:r>
    </w:p>
    <w:p w14:paraId="3AB19B21" w14:textId="77777777" w:rsidR="00360E18" w:rsidRDefault="003E5F9B">
      <w:pPr>
        <w:pStyle w:val="Heading3"/>
        <w:rPr>
          <w:lang w:val="en-GB"/>
        </w:rPr>
      </w:pPr>
      <w:r>
        <w:rPr>
          <w:lang w:val="en-GB"/>
        </w:rPr>
        <w:t>1.6.1 The Excellence Theory in Public Relations</w:t>
      </w:r>
    </w:p>
    <w:p w14:paraId="4A9911D6" w14:textId="77777777" w:rsidR="00360E18" w:rsidRDefault="003E5F9B">
      <w:pPr>
        <w:spacing w:line="360" w:lineRule="auto"/>
        <w:ind w:firstLineChars="200" w:firstLine="480"/>
        <w:rPr>
          <w:lang w:val="en-GB"/>
        </w:rPr>
      </w:pPr>
      <w:r>
        <w:rPr>
          <w:lang w:val="en-GB"/>
        </w:rPr>
        <w:t>The excellence theory in public relations’ main focus is the management of communication, encompassing the drivers of excellence in communication and how it manifest in day to day public relations business of organisations (Grunig 2008). The theory supposes that excellence is achieved in communication when there is a good relationship between the organisation and its stakeholders (Ibid). Furthermore, Grunig postulated that a good working environment where employees are capacitated to make decisions enhances personal development which is fundamental in determining where there is excellence in communication or not. Clearly, there is a symbiotic relationship between openness, transparency, stakeholder involvement and excellent communication. In the public relations spectrum, Grunig (2008) termed this relationship symmetrical communication. In this research study therefore, the excellence theory in public relations was critical in unpacking the conduct of Bell Pottinger when dealing with the Gupta family, government officials as well as internal communications within the public relations firm. The theory was also important in analysing the conduct of Bell Pottinger vis-a-vis the provisions laid out in the PRCA and PRISA ethical codes conduct. Variations and deviations from the principles would be tackled from a theoretical point of view.</w:t>
      </w:r>
    </w:p>
    <w:p w14:paraId="6D4E1834" w14:textId="77777777" w:rsidR="00360E18" w:rsidRDefault="003E5F9B">
      <w:pPr>
        <w:pStyle w:val="Heading3"/>
        <w:rPr>
          <w:lang w:val="en-GB"/>
        </w:rPr>
      </w:pPr>
      <w:r>
        <w:rPr>
          <w:lang w:val="en-GB"/>
        </w:rPr>
        <w:t xml:space="preserve">1.6.2 The Systems Theory </w:t>
      </w:r>
    </w:p>
    <w:p w14:paraId="68037E72" w14:textId="77777777" w:rsidR="00360E18" w:rsidRDefault="003E5F9B">
      <w:pPr>
        <w:spacing w:line="360" w:lineRule="auto"/>
        <w:ind w:firstLineChars="200" w:firstLine="480"/>
        <w:rPr>
          <w:lang w:val="en-GB"/>
        </w:rPr>
      </w:pPr>
      <w:r>
        <w:rPr>
          <w:lang w:val="en-GB"/>
        </w:rPr>
        <w:t xml:space="preserve">To compliment the provisions of the Excellence Theory in Public Relations, the study consulted the Systems Theory. The Systems theory is based on the writings of Grunig and Dozer (2002) who postulated that the system is made up of interconnected parts whose function is to adjust and adapt to obtaining political, economic , social and environmental changes in which the organisations operates in. The theory thus provides a background as to how public relations experts relate within an organisation relate with such changes and still manage to keep an ethical and effective public standing. Under the provisions of the theory, managers of public relations firms make decisions which adapt to the surround changes within the system so that they keep in touch with the demands and expectations of stakeholders. In this study therefore, the system was highly critical in understanding the obtaining South African political temperatures at the time of Bell Pottinger’s engagement. It sought to unpack the influence of the Gupta family, the polarisation between political players and the influence of the ruling party. These stakeholders form a system in which the Bell Pottinger firm was expected to operate in to enhance the economic emancipation campaign. The theory was thus essential in understanding how the Bell Pottinger company adjusted its policies and decisions against the obtaining climate and how that would impact on the overall Public Relations conduct of the firm. </w:t>
      </w:r>
    </w:p>
    <w:p w14:paraId="6916C97B" w14:textId="77777777" w:rsidR="00360E18" w:rsidRDefault="003E5F9B">
      <w:pPr>
        <w:pStyle w:val="Heading2"/>
        <w:rPr>
          <w:lang w:val="en-GB"/>
        </w:rPr>
      </w:pPr>
      <w:r>
        <w:rPr>
          <w:lang w:val="en-GB"/>
        </w:rPr>
        <w:t>1.7 Definition of terms</w:t>
      </w:r>
    </w:p>
    <w:p w14:paraId="2A3C6D5E" w14:textId="77777777" w:rsidR="00360E18" w:rsidRDefault="003E5F9B">
      <w:pPr>
        <w:spacing w:line="360" w:lineRule="auto"/>
        <w:ind w:firstLineChars="200" w:firstLine="480"/>
        <w:rPr>
          <w:lang w:val="en-GB"/>
        </w:rPr>
      </w:pPr>
      <w:r>
        <w:rPr>
          <w:lang w:val="en-GB"/>
        </w:rPr>
        <w:t>In this study, the following terms were critical in the understanding of the subject matter.</w:t>
      </w:r>
    </w:p>
    <w:p w14:paraId="6B3C8863" w14:textId="77777777" w:rsidR="00360E18" w:rsidRDefault="003E5F9B">
      <w:pPr>
        <w:pStyle w:val="Heading3"/>
        <w:rPr>
          <w:lang w:val="en-GB"/>
        </w:rPr>
      </w:pPr>
      <w:r>
        <w:rPr>
          <w:lang w:val="en-GB"/>
        </w:rPr>
        <w:t>1.7.1 Code of Conduct</w:t>
      </w:r>
    </w:p>
    <w:p w14:paraId="0C49249F" w14:textId="77777777" w:rsidR="00360E18" w:rsidRDefault="003E5F9B">
      <w:pPr>
        <w:spacing w:line="360" w:lineRule="auto"/>
        <w:ind w:firstLineChars="200" w:firstLine="480"/>
        <w:rPr>
          <w:lang w:val="en-GB"/>
        </w:rPr>
      </w:pPr>
      <w:r>
        <w:rPr>
          <w:lang w:val="en-GB"/>
        </w:rPr>
        <w:t>A code of conduct ‘is a policy that outlines principles and standards that all employees and third parties acting on behalf the company must follow,’ (Gain Integrity 2021). Delta Net International (2021) added that a code of conduct ‘is a set of rules that businesses use to keep the behaviour of their employees in check.’ From these two definitions, there is a convergence of organisational rules and policies that are set by an organisation before it employees so that they will be guided by such rules when they engage internally and externally. In the case of the Bell Pottinger, the researcher sought to analyse the violations of PRCA and PRISA from the lens of internal and external rules of engagement. In this vein, understanding the code of conduct was important in this study.</w:t>
      </w:r>
    </w:p>
    <w:p w14:paraId="6D0E958A" w14:textId="77777777" w:rsidR="00360E18" w:rsidRDefault="003E5F9B">
      <w:pPr>
        <w:pStyle w:val="Heading3"/>
        <w:rPr>
          <w:lang w:val="en-GB"/>
        </w:rPr>
      </w:pPr>
      <w:r>
        <w:rPr>
          <w:lang w:val="en-GB"/>
        </w:rPr>
        <w:t>1.7.2 Ethics</w:t>
      </w:r>
    </w:p>
    <w:p w14:paraId="638BCEA9" w14:textId="77777777" w:rsidR="00360E18" w:rsidRDefault="003E5F9B">
      <w:pPr>
        <w:spacing w:line="360" w:lineRule="auto"/>
        <w:ind w:firstLineChars="200" w:firstLine="480"/>
        <w:rPr>
          <w:lang w:val="en-GB"/>
        </w:rPr>
      </w:pPr>
      <w:r>
        <w:rPr>
          <w:lang w:val="en-GB"/>
        </w:rPr>
        <w:t>Velasquez et al (201) provided that ethics ‘are based on well founded standards of right and wrong that prescribe what humans ought to do, usually in terms of rights, obligations, benefits to society, fairness, or specific virtues.’ JM (2001) added that ethics entail ‘the discipline of dealing with what is good and bad, with moral duty and obligation.’ In other words, ethics define principles and values an organisation subscribes to when it conducts business. It is clear that ethics and code of conduct are related as both terms have something to do with organisational culture and values. In view of this, study therefore sought to unpack the conduct of Bell Pottinger in the economic emancipation in South Africa. campaign to see how it have erred in terms of its own values and those of governing authorities, particularly the PRCA and PRISA.</w:t>
      </w:r>
    </w:p>
    <w:p w14:paraId="0584093B" w14:textId="77777777" w:rsidR="00360E18" w:rsidRDefault="003E5F9B">
      <w:pPr>
        <w:pStyle w:val="Heading2"/>
        <w:rPr>
          <w:lang w:val="en-GB"/>
        </w:rPr>
      </w:pPr>
      <w:r>
        <w:rPr>
          <w:lang w:val="en-GB"/>
        </w:rPr>
        <w:t>1.8 Assumptions</w:t>
      </w:r>
    </w:p>
    <w:p w14:paraId="3562DC20" w14:textId="77777777" w:rsidR="00360E18" w:rsidRDefault="003E5F9B">
      <w:pPr>
        <w:spacing w:line="360" w:lineRule="auto"/>
        <w:ind w:firstLineChars="200" w:firstLine="480"/>
        <w:rPr>
          <w:lang w:val="en-GB"/>
        </w:rPr>
      </w:pPr>
      <w:r>
        <w:rPr>
          <w:lang w:val="en-GB"/>
        </w:rPr>
        <w:t>This study assumed that there is an understanding of PRCA and PRISA’s codes of conduct in public relations and communication. This assumption hinged on the fact that the stakeholders in the research would understand why it is a matter of public relations and communication matter to have Bell Pottinger acting in a manner that is against its own ethics, those of the governing and regulatory bodies and the South African public institutions.</w:t>
      </w:r>
    </w:p>
    <w:p w14:paraId="2CA37A3D" w14:textId="77777777" w:rsidR="00360E18" w:rsidRDefault="003E5F9B">
      <w:pPr>
        <w:pStyle w:val="Heading2"/>
        <w:rPr>
          <w:lang w:val="en-GB"/>
        </w:rPr>
      </w:pPr>
      <w:r>
        <w:rPr>
          <w:lang w:val="en-GB"/>
        </w:rPr>
        <w:t>1.9 Delimitation of the Study</w:t>
      </w:r>
    </w:p>
    <w:p w14:paraId="16953BFF" w14:textId="77777777" w:rsidR="00360E18" w:rsidRDefault="003E5F9B">
      <w:pPr>
        <w:spacing w:line="360" w:lineRule="auto"/>
        <w:ind w:firstLineChars="200" w:firstLine="480"/>
        <w:rPr>
          <w:lang w:val="en-GB"/>
        </w:rPr>
      </w:pPr>
      <w:r>
        <w:rPr>
          <w:lang w:val="en-GB"/>
        </w:rPr>
        <w:t>This study was interested in unpacking the violations committed by Bell Pottinger when it conducted the economic emancipation campaign in 2017 in South Africa using various media reports. This is in line with what Simon (2011) suggested that delimitation are the scope and boundaries of the research as defined by the researcher, normally within the control of the researcher. The study was thus interested in the conduct of Bell Pottinger and existing PRCA and PRISA codes of conduct as opposed to the conduct of other public relations company that had been plying in South Africa during the time. Consequently, the study did not consider to look at primary sources of data collection and other issues beyond public relations and communication. Ontologically, the study based on the investigations conducted by the regulatory bodies, particularly PRCA and PRISA. These investigations influenced the assumptions and perceptions that Bell Pottinger disregarded rules of the game as spelt out by Kivunja and Kuyini (2017). In addition, the study was confined to the knowledge that is prevalent in the practice of public relations globally (epistemology). It is this knowledge which then determined that indeed there was a violation by Bell Pottinger which not only warranted a re-look into the code of conduct but merits academic scrutiny.</w:t>
      </w:r>
    </w:p>
    <w:p w14:paraId="762B6433" w14:textId="77777777" w:rsidR="00360E18" w:rsidRDefault="003E5F9B">
      <w:pPr>
        <w:pStyle w:val="Heading2"/>
        <w:rPr>
          <w:lang w:val="en-GB"/>
        </w:rPr>
      </w:pPr>
      <w:r>
        <w:rPr>
          <w:lang w:val="en-GB"/>
        </w:rPr>
        <w:t>1.10 Limitations of the Study</w:t>
      </w:r>
    </w:p>
    <w:p w14:paraId="79AFEC10" w14:textId="77777777" w:rsidR="00360E18" w:rsidRDefault="003E5F9B">
      <w:pPr>
        <w:spacing w:line="360" w:lineRule="auto"/>
        <w:ind w:firstLineChars="200" w:firstLine="480"/>
        <w:rPr>
          <w:lang w:val="en-GB"/>
        </w:rPr>
      </w:pPr>
      <w:r>
        <w:rPr>
          <w:lang w:val="en-GB"/>
        </w:rPr>
        <w:t xml:space="preserve">Data collection was done using purposive sampling of online articles related to reports that contained the conduct of Bell Pottinger. Therefore, the research was affected by the fact that online sources that matched issues relating to bad conduct on the part of the media company, potentially leaving out other sources that could have objectively covered the scandal. The fact that the entire data collection process was based on secondary sources of data means that in the likelihood of subjectivity on the part of media reports, there was a chance that objectivity would be compromised. However, the researcher carefully chose articles that not only reflect objective reporting but that followed the economic emancipation campaign and the ensuing investigations against Bell Pottinger. This created a semblance of balance and objective analysis. </w:t>
      </w:r>
    </w:p>
    <w:p w14:paraId="6D00259C" w14:textId="77777777" w:rsidR="00360E18" w:rsidRDefault="003E5F9B">
      <w:pPr>
        <w:pStyle w:val="Heading2"/>
        <w:rPr>
          <w:lang w:val="en-GB"/>
        </w:rPr>
      </w:pPr>
      <w:r>
        <w:rPr>
          <w:lang w:val="en-GB"/>
        </w:rPr>
        <w:t>1.11 Conclusion and Outline</w:t>
      </w:r>
    </w:p>
    <w:p w14:paraId="39AFBEFE" w14:textId="77777777" w:rsidR="00360E18" w:rsidRDefault="003E5F9B">
      <w:pPr>
        <w:spacing w:line="360" w:lineRule="auto"/>
        <w:ind w:firstLineChars="200" w:firstLine="480"/>
        <w:rPr>
          <w:lang w:val="en-GB"/>
        </w:rPr>
      </w:pPr>
      <w:r>
        <w:rPr>
          <w:lang w:val="en-GB"/>
        </w:rPr>
        <w:t>This advanced research report is made up of five chapters. This chapter looked into the background of the study, problem statement, research questions, objectives, theoretical underpinnings and delimitation of the study. Chapter two focuses on engagement with literature pertaining to ethical communication, public relations and Bell Pottinger’s conduct. Chapter three presents and justifies the methodology that was used while the findings of the research are presented and analysed in chapter four. Chapter five sums up the research report with an outline of the recommendations to PRCA and PRISA codes of conduct reform.</w:t>
      </w:r>
    </w:p>
    <w:p w14:paraId="263EF0B7" w14:textId="77777777" w:rsidR="00360E18" w:rsidRDefault="003E5F9B">
      <w:pPr>
        <w:rPr>
          <w:lang w:val="en-GB"/>
        </w:rPr>
      </w:pPr>
      <w:r>
        <w:rPr>
          <w:lang w:val="en-GB"/>
        </w:rPr>
        <w:br w:type="page"/>
      </w:r>
    </w:p>
    <w:p w14:paraId="57A5592C" w14:textId="77777777" w:rsidR="00360E18" w:rsidRDefault="003E5F9B">
      <w:pPr>
        <w:pStyle w:val="Heading1"/>
        <w:rPr>
          <w:lang w:val="en-GB"/>
        </w:rPr>
      </w:pPr>
      <w:r>
        <w:rPr>
          <w:lang w:val="en-GB"/>
        </w:rPr>
        <w:t>CHAPTER TWO: LITERATURE REVIEW</w:t>
      </w:r>
    </w:p>
    <w:p w14:paraId="7D5ACBC4" w14:textId="77777777" w:rsidR="00360E18" w:rsidRDefault="003E5F9B">
      <w:pPr>
        <w:pStyle w:val="Heading2"/>
        <w:rPr>
          <w:lang w:val="en-GB"/>
        </w:rPr>
      </w:pPr>
      <w:r>
        <w:rPr>
          <w:lang w:val="en-GB"/>
        </w:rPr>
        <w:t xml:space="preserve">2.1 Introduction </w:t>
      </w:r>
    </w:p>
    <w:p w14:paraId="1F4815CA" w14:textId="77777777" w:rsidR="00360E18" w:rsidRDefault="003E5F9B">
      <w:pPr>
        <w:spacing w:line="360" w:lineRule="auto"/>
        <w:ind w:firstLineChars="200" w:firstLine="480"/>
        <w:rPr>
          <w:lang w:val="en-GB"/>
        </w:rPr>
      </w:pPr>
      <w:r>
        <w:rPr>
          <w:lang w:val="en-GB"/>
        </w:rPr>
        <w:t xml:space="preserve">This chapter engages with extant literature relating to public relations and communication and code of conduct. The chapter proceeds with an analysis of organisational communication, public relations before delving into Bell Pottinger’s economic emancipation campaign. This would lead to a closer look at media ethics, PRCA and PRISA’s codes of conduct before providing the theoretical underpinnings that the research study adopted. The chapter further looks at the systems theory as it unpacks how power relations and environmental factors that affect human relations and behaviours. To unpack that in the context of Bell Pottinger would however require a sober analysis of organisation communication in the following section. </w:t>
      </w:r>
    </w:p>
    <w:p w14:paraId="2B78BC54" w14:textId="77777777" w:rsidR="00360E18" w:rsidRDefault="003E5F9B">
      <w:pPr>
        <w:pStyle w:val="Heading2"/>
        <w:rPr>
          <w:lang w:val="en-GB"/>
        </w:rPr>
      </w:pPr>
      <w:r>
        <w:rPr>
          <w:lang w:val="en-GB"/>
        </w:rPr>
        <w:t>2.2 Organisational Communication</w:t>
      </w:r>
    </w:p>
    <w:p w14:paraId="51DDA31A" w14:textId="77777777" w:rsidR="00360E18" w:rsidRDefault="003E5F9B">
      <w:pPr>
        <w:spacing w:line="360" w:lineRule="auto"/>
        <w:ind w:firstLineChars="200" w:firstLine="480"/>
        <w:rPr>
          <w:lang w:val="en-GB"/>
        </w:rPr>
      </w:pPr>
      <w:r>
        <w:rPr>
          <w:lang w:val="en-GB"/>
        </w:rPr>
        <w:t>Organisational communication is matter that continues to dominate the corporate and business spaces. Myers (2017) argued that communication is important for the operations of an organisation because it ensures that there is coordination of tasks and that organisational behaviour is well understood by all and sundry. Shockley-Zalabak (2015) added that communication is the key to organisational excellence in this 21</w:t>
      </w:r>
      <w:r>
        <w:rPr>
          <w:vertAlign w:val="superscript"/>
          <w:lang w:val="en-GB"/>
        </w:rPr>
        <w:t>st</w:t>
      </w:r>
      <w:r>
        <w:rPr>
          <w:lang w:val="en-GB"/>
        </w:rPr>
        <w:t xml:space="preserve"> century digital era. Consequently, Shockley-Zalabak both human and technological communication systems are critical in the resolution of complex organisational problems that affect popular firms in the world. It is thus believed that with organisational communication, it is possible for managers and employees to harness efforts, differences and opinions under concerted goals, objectives and vision that would make sure that there is uniformity in how organisational tasks are executed (Kerps 1990). From the provisions of the aforementioned communication scholars, it is clear that there is a congruence of understanding regarding the contribution of communication to overall business success. In other words, the behaviours of an organisation or its employees in the public relations spectrum is interpreted as an organisational standpoint and behaviour. What this means is that when a certain organisation behaves in a certain way, parallel to established communication and public relations norms, it is safe to attribute that to a weak organisational communication structure or an incompetent one. </w:t>
      </w:r>
    </w:p>
    <w:p w14:paraId="3EC70C50" w14:textId="77777777" w:rsidR="00360E18" w:rsidRDefault="003E5F9B">
      <w:pPr>
        <w:spacing w:line="360" w:lineRule="auto"/>
        <w:ind w:firstLineChars="200" w:firstLine="480"/>
        <w:rPr>
          <w:lang w:val="en-GB"/>
        </w:rPr>
      </w:pPr>
      <w:r>
        <w:rPr>
          <w:lang w:val="en-GB"/>
        </w:rPr>
        <w:t>Organisational communication must not be construed as the ability of good communication skills and speeches (Van Vuuren et al 2006). Instead, good organisation skills is hinged on the ability of employees to glean and deliver individual and departmental tasks and their ability to carry on with the organisational spirit and ethics (Ibid). Roshan, Warren and Carr (2016) added that social media was therefore added to the fore of communication to ‘communicate crisis information to stakeholders’ as quickly as possible. The idea here is to make sure that the convergence in thoughts and strategies are quickly realised so as to come of that crisis unscathed or with little organisational losses. It cannot be denied here that the delivery of individual tasks can be equated to managing organisational crisis, which can only be fantastically executed when there is proper communication. In this regard, social media serves as critical crisis management tool in organisations around the globe.</w:t>
      </w:r>
    </w:p>
    <w:p w14:paraId="75303A2B" w14:textId="77777777" w:rsidR="00360E18" w:rsidRDefault="003E5F9B">
      <w:pPr>
        <w:spacing w:line="360" w:lineRule="auto"/>
        <w:ind w:firstLineChars="200" w:firstLine="480"/>
        <w:rPr>
          <w:lang w:val="en-GB"/>
        </w:rPr>
      </w:pPr>
      <w:r>
        <w:rPr>
          <w:lang w:val="en-GB"/>
        </w:rPr>
        <w:t>In an organisational set up, communication is essential in dealing with internal conflicts and disputes. Shockley-Zalabak (2015) posited that when there are systems for effective communication within an organisation, it is really easy for employees who may be in dispute to resolve their differences. This view is guided by the fact that those who may not be happy with certain behaviours are free to express their grievances with a view to finding a common resolution strategy for the benefit of the organisation and concerned individuals. This understanding brings to the fore the contributions made by Roshan, Warren and Carr (2016 p.351) that ‘when a crises are poorly managed, organisations and stakeholders can suffer financial, physical, health and other forms of harm.’ This implies that internal disputes that are left unresolved have got the capacity to bring the fortunes of an organisation down if they are poorly managed. This makes organisational communication a vital cog in internal conflict and dispute resolution.</w:t>
      </w:r>
    </w:p>
    <w:p w14:paraId="56346D0B" w14:textId="77777777" w:rsidR="00360E18" w:rsidRDefault="003E5F9B">
      <w:pPr>
        <w:spacing w:line="360" w:lineRule="auto"/>
        <w:ind w:firstLineChars="200" w:firstLine="480"/>
        <w:rPr>
          <w:lang w:val="en-GB"/>
        </w:rPr>
      </w:pPr>
      <w:r>
        <w:rPr>
          <w:lang w:val="en-GB"/>
        </w:rPr>
        <w:t>It may be true that the above paragraphs have highlighted how important organisational is in the delivery of internal tasks, it must be stated here therefore that organisational communication is a critical component of public relations. External organisational communication is important because it sells the image, reputation and identity of an organisation. In other words, public relations determine the extent to which an organisation subscribes to the notion of organisational ethics and code of conduct. In this regard, Shockley-Zalabak (2015 p.386) posited that ‘the image or reputation of an organisation is central to the ability of the organisation to meet its objectives and overall goals.’ Shockley-Zalabak (p.386) added that many organisations try to ‘shape their reputation by drawing the attention of their stakeholders to favourable qualities, yet it is things like financial performance, employment practices, quality of products or services, concern for environmental issues, community involvement and other factors that enhance the organisational image.’From these important contributions, it pertinent to note that public relations play a critical role in harnessing organisational performance and the way such performance in the aforementioned areas are packaged and communicated to the public. This makes organisational communication a vital cog in public relations even in today’s business world. Faced with this realities, it then boggles the mind of ordinary people when an organisation behaves in a way that make people question its reputation of the values the organisation purports to represent. What cannot be ignored from the contributions of Shockley-Zalabak (2015) however is the fact that there is a close relationship between internal and external communication in the public relations and communication spectrum. The public normally feeds from internal competencies or lack of it thereof. Due to this reality, public relations cannot therefore be looked from the binary lens of good or bad communication but internal processes relating to leadership and management as well as harnessing of organisational efforts towards communication training and domestication. This of course depends on the organisation’s ability to carry out its own honesty strengths, opportunities, weakness and threats. A closer look at public relations in the next section brings to the place of organisational communication to the fore on the whole matrix.</w:t>
      </w:r>
    </w:p>
    <w:p w14:paraId="34482EB7" w14:textId="77777777" w:rsidR="00360E18" w:rsidRDefault="003E5F9B">
      <w:pPr>
        <w:pStyle w:val="Heading2"/>
        <w:rPr>
          <w:lang w:val="en-GB"/>
        </w:rPr>
      </w:pPr>
      <w:r>
        <w:rPr>
          <w:lang w:val="en-GB"/>
        </w:rPr>
        <w:t>2.3 Public Relations</w:t>
      </w:r>
    </w:p>
    <w:p w14:paraId="5034F5A6" w14:textId="77777777" w:rsidR="00360E18" w:rsidRDefault="003E5F9B">
      <w:pPr>
        <w:spacing w:line="360" w:lineRule="auto"/>
        <w:ind w:firstLineChars="200" w:firstLine="480"/>
        <w:rPr>
          <w:lang w:val="en-GB"/>
        </w:rPr>
      </w:pPr>
      <w:r>
        <w:rPr>
          <w:lang w:val="en-GB"/>
        </w:rPr>
        <w:t>While organisational communication plays right into the public gallery, there is a lot that must be covered to do justice to the public relations spectrum. Public relations involves conversations with the public, be they for spinning purposes to tell a certain narrative or telling truth to outline certain developments within a firm’s operations (Grunig 2014). Grunig further added that in public relations, there is a lot that is related to communicating the performance of an organisation, evaluation of public attitudes and explaining the processes and plans of actions to the public for purposes of gaining acceptance and support. What this means that public relations is concerned about gaining the public buy in for the organisational business. This shows that there is a slight difference between public relations and organisation communication whereas the latter is concerned about communicating processes, plans of action, problem resolution and shared responsibilities. Public relations clearly cares less about problem resolution or internal dispute resolutions (Baker 2002). This could mean that it cares more about winning the buy in and acceptance of the public at whatever cost. In this instance, public relations must then be understood from the lens of public trust which could very well be hinged on spinning how developments are progressing. Consequently, the work of Bell Pottinger provides a nice room for analysis to determine the extent to which public relations succeeded at the expense of ethical underpinnings of public communication.</w:t>
      </w:r>
    </w:p>
    <w:p w14:paraId="1AC0D2F9" w14:textId="77777777" w:rsidR="00360E18" w:rsidRDefault="003E5F9B">
      <w:pPr>
        <w:spacing w:line="360" w:lineRule="auto"/>
        <w:ind w:firstLineChars="200" w:firstLine="480"/>
        <w:rPr>
          <w:lang w:val="en-GB"/>
        </w:rPr>
      </w:pPr>
      <w:r>
        <w:rPr>
          <w:lang w:val="en-GB"/>
        </w:rPr>
        <w:t>According to Phillips and Young (2009) public relations is a subject or practice that constantly changes. What influences this change range from the advent of online public relations and how messages to the public are communicated. Having an understanding of the evolution is critical for unpacking the changes in ethical approaches that could have been witnessed at different organisations plying the public relations discipline. This explains why it is important for practitioners to understand that public relations can be corporate or agency. Grunig and Hunt (1984) had thus earlier on provided that corporate public relations is within a corporate organisation’s public relations department while agency public relations involves hiring of a consulting firm like Bell Pottinger to sell a certain narrative to the public. Having a public relations department within an organisation means that there is a symbiotic relationship between organisational communication and public relations as the PR department is charged with communicating the organisational resolutions that would have been resolved and resoluted within internal processes of the organisation. It is therefore important to have this understanding because it determines the extent to which corporate organisations commit themselves to communicating the challenges they may be facing in their operations and their role in resolving a public problem that may be affecting the community at large.</w:t>
      </w:r>
    </w:p>
    <w:p w14:paraId="726A62FC" w14:textId="77777777" w:rsidR="00360E18" w:rsidRDefault="003E5F9B">
      <w:pPr>
        <w:spacing w:line="360" w:lineRule="auto"/>
        <w:ind w:firstLineChars="200" w:firstLine="480"/>
        <w:rPr>
          <w:lang w:val="en-GB"/>
        </w:rPr>
      </w:pPr>
      <w:r>
        <w:rPr>
          <w:lang w:val="en-GB"/>
        </w:rPr>
        <w:t>Skinner, Mersham and Motau (2007) posited that public relations can well be viewed as a management tool that involves communication of different views to a divergent audience and sharing of strategic relations with both internal and external shareholders. In other words, public relations is intended to promote inclusive decision making between internal employees and their external shareholders who play a critical in the development of a corporate organisation. When communication is made, endorsements can be made pertaining to certain resolutions while objections and alternative routes can be announced and adopted. In utopian terms, this pattern and way of doing business has the potential of bringing more returns. This is based on the fact that there is anticipated buy in from all shareholders. However, this view must be treated with extreme caution because endorsements do not necessarily mean that there is consensus and inclusive decision making. There could be endorsements that are detached from the true feelings of the stakeholders and shareholders. This explains why it always important to know what exactly must be put to the public. Shareholders are better communicated with using internal communication processes to ensure that there is utmost consensus before any public communication is made.</w:t>
      </w:r>
    </w:p>
    <w:p w14:paraId="76645727" w14:textId="77777777" w:rsidR="00360E18" w:rsidRDefault="003E5F9B">
      <w:pPr>
        <w:spacing w:line="360" w:lineRule="auto"/>
        <w:ind w:firstLineChars="200" w:firstLine="480"/>
        <w:rPr>
          <w:lang w:val="en-GB"/>
        </w:rPr>
      </w:pPr>
      <w:r>
        <w:rPr>
          <w:lang w:val="en-GB"/>
        </w:rPr>
        <w:t>Public relations remains a critical tool in managing relationships between rivals and friends in corporate business (Prince 2012). For instance, Prince cited that United Parcel Services (UPS), the largest transport and logistics company in the world entered into a conflict with the International Brotherhood of Teamsters in 1997, which represented workers for the logistics company. The conflict was based on the treatment of workers of UPS. This resulted in a famous strike which affected the production of UPS. The strike costed a lot of money simply because there had not been conflict resolution hitherto. This scenario justifies Edward and Hodges’ (2011) that public relations shapes the reputation of an organisation externally and that reputation must be hinged on a firm commitment to solid and professional conflict resolution strategies especially against rivals and external companies. In this case, public relations, if well managed acts as a vital cog through which competitive conflicts for an organisation can be resolved. However, this entirely depends on the commitment of interested parties to play their parties in the resolution of conflicts based on a firm understanding of ethics in public relations which will be explained in greater detail in the succeeding sections.</w:t>
      </w:r>
    </w:p>
    <w:p w14:paraId="02706BE2" w14:textId="77777777" w:rsidR="00360E18" w:rsidRDefault="003E5F9B">
      <w:pPr>
        <w:spacing w:line="360" w:lineRule="auto"/>
        <w:ind w:firstLineChars="200" w:firstLine="480"/>
        <w:rPr>
          <w:lang w:val="en-GB"/>
        </w:rPr>
      </w:pPr>
      <w:r>
        <w:rPr>
          <w:lang w:val="en-GB"/>
        </w:rPr>
        <w:t>Furthermore, it is important to note that public relations is a skill that requires skilled practitioners. Edwards and Hodges (2011) posited that public relations practitioners must be skilled in writing, speaking and must always be humble when communicating organisational views and position. The reason for which public relations practitioners are expected to be good in speaking is that they are normally expected to unpack complex issues regarding the development of an organisation, its relations with other companies and how it internally resolves conflicting issues that may be affecting productivity. When issues are well articulated in writing, it makes communication to the public even through speaking and press statements. While this may be taken lightly, the cost of miscommunication and inability to articulate issues may cost a company huge fortunes (Prince 2012). That skill is an important factor in public relations can be exemplified by the fact that some organisations whose public relations are not well trained end up hiring public relations consulting firms to maintain a certain level of professionalism (Grunig and Hunt 1984). When corporate public relations desk fails to live up to its billing, hiring consulting firms will mean that an organisation will incur avoidable costs. However, the costs could be multiple if the hired consulting firm breaches ethical standards as Bell Pottinger. The damage done under such circumstances will be irreparable. In this case, it is clear that hiring public relations companies to bid on behalf of organisations is a failure of those organisations to groom good public relations experts. The ethical and financial costs of that process thus merits this study as it follows the conduct of Bell Pottinger which had been hired to do the bidding for the Guptas.</w:t>
      </w:r>
    </w:p>
    <w:p w14:paraId="2DE76231" w14:textId="77777777" w:rsidR="00360E18" w:rsidRDefault="003E5F9B">
      <w:pPr>
        <w:spacing w:line="360" w:lineRule="auto"/>
        <w:ind w:firstLineChars="200" w:firstLine="480"/>
        <w:rPr>
          <w:lang w:val="en-GB"/>
        </w:rPr>
      </w:pPr>
      <w:r>
        <w:rPr>
          <w:lang w:val="en-GB"/>
        </w:rPr>
        <w:t>There has been an evolution that has changed the purpose and object of public relations within organisations on account of technological advancement around the world. Before the advent of technology, chiefly social media and emails, public relations was intended to control and influence others in order to generate compliance and enhance power (Carter 2012). The coming in of digital technology which has increasingly connected companies with clients, potential customers, shareholders and stakeholders has meant that public relations would be more of a tool that is used to enhance dialogue, involvement of hitherto stakeholders and more engagement with potential customers (Brito et al 2010). From the advent of technology, it can be deduced that public relations has evolved in a way that would demand more accountability between stakeholders. While that accountability is important in enhancing productivity and customer care, there is a need to have increased commitment towards the ethical evolution and adaptation. Therefore, without an updated ethical code of conduct, it might be difficult for PR companies to remain relevant and ethical if they cannot delimit the ways in which they engage with the public using social media. This explains why there is increased attention on issues to do with public relations code of conduct in this decade as opposed to two decades ago when technology was still finding its way to permeate the business community.</w:t>
      </w:r>
    </w:p>
    <w:p w14:paraId="20AEC846" w14:textId="77777777" w:rsidR="00360E18" w:rsidRDefault="003E5F9B">
      <w:pPr>
        <w:spacing w:line="360" w:lineRule="auto"/>
        <w:ind w:firstLineChars="200" w:firstLine="480"/>
        <w:rPr>
          <w:lang w:val="en-GB"/>
        </w:rPr>
      </w:pPr>
      <w:r>
        <w:rPr>
          <w:lang w:val="en-GB"/>
        </w:rPr>
        <w:t>Closely related to the evolution of public relations on account of technological advancement, Overton-De Clerk and Verwey (2013) argued that the shift from modernistic public relations anchored on persuasion and monological approaches in communication shifted to a more open, transparent and grass-roots communication which is underpinned on ‘stakeholder collaboration (Carter 2012 p.41). This shows that in today’s public relations discourse, there is more reliance on openness, transparent communication and a more nuanced stakeholder participation. In reality, public relations now looks at whether there is input from all role players as opposed to having routine announcements of decisions made regarding the progression of the organisation. Clients and shareholders must now be firmly involved in decision making processes. This way, problem resolution as espoused by Shockley-Zalabak (2015) becomes an all stakeholders problem in lieu of a closed ended internal problem resolution in organisational set up. As noble as this approach is, there is need to have a re-look at the guiding principles underpinning public relations in both modernistic and technological induced post-modernistic communication. This then merits a closer look at the Bell Pottinger and its economic emancipation campaign in South Africa with a view to unearthing ethical and practical gaps. Ethics play an important role in regulating the operations of a company including Bell Pottinger.</w:t>
      </w:r>
    </w:p>
    <w:p w14:paraId="6C45E112" w14:textId="77777777" w:rsidR="00360E18" w:rsidRDefault="003E5F9B">
      <w:pPr>
        <w:pStyle w:val="Heading2"/>
        <w:rPr>
          <w:lang w:val="en-GB"/>
        </w:rPr>
      </w:pPr>
      <w:r>
        <w:rPr>
          <w:lang w:val="en-GB"/>
        </w:rPr>
        <w:t xml:space="preserve">2.4 Media Ethics </w:t>
      </w:r>
    </w:p>
    <w:p w14:paraId="4FD85FDB" w14:textId="77777777" w:rsidR="00360E18" w:rsidRDefault="003E5F9B">
      <w:pPr>
        <w:spacing w:line="360" w:lineRule="auto"/>
        <w:ind w:firstLineChars="200" w:firstLine="480"/>
        <w:rPr>
          <w:lang w:val="en-GB"/>
        </w:rPr>
      </w:pPr>
      <w:r>
        <w:rPr>
          <w:lang w:val="en-GB"/>
        </w:rPr>
        <w:t xml:space="preserve"> In this section, we take a closer look at the media ethical foundations, gaps and how Bell Pottinger exploited such gaps for the purposes of proposing ethical reform in the later chapters of the study. Looking at ethics helps to determine the extent to which Bell Pottinger breached public relations ethics. Media ethics are part of public relations ethics which specifically deal with the ways in which public relations organisations conduct their media projects in acceptable ways (Huang 2001). Ethics are important in human interactions because they define what can be deemed as wrong or right and clearly stated the acceptable values and beliefs within a system (Grunig 2014). The penetration of public relations into key organisational programmatic areas has brought with it the need to enhance ethics to determine how organisations should behave (Huang 2001). Studies conducted as way back as 1990 (David et al 1990) indicate that there are ethical dilemmas at workspaces around the globe. This means that there is a need to set the values and beliefs at organisational level to bridge cultural differences that arise when people meet at workspaces. In other words, it is critical to set the behaviour code, which simply means setting ethical code of conduct for individuals and organisations. This way, ethics play a crucial role in guiding how operations should proceed. This is what makes the case of Bell Pottinger because it there is an intellectual curiosity as to how the firm and individuals involved went about their ethical considerations of the business.</w:t>
      </w:r>
    </w:p>
    <w:p w14:paraId="3AE23930" w14:textId="77777777" w:rsidR="00360E18" w:rsidRDefault="003E5F9B">
      <w:pPr>
        <w:spacing w:line="360" w:lineRule="auto"/>
        <w:ind w:firstLineChars="200" w:firstLine="480"/>
        <w:rPr>
          <w:lang w:val="en-GB"/>
        </w:rPr>
      </w:pPr>
      <w:r>
        <w:rPr>
          <w:lang w:val="en-GB"/>
        </w:rPr>
        <w:t>Within the public relations industry, adherence to ethics has always been a challenge. Huang (2001) posited that the infamous Hill and Knowlton case of 1992 left an indelible mark within the Public Relations Society of America (PRSA). It is argued that the Hill and Knowlton set a bad precedence in the industry as it presented an impression that there is no punishment for breaching code of conduct or ethics. However, what is evident from this decades old breach is that there is need to always have a set of ethics which can be called when organisations err. This explains why ethics such as communication patterns, code of conduct, rules of engagement and profits are always regulated by a set of cultural preservatives to ensure that if there is profit, it clean and reputable (Huang 2001). This shows that ethics, despite weaknesses and lack of enforcement as suggested in the case of Hill and Knowlton play a critical role. In other words, if there are clear ways of recourse to punishment ethics can level the playing field.</w:t>
      </w:r>
    </w:p>
    <w:p w14:paraId="13B8BE1B" w14:textId="77777777" w:rsidR="00360E18" w:rsidRDefault="003E5F9B">
      <w:pPr>
        <w:spacing w:line="360" w:lineRule="auto"/>
        <w:ind w:firstLineChars="200" w:firstLine="480"/>
        <w:rPr>
          <w:lang w:val="en-GB"/>
        </w:rPr>
      </w:pPr>
      <w:r>
        <w:rPr>
          <w:lang w:val="en-GB"/>
        </w:rPr>
        <w:t>According to Ki and Kim (2010 p.224) most public relations agencies particularly in the United States of America have domesticated ethical statements, which are often dominated by terms such as ‘respect to clients, service, strategic, results, balance, fairness, honour, social responsibility and independence.’ This shows that even organisations such as Hill and Knowlton probably had sort of ethical statements that are unfortunately breached when these organisations go for profit at the expense of reputation and fairness. This explains why Huang (2001) clarified that despite having these ‘ethical statements’ lack of punishment makes it difficult for companies and agencies to comply with the provisions of ethical statements. In Africa, PR became prominent in the academic circles when Heerden (2004) produced a research which focused on ethics, practice and rules governing public relations. It is therefore a responsibility of the regulation bodies to ensure that there are clear recourse to punishment for organisations which breach ethical statements. Furthermore, that recourse to punishment must be balanced by fairness and justice when deliberating such cases. It is important to make sure that prosecution processes are executed without ulterior motives of making the playing field uneven for different organisations (Grunig 2014). Levelling the playing field in terms of dealing with those who breach ethical statements within the public relations goes a long way in enhancing compliance.</w:t>
      </w:r>
    </w:p>
    <w:p w14:paraId="3161D937" w14:textId="77777777" w:rsidR="00360E18" w:rsidRDefault="003E5F9B">
      <w:pPr>
        <w:spacing w:line="360" w:lineRule="auto"/>
        <w:ind w:firstLineChars="200" w:firstLine="480"/>
        <w:rPr>
          <w:lang w:val="en-GB"/>
        </w:rPr>
      </w:pPr>
      <w:r>
        <w:rPr>
          <w:lang w:val="en-GB"/>
        </w:rPr>
        <w:t>Despite ethical breaches by some organisations, the study conducted by Ki, Choi and Lee (2012) revealed that public relations that seemed to have stayed within ethical practices had sort of set out ethical parameters in their operations. Replogle (2014) added that a well regulated firm or production even the one that involves engagement with social media in the present age provides a relief to wayward behaviours by business activities and PR firms. The takeaway here is that despite numerous breaches including the Bell Pottinger’s, when there is strict adherence to rules of the game organisations are more likely to observe ethical practices. This shows that despite its flows, ethical considerations play a critical role in instilling discipline in individuals who represent the interests of any organisation in communication and practice. Of course, there is always room to reform the practice which by any means must be guided by how regulating bodies such as PRSA and PRCA go about their businesses. If regulating bodies have an incentive to reform, there is room for domestication of ethics in business particularly in the field of public relations. This brings the PRSA and PRCA’s code of conduct to the fore and complete the ethical puzzle in this discussion.</w:t>
      </w:r>
    </w:p>
    <w:p w14:paraId="11D6F0CB" w14:textId="77777777" w:rsidR="00360E18" w:rsidRDefault="003E5F9B">
      <w:pPr>
        <w:pStyle w:val="Heading2"/>
        <w:rPr>
          <w:lang w:val="en-GB"/>
        </w:rPr>
      </w:pPr>
      <w:r>
        <w:rPr>
          <w:lang w:val="en-GB"/>
        </w:rPr>
        <w:t>PRCA AND PRISA Ethical Codes of Conduct</w:t>
      </w:r>
    </w:p>
    <w:p w14:paraId="7DE05F1A" w14:textId="77777777" w:rsidR="00360E18" w:rsidRDefault="003E5F9B">
      <w:pPr>
        <w:spacing w:line="360" w:lineRule="auto"/>
        <w:ind w:firstLineChars="200" w:firstLine="480"/>
        <w:rPr>
          <w:lang w:val="en-GB"/>
        </w:rPr>
      </w:pPr>
      <w:r>
        <w:rPr>
          <w:lang w:val="en-GB"/>
        </w:rPr>
        <w:t>The previous section analysed ethics and how they influence the behaviour of organisations in public relations and business in general. This section deals with specific PRISA and PRCA codes of conduct to get to the crux of the Bell Pottinger scandal in South Africa. PRCA is important in this study because it lays down ethics which uphold standards in the public relations industry globally. From this view, it is understandable that when Bell Pottinger had been investigated, PRCA codes of conduct had been used. Similarly, PRISA is a Southern African organisation which regulates public relations within the region, where South Africa falls. This means that the Bell Pottinger case is within the jurisdiction of PRISA in Southern African hence its important in this study.</w:t>
      </w:r>
    </w:p>
    <w:p w14:paraId="23AD73F7" w14:textId="77777777" w:rsidR="00360E18" w:rsidRDefault="003E5F9B">
      <w:pPr>
        <w:pStyle w:val="Heading3"/>
        <w:rPr>
          <w:lang w:val="en-GB"/>
        </w:rPr>
      </w:pPr>
      <w:r>
        <w:rPr>
          <w:lang w:val="en-GB"/>
        </w:rPr>
        <w:t xml:space="preserve">PRCA Ethical code of Conduct </w:t>
      </w:r>
    </w:p>
    <w:p w14:paraId="50468699" w14:textId="77777777" w:rsidR="00360E18" w:rsidRDefault="003E5F9B">
      <w:pPr>
        <w:spacing w:line="360" w:lineRule="auto"/>
        <w:ind w:firstLineChars="200" w:firstLine="480"/>
        <w:rPr>
          <w:lang w:val="en-GB"/>
        </w:rPr>
      </w:pPr>
      <w:r>
        <w:rPr>
          <w:lang w:val="en-GB"/>
        </w:rPr>
        <w:t>According to clause 1.1 of the PRCA ethical code of conduct, public relations organisations must make sure that ‘highest standards of public relations communications are observed. This code of conduct obligates public relations organisations to integrate and mainstream higher standards of communications. However, the practice of public relations has so far reviewed that not every organisation subscribes to professionalism and ethical standards when there is a temptation to make profits from unethical conduct. This explains why Huang (2001) asserted that public relations organisations normally do not have an incentive to observe highest standards in communication. Huang argued that the absence of severe punishments may tempt organisations to breach ethical code of conduct such as observing high standards. On the part of PRCA, it can be argued that the regulation board suspended Bell Pottinger when it conducted its own investigations about the conduct of the public relations in its dealings with the Guptas in South Africa. It can also be argued that the promulgation of severe punishments and suspensions must be consistent and regular. Cave (2017) posited that the conduct of Bell Pottinger is an indication that hitherto, there were no severe penalties for organisations that breach the highest standards in communication. Strikingly, PRCA had to wait for the Democratic Alliance to make a formal complaint for it to start investigating the conduct of Bell Pottinger. This shows that the regulating board is not proactive in making sure that public relations organisations are always compliant with its ethical codes of conduct. In the presence of proactive measures to monitor the behaviour of public relations organisations, the incentive to breach the ethics is minimal. In fact, a point can be made that the violations committed by Bell Pottinger are not the first of its kind. The company may well have committed serious violations hitherto, surviving on the pretext that the PRCA could not be proactive in protecting its ethical standards and the conduct of its member organisations.</w:t>
      </w:r>
    </w:p>
    <w:p w14:paraId="3CA67A71" w14:textId="77777777" w:rsidR="00360E18" w:rsidRDefault="003E5F9B">
      <w:pPr>
        <w:spacing w:line="360" w:lineRule="auto"/>
        <w:ind w:firstLineChars="200" w:firstLine="480"/>
        <w:rPr>
          <w:lang w:val="en-GB"/>
        </w:rPr>
      </w:pPr>
      <w:r>
        <w:rPr>
          <w:lang w:val="en-GB"/>
        </w:rPr>
        <w:t>Another interesting clause of the PRCA is clause 1.3. The clause stipulates that fellow members within the media and public relations industry must help in the implementation of the ethical code of conduct. In other words, the organisations expects fellow competitors in the industry to do monitoring on their rivals and report any suspicious conduct. While this generally progressive and has a likelihood of levelling the playing field among public relations organisations, there is always a likelihood that some organisations would report rivals on account of jealous as opposed to actual handling of cases. In the arguments made by Ki, Choi and Lee (2012) having a set up like this significantly reduces chances of ethical violations. While this might be true, when more cases of jealous induced reporting and monitoring is done, the PRCA would get used to such cases. When actual violations take place, there is a likelihood that such cases may not be taken seriously. In other words, there is a challenge with a clause that seeks to promote monitoring among rival public relations organisations. Proactive monitoring and awareness campaigns could potentially end such a problem. It therefore can be deduced that there are gaps like non compliance and lack of deterrent penalties that public relations exploit when it comes to the regulations set up by regulating organisations such as the PRCA.</w:t>
      </w:r>
    </w:p>
    <w:p w14:paraId="59B4193D" w14:textId="77777777" w:rsidR="00360E18" w:rsidRDefault="003E5F9B">
      <w:pPr>
        <w:spacing w:line="360" w:lineRule="auto"/>
        <w:ind w:firstLineChars="200" w:firstLine="480"/>
        <w:rPr>
          <w:lang w:val="en-GB"/>
        </w:rPr>
      </w:pPr>
      <w:r>
        <w:rPr>
          <w:lang w:val="en-GB"/>
        </w:rPr>
        <w:t xml:space="preserve">According to Plaut (2018) the conduct of Bell Pottinger caused mistrust with the general public and actually harmed the public interests. The one of the PRCA’s code of conduct stipulates that a member organisations must ‘conduct their professional activities with proper regard to the public interest.’ Another one goes on to provide that organisations must always respect the tenets of truth telling and therefore avoid deliberately spreading information that is wrong for purposes of winning and gaining profit. On their own, these clauses make a lot of sense because they remind public relations organisations on their duty to promote truth telling. In other words, the rules state that organisations must influence and strategically position their interests in a way that does not jeopardise the interests of the public. Unfortunately, rules that are paper tigers are not usually complemented with the actual practice when it comes to information dissemination. Bell Pottinger could have been suspended on the grounds that it maliciously disseminated wrong information about racial divisions in South Africa but more could have been done to avert the reputation damage of PRCA before a member organisation actually commits a crime. More could have been done to make sure that there regular communication between PRCA and member organisations so that they do not deliberately disseminate wrong information to the detriment of public interests. PRCA could thus have conducted more awareness campaigns and refresher courses on ethical code of conduct. </w:t>
      </w:r>
    </w:p>
    <w:p w14:paraId="6D393158" w14:textId="77777777" w:rsidR="00360E18" w:rsidRDefault="003E5F9B">
      <w:pPr>
        <w:pStyle w:val="Heading3"/>
        <w:rPr>
          <w:lang w:val="en-GB"/>
        </w:rPr>
      </w:pPr>
      <w:r>
        <w:rPr>
          <w:lang w:val="en-GB"/>
        </w:rPr>
        <w:t xml:space="preserve">PRISA Code of Conduct </w:t>
      </w:r>
    </w:p>
    <w:p w14:paraId="4626E44B" w14:textId="77777777" w:rsidR="00360E18" w:rsidRDefault="003E5F9B">
      <w:pPr>
        <w:spacing w:line="360" w:lineRule="auto"/>
        <w:ind w:firstLineChars="200" w:firstLine="480"/>
        <w:rPr>
          <w:lang w:val="en-GB"/>
        </w:rPr>
      </w:pPr>
      <w:r>
        <w:rPr>
          <w:lang w:val="en-GB"/>
        </w:rPr>
        <w:t xml:space="preserve">A striking code of conduct of PRISA (2017) that slightly differs from the ethics covered by PRCA above is the emphasis on making sure that the practice of public relations organisations must always ‘not engage in any practice which tends to corrupt the integrity of channels or media of communication.’ The organisation argued that Bell Pottinger was found to have violated this and manner other clauses in its ethical code of conduct. While it is understandable that there is always a need to keep communication channels in public relations reliable, there is some vagueness in this clause. It does not clearly state how organisations can violate or corrupt the communication channels. Furthermore, it is also doubtful how public relations could possibly avoid engaging in practices that violate the integrity of public communication when that integrity and likely practices are not clearly spelt out. According to Shockley-Zalabak (2015) organisational communication should provide organisational excellence and a clear narration of how well an organisation is performing. However, when a regulating board like PRISA states an ethical code of conduct that can be deemed difficult to comprehend then the essence of organisational excellence is compromised. It is therefore likely to confuse the member organisations that may fail to clearly comprehend ethical codes of conduct like this one. By and large, ethics may remain paper ethics that are not well implemented if they are not clearly spelt. This could potentially undermine the efforts regulating bodies such as PRISA may put to enhance excellence in public relations as earlier argued by Shockley-Zalabak (2015). While public relations organisations have a duty to comprehend and implement standards that do not violate ethics, the regulating organisations equally have an obligation to produce and monitor clearly articulated codes of ethics. The absence of which may cause disturbances in the industry like what the infamous Bell Pottinger scandal has done in South Africa in 2017. This is however not an excuse to the conduct of Bell Pottinger in its handling of the economic emancipation campaign in South Africa. Organisations must also make an effort to reach out to PRISA to seek clarification and make sure that they stay and operate within acceptable standards. </w:t>
      </w:r>
    </w:p>
    <w:p w14:paraId="5D10FDAA" w14:textId="77777777" w:rsidR="00360E18" w:rsidRDefault="003E5F9B">
      <w:pPr>
        <w:spacing w:line="360" w:lineRule="auto"/>
        <w:ind w:firstLineChars="200" w:firstLine="480"/>
        <w:rPr>
          <w:lang w:val="en-GB"/>
        </w:rPr>
      </w:pPr>
      <w:r>
        <w:rPr>
          <w:lang w:val="en-GB"/>
        </w:rPr>
        <w:t>Furthermore, the PRISA (2017) provided that it was drawn to the Bell Pottinger saga and immediately engaged a clause which states that which promotes accuracy and integrity of the the regulating body and the information that is shared with the public. Ponono (2020 argued that Bell Pottinger lied that it was concentrating on societal structures and economic emancipation yet it had been drawn to spread propaganda and fuel racial divisions for the benefit of the powerful Gupta family. It is clear that organisations such as PRISA did not engage with the Bell Pottinger before it launched the campaign in South Africa to have a discussion. It could have been beneficial for the regulating authority to ask organisations that are engaged with public relations to first have a discussion with them especially if they are foreign owned entities. This is not to say that every organisation must be vetted, but considering that a lot of issues were happening in South Africa around the same period concerning state capture, corruption and elitism within the ruling party it would have been prudent to promote due diligence. Perhaps chapter four will clearly tackle lack of due diligence regarding the conduct of the regulating authorities like PRISA and PRCA themselves. Watchdogs must be proactive and ever willing to institute reforms that protect the integrity of the profession the same way as they expect member organisations to comply. A look at how other researchers have tackled this Bell Pottinger issue could help unpack ethical and practical gaps at both member organisational and regulation levels.</w:t>
      </w:r>
    </w:p>
    <w:p w14:paraId="6FE05C97" w14:textId="77777777" w:rsidR="00360E18" w:rsidRDefault="003E5F9B">
      <w:pPr>
        <w:pStyle w:val="Heading2"/>
        <w:rPr>
          <w:lang w:val="en-GB"/>
        </w:rPr>
      </w:pPr>
      <w:r>
        <w:rPr>
          <w:lang w:val="en-GB"/>
        </w:rPr>
        <w:t xml:space="preserve">Previous Research on the Topic </w:t>
      </w:r>
    </w:p>
    <w:p w14:paraId="0D4CF409" w14:textId="77777777" w:rsidR="00360E18" w:rsidRDefault="003E5F9B">
      <w:pPr>
        <w:spacing w:line="360" w:lineRule="auto"/>
        <w:ind w:firstLineChars="200" w:firstLine="480"/>
        <w:rPr>
          <w:lang w:val="en-GB"/>
        </w:rPr>
      </w:pPr>
      <w:r>
        <w:rPr>
          <w:lang w:val="en-GB"/>
        </w:rPr>
        <w:t>The Bell Pottinger issue is not a new saga within the academic spectrum not least in the South African scholarship.According to Plaut (2018) the attainment of independence in South Africa birthed new hope for millions of citizens who hoped for an equal, democratic and fair society. However, the Bell Pottinger case indicates that there are elites among political echelons whose hopes are pinned on dividing the nation and recreating the societal structure based on propaganda, lies and public relations organisations that are ready to spill these vices to the people (Ponono 2020). Indeed, the studies of Ponono and Plaut highlight that there is renewed interest on the conduct of public relations organisations in the public. While extant studies are titled towards addressing the ethical and conduct vices between public relations organisations and regulating authorities little information is available to suggest that there is need for ethical reform on the part of PRISA and PRCA. In this case, this study was interested in finding ways in which such ethical gaps can be reformed and bridged to make sure that issues of compliance are not motivated by what regulating authorities would have done either by omission or commission.</w:t>
      </w:r>
    </w:p>
    <w:p w14:paraId="5C3AB564" w14:textId="77777777" w:rsidR="00360E18" w:rsidRDefault="003E5F9B">
      <w:pPr>
        <w:spacing w:line="360" w:lineRule="auto"/>
        <w:ind w:firstLineChars="200" w:firstLine="480"/>
        <w:rPr>
          <w:lang w:val="en-GB"/>
        </w:rPr>
      </w:pPr>
      <w:r>
        <w:rPr>
          <w:lang w:val="en-GB"/>
        </w:rPr>
        <w:t xml:space="preserve">Extant studies also review that the desire to accumulate a profit can supersede the duty to protect the integrity of the public relations discipline. Joseph (2020) posited that the fact that Bell Pottinger was persuaded by the Gupta family and a few political elites to want to divert attention from issues of state capture to racial injustices and societal divisions is an indication that money, in the event where rules are not strictly observed, may cause organisations to violate ethical rules. Cave (2017) revealed that the Bell Pottinger group was earning one hundred thousand pounds a month from the economic emancipation campaign. This is a lot of money which could cause any organisations to go out of acceptable ethical confines to prioritise the money. In this case, it is clear that rules that are not strictly monitored and updated may be trampled upon when there is tempting money. Therefore, extant research do not go to lengths explaining why it is important to look into PRCA and PRISA ethical reform prospects. </w:t>
      </w:r>
    </w:p>
    <w:p w14:paraId="534D990A" w14:textId="77777777" w:rsidR="00360E18" w:rsidRDefault="003E5F9B">
      <w:pPr>
        <w:pStyle w:val="Heading2"/>
        <w:rPr>
          <w:lang w:val="en-GB"/>
        </w:rPr>
      </w:pPr>
      <w:r>
        <w:rPr>
          <w:lang w:val="en-GB"/>
        </w:rPr>
        <w:t xml:space="preserve">Theoretical Approach Adopted for the Study </w:t>
      </w:r>
    </w:p>
    <w:p w14:paraId="62F4FB0F" w14:textId="77777777" w:rsidR="00360E18" w:rsidRDefault="003E5F9B">
      <w:pPr>
        <w:spacing w:line="360" w:lineRule="auto"/>
        <w:ind w:firstLineChars="200" w:firstLine="480"/>
        <w:rPr>
          <w:lang w:val="en-GB"/>
        </w:rPr>
      </w:pPr>
      <w:r>
        <w:rPr>
          <w:lang w:val="en-GB"/>
        </w:rPr>
        <w:t>This study adopted the Systems theory for analytical purposes. According to Du Plooy (2002) the systems theory is a scientific approach to understanding the balance and equilibrium of items in a contrasting world. The theory is applicable to the study of public relations practice because it provides that the world is ‘mechanical, organic as well as socially open’ (Grunig 2014).</w:t>
      </w:r>
    </w:p>
    <w:p w14:paraId="6B5053E6" w14:textId="77777777" w:rsidR="00360E18" w:rsidRDefault="003E5F9B">
      <w:pPr>
        <w:spacing w:line="360" w:lineRule="auto"/>
        <w:ind w:firstLineChars="200" w:firstLine="480"/>
        <w:rPr>
          <w:lang w:val="en-GB"/>
        </w:rPr>
      </w:pPr>
      <w:r>
        <w:rPr>
          <w:lang w:val="en-GB"/>
        </w:rPr>
        <w:t>By being mechanical, Roach (2016) argued that the world we live in is open and closed meaning to say the operating environment is always evolving. This requires organisations to adjust to such changes and remain ethical along the way. Roach added that the systems theory, on account of its mechanical approach is instrumental in building a symbiotic relationship between an organisation and the public. Ethics balance that relationship, making the theory applicable to this research. The theory was thus instrumental unpacking the Bell Pottinger scandal, looking at how the changes in technology, power relations in South Africa and political terrain could have motivated the organisation to act the way it did in violation of ethical principles. The open and closed connotations were thus critical in this study. Bell Pottinger can be understood as a well established system defined by inputs and outputs. This makes the systems theory relevant to the study is it was instrumental in in determining how its conduct influenced the bigger South African system. The management of the firm (inputs) including hierarchy, decision making process and organic structures had a bearing in how it conducted the economic emancipation campaign (outputs). It is in view of these tenets that the systems theory could be used to analyse ethical codes of conduct such as the duty observe highest standards, truth telling and the need to provide a good image of the public relations industry within the conduct of the Bell Pottinger group.</w:t>
      </w:r>
    </w:p>
    <w:p w14:paraId="03AF9C83" w14:textId="77777777" w:rsidR="00360E18" w:rsidRDefault="003E5F9B">
      <w:pPr>
        <w:pStyle w:val="Heading2"/>
        <w:rPr>
          <w:lang w:val="en-GB"/>
        </w:rPr>
      </w:pPr>
      <w:r>
        <w:rPr>
          <w:lang w:val="en-GB"/>
        </w:rPr>
        <w:t>Conclusion</w:t>
      </w:r>
    </w:p>
    <w:p w14:paraId="03140E1B" w14:textId="77777777" w:rsidR="00360E18" w:rsidRDefault="003E5F9B">
      <w:pPr>
        <w:spacing w:line="360" w:lineRule="auto"/>
        <w:ind w:firstLineChars="200" w:firstLine="480"/>
        <w:rPr>
          <w:lang w:val="en-GB"/>
        </w:rPr>
      </w:pPr>
      <w:r>
        <w:rPr>
          <w:lang w:val="en-GB"/>
        </w:rPr>
        <w:t>This chapter analysed extant literature on organisational communication, public relations, media ethics, the economic emancipation campaign, PRISA and PRCA ethical codes of conduct and the theoretical underpinnings of the study. From the analysis of available literature, it was reviewed that there were breaches to PRCA and PRISA codes of conduct by Bell Pottinger which warranted investigations and ensuring suspensions. The next chapter looks into the methodology adopted in this research for purposes of revealing how data collection was administered. It is hoped that ethical considerations will be dealt with in the next chapter as well.</w:t>
      </w:r>
    </w:p>
    <w:p w14:paraId="336DE459" w14:textId="77777777" w:rsidR="00360E18" w:rsidRDefault="003E5F9B">
      <w:pPr>
        <w:rPr>
          <w:lang w:val="en-GB"/>
        </w:rPr>
      </w:pPr>
      <w:r>
        <w:rPr>
          <w:lang w:val="en-GB"/>
        </w:rPr>
        <w:br w:type="page"/>
      </w:r>
    </w:p>
    <w:p w14:paraId="19DDE934" w14:textId="77777777" w:rsidR="00360E18" w:rsidRDefault="003E5F9B">
      <w:pPr>
        <w:pStyle w:val="Heading1"/>
        <w:numPr>
          <w:ilvl w:val="0"/>
          <w:numId w:val="13"/>
        </w:numPr>
        <w:rPr>
          <w:lang w:val="en-GB"/>
        </w:rPr>
      </w:pPr>
      <w:r>
        <w:rPr>
          <w:lang w:val="en-GB"/>
        </w:rPr>
        <w:t>CHAPTER THREE: RESEARCH METHODOLOGY</w:t>
      </w:r>
    </w:p>
    <w:p w14:paraId="71482337" w14:textId="77777777" w:rsidR="00360E18" w:rsidRDefault="003E5F9B">
      <w:pPr>
        <w:pStyle w:val="Heading2"/>
        <w:rPr>
          <w:lang w:val="en-GB"/>
        </w:rPr>
      </w:pPr>
      <w:r>
        <w:rPr>
          <w:lang w:val="en-GB"/>
        </w:rPr>
        <w:t xml:space="preserve">3.1 Introduction </w:t>
      </w:r>
    </w:p>
    <w:p w14:paraId="777BDF13" w14:textId="77777777" w:rsidR="00360E18" w:rsidRDefault="003E5F9B">
      <w:pPr>
        <w:spacing w:line="360" w:lineRule="auto"/>
        <w:ind w:firstLineChars="200" w:firstLine="480"/>
        <w:rPr>
          <w:lang w:val="en-GB"/>
        </w:rPr>
      </w:pPr>
      <w:r>
        <w:rPr>
          <w:lang w:val="en-GB"/>
        </w:rPr>
        <w:t>This chapter presents and analyses the research methodology that was used in this research study. Principally, the chapter looks at qualitative research methodology with a particular focus on research design, research approach, research method, population and sampling, data collection techniques, reliability and validity, ethical considerations, and limitations of the study. From the onset, it is imperative to pinpoint that this study took the Bell Pottinger case study on the basis of its prominence within the media and public relations industry in South Africa. Therefore, the chapter will show how media narratives, perceptions and knowledge shaped the epistemological and ontological approaches wherein various media sources had been consulted based on what had been reported, investigated and punished in the aftermath of the Bell Pottinger saga in South Africa.</w:t>
      </w:r>
    </w:p>
    <w:p w14:paraId="6629E3E5" w14:textId="77777777" w:rsidR="00360E18" w:rsidRDefault="003E5F9B">
      <w:pPr>
        <w:pStyle w:val="Heading2"/>
        <w:rPr>
          <w:lang w:val="en-GB"/>
        </w:rPr>
      </w:pPr>
      <w:r>
        <w:rPr>
          <w:lang w:val="en-GB"/>
        </w:rPr>
        <w:t>3.2 Research Paradigm</w:t>
      </w:r>
    </w:p>
    <w:p w14:paraId="7018BC1A" w14:textId="77777777" w:rsidR="00360E18" w:rsidRDefault="003E5F9B">
      <w:pPr>
        <w:spacing w:line="360" w:lineRule="auto"/>
        <w:ind w:firstLineChars="200" w:firstLine="480"/>
        <w:rPr>
          <w:lang w:val="en-GB"/>
        </w:rPr>
      </w:pPr>
      <w:r>
        <w:rPr>
          <w:lang w:val="en-GB"/>
        </w:rPr>
        <w:t>A research paradigm is understood as the researcher’s world-view, which means ‘the perspective, thinking, school of thought, or set of shared beliefs that informs meaning or interpretation of research data,’ (Kivunja and Kuyini 2017). Kivunja and Kuyini added that the research paradigm is normally a reflection of the researcher’s thoughts about the world she or he lives in. Consequently, a research paradigm is made up of four critical pillars, namely epistemology, ontology, methodology and axiology (Lincoln and Cuba 1985). This section will thus expand the epistemological and ontological underpinnings as the method will be treated as a stand alone concept later in the chapter.</w:t>
      </w:r>
    </w:p>
    <w:p w14:paraId="7FF53192" w14:textId="77777777" w:rsidR="00360E18" w:rsidRDefault="003E5F9B">
      <w:pPr>
        <w:pStyle w:val="Heading3"/>
        <w:rPr>
          <w:lang w:val="en-GB"/>
        </w:rPr>
      </w:pPr>
      <w:r>
        <w:rPr>
          <w:lang w:val="en-GB"/>
        </w:rPr>
        <w:t xml:space="preserve">3.2.1 Epistemology </w:t>
      </w:r>
    </w:p>
    <w:p w14:paraId="7C7B9F41" w14:textId="77777777" w:rsidR="00360E18" w:rsidRDefault="003E5F9B">
      <w:pPr>
        <w:spacing w:line="360" w:lineRule="auto"/>
        <w:ind w:firstLineChars="200" w:firstLine="480"/>
        <w:rPr>
          <w:lang w:val="en-GB"/>
        </w:rPr>
      </w:pPr>
      <w:r>
        <w:rPr>
          <w:lang w:val="en-GB"/>
        </w:rPr>
        <w:t>According to Cooksey and McDonald (2011) epistemology is concerned about the knowledge, focusing on the nature of human knowledge and comprehension that the researcher can acquire to broaden their understanding of the subject matter. In this research study, the epistemological underpinnings were focusing on the existing ethical codes of conduct in public relations, the engagement of Bell Pottinger with such provisions and the possibilities of expanding and reforming obtaining ethics to enhance compliance and legality. Furthermore, epistemology requires researchers to be factual and what we already know and how we came to know what we know (Kivunja and Kuyini 2017) . As the Bell Pottinger case study has been a media issue in South Africa, it was important to focus on the ethics of PRCA and PRISA to be able to conclude how possibly the case could have been mitigated.therefore, the epistemological stance is influenced by what the media reported alongside the ensuing investigations on the operations of Bell Pottinger in South Africa.</w:t>
      </w:r>
    </w:p>
    <w:p w14:paraId="2D996C23" w14:textId="77777777" w:rsidR="00360E18" w:rsidRDefault="003E5F9B">
      <w:pPr>
        <w:pStyle w:val="Heading3"/>
        <w:rPr>
          <w:lang w:val="en-GB"/>
        </w:rPr>
      </w:pPr>
      <w:r>
        <w:rPr>
          <w:lang w:val="en-GB"/>
        </w:rPr>
        <w:t>3.2.2. Ontology</w:t>
      </w:r>
    </w:p>
    <w:p w14:paraId="71D6475D" w14:textId="77777777" w:rsidR="00360E18" w:rsidRDefault="003E5F9B">
      <w:pPr>
        <w:spacing w:line="360" w:lineRule="auto"/>
        <w:ind w:firstLineChars="200" w:firstLine="480"/>
        <w:rPr>
          <w:lang w:val="en-GB"/>
        </w:rPr>
      </w:pPr>
      <w:r>
        <w:rPr>
          <w:lang w:val="en-GB"/>
        </w:rPr>
        <w:t>On the other hand, ontology is ‘concerned with the assumptions we make in order to believe that something makes sense or is real, or the very nature or essence or essence of the social phenomenon we are investigating,’ (Kivunja and Kuyini 2017 p.2). In this research therefore, it was important to scrutinise the applicability of ethics in the conduct of public relations organisations, the ability of regulating authorities to punish those who violate the existing rules and the supposed deterrents it sends to the general discipline. It was also assumed that what had been reported about Bell Pottinger in the media fraternity truly reflects what had transpired in 2017.</w:t>
      </w:r>
    </w:p>
    <w:p w14:paraId="447CB405" w14:textId="77777777" w:rsidR="00360E18" w:rsidRDefault="003E5F9B">
      <w:pPr>
        <w:pStyle w:val="Heading2"/>
        <w:rPr>
          <w:lang w:val="en-GB"/>
        </w:rPr>
      </w:pPr>
      <w:r>
        <w:rPr>
          <w:lang w:val="en-GB"/>
        </w:rPr>
        <w:t>3.3 Research Approach</w:t>
      </w:r>
    </w:p>
    <w:p w14:paraId="7F12F9C1" w14:textId="77777777" w:rsidR="00360E18" w:rsidRDefault="003E5F9B">
      <w:pPr>
        <w:spacing w:line="360" w:lineRule="auto"/>
        <w:ind w:firstLineChars="200" w:firstLine="480"/>
        <w:rPr>
          <w:rFonts w:cs="Times New Roman"/>
          <w:lang w:val="en-GB"/>
        </w:rPr>
      </w:pPr>
      <w:r>
        <w:rPr>
          <w:lang w:val="en-GB"/>
        </w:rPr>
        <w:t>A research approach can be understood as ‘</w:t>
      </w:r>
      <w:r>
        <w:rPr>
          <w:rFonts w:cs="Times New Roman"/>
          <w:lang w:val="en-GB"/>
        </w:rPr>
        <w:t>plans and the procedure for research that encompass the steps from broad assumptions to details methods of data collection, analysis and interpretation’ (Grover 2015 p.4). This is to say that a research approach outlines the ways in which data would be collected, analysed. This research therefore made use of the qualitative research approach in engaging with existing media documents about Bell Pottinger in South Africa. Litchman (2014) provided that a qualitative approach provides a platform for researchers to use their ears and eyes to collect data. This is to say that eyes can work in reading existing literature and engaging with research participants while ears could be instrumental in listening to participants narrate their experiences if there are any. Given that there is an array of media information about the Bell Pottinger saga it is imperative to use qualitative research approach because it would ask critical questions around ethics, practices and conduct of concerned organisations vis-a-vis extant provisions.</w:t>
      </w:r>
    </w:p>
    <w:p w14:paraId="16046E6E" w14:textId="77777777" w:rsidR="00360E18" w:rsidRDefault="003E5F9B">
      <w:pPr>
        <w:pStyle w:val="Heading2"/>
        <w:rPr>
          <w:lang w:val="en-GB"/>
        </w:rPr>
      </w:pPr>
      <w:r>
        <w:rPr>
          <w:lang w:val="en-GB"/>
        </w:rPr>
        <w:t xml:space="preserve">3.4 Research Method </w:t>
      </w:r>
    </w:p>
    <w:p w14:paraId="430D3B9E" w14:textId="77777777" w:rsidR="00360E18" w:rsidRDefault="003E5F9B">
      <w:pPr>
        <w:spacing w:line="360" w:lineRule="auto"/>
        <w:ind w:firstLineChars="200" w:firstLine="480"/>
        <w:rPr>
          <w:rFonts w:cs="Times New Roman"/>
          <w:lang w:val="en-GB"/>
        </w:rPr>
      </w:pPr>
      <w:r>
        <w:rPr>
          <w:rFonts w:cs="Times New Roman"/>
          <w:lang w:val="en-GB"/>
        </w:rPr>
        <w:t>In this research study, a qualitative content analysis was instrumental in gleaning data and meaning of the conduct of Bell Pottinger during the economic emancipation campaign in South Africa. According to Hsieh and Shannon (2005) qualitative content analysis provides interpretation of existing knowledge or literature from various published or online sources through the use of coding, identification of patterns and themes. This research study used deductive content analysis, focusing on the themes gleaned from media content available from the conduct of Bell Pottinger. Bryman and Bell (2015) posited that deductive analysis is concerned with deductive reasoning based on the literature themes that would have been provided by various academic sources.</w:t>
      </w:r>
    </w:p>
    <w:p w14:paraId="6DB4E514" w14:textId="77777777" w:rsidR="00360E18" w:rsidRDefault="003E5F9B">
      <w:pPr>
        <w:pStyle w:val="Heading2"/>
        <w:rPr>
          <w:lang w:val="en-GB"/>
        </w:rPr>
      </w:pPr>
      <w:r>
        <w:rPr>
          <w:lang w:val="en-GB"/>
        </w:rPr>
        <w:t xml:space="preserve">3.5 Population and Sampling </w:t>
      </w:r>
    </w:p>
    <w:p w14:paraId="4FC51172" w14:textId="77777777" w:rsidR="00360E18" w:rsidRDefault="003E5F9B">
      <w:pPr>
        <w:spacing w:line="360" w:lineRule="auto"/>
        <w:ind w:firstLineChars="200" w:firstLine="480"/>
        <w:rPr>
          <w:rFonts w:cs="Times New Roman"/>
          <w:lang w:val="en-GB"/>
        </w:rPr>
      </w:pPr>
      <w:r>
        <w:rPr>
          <w:rFonts w:cs="Times New Roman"/>
          <w:lang w:val="en-GB"/>
        </w:rPr>
        <w:t>Crowe et al (2011) posited that a target population is a group that shares similar background, characteristics and location as they are identified by the researcher. In this research, the target population is the Bell Pottinger group, potentially its main leaders who had been on the forefront engineering and implementing the economic emancipation campaign, the Gupta family and their company which entered a deal with the public relations firm as well as some government officials who worked with Guptas and opposition parties raised ethical issues committed by the Bell Pottinger. The PRCA and PRISA also made up the target population. This target population specifically speaks to the reason why the Bell Pottinger landed in the scandal they landed in.</w:t>
      </w:r>
    </w:p>
    <w:p w14:paraId="563B32E1" w14:textId="77777777" w:rsidR="00360E18" w:rsidRDefault="003E5F9B">
      <w:pPr>
        <w:spacing w:line="360" w:lineRule="auto"/>
        <w:ind w:firstLineChars="200" w:firstLine="480"/>
        <w:rPr>
          <w:rFonts w:cs="Times New Roman"/>
          <w:lang w:val="en-GB"/>
        </w:rPr>
      </w:pPr>
      <w:r>
        <w:rPr>
          <w:rFonts w:cs="Times New Roman"/>
          <w:lang w:val="en-GB"/>
        </w:rPr>
        <w:t>Sampling is understood as a ‘procedure employed by a researcher to systematically select a relatively smaller number of representative items or individuals from a pre-defined population to serve as data sources for observation or experimentation as per objectives of his or her study,’ (Sharma 2017 p.2). In this research therefore, non probability sampling was employed to collect data from media sources. Crossman et al (2011) provided that non probability sampling entails a ‘technique where some members of the population have higher chances of being selected to represent the population than others, largely on account of their proximity, knowledge of the research subject and the objectives of the researcher.’ In the examination of media reports, the sources that closely matched the criteria and key words to the Bell Pottinger study had higher chances of being scrutinised.</w:t>
      </w:r>
    </w:p>
    <w:p w14:paraId="381BD43B" w14:textId="77777777" w:rsidR="00360E18" w:rsidRDefault="003E5F9B">
      <w:pPr>
        <w:pStyle w:val="Heading2"/>
        <w:rPr>
          <w:lang w:val="en-GB"/>
        </w:rPr>
      </w:pPr>
      <w:r>
        <w:rPr>
          <w:lang w:val="en-GB"/>
        </w:rPr>
        <w:t>3.6 Data Analysis</w:t>
      </w:r>
    </w:p>
    <w:p w14:paraId="1EA9A3E4" w14:textId="77777777" w:rsidR="00360E18" w:rsidRDefault="003E5F9B">
      <w:pPr>
        <w:spacing w:line="360" w:lineRule="auto"/>
        <w:ind w:firstLineChars="200" w:firstLine="472"/>
        <w:rPr>
          <w:rFonts w:cs="Times New Roman"/>
          <w:lang w:val="en-GB"/>
        </w:rPr>
      </w:pPr>
      <w:r>
        <w:rPr>
          <w:rFonts w:eastAsia="Times New Roman" w:cs="Times New Roman"/>
          <w:color w:val="000000"/>
          <w:spacing w:val="-2"/>
        </w:rPr>
        <w:t xml:space="preserve">Data analysis is a logical and </w:t>
      </w:r>
      <w:r>
        <w:rPr>
          <w:rFonts w:eastAsia="Times New Roman" w:cs="Times New Roman"/>
          <w:color w:val="000000"/>
        </w:rPr>
        <w:t>systematic process of putting across information in a clear and simple manner</w:t>
      </w:r>
      <w:r>
        <w:rPr>
          <w:rFonts w:eastAsia="Times New Roman" w:cs="Times New Roman"/>
          <w:color w:val="000000"/>
          <w:lang w:val="en-ZW" w:eastAsia="en-ZW"/>
        </w:rPr>
        <w:t xml:space="preserve"> (Vogt, 2020)</w:t>
      </w:r>
      <w:r>
        <w:rPr>
          <w:rFonts w:eastAsia="Times New Roman" w:cs="Times New Roman"/>
          <w:color w:val="000000"/>
        </w:rPr>
        <w:t>. The researcher collected 15 online media reports from Herbert Smith Free hills report, provokemedia reports, New York Times report, amaBhungane reports and ethical codes of conduct of PRISA and PRCA</w:t>
      </w:r>
      <w:r>
        <w:rPr>
          <w:rFonts w:eastAsia="Times New Roman" w:cs="Times New Roman"/>
          <w:color w:val="000000"/>
          <w:spacing w:val="-2"/>
        </w:rPr>
        <w:t>. The</w:t>
      </w:r>
      <w:r>
        <w:rPr>
          <w:rFonts w:eastAsia="Times New Roman" w:cs="Times New Roman"/>
          <w:color w:val="000000"/>
        </w:rPr>
        <w:t xml:space="preserve">re researcher went through the collected online media reports, before initial coding was </w:t>
      </w:r>
      <w:r>
        <w:rPr>
          <w:rFonts w:eastAsia="Times New Roman" w:cs="Times New Roman"/>
          <w:color w:val="000000"/>
          <w:spacing w:val="-2"/>
        </w:rPr>
        <w:t>carried out base</w:t>
      </w:r>
      <w:r>
        <w:rPr>
          <w:rFonts w:eastAsia="Times New Roman" w:cs="Times New Roman"/>
          <w:color w:val="000000"/>
          <w:spacing w:val="-2"/>
          <w:lang w:val="en-GB"/>
        </w:rPr>
        <w:t>d</w:t>
      </w:r>
      <w:r>
        <w:rPr>
          <w:rFonts w:eastAsia="Times New Roman" w:cs="Times New Roman"/>
          <w:color w:val="000000"/>
          <w:spacing w:val="-2"/>
        </w:rPr>
        <w:t xml:space="preserve"> on the</w:t>
      </w:r>
      <w:r>
        <w:rPr>
          <w:rFonts w:eastAsia="Times New Roman" w:cs="Times New Roman"/>
          <w:color w:val="000000"/>
          <w:spacing w:val="-2"/>
          <w:lang w:val="en-GB"/>
        </w:rPr>
        <w:t xml:space="preserve"> </w:t>
      </w:r>
      <w:r>
        <w:rPr>
          <w:rFonts w:eastAsia="Times New Roman" w:cs="Times New Roman"/>
          <w:color w:val="000000"/>
          <w:spacing w:val="-2"/>
        </w:rPr>
        <w:t xml:space="preserve">research objectives for this study. Reading through the </w:t>
      </w:r>
      <w:r>
        <w:rPr>
          <w:rFonts w:eastAsia="Times New Roman" w:cs="Times New Roman"/>
          <w:color w:val="000000"/>
        </w:rPr>
        <w:t xml:space="preserve">online media reports times without number allows the researcher to </w:t>
      </w:r>
      <w:r>
        <w:rPr>
          <w:rFonts w:eastAsia="Times New Roman" w:cs="Times New Roman"/>
          <w:color w:val="000000"/>
          <w:lang w:val="en-GB"/>
        </w:rPr>
        <w:t>familiarise</w:t>
      </w:r>
      <w:r>
        <w:rPr>
          <w:rFonts w:eastAsia="Times New Roman" w:cs="Times New Roman"/>
          <w:color w:val="000000"/>
        </w:rPr>
        <w:t xml:space="preserve"> with the data in order to acquire the depth and breadth of the data. The primary codes were later categorised into potential themes</w:t>
      </w:r>
      <w:r>
        <w:rPr>
          <w:rFonts w:cs="Times New Roman"/>
        </w:rPr>
        <w:t xml:space="preserve"> with Ryan and Bernard</w:t>
      </w:r>
      <w:r>
        <w:rPr>
          <w:rFonts w:cs="Times New Roman"/>
          <w:lang w:val="en-GB"/>
        </w:rPr>
        <w:t>’s</w:t>
      </w:r>
      <w:r>
        <w:rPr>
          <w:rFonts w:cs="Times New Roman"/>
        </w:rPr>
        <w:t xml:space="preserve"> (2003) postulation that thematic analysis should involve coding of responses. A list of  codes were created based on the theoretical framework as enunciated by Weiner (2009) and Zullig et al, (2013).The researcher then organised codes under  thematic headings and identified key representative quotes as postulated by Zullig et al (2013). The key themes were identified from the online reports through extraction of relevant quotations and giving explanations as postulated by Mottram, (2009)</w:t>
      </w:r>
      <w:r>
        <w:rPr>
          <w:rFonts w:eastAsia="Times New Roman" w:cs="Times New Roman"/>
          <w:color w:val="000000"/>
        </w:rPr>
        <w:t>. The researcher reviewed the potential themes by assessing whether the themes were supported by enough data. In addition, the researcher gave the themes and codes appropriate working titles.</w:t>
      </w:r>
    </w:p>
    <w:p w14:paraId="6D012E1A" w14:textId="77777777" w:rsidR="00360E18" w:rsidRDefault="003E5F9B">
      <w:pPr>
        <w:pStyle w:val="Heading2"/>
        <w:rPr>
          <w:lang w:val="en-GB"/>
        </w:rPr>
      </w:pPr>
      <w:r>
        <w:rPr>
          <w:lang w:val="en-GB"/>
        </w:rPr>
        <w:t>3.7 Validity and Reliability</w:t>
      </w:r>
    </w:p>
    <w:p w14:paraId="61529833" w14:textId="77777777" w:rsidR="00360E18" w:rsidRDefault="003E5F9B">
      <w:pPr>
        <w:spacing w:line="360" w:lineRule="auto"/>
        <w:ind w:firstLineChars="200" w:firstLine="480"/>
        <w:rPr>
          <w:rFonts w:cs="Times New Roman"/>
          <w:lang w:val="en-GB"/>
        </w:rPr>
      </w:pPr>
      <w:r>
        <w:rPr>
          <w:rFonts w:cs="Times New Roman"/>
          <w:lang w:val="en-GB"/>
        </w:rPr>
        <w:t>To ensure that reliable and valid data had been collected, the research made sure that relevant guiding principles are in place. Validity is interested in determining the extent to which the research managed to get to its estimates and the accuracy of the research outcomes (Bryman and Bell 2015). Researchers could thus affect the validity of the research through ‘their opinions of efficacy and their ideas (Cresswell 2013). To make sure that the research conformed to validity standards, data was collected from media sources based on what had been placed in the public regarding the Bell Pottinger saga. In addition, the researcher made sure that there are no estimates and ideas of the researcher in front but mere analysis of the ethical codes of conduct and the actual conduct of the Bell Pottinger firm that the public read in various media stories.</w:t>
      </w:r>
    </w:p>
    <w:p w14:paraId="38A5C700" w14:textId="77777777" w:rsidR="00360E18" w:rsidRDefault="003E5F9B">
      <w:pPr>
        <w:spacing w:line="360" w:lineRule="auto"/>
        <w:ind w:firstLineChars="200" w:firstLine="480"/>
        <w:rPr>
          <w:rFonts w:cs="Times New Roman"/>
          <w:lang w:val="en-GB"/>
        </w:rPr>
      </w:pPr>
      <w:r>
        <w:rPr>
          <w:rFonts w:cs="Times New Roman"/>
          <w:lang w:val="en-GB"/>
        </w:rPr>
        <w:t xml:space="preserve">On the other hand, the research was also subjected to a stern reliability test. Reliability deals with the degree to which the measuring units are not prone to mistakes, which is often judged by ‘consistency and repeatability’ of the same result in the study (Bryman and Bell 2015). inter-coder reliability, conformability and dependability were thus critical component in scrutinising the research to a reliability test. </w:t>
      </w:r>
    </w:p>
    <w:p w14:paraId="4AD0291C" w14:textId="77777777" w:rsidR="00360E18" w:rsidRDefault="003E5F9B">
      <w:pPr>
        <w:pStyle w:val="Heading3"/>
        <w:rPr>
          <w:lang w:val="en-GB"/>
        </w:rPr>
      </w:pPr>
      <w:r>
        <w:rPr>
          <w:lang w:val="en-GB"/>
        </w:rPr>
        <w:t>3.7.1 Inter-coder reliability</w:t>
      </w:r>
    </w:p>
    <w:p w14:paraId="2EC5F668" w14:textId="77777777" w:rsidR="00360E18" w:rsidRDefault="003E5F9B">
      <w:pPr>
        <w:spacing w:line="360" w:lineRule="auto"/>
        <w:ind w:firstLineChars="200" w:firstLine="480"/>
        <w:rPr>
          <w:rFonts w:cs="Times New Roman"/>
          <w:lang w:val="en-GB"/>
        </w:rPr>
      </w:pPr>
      <w:r>
        <w:rPr>
          <w:rFonts w:cs="Times New Roman"/>
          <w:lang w:val="en-GB"/>
        </w:rPr>
        <w:t>Inter-coder reliability was employed in this study to test the reliability of the findings. Inter-coder reliability is understood as the ‘extent to which independent coders evaluate a characteristic of a message or artefact and reach the same conclusion,’ (Lombard, Snyder-Duch and Bracken 2004 p.2). In this content analysis, inter-coder reliability was important because it helps to ‘identify and record relatively objective or inter-subjective characteristic messages,’ (Ibid p.3). Kolbe and Burnett (1992) added that when there are disagreements between judges then the reseasrhc methods could have been weaker.</w:t>
      </w:r>
    </w:p>
    <w:p w14:paraId="7B8AC872" w14:textId="77777777" w:rsidR="00360E18" w:rsidRDefault="003E5F9B">
      <w:pPr>
        <w:pStyle w:val="Heading3"/>
        <w:rPr>
          <w:lang w:val="en-GB"/>
        </w:rPr>
      </w:pPr>
      <w:r>
        <w:rPr>
          <w:lang w:val="en-GB"/>
        </w:rPr>
        <w:t xml:space="preserve">3.7.2 Conformability </w:t>
      </w:r>
    </w:p>
    <w:p w14:paraId="1638C75C" w14:textId="77777777" w:rsidR="00360E18" w:rsidRDefault="003E5F9B">
      <w:pPr>
        <w:spacing w:line="360" w:lineRule="auto"/>
        <w:ind w:firstLineChars="200" w:firstLine="480"/>
        <w:rPr>
          <w:rFonts w:cs="Times New Roman"/>
          <w:lang w:val="en-GB"/>
        </w:rPr>
      </w:pPr>
      <w:r>
        <w:rPr>
          <w:rFonts w:cs="Times New Roman"/>
          <w:lang w:val="en-GB"/>
        </w:rPr>
        <w:t>Conformability is understood as the ability of the researcher to remain neutral and objective even if they may not agree with what they are researching on (Bryman and Bell 2015). This research therefore made sure that it is confined to what had been reported on, what PRCA and PRISA did in response to Bell Pottinger and the ensuing media reports. There was no need to take a subjective stance. It can therefore be argued that conformability was critical in promoting the reliability of the data collected.</w:t>
      </w:r>
    </w:p>
    <w:p w14:paraId="1B44D756" w14:textId="77777777" w:rsidR="00360E18" w:rsidRDefault="003E5F9B">
      <w:pPr>
        <w:pStyle w:val="Heading3"/>
        <w:rPr>
          <w:lang w:val="en-GB"/>
        </w:rPr>
      </w:pPr>
      <w:r>
        <w:rPr>
          <w:lang w:val="en-GB"/>
        </w:rPr>
        <w:t xml:space="preserve">3.7.3 Dependability </w:t>
      </w:r>
    </w:p>
    <w:p w14:paraId="3B05B996" w14:textId="77777777" w:rsidR="00360E18" w:rsidRDefault="003E5F9B">
      <w:pPr>
        <w:spacing w:line="360" w:lineRule="auto"/>
        <w:ind w:firstLineChars="200" w:firstLine="480"/>
        <w:rPr>
          <w:rFonts w:cs="Times New Roman"/>
          <w:lang w:val="en-GB"/>
        </w:rPr>
      </w:pPr>
      <w:r>
        <w:rPr>
          <w:rFonts w:cs="Times New Roman"/>
          <w:lang w:val="en-GB"/>
        </w:rPr>
        <w:t>Reliability of data was also achieved through confining the research to a dependability test. By dependability, Bryman and Bell (2015) believe that when other researchers manage to replicate the findings of the earlier research there is a high degree of dependability. In this research therefore, previous studies about Bell Pottinger and public relations were found to be in conformity with how this research found out in the media spectrum. Again, the Bell Pottinger is straightforward because there is evidence of violations from both PRCA and PRISA.</w:t>
      </w:r>
    </w:p>
    <w:p w14:paraId="65AD83EF" w14:textId="77777777" w:rsidR="00360E18" w:rsidRDefault="003E5F9B">
      <w:pPr>
        <w:pStyle w:val="Heading2"/>
        <w:rPr>
          <w:lang w:val="en-GB"/>
        </w:rPr>
      </w:pPr>
      <w:r>
        <w:rPr>
          <w:lang w:val="en-GB"/>
        </w:rPr>
        <w:t xml:space="preserve">3.8 Ethical Considerations </w:t>
      </w:r>
    </w:p>
    <w:p w14:paraId="4CAB5CDD" w14:textId="77777777" w:rsidR="00360E18" w:rsidRDefault="003E5F9B">
      <w:pPr>
        <w:spacing w:line="360" w:lineRule="auto"/>
        <w:ind w:firstLineChars="200" w:firstLine="480"/>
        <w:rPr>
          <w:rFonts w:cs="Times New Roman"/>
          <w:lang w:val="en-GB"/>
        </w:rPr>
      </w:pPr>
      <w:r>
        <w:rPr>
          <w:rFonts w:cs="Times New Roman"/>
          <w:lang w:val="en-GB"/>
        </w:rPr>
        <w:t>This research study was confined to strict adherence to research ethics. According to Morris (2015) ‘</w:t>
      </w:r>
      <w:r>
        <w:rPr>
          <w:rFonts w:cs="Times New Roman"/>
        </w:rPr>
        <w:t>research has to be conducted in adherence to ethics to promote the aims of research (knowledge, truth, avoidance of error) and the values that are essential to collaborative work (trust, accountability, mutual respect, fairness)</w:t>
      </w:r>
      <w:r>
        <w:rPr>
          <w:rFonts w:cs="Times New Roman"/>
          <w:lang w:val="en-GB"/>
        </w:rPr>
        <w:t>.’ In view of these provisions, the research made sure that all online sources engaged are credible, conducted ethically and they were duly acknowledged in the production of this project, particularly in the next chapter.</w:t>
      </w:r>
    </w:p>
    <w:p w14:paraId="6516597C" w14:textId="77777777" w:rsidR="00360E18" w:rsidRDefault="003E5F9B">
      <w:pPr>
        <w:pStyle w:val="Heading2"/>
        <w:rPr>
          <w:lang w:val="en-GB"/>
        </w:rPr>
      </w:pPr>
      <w:r>
        <w:rPr>
          <w:lang w:val="en-GB"/>
        </w:rPr>
        <w:t>3.9 Limitations</w:t>
      </w:r>
    </w:p>
    <w:p w14:paraId="2573C3AA" w14:textId="77777777" w:rsidR="00360E18" w:rsidRDefault="003E5F9B">
      <w:pPr>
        <w:spacing w:line="360" w:lineRule="auto"/>
        <w:ind w:firstLineChars="200" w:firstLine="480"/>
        <w:rPr>
          <w:rFonts w:cs="Times New Roman"/>
          <w:lang w:val="en-GB"/>
        </w:rPr>
      </w:pPr>
      <w:r>
        <w:rPr>
          <w:rFonts w:cs="Times New Roman"/>
          <w:lang w:val="en-GB"/>
        </w:rPr>
        <w:t>While the researcher mitigated the challenges affecting the production of the research, it cannot be discounted that the inability to conduct primary research sort of limited the full potential of the product. It was not possible to conduct primary research during a period which travel restrictions are in place on account of the surging coronavirus. However, to counter this challenge, the research made sure that the media sources engaged are credible, whose dependability could be tested by any future primary research project.</w:t>
      </w:r>
    </w:p>
    <w:p w14:paraId="65260D86" w14:textId="77777777" w:rsidR="00360E18" w:rsidRDefault="003E5F9B">
      <w:pPr>
        <w:pStyle w:val="Heading2"/>
        <w:rPr>
          <w:lang w:val="en-GB"/>
        </w:rPr>
      </w:pPr>
      <w:r>
        <w:rPr>
          <w:lang w:val="en-GB"/>
        </w:rPr>
        <w:t>3.10 Conclusion</w:t>
      </w:r>
    </w:p>
    <w:p w14:paraId="7FE1B36E" w14:textId="77777777" w:rsidR="00360E18" w:rsidRDefault="003E5F9B">
      <w:pPr>
        <w:spacing w:line="360" w:lineRule="auto"/>
        <w:ind w:firstLineChars="200" w:firstLine="480"/>
        <w:rPr>
          <w:rFonts w:cs="Times New Roman"/>
          <w:lang w:val="en-GB"/>
        </w:rPr>
      </w:pPr>
      <w:r>
        <w:rPr>
          <w:rFonts w:cs="Times New Roman"/>
          <w:lang w:val="en-GB"/>
        </w:rPr>
        <w:t>This chapter has analysed and justified the research methodology that was engaged in this study. The chapter highlighted that a qualitative research approach was employed with the use of media secondary sources serving as data collection tools. The next chapter presents and analyses the findings of the research in detail.</w:t>
      </w:r>
    </w:p>
    <w:p w14:paraId="10AD766E" w14:textId="77777777" w:rsidR="00360E18" w:rsidRDefault="003E5F9B">
      <w:pPr>
        <w:rPr>
          <w:rFonts w:cs="Times New Roman"/>
          <w:lang w:val="en-GB"/>
        </w:rPr>
      </w:pPr>
      <w:r>
        <w:rPr>
          <w:rFonts w:cs="Times New Roman"/>
          <w:lang w:val="en-GB"/>
        </w:rPr>
        <w:br w:type="page"/>
      </w:r>
    </w:p>
    <w:p w14:paraId="69A509FD" w14:textId="77777777" w:rsidR="00360E18" w:rsidRDefault="003E5F9B">
      <w:pPr>
        <w:pStyle w:val="Heading1"/>
        <w:numPr>
          <w:ilvl w:val="0"/>
          <w:numId w:val="13"/>
        </w:numPr>
        <w:rPr>
          <w:lang w:val="en-GB"/>
        </w:rPr>
      </w:pPr>
      <w:r>
        <w:rPr>
          <w:lang w:val="en-GB"/>
        </w:rPr>
        <w:t>CHAPTER FOUR: PRESENTATION OF RESEARCH FINDINGS AND ANALYSIS</w:t>
      </w:r>
    </w:p>
    <w:p w14:paraId="7B7D194E" w14:textId="77777777" w:rsidR="00360E18" w:rsidRDefault="003E5F9B">
      <w:pPr>
        <w:pStyle w:val="Heading2"/>
        <w:rPr>
          <w:lang w:val="en-GB"/>
        </w:rPr>
      </w:pPr>
      <w:r>
        <w:rPr>
          <w:lang w:val="en-GB"/>
        </w:rPr>
        <w:t xml:space="preserve">4.1 Introduction </w:t>
      </w:r>
    </w:p>
    <w:p w14:paraId="0940C2D8" w14:textId="77777777" w:rsidR="00360E18" w:rsidRDefault="003E5F9B">
      <w:pPr>
        <w:spacing w:line="360" w:lineRule="auto"/>
        <w:ind w:firstLineChars="200" w:firstLine="480"/>
        <w:rPr>
          <w:rFonts w:eastAsia="Times New Roman" w:cs="Times New Roman"/>
          <w:color w:val="000000"/>
        </w:rPr>
      </w:pPr>
      <w:r>
        <w:rPr>
          <w:rFonts w:cs="Times New Roman"/>
          <w:lang w:val="en-GB"/>
        </w:rPr>
        <w:t>This chapter presents and analyses the findings of the research. As highlighted in the previous chapter, the findings presented hereunder are based on the various media sources about the Bell Pottinger saga in South Africa. Principally, 15 online media sources had been consulted from Herbet Smith Free Hills report, provokemedia reports, New York Times Report, AmaBhungane reports, PRISA and PRCA codes of conduct among others. The following data had been grouped into codes to evaluate the extent of breach with regards to Bell Pottinger’s conduct.</w:t>
      </w:r>
      <w:r>
        <w:rPr>
          <w:rFonts w:eastAsia="Times New Roman" w:cs="Times New Roman"/>
          <w:color w:val="000000"/>
          <w:spacing w:val="-2"/>
        </w:rPr>
        <w:t xml:space="preserve"> </w:t>
      </w:r>
    </w:p>
    <w:p w14:paraId="147F958A" w14:textId="77777777" w:rsidR="00360E18" w:rsidRDefault="003E5F9B">
      <w:pPr>
        <w:pStyle w:val="Heading2"/>
        <w:rPr>
          <w:rFonts w:eastAsia="Times New Roman" w:cs="Times New Roman"/>
          <w:color w:val="000000"/>
          <w:spacing w:val="-5"/>
          <w:szCs w:val="28"/>
          <w:lang w:val="en-GB"/>
        </w:rPr>
      </w:pPr>
      <w:r>
        <w:rPr>
          <w:rFonts w:eastAsia="Times New Roman" w:cs="Times New Roman"/>
          <w:color w:val="000000"/>
          <w:spacing w:val="-5"/>
          <w:szCs w:val="28"/>
        </w:rPr>
        <w:t>4.</w:t>
      </w:r>
      <w:r>
        <w:rPr>
          <w:rFonts w:eastAsia="Times New Roman" w:cs="Times New Roman"/>
          <w:color w:val="000000"/>
          <w:spacing w:val="-5"/>
          <w:szCs w:val="28"/>
          <w:lang w:val="en-GB"/>
        </w:rPr>
        <w:t>2</w:t>
      </w:r>
      <w:r>
        <w:rPr>
          <w:rFonts w:eastAsia="Times New Roman" w:cs="Times New Roman"/>
          <w:color w:val="000000"/>
          <w:spacing w:val="-5"/>
          <w:szCs w:val="28"/>
        </w:rPr>
        <w:t xml:space="preserve"> P</w:t>
      </w:r>
      <w:r>
        <w:rPr>
          <w:rFonts w:eastAsia="Times New Roman" w:cs="Times New Roman"/>
          <w:color w:val="000000"/>
          <w:spacing w:val="-5"/>
          <w:szCs w:val="28"/>
          <w:lang w:val="en-GB"/>
        </w:rPr>
        <w:t xml:space="preserve">resentation of Findings </w:t>
      </w:r>
    </w:p>
    <w:p w14:paraId="7D988407" w14:textId="77777777" w:rsidR="00360E18" w:rsidRDefault="003E5F9B">
      <w:pPr>
        <w:spacing w:line="360" w:lineRule="auto"/>
        <w:ind w:firstLineChars="200" w:firstLine="480"/>
        <w:rPr>
          <w:rFonts w:eastAsia="Times New Roman" w:cs="Times New Roman"/>
          <w:color w:val="000000"/>
          <w:spacing w:val="-2"/>
        </w:rPr>
      </w:pPr>
      <w:r>
        <w:rPr>
          <w:rFonts w:eastAsia="Times New Roman" w:cs="Times New Roman"/>
          <w:color w:val="000000"/>
        </w:rPr>
        <w:t xml:space="preserve">The followings are the presentation of findings of the online media reports on the Bell Pottinger emancipation campaign scandal and </w:t>
      </w:r>
      <w:r>
        <w:rPr>
          <w:rFonts w:eastAsia="Times New Roman" w:cs="Times New Roman"/>
          <w:color w:val="000000"/>
          <w:spacing w:val="-2"/>
        </w:rPr>
        <w:t xml:space="preserve">ethical code of conducts of PRISA and PRCA analysed in categories and related codes. </w:t>
      </w:r>
      <w:r>
        <w:rPr>
          <w:rFonts w:eastAsia="Times New Roman" w:cs="Times New Roman"/>
          <w:color w:val="000000"/>
        </w:rPr>
        <w:t>Bell Pottinger’s PR activities online media reports were analysed to probe public relations activities on the economic emancipation campaign. This was based on its breach of the codes of conduct in communication and public influence which prompted inquiry from Professional committees. Public relations activities include image managing, media relations, issues and crisis management, production of publications and documentaries, managing corporate responsibility plan of programs and event management</w:t>
      </w:r>
      <w:r>
        <w:rPr>
          <w:rFonts w:cs="Times New Roman"/>
        </w:rPr>
        <w:t xml:space="preserve"> (Edwards, 2012).</w:t>
      </w:r>
      <w:r>
        <w:rPr>
          <w:rFonts w:eastAsia="Times New Roman" w:cs="Times New Roman"/>
          <w:color w:val="000000"/>
        </w:rPr>
        <w:t xml:space="preserve"> An analysis will be provided on from different online media reports.</w:t>
      </w:r>
    </w:p>
    <w:p w14:paraId="5F0E09E3" w14:textId="77777777" w:rsidR="00360E18" w:rsidRDefault="003E5F9B">
      <w:pPr>
        <w:shd w:val="clear" w:color="auto" w:fill="FFFFFF"/>
        <w:spacing w:line="360" w:lineRule="auto"/>
        <w:textAlignment w:val="baseline"/>
        <w:rPr>
          <w:rFonts w:cs="Times New Roman"/>
          <w:b/>
        </w:rPr>
      </w:pPr>
      <w:r>
        <w:rPr>
          <w:rFonts w:cs="Times New Roman"/>
          <w:b/>
        </w:rPr>
        <w:t>Category 1: Bell Pottinger’s Practices</w:t>
      </w:r>
    </w:p>
    <w:p w14:paraId="389E215B" w14:textId="77777777" w:rsidR="00360E18" w:rsidRDefault="003E5F9B">
      <w:pPr>
        <w:shd w:val="clear" w:color="auto" w:fill="FFFFFF"/>
        <w:spacing w:line="360" w:lineRule="auto"/>
        <w:ind w:firstLineChars="200" w:firstLine="480"/>
        <w:textAlignment w:val="baseline"/>
        <w:rPr>
          <w:rFonts w:cs="Times New Roman"/>
        </w:rPr>
      </w:pPr>
      <w:r>
        <w:rPr>
          <w:rFonts w:cs="Times New Roman"/>
        </w:rPr>
        <w:t xml:space="preserve">This category is labelled Bell Pottinger Practices due to the fact that it contains information on the activities that were being conducted by Bell Pottinger which raised all the questions. These include social media communications and also the account team activities on social media leading to racial outrage propelling to the subsequent investigation. According to Sudhaman’s report on 4 September 2017 during the economic emancipation campaign the Bell Pottinger </w:t>
      </w:r>
      <w:r>
        <w:rPr>
          <w:rFonts w:eastAsia="Times New Roman" w:cs="Times New Roman"/>
          <w:color w:val="222222"/>
        </w:rPr>
        <w:t>invented the phrase 'white monopoly capital' and deployed armies of Twitterbots to spread fake news.</w:t>
      </w:r>
    </w:p>
    <w:p w14:paraId="25727C5F" w14:textId="77777777" w:rsidR="00360E18" w:rsidRDefault="003E5F9B">
      <w:pPr>
        <w:shd w:val="clear" w:color="auto" w:fill="FFFFFF"/>
        <w:spacing w:line="360" w:lineRule="auto"/>
        <w:textAlignment w:val="baseline"/>
        <w:rPr>
          <w:rFonts w:cs="Times New Roman"/>
          <w:b/>
        </w:rPr>
      </w:pPr>
      <w:r>
        <w:rPr>
          <w:rFonts w:cs="Times New Roman"/>
          <w:b/>
        </w:rPr>
        <w:t>Table 4.</w:t>
      </w:r>
      <w:r>
        <w:rPr>
          <w:rFonts w:cs="Times New Roman"/>
          <w:b/>
          <w:lang w:val="en-GB"/>
        </w:rPr>
        <w:t>2</w:t>
      </w:r>
      <w:r>
        <w:rPr>
          <w:rFonts w:cs="Times New Roman"/>
          <w:b/>
        </w:rPr>
        <w:t>.1: Codes evident in category 1: Bell Pottinger’s Practices</w:t>
      </w:r>
    </w:p>
    <w:tbl>
      <w:tblPr>
        <w:tblStyle w:val="TableGrid"/>
        <w:tblW w:w="0" w:type="auto"/>
        <w:tblInd w:w="-1360" w:type="dxa"/>
        <w:tblLayout w:type="fixed"/>
        <w:tblLook w:val="04A0" w:firstRow="1" w:lastRow="0" w:firstColumn="1" w:lastColumn="0" w:noHBand="0" w:noVBand="1"/>
      </w:tblPr>
      <w:tblGrid>
        <w:gridCol w:w="1185"/>
        <w:gridCol w:w="2535"/>
        <w:gridCol w:w="5922"/>
        <w:gridCol w:w="240"/>
      </w:tblGrid>
      <w:tr w:rsidR="00360E18" w14:paraId="2F5E56D9" w14:textId="77777777">
        <w:trPr>
          <w:trHeight w:val="512"/>
        </w:trPr>
        <w:tc>
          <w:tcPr>
            <w:tcW w:w="1185" w:type="dxa"/>
            <w:tcBorders>
              <w:top w:val="single" w:sz="8" w:space="0" w:color="9BBB59"/>
              <w:left w:val="single" w:sz="8" w:space="0" w:color="9BBB59"/>
              <w:bottom w:val="single" w:sz="18" w:space="0" w:color="FFFFFF"/>
              <w:right w:val="single" w:sz="8" w:space="0" w:color="9BBB59"/>
            </w:tcBorders>
            <w:shd w:val="clear" w:color="auto" w:fill="9BBB59"/>
          </w:tcPr>
          <w:p w14:paraId="341A19F6" w14:textId="77777777" w:rsidR="00360E18" w:rsidRDefault="003E5F9B">
            <w:pPr>
              <w:spacing w:line="360" w:lineRule="auto"/>
              <w:textAlignment w:val="baseline"/>
              <w:rPr>
                <w:rFonts w:cs="Times New Roman"/>
                <w:b/>
                <w:color w:val="FFFFFF"/>
              </w:rPr>
            </w:pPr>
            <w:r>
              <w:rPr>
                <w:rFonts w:cs="Times New Roman"/>
                <w:b/>
                <w:color w:val="FFFFFF"/>
              </w:rPr>
              <w:t>Codes</w:t>
            </w:r>
          </w:p>
        </w:tc>
        <w:tc>
          <w:tcPr>
            <w:tcW w:w="2535" w:type="dxa"/>
            <w:tcBorders>
              <w:top w:val="single" w:sz="8" w:space="0" w:color="9BBB59"/>
              <w:left w:val="single" w:sz="8" w:space="0" w:color="9BBB59"/>
              <w:bottom w:val="single" w:sz="18" w:space="0" w:color="FFFFFF"/>
              <w:right w:val="single" w:sz="8" w:space="0" w:color="9BBB59"/>
            </w:tcBorders>
            <w:shd w:val="clear" w:color="auto" w:fill="9BBB59"/>
          </w:tcPr>
          <w:p w14:paraId="6862B6D9" w14:textId="77777777" w:rsidR="00360E18" w:rsidRDefault="003E5F9B">
            <w:pPr>
              <w:spacing w:line="360" w:lineRule="auto"/>
              <w:textAlignment w:val="baseline"/>
              <w:rPr>
                <w:rFonts w:cs="Times New Roman"/>
                <w:b/>
                <w:color w:val="FFFFFF"/>
              </w:rPr>
            </w:pPr>
            <w:r>
              <w:rPr>
                <w:rFonts w:cs="Times New Roman"/>
                <w:b/>
                <w:color w:val="FFFFFF"/>
              </w:rPr>
              <w:t>Meaning</w:t>
            </w:r>
          </w:p>
        </w:tc>
        <w:tc>
          <w:tcPr>
            <w:tcW w:w="5922" w:type="dxa"/>
            <w:tcBorders>
              <w:top w:val="single" w:sz="8" w:space="0" w:color="9BBB59"/>
              <w:left w:val="single" w:sz="8" w:space="0" w:color="9BBB59"/>
              <w:bottom w:val="single" w:sz="18" w:space="0" w:color="FFFFFF"/>
              <w:right w:val="single" w:sz="8" w:space="0" w:color="9BBB59"/>
            </w:tcBorders>
            <w:shd w:val="clear" w:color="auto" w:fill="9BBB59"/>
          </w:tcPr>
          <w:p w14:paraId="2E0DA3C9" w14:textId="77777777" w:rsidR="00360E18" w:rsidRDefault="003E5F9B">
            <w:pPr>
              <w:spacing w:line="360" w:lineRule="auto"/>
              <w:textAlignment w:val="baseline"/>
              <w:rPr>
                <w:rFonts w:cs="Times New Roman"/>
                <w:b/>
                <w:color w:val="FFFFFF"/>
              </w:rPr>
            </w:pPr>
            <w:r>
              <w:rPr>
                <w:rFonts w:cs="Times New Roman"/>
                <w:b/>
                <w:color w:val="FFFFFF"/>
              </w:rPr>
              <w:t>Examples from Text</w:t>
            </w:r>
          </w:p>
        </w:tc>
        <w:tc>
          <w:tcPr>
            <w:tcW w:w="240" w:type="dxa"/>
            <w:vMerge w:val="restart"/>
            <w:tcBorders>
              <w:top w:val="single" w:sz="8" w:space="0" w:color="9BBB59"/>
              <w:left w:val="single" w:sz="8" w:space="0" w:color="9BBB59"/>
              <w:bottom w:val="single" w:sz="18" w:space="0" w:color="FFFFFF"/>
              <w:right w:val="single" w:sz="8" w:space="0" w:color="9BBB59"/>
            </w:tcBorders>
            <w:shd w:val="clear" w:color="auto" w:fill="9BBB59"/>
          </w:tcPr>
          <w:p w14:paraId="5C5120A6" w14:textId="77777777" w:rsidR="00360E18" w:rsidRDefault="00360E18">
            <w:pPr>
              <w:spacing w:line="360" w:lineRule="auto"/>
              <w:textAlignment w:val="baseline"/>
              <w:rPr>
                <w:rFonts w:cs="Times New Roman"/>
                <w:b/>
                <w:color w:val="FFFFFF"/>
              </w:rPr>
            </w:pPr>
          </w:p>
        </w:tc>
      </w:tr>
      <w:tr w:rsidR="00360E18" w14:paraId="6D335365" w14:textId="77777777">
        <w:trPr>
          <w:trHeight w:val="223"/>
        </w:trPr>
        <w:tc>
          <w:tcPr>
            <w:tcW w:w="1185" w:type="dxa"/>
            <w:tcBorders>
              <w:top w:val="single" w:sz="18" w:space="0" w:color="FFFFFF"/>
              <w:left w:val="single" w:sz="8" w:space="0" w:color="9BBB59"/>
              <w:bottom w:val="single" w:sz="8" w:space="0" w:color="9BBB59"/>
              <w:right w:val="single" w:sz="8" w:space="0" w:color="9BBB59"/>
            </w:tcBorders>
            <w:shd w:val="clear" w:color="auto" w:fill="FFFFFF"/>
          </w:tcPr>
          <w:p w14:paraId="513694CE" w14:textId="77777777" w:rsidR="00360E18" w:rsidRDefault="003E5F9B">
            <w:pPr>
              <w:spacing w:line="360" w:lineRule="auto"/>
              <w:textAlignment w:val="baseline"/>
              <w:rPr>
                <w:rFonts w:cs="Times New Roman"/>
                <w:color w:val="000000"/>
              </w:rPr>
            </w:pPr>
            <w:r>
              <w:rPr>
                <w:rFonts w:cs="Times New Roman"/>
                <w:color w:val="000000"/>
              </w:rPr>
              <w:t>Divisive</w:t>
            </w:r>
          </w:p>
        </w:tc>
        <w:tc>
          <w:tcPr>
            <w:tcW w:w="2535" w:type="dxa"/>
            <w:tcBorders>
              <w:top w:val="single" w:sz="18" w:space="0" w:color="FFFFFF"/>
              <w:left w:val="single" w:sz="8" w:space="0" w:color="9BBB59"/>
              <w:bottom w:val="single" w:sz="8" w:space="0" w:color="9BBB59"/>
              <w:right w:val="single" w:sz="8" w:space="0" w:color="9BBB59"/>
            </w:tcBorders>
            <w:shd w:val="clear" w:color="auto" w:fill="FFFFFF"/>
          </w:tcPr>
          <w:p w14:paraId="35F771BD" w14:textId="77777777" w:rsidR="00360E18" w:rsidRDefault="003E5F9B">
            <w:pPr>
              <w:spacing w:line="360" w:lineRule="auto"/>
              <w:textAlignment w:val="baseline"/>
              <w:rPr>
                <w:rFonts w:cs="Times New Roman"/>
                <w:color w:val="000000"/>
              </w:rPr>
            </w:pPr>
            <w:r>
              <w:rPr>
                <w:rFonts w:cs="Times New Roman"/>
                <w:color w:val="000000"/>
              </w:rPr>
              <w:t>Creation of a platform for antagonistic forces within a s</w:t>
            </w:r>
            <w:r>
              <w:rPr>
                <w:rFonts w:cs="Times New Roman"/>
                <w:color w:val="000000"/>
                <w:lang w:val="en-GB"/>
              </w:rPr>
              <w:t>y</w:t>
            </w:r>
            <w:r>
              <w:rPr>
                <w:rFonts w:cs="Times New Roman"/>
                <w:color w:val="000000"/>
              </w:rPr>
              <w:t>stem</w:t>
            </w:r>
          </w:p>
        </w:tc>
        <w:tc>
          <w:tcPr>
            <w:tcW w:w="5922" w:type="dxa"/>
            <w:tcBorders>
              <w:top w:val="single" w:sz="18" w:space="0" w:color="FFFFFF"/>
              <w:left w:val="single" w:sz="8" w:space="0" w:color="9BBB59"/>
              <w:bottom w:val="single" w:sz="8" w:space="0" w:color="9BBB59"/>
              <w:right w:val="single" w:sz="8" w:space="0" w:color="9BBB59"/>
            </w:tcBorders>
            <w:shd w:val="clear" w:color="auto" w:fill="FFFFFF"/>
          </w:tcPr>
          <w:p w14:paraId="70D31D66" w14:textId="77777777" w:rsidR="00360E18" w:rsidRDefault="003E5F9B">
            <w:pPr>
              <w:spacing w:line="360" w:lineRule="auto"/>
              <w:textAlignment w:val="baseline"/>
              <w:rPr>
                <w:rFonts w:cs="Times New Roman"/>
                <w:color w:val="000000"/>
              </w:rPr>
            </w:pPr>
            <w:r>
              <w:rPr>
                <w:rFonts w:eastAsia="Times New Roman" w:cs="Times New Roman"/>
                <w:color w:val="000000"/>
              </w:rPr>
              <w:t>“Invented the phrase 'white monopoly capital”</w:t>
            </w:r>
            <w:r>
              <w:rPr>
                <w:rFonts w:cs="Times New Roman"/>
                <w:color w:val="000000"/>
              </w:rPr>
              <w:t xml:space="preserve"> PRCA, </w:t>
            </w:r>
          </w:p>
          <w:p w14:paraId="6E1BC5AB" w14:textId="77777777" w:rsidR="00360E18" w:rsidRDefault="003E5F9B">
            <w:pPr>
              <w:spacing w:line="360" w:lineRule="auto"/>
              <w:textAlignment w:val="baseline"/>
              <w:rPr>
                <w:rFonts w:eastAsia="Times New Roman" w:cs="Times New Roman"/>
                <w:color w:val="000000"/>
                <w:lang w:val="en-GB"/>
              </w:rPr>
            </w:pPr>
            <w:r>
              <w:rPr>
                <w:rFonts w:cs="Times New Roman"/>
                <w:color w:val="000000"/>
              </w:rPr>
              <w:t>“deployed armies of Twitterbots to spread fake news” (Hebert Smith Freehills, September 2017)</w:t>
            </w:r>
            <w:r>
              <w:rPr>
                <w:rFonts w:cs="Times New Roman"/>
                <w:color w:val="000000"/>
                <w:lang w:val="en-GB"/>
              </w:rPr>
              <w:t>.</w:t>
            </w:r>
          </w:p>
          <w:p w14:paraId="3A7B1573" w14:textId="77777777" w:rsidR="00360E18" w:rsidRDefault="003E5F9B">
            <w:pPr>
              <w:spacing w:line="360" w:lineRule="auto"/>
              <w:textAlignment w:val="baseline"/>
              <w:rPr>
                <w:rFonts w:eastAsia="Times New Roman" w:cs="Times New Roman"/>
                <w:color w:val="000000"/>
              </w:rPr>
            </w:pPr>
            <w:r>
              <w:rPr>
                <w:rFonts w:eastAsia="Times New Roman" w:cs="Times New Roman"/>
                <w:color w:val="000000"/>
              </w:rPr>
              <w:t>“that was negative or targeted towards wealthy white South African individuals or corporates and/or was potentially racially divisive and/or potentially offensive” (Provokemedia, in its report Bell Pottinger in ‘Breach of Relevent ethical Principles” of  4 September 2017)</w:t>
            </w:r>
          </w:p>
          <w:p w14:paraId="1EF2BF03" w14:textId="77777777" w:rsidR="00360E18" w:rsidRDefault="003E5F9B">
            <w:pPr>
              <w:spacing w:line="360" w:lineRule="auto"/>
              <w:textAlignment w:val="baseline"/>
              <w:rPr>
                <w:rFonts w:eastAsia="Times New Roman" w:cs="Times New Roman"/>
                <w:color w:val="000000"/>
              </w:rPr>
            </w:pPr>
            <w:r>
              <w:rPr>
                <w:rFonts w:cs="Times New Roman"/>
                <w:color w:val="000000"/>
              </w:rPr>
              <w:t>“Oakbay (a Gupta owned company) approached Bell-Pottinger to stage an economic emancipation campaign involving one blog and one twitter account. Some of the material used were targeted towards wealthy white South African individuals and was potentially racially divisive.” (Webb, W; 2018)</w:t>
            </w:r>
          </w:p>
          <w:p w14:paraId="61968E96" w14:textId="77777777" w:rsidR="00360E18" w:rsidRDefault="00360E18">
            <w:pPr>
              <w:spacing w:line="360" w:lineRule="auto"/>
              <w:textAlignment w:val="baseline"/>
              <w:rPr>
                <w:rFonts w:cs="Times New Roman"/>
                <w:color w:val="000000"/>
              </w:rPr>
            </w:pPr>
          </w:p>
        </w:tc>
        <w:tc>
          <w:tcPr>
            <w:tcW w:w="240" w:type="dxa"/>
            <w:vMerge/>
            <w:tcBorders>
              <w:top w:val="single" w:sz="18" w:space="0" w:color="FFFFFF"/>
              <w:left w:val="single" w:sz="8" w:space="0" w:color="9BBB59"/>
              <w:bottom w:val="single" w:sz="8" w:space="0" w:color="9BBB59"/>
              <w:right w:val="single" w:sz="8" w:space="0" w:color="9BBB59"/>
            </w:tcBorders>
            <w:shd w:val="clear" w:color="auto" w:fill="FFFFFF"/>
          </w:tcPr>
          <w:p w14:paraId="67E8E8AE" w14:textId="77777777" w:rsidR="00360E18" w:rsidRDefault="00360E18">
            <w:pPr>
              <w:spacing w:line="360" w:lineRule="auto"/>
              <w:textAlignment w:val="baseline"/>
              <w:rPr>
                <w:rFonts w:cs="Times New Roman"/>
                <w:color w:val="000000"/>
              </w:rPr>
            </w:pPr>
          </w:p>
        </w:tc>
      </w:tr>
      <w:tr w:rsidR="00360E18" w14:paraId="79A3C759" w14:textId="77777777">
        <w:trPr>
          <w:trHeight w:val="313"/>
        </w:trPr>
        <w:tc>
          <w:tcPr>
            <w:tcW w:w="1185" w:type="dxa"/>
            <w:tcBorders>
              <w:top w:val="single" w:sz="8" w:space="0" w:color="9BBB59"/>
              <w:left w:val="single" w:sz="8" w:space="0" w:color="9BBB59"/>
              <w:bottom w:val="single" w:sz="8" w:space="0" w:color="9BBB59"/>
              <w:right w:val="single" w:sz="8" w:space="0" w:color="9BBB59"/>
            </w:tcBorders>
            <w:shd w:val="clear" w:color="auto" w:fill="FFFFFF"/>
          </w:tcPr>
          <w:p w14:paraId="65133104" w14:textId="77777777" w:rsidR="00360E18" w:rsidRDefault="003E5F9B">
            <w:pPr>
              <w:spacing w:line="360" w:lineRule="auto"/>
              <w:textAlignment w:val="baseline"/>
              <w:rPr>
                <w:rFonts w:cs="Times New Roman"/>
                <w:color w:val="000000"/>
              </w:rPr>
            </w:pPr>
            <w:r>
              <w:rPr>
                <w:rFonts w:cs="Times New Roman"/>
                <w:color w:val="000000"/>
              </w:rPr>
              <w:t>Manipulating</w:t>
            </w:r>
          </w:p>
        </w:tc>
        <w:tc>
          <w:tcPr>
            <w:tcW w:w="2535" w:type="dxa"/>
            <w:tcBorders>
              <w:top w:val="single" w:sz="8" w:space="0" w:color="9BBB59"/>
              <w:left w:val="single" w:sz="8" w:space="0" w:color="9BBB59"/>
              <w:bottom w:val="single" w:sz="8" w:space="0" w:color="9BBB59"/>
              <w:right w:val="single" w:sz="8" w:space="0" w:color="9BBB59"/>
            </w:tcBorders>
            <w:shd w:val="clear" w:color="auto" w:fill="FFFFFF"/>
          </w:tcPr>
          <w:p w14:paraId="2C4C52E0" w14:textId="77777777" w:rsidR="00360E18" w:rsidRDefault="003E5F9B">
            <w:pPr>
              <w:spacing w:line="360" w:lineRule="auto"/>
              <w:textAlignment w:val="baseline"/>
              <w:rPr>
                <w:rFonts w:cs="Times New Roman"/>
                <w:color w:val="000000"/>
              </w:rPr>
            </w:pPr>
            <w:r>
              <w:rPr>
                <w:rFonts w:cs="Times New Roman"/>
                <w:color w:val="000000"/>
              </w:rPr>
              <w:t>Utilising social media platform negatively for own benefit</w:t>
            </w:r>
          </w:p>
        </w:tc>
        <w:tc>
          <w:tcPr>
            <w:tcW w:w="5922" w:type="dxa"/>
            <w:tcBorders>
              <w:top w:val="single" w:sz="8" w:space="0" w:color="9BBB59"/>
              <w:left w:val="single" w:sz="8" w:space="0" w:color="9BBB59"/>
              <w:bottom w:val="single" w:sz="8" w:space="0" w:color="9BBB59"/>
              <w:right w:val="single" w:sz="8" w:space="0" w:color="9BBB59"/>
            </w:tcBorders>
            <w:shd w:val="clear" w:color="auto" w:fill="FFFFFF"/>
          </w:tcPr>
          <w:p w14:paraId="07142ED9" w14:textId="77777777" w:rsidR="00360E18" w:rsidRDefault="003E5F9B">
            <w:pPr>
              <w:spacing w:line="360" w:lineRule="auto"/>
              <w:textAlignment w:val="baseline"/>
              <w:rPr>
                <w:rFonts w:cs="Times New Roman"/>
                <w:color w:val="000000"/>
              </w:rPr>
            </w:pPr>
            <w:r>
              <w:rPr>
                <w:rFonts w:eastAsia="Times New Roman" w:cs="Times New Roman"/>
                <w:color w:val="000000"/>
              </w:rPr>
              <w:t>“It was caught boasting about its skills in the dark arts of search engine manipulation to people it thought were potential clients” (New York Times report on Analysis: How Bell Pottinger its end in South Africa</w:t>
            </w:r>
            <w:r>
              <w:rPr>
                <w:rFonts w:eastAsia="Times New Roman" w:cs="Times New Roman"/>
                <w:color w:val="000000"/>
                <w:lang w:val="en-GB"/>
              </w:rPr>
              <w:t xml:space="preserve">, </w:t>
            </w:r>
            <w:r>
              <w:rPr>
                <w:rFonts w:eastAsia="Times New Roman" w:cs="Times New Roman"/>
                <w:color w:val="000000"/>
              </w:rPr>
              <w:t xml:space="preserve">September 2017) </w:t>
            </w:r>
          </w:p>
        </w:tc>
        <w:tc>
          <w:tcPr>
            <w:tcW w:w="240" w:type="dxa"/>
            <w:vMerge/>
            <w:tcBorders>
              <w:top w:val="single" w:sz="8" w:space="0" w:color="9BBB59"/>
              <w:left w:val="single" w:sz="8" w:space="0" w:color="9BBB59"/>
              <w:bottom w:val="single" w:sz="8" w:space="0" w:color="9BBB59"/>
              <w:right w:val="single" w:sz="8" w:space="0" w:color="9BBB59"/>
            </w:tcBorders>
            <w:shd w:val="clear" w:color="auto" w:fill="FFFFFF"/>
          </w:tcPr>
          <w:p w14:paraId="2C55FBA6" w14:textId="77777777" w:rsidR="00360E18" w:rsidRDefault="00360E18">
            <w:pPr>
              <w:spacing w:line="360" w:lineRule="auto"/>
              <w:textAlignment w:val="baseline"/>
              <w:rPr>
                <w:rFonts w:cs="Times New Roman"/>
                <w:color w:val="000000"/>
              </w:rPr>
            </w:pPr>
          </w:p>
        </w:tc>
      </w:tr>
      <w:tr w:rsidR="00360E18" w14:paraId="2C9C69A8" w14:textId="77777777">
        <w:trPr>
          <w:trHeight w:val="208"/>
        </w:trPr>
        <w:tc>
          <w:tcPr>
            <w:tcW w:w="1185" w:type="dxa"/>
            <w:tcBorders>
              <w:top w:val="single" w:sz="8" w:space="0" w:color="9BBB59"/>
              <w:left w:val="single" w:sz="8" w:space="0" w:color="9BBB59"/>
              <w:bottom w:val="single" w:sz="8" w:space="0" w:color="9BBB59"/>
              <w:right w:val="single" w:sz="8" w:space="0" w:color="9BBB59"/>
            </w:tcBorders>
            <w:shd w:val="clear" w:color="auto" w:fill="FFFFFF"/>
          </w:tcPr>
          <w:p w14:paraId="1B239C71" w14:textId="77777777" w:rsidR="00360E18" w:rsidRDefault="003E5F9B">
            <w:pPr>
              <w:spacing w:line="360" w:lineRule="auto"/>
              <w:textAlignment w:val="baseline"/>
              <w:rPr>
                <w:rFonts w:cs="Times New Roman"/>
                <w:color w:val="000000"/>
              </w:rPr>
            </w:pPr>
            <w:r>
              <w:rPr>
                <w:rFonts w:cs="Times New Roman"/>
                <w:color w:val="000000"/>
              </w:rPr>
              <w:t>Dishonesty</w:t>
            </w:r>
          </w:p>
        </w:tc>
        <w:tc>
          <w:tcPr>
            <w:tcW w:w="2535" w:type="dxa"/>
            <w:tcBorders>
              <w:top w:val="single" w:sz="8" w:space="0" w:color="9BBB59"/>
              <w:left w:val="single" w:sz="8" w:space="0" w:color="9BBB59"/>
              <w:bottom w:val="single" w:sz="8" w:space="0" w:color="9BBB59"/>
              <w:right w:val="single" w:sz="8" w:space="0" w:color="9BBB59"/>
            </w:tcBorders>
            <w:shd w:val="clear" w:color="auto" w:fill="FFFFFF"/>
          </w:tcPr>
          <w:p w14:paraId="40355F50" w14:textId="77777777" w:rsidR="00360E18" w:rsidRDefault="003E5F9B">
            <w:pPr>
              <w:spacing w:line="360" w:lineRule="auto"/>
              <w:textAlignment w:val="baseline"/>
              <w:rPr>
                <w:rFonts w:cs="Times New Roman"/>
                <w:color w:val="000000"/>
              </w:rPr>
            </w:pPr>
            <w:r>
              <w:rPr>
                <w:rFonts w:cs="Times New Roman"/>
                <w:color w:val="000000"/>
              </w:rPr>
              <w:t>Providing incorrect or untruthful information</w:t>
            </w:r>
          </w:p>
        </w:tc>
        <w:tc>
          <w:tcPr>
            <w:tcW w:w="5922" w:type="dxa"/>
            <w:tcBorders>
              <w:top w:val="single" w:sz="8" w:space="0" w:color="9BBB59"/>
              <w:left w:val="single" w:sz="8" w:space="0" w:color="9BBB59"/>
              <w:bottom w:val="single" w:sz="8" w:space="0" w:color="9BBB59"/>
              <w:right w:val="single" w:sz="8" w:space="0" w:color="9BBB59"/>
            </w:tcBorders>
            <w:shd w:val="clear" w:color="auto" w:fill="FFFFFF"/>
          </w:tcPr>
          <w:p w14:paraId="5A9645BF" w14:textId="77777777" w:rsidR="00360E18" w:rsidRDefault="003E5F9B">
            <w:pPr>
              <w:spacing w:line="360" w:lineRule="auto"/>
              <w:textAlignment w:val="baseline"/>
              <w:rPr>
                <w:rFonts w:cs="Times New Roman"/>
                <w:color w:val="000000"/>
              </w:rPr>
            </w:pPr>
            <w:r>
              <w:rPr>
                <w:rFonts w:cs="Times New Roman"/>
                <w:color w:val="000000"/>
              </w:rPr>
              <w:t>“The London based marketing firm Bell-Pottinger was instrumental in disseminating fake news to divert the national attention away from wide spread corruption involving the former South African state president and his family” (Webb, W; 2018)</w:t>
            </w:r>
          </w:p>
        </w:tc>
        <w:tc>
          <w:tcPr>
            <w:tcW w:w="240" w:type="dxa"/>
            <w:vMerge/>
            <w:tcBorders>
              <w:top w:val="single" w:sz="8" w:space="0" w:color="9BBB59"/>
              <w:left w:val="single" w:sz="8" w:space="0" w:color="9BBB59"/>
              <w:bottom w:val="single" w:sz="8" w:space="0" w:color="9BBB59"/>
              <w:right w:val="single" w:sz="8" w:space="0" w:color="9BBB59"/>
            </w:tcBorders>
            <w:shd w:val="clear" w:color="auto" w:fill="FFFFFF"/>
          </w:tcPr>
          <w:p w14:paraId="51FE8761" w14:textId="77777777" w:rsidR="00360E18" w:rsidRDefault="00360E18">
            <w:pPr>
              <w:spacing w:line="360" w:lineRule="auto"/>
              <w:textAlignment w:val="baseline"/>
              <w:rPr>
                <w:rFonts w:cs="Times New Roman"/>
                <w:color w:val="000000"/>
              </w:rPr>
            </w:pPr>
          </w:p>
        </w:tc>
      </w:tr>
      <w:tr w:rsidR="00360E18" w14:paraId="516C28FA" w14:textId="77777777">
        <w:trPr>
          <w:trHeight w:val="314"/>
        </w:trPr>
        <w:tc>
          <w:tcPr>
            <w:tcW w:w="9882" w:type="dxa"/>
            <w:gridSpan w:val="4"/>
            <w:tcBorders>
              <w:top w:val="single" w:sz="8" w:space="0" w:color="9BBB59"/>
              <w:left w:val="single" w:sz="8" w:space="0" w:color="9BBB59"/>
              <w:bottom w:val="single" w:sz="8" w:space="0" w:color="9BBB59"/>
              <w:right w:val="single" w:sz="8" w:space="0" w:color="9BBB59"/>
            </w:tcBorders>
            <w:shd w:val="clear" w:color="auto" w:fill="FFFFFF"/>
          </w:tcPr>
          <w:p w14:paraId="078E2E92" w14:textId="77777777" w:rsidR="00360E18" w:rsidRDefault="00360E18">
            <w:pPr>
              <w:spacing w:line="360" w:lineRule="auto"/>
              <w:textAlignment w:val="baseline"/>
              <w:rPr>
                <w:rFonts w:cs="Times New Roman"/>
                <w:color w:val="000000"/>
              </w:rPr>
            </w:pPr>
          </w:p>
          <w:p w14:paraId="749D5706" w14:textId="77777777" w:rsidR="00360E18" w:rsidRDefault="003E5F9B">
            <w:pPr>
              <w:spacing w:line="360" w:lineRule="auto"/>
              <w:textAlignment w:val="baseline"/>
              <w:rPr>
                <w:rFonts w:cs="Times New Roman"/>
                <w:b/>
                <w:color w:val="000000"/>
              </w:rPr>
            </w:pPr>
            <w:r>
              <w:rPr>
                <w:rFonts w:cs="Times New Roman"/>
                <w:b/>
                <w:color w:val="000000"/>
              </w:rPr>
              <w:t>Category 2: PRCA and PRISA codes of conduct</w:t>
            </w:r>
          </w:p>
          <w:p w14:paraId="53208607" w14:textId="77777777" w:rsidR="00360E18" w:rsidRDefault="003E5F9B">
            <w:pPr>
              <w:spacing w:line="360" w:lineRule="auto"/>
              <w:textAlignment w:val="baseline"/>
              <w:rPr>
                <w:rFonts w:cs="Times New Roman"/>
                <w:color w:val="000000"/>
              </w:rPr>
            </w:pPr>
            <w:r>
              <w:rPr>
                <w:rFonts w:cs="Times New Roman"/>
                <w:color w:val="000000"/>
              </w:rPr>
              <w:t xml:space="preserve">This category is </w:t>
            </w:r>
            <w:r>
              <w:rPr>
                <w:rFonts w:cs="Times New Roman"/>
                <w:color w:val="000000"/>
                <w:lang w:val="en-GB"/>
              </w:rPr>
              <w:t>labelled</w:t>
            </w:r>
            <w:r>
              <w:rPr>
                <w:rFonts w:cs="Times New Roman"/>
                <w:color w:val="000000"/>
              </w:rPr>
              <w:t xml:space="preserve"> PRCA and PRISA codes of conduct it encompasses the information on the professional codes of conduct which were breached by the Bell Pottinger which included clauses 1.1, 4, 12, and 13 documented. For instance </w:t>
            </w:r>
            <w:r>
              <w:rPr>
                <w:rFonts w:eastAsia="Times New Roman" w:cs="Times New Roman"/>
                <w:color w:val="000000"/>
              </w:rPr>
              <w:t>PRCA professional clause 1.1: indicates “Have a positive duty to observe the highest standards in the practice of Public Relations and Communications. Furthermore a member has the responsibility at all times to deal fairly and honestly with fellow members and professionals, the Public Relations and Communications profession, other professions, suppliers, intermediaries, the media of communication, colleagues, and above all else the public.”</w:t>
            </w:r>
            <w:r>
              <w:rPr>
                <w:rFonts w:eastAsia="Times New Roman" w:cs="Times New Roman"/>
                <w:color w:val="000000"/>
                <w:lang w:val="en-GB"/>
              </w:rPr>
              <w:t xml:space="preserve"> </w:t>
            </w:r>
            <w:r>
              <w:rPr>
                <w:rFonts w:eastAsia="Times New Roman" w:cs="Times New Roman"/>
                <w:color w:val="000000"/>
              </w:rPr>
              <w:t>However the Hebert Smith Freehills, 4 September 2017 report indicates that the term “white monopoly capital” was already in use when Bell Pottinger was engaged with Oakbay economic emancipation campaign which in turn mean that they did not breach clause 1.1.</w:t>
            </w:r>
          </w:p>
          <w:p w14:paraId="21C29655" w14:textId="77777777" w:rsidR="00360E18" w:rsidRDefault="00360E18">
            <w:pPr>
              <w:spacing w:line="360" w:lineRule="auto"/>
              <w:textAlignment w:val="baseline"/>
              <w:rPr>
                <w:rFonts w:cs="Times New Roman"/>
                <w:b/>
                <w:color w:val="000000"/>
              </w:rPr>
            </w:pPr>
          </w:p>
          <w:p w14:paraId="410E01E9" w14:textId="77777777" w:rsidR="00360E18" w:rsidRDefault="003E5F9B">
            <w:pPr>
              <w:spacing w:line="360" w:lineRule="auto"/>
              <w:textAlignment w:val="baseline"/>
              <w:rPr>
                <w:rFonts w:cs="Times New Roman"/>
                <w:b/>
                <w:color w:val="000000"/>
              </w:rPr>
            </w:pPr>
            <w:r>
              <w:rPr>
                <w:rFonts w:cs="Times New Roman"/>
                <w:b/>
                <w:color w:val="000000"/>
              </w:rPr>
              <w:t>Table 4.</w:t>
            </w:r>
            <w:r>
              <w:rPr>
                <w:rFonts w:cs="Times New Roman"/>
                <w:b/>
                <w:color w:val="000000"/>
                <w:lang w:val="en-GB"/>
              </w:rPr>
              <w:t>2</w:t>
            </w:r>
            <w:r>
              <w:rPr>
                <w:rFonts w:cs="Times New Roman"/>
                <w:b/>
                <w:color w:val="000000"/>
              </w:rPr>
              <w:t>.2: Codes evident in category 2: PRSA and PRISA codes of conduct</w:t>
            </w:r>
          </w:p>
        </w:tc>
      </w:tr>
      <w:tr w:rsidR="00360E18" w14:paraId="3F68A9D5" w14:textId="77777777">
        <w:trPr>
          <w:gridAfter w:val="1"/>
          <w:wAfter w:w="240" w:type="dxa"/>
          <w:trHeight w:val="266"/>
        </w:trPr>
        <w:tc>
          <w:tcPr>
            <w:tcW w:w="1185" w:type="dxa"/>
            <w:tcBorders>
              <w:top w:val="single" w:sz="8" w:space="0" w:color="9BBB59"/>
              <w:left w:val="single" w:sz="8" w:space="0" w:color="9BBB59"/>
              <w:bottom w:val="single" w:sz="8" w:space="0" w:color="9BBB59"/>
              <w:right w:val="single" w:sz="8" w:space="0" w:color="9BBB59"/>
            </w:tcBorders>
            <w:shd w:val="clear" w:color="auto" w:fill="FFFFFF"/>
          </w:tcPr>
          <w:p w14:paraId="3D6CD6C9" w14:textId="77777777" w:rsidR="00360E18" w:rsidRDefault="003E5F9B">
            <w:pPr>
              <w:spacing w:line="360" w:lineRule="auto"/>
              <w:textAlignment w:val="baseline"/>
              <w:rPr>
                <w:rFonts w:cs="Times New Roman"/>
                <w:b/>
                <w:color w:val="000000"/>
              </w:rPr>
            </w:pPr>
            <w:r>
              <w:rPr>
                <w:rFonts w:cs="Times New Roman"/>
                <w:b/>
                <w:color w:val="000000"/>
              </w:rPr>
              <w:t>Codes</w:t>
            </w:r>
          </w:p>
        </w:tc>
        <w:tc>
          <w:tcPr>
            <w:tcW w:w="2535" w:type="dxa"/>
            <w:tcBorders>
              <w:top w:val="single" w:sz="8" w:space="0" w:color="9BBB59"/>
              <w:left w:val="single" w:sz="8" w:space="0" w:color="9BBB59"/>
              <w:bottom w:val="single" w:sz="8" w:space="0" w:color="9BBB59"/>
              <w:right w:val="single" w:sz="8" w:space="0" w:color="9BBB59"/>
            </w:tcBorders>
            <w:shd w:val="clear" w:color="auto" w:fill="FFFFFF"/>
          </w:tcPr>
          <w:p w14:paraId="1378C04D" w14:textId="77777777" w:rsidR="00360E18" w:rsidRDefault="003E5F9B">
            <w:pPr>
              <w:spacing w:line="360" w:lineRule="auto"/>
              <w:textAlignment w:val="baseline"/>
              <w:rPr>
                <w:rFonts w:cs="Times New Roman"/>
                <w:b/>
                <w:color w:val="000000"/>
              </w:rPr>
            </w:pPr>
            <w:r>
              <w:rPr>
                <w:rFonts w:cs="Times New Roman"/>
                <w:b/>
                <w:color w:val="000000"/>
              </w:rPr>
              <w:t>Meaning</w:t>
            </w:r>
          </w:p>
        </w:tc>
        <w:tc>
          <w:tcPr>
            <w:tcW w:w="5922" w:type="dxa"/>
            <w:tcBorders>
              <w:top w:val="single" w:sz="8" w:space="0" w:color="9BBB59"/>
              <w:left w:val="single" w:sz="8" w:space="0" w:color="9BBB59"/>
              <w:bottom w:val="single" w:sz="8" w:space="0" w:color="9BBB59"/>
              <w:right w:val="single" w:sz="8" w:space="0" w:color="9BBB59"/>
            </w:tcBorders>
            <w:shd w:val="clear" w:color="auto" w:fill="FFFFFF"/>
          </w:tcPr>
          <w:p w14:paraId="1A76174D" w14:textId="77777777" w:rsidR="00360E18" w:rsidRDefault="003E5F9B">
            <w:pPr>
              <w:spacing w:line="360" w:lineRule="auto"/>
              <w:textAlignment w:val="baseline"/>
              <w:rPr>
                <w:rFonts w:cs="Times New Roman"/>
                <w:b/>
                <w:color w:val="000000"/>
              </w:rPr>
            </w:pPr>
            <w:r>
              <w:rPr>
                <w:rFonts w:cs="Times New Roman"/>
                <w:b/>
                <w:color w:val="000000"/>
              </w:rPr>
              <w:t>Examples from Text</w:t>
            </w:r>
          </w:p>
        </w:tc>
      </w:tr>
      <w:tr w:rsidR="00360E18" w14:paraId="0BB23732" w14:textId="77777777">
        <w:trPr>
          <w:gridAfter w:val="1"/>
          <w:wAfter w:w="240" w:type="dxa"/>
          <w:trHeight w:val="270"/>
        </w:trPr>
        <w:tc>
          <w:tcPr>
            <w:tcW w:w="1185" w:type="dxa"/>
            <w:tcBorders>
              <w:top w:val="single" w:sz="8" w:space="0" w:color="9BBB59"/>
              <w:left w:val="single" w:sz="8" w:space="0" w:color="9BBB59"/>
              <w:bottom w:val="single" w:sz="8" w:space="0" w:color="9BBB59"/>
              <w:right w:val="single" w:sz="8" w:space="0" w:color="9BBB59"/>
            </w:tcBorders>
            <w:shd w:val="clear" w:color="auto" w:fill="FFFFFF"/>
          </w:tcPr>
          <w:p w14:paraId="2D482772" w14:textId="77777777" w:rsidR="00360E18" w:rsidRDefault="003E5F9B">
            <w:pPr>
              <w:spacing w:line="360" w:lineRule="auto"/>
              <w:textAlignment w:val="baseline"/>
              <w:rPr>
                <w:rFonts w:cs="Times New Roman"/>
                <w:color w:val="000000"/>
              </w:rPr>
            </w:pPr>
            <w:r>
              <w:rPr>
                <w:rFonts w:cs="Times New Roman"/>
                <w:color w:val="000000"/>
              </w:rPr>
              <w:t xml:space="preserve">Informed </w:t>
            </w:r>
          </w:p>
        </w:tc>
        <w:tc>
          <w:tcPr>
            <w:tcW w:w="2535" w:type="dxa"/>
            <w:tcBorders>
              <w:top w:val="single" w:sz="8" w:space="0" w:color="9BBB59"/>
              <w:left w:val="single" w:sz="8" w:space="0" w:color="9BBB59"/>
              <w:bottom w:val="single" w:sz="8" w:space="0" w:color="9BBB59"/>
              <w:right w:val="single" w:sz="8" w:space="0" w:color="9BBB59"/>
            </w:tcBorders>
            <w:shd w:val="clear" w:color="auto" w:fill="FFFFFF"/>
          </w:tcPr>
          <w:p w14:paraId="441E1CCD" w14:textId="77777777" w:rsidR="00360E18" w:rsidRDefault="003E5F9B">
            <w:pPr>
              <w:spacing w:line="360" w:lineRule="auto"/>
              <w:textAlignment w:val="baseline"/>
              <w:rPr>
                <w:rFonts w:cs="Times New Roman"/>
                <w:color w:val="000000"/>
              </w:rPr>
            </w:pPr>
            <w:r>
              <w:rPr>
                <w:rFonts w:cs="Times New Roman"/>
                <w:color w:val="000000"/>
              </w:rPr>
              <w:t>Making a decision based on factual information</w:t>
            </w:r>
          </w:p>
        </w:tc>
        <w:tc>
          <w:tcPr>
            <w:tcW w:w="5922" w:type="dxa"/>
            <w:tcBorders>
              <w:top w:val="single" w:sz="8" w:space="0" w:color="9BBB59"/>
              <w:left w:val="single" w:sz="8" w:space="0" w:color="9BBB59"/>
              <w:bottom w:val="single" w:sz="8" w:space="0" w:color="9BBB59"/>
              <w:right w:val="single" w:sz="8" w:space="0" w:color="9BBB59"/>
            </w:tcBorders>
            <w:shd w:val="clear" w:color="auto" w:fill="FFFFFF"/>
          </w:tcPr>
          <w:p w14:paraId="5243BCE3" w14:textId="77777777" w:rsidR="00360E18" w:rsidRDefault="003E5F9B">
            <w:pPr>
              <w:spacing w:before="100" w:beforeAutospacing="1" w:after="100" w:afterAutospacing="1" w:line="360" w:lineRule="auto"/>
              <w:rPr>
                <w:rFonts w:eastAsia="Times New Roman" w:cs="Times New Roman"/>
                <w:color w:val="000000"/>
              </w:rPr>
            </w:pPr>
            <w:r>
              <w:rPr>
                <w:rFonts w:eastAsia="Times New Roman" w:cs="Times New Roman"/>
                <w:color w:val="000000"/>
              </w:rPr>
              <w:t>“The first step was to assess the complaint, confirm that the disciplinary process was appropriate rather than arbitration, and identify the precise clauses from the PRCA Professional Charter and Codes of Conduct. The second step was written observations from both sides. The third step was the PRCA Professional Practices Committee deciding that this merited a hearing and should be taken forward. The fourth step was written evidence from both sides. The fifth step was oral evidence at the hearing. The sixth step was the decision from that hearing being approved by the PRCA Board of Management. The seventh step was the appeals period and consideration of Bell Pottinger’s appeal. The eight step was the final decision (in this case, termination of their membership, the most serious sanction available) and that decision being made public.” (A summary of the Steps taken on the Bell Pottinger case by the PRCA, 2017)</w:t>
            </w:r>
          </w:p>
        </w:tc>
      </w:tr>
      <w:tr w:rsidR="00360E18" w14:paraId="109EEDD9" w14:textId="77777777">
        <w:trPr>
          <w:gridAfter w:val="1"/>
          <w:wAfter w:w="240" w:type="dxa"/>
          <w:trHeight w:val="550"/>
        </w:trPr>
        <w:tc>
          <w:tcPr>
            <w:tcW w:w="1185" w:type="dxa"/>
            <w:tcBorders>
              <w:top w:val="single" w:sz="8" w:space="0" w:color="9BBB59"/>
              <w:left w:val="single" w:sz="8" w:space="0" w:color="9BBB59"/>
              <w:bottom w:val="single" w:sz="8" w:space="0" w:color="9BBB59"/>
              <w:right w:val="single" w:sz="8" w:space="0" w:color="9BBB59"/>
            </w:tcBorders>
            <w:shd w:val="clear" w:color="auto" w:fill="FFFFFF"/>
          </w:tcPr>
          <w:p w14:paraId="4EFC2DC3" w14:textId="77777777" w:rsidR="00360E18" w:rsidRDefault="003E5F9B">
            <w:pPr>
              <w:spacing w:line="360" w:lineRule="auto"/>
              <w:textAlignment w:val="baseline"/>
              <w:rPr>
                <w:rFonts w:cs="Times New Roman"/>
                <w:color w:val="000000"/>
              </w:rPr>
            </w:pPr>
            <w:r>
              <w:rPr>
                <w:rFonts w:cs="Times New Roman"/>
                <w:color w:val="000000"/>
              </w:rPr>
              <w:t>Regulatory</w:t>
            </w:r>
          </w:p>
        </w:tc>
        <w:tc>
          <w:tcPr>
            <w:tcW w:w="2535" w:type="dxa"/>
            <w:tcBorders>
              <w:top w:val="single" w:sz="8" w:space="0" w:color="9BBB59"/>
              <w:left w:val="single" w:sz="8" w:space="0" w:color="9BBB59"/>
              <w:bottom w:val="single" w:sz="8" w:space="0" w:color="9BBB59"/>
              <w:right w:val="single" w:sz="8" w:space="0" w:color="9BBB59"/>
            </w:tcBorders>
            <w:shd w:val="clear" w:color="auto" w:fill="FFFFFF"/>
          </w:tcPr>
          <w:p w14:paraId="3B747F50" w14:textId="77777777" w:rsidR="00360E18" w:rsidRDefault="003E5F9B">
            <w:pPr>
              <w:spacing w:line="360" w:lineRule="auto"/>
              <w:textAlignment w:val="baseline"/>
              <w:rPr>
                <w:rFonts w:cs="Times New Roman"/>
                <w:color w:val="000000"/>
                <w:lang w:val="en-GB"/>
              </w:rPr>
            </w:pPr>
            <w:r>
              <w:rPr>
                <w:rFonts w:cs="Times New Roman"/>
                <w:color w:val="000000"/>
              </w:rPr>
              <w:t>Providing guidance on ways to follow during practice in PR communication and decision making</w:t>
            </w:r>
            <w:r>
              <w:rPr>
                <w:rFonts w:cs="Times New Roman"/>
                <w:color w:val="000000"/>
                <w:lang w:val="en-GB"/>
              </w:rPr>
              <w:t>.</w:t>
            </w:r>
          </w:p>
        </w:tc>
        <w:tc>
          <w:tcPr>
            <w:tcW w:w="5922" w:type="dxa"/>
            <w:tcBorders>
              <w:top w:val="single" w:sz="8" w:space="0" w:color="9BBB59"/>
              <w:left w:val="single" w:sz="8" w:space="0" w:color="9BBB59"/>
              <w:bottom w:val="single" w:sz="8" w:space="0" w:color="9BBB59"/>
              <w:right w:val="single" w:sz="8" w:space="0" w:color="9BBB59"/>
            </w:tcBorders>
            <w:shd w:val="clear" w:color="auto" w:fill="FFFFFF"/>
          </w:tcPr>
          <w:p w14:paraId="7F44E1FF" w14:textId="77777777" w:rsidR="00360E18" w:rsidRDefault="003E5F9B">
            <w:pPr>
              <w:spacing w:line="360" w:lineRule="auto"/>
              <w:textAlignment w:val="baseline"/>
              <w:rPr>
                <w:rFonts w:cs="Times New Roman"/>
                <w:color w:val="000000"/>
                <w:lang w:val="en-GB"/>
              </w:rPr>
            </w:pPr>
            <w:r>
              <w:rPr>
                <w:rFonts w:cs="Times New Roman"/>
                <w:color w:val="000000"/>
              </w:rPr>
              <w:t>“The professional codes of conduct which were breached by the Bell Pottinger which included clauses 1.1, 4, 12, and 13 documented” PRCA 2017</w:t>
            </w:r>
            <w:r>
              <w:rPr>
                <w:rFonts w:cs="Times New Roman"/>
                <w:color w:val="000000"/>
                <w:lang w:val="en-GB"/>
              </w:rPr>
              <w:t>.</w:t>
            </w:r>
          </w:p>
        </w:tc>
      </w:tr>
      <w:tr w:rsidR="00360E18" w14:paraId="356385E7" w14:textId="77777777">
        <w:trPr>
          <w:gridAfter w:val="1"/>
          <w:wAfter w:w="240" w:type="dxa"/>
          <w:trHeight w:val="550"/>
        </w:trPr>
        <w:tc>
          <w:tcPr>
            <w:tcW w:w="1185" w:type="dxa"/>
            <w:tcBorders>
              <w:top w:val="single" w:sz="8" w:space="0" w:color="9BBB59"/>
              <w:left w:val="single" w:sz="8" w:space="0" w:color="9BBB59"/>
              <w:bottom w:val="single" w:sz="8" w:space="0" w:color="9BBB59"/>
              <w:right w:val="single" w:sz="8" w:space="0" w:color="9BBB59"/>
            </w:tcBorders>
            <w:shd w:val="clear" w:color="auto" w:fill="FFFFFF"/>
          </w:tcPr>
          <w:p w14:paraId="3C175B33" w14:textId="77777777" w:rsidR="00360E18" w:rsidRDefault="003E5F9B">
            <w:pPr>
              <w:spacing w:line="360" w:lineRule="auto"/>
              <w:textAlignment w:val="baseline"/>
              <w:rPr>
                <w:rFonts w:cs="Times New Roman"/>
                <w:color w:val="000000"/>
              </w:rPr>
            </w:pPr>
            <w:r>
              <w:rPr>
                <w:rFonts w:cs="Times New Roman"/>
                <w:color w:val="000000"/>
              </w:rPr>
              <w:t>Reactive</w:t>
            </w:r>
          </w:p>
        </w:tc>
        <w:tc>
          <w:tcPr>
            <w:tcW w:w="2535" w:type="dxa"/>
            <w:tcBorders>
              <w:top w:val="single" w:sz="8" w:space="0" w:color="9BBB59"/>
              <w:left w:val="single" w:sz="8" w:space="0" w:color="9BBB59"/>
              <w:bottom w:val="single" w:sz="8" w:space="0" w:color="9BBB59"/>
              <w:right w:val="single" w:sz="8" w:space="0" w:color="9BBB59"/>
            </w:tcBorders>
            <w:shd w:val="clear" w:color="auto" w:fill="FFFFFF"/>
          </w:tcPr>
          <w:p w14:paraId="6712844C" w14:textId="77777777" w:rsidR="00360E18" w:rsidRDefault="003E5F9B">
            <w:pPr>
              <w:spacing w:line="360" w:lineRule="auto"/>
              <w:textAlignment w:val="baseline"/>
              <w:rPr>
                <w:rFonts w:cs="Times New Roman"/>
                <w:color w:val="000000"/>
              </w:rPr>
            </w:pPr>
            <w:r>
              <w:rPr>
                <w:rFonts w:cs="Times New Roman"/>
                <w:color w:val="000000"/>
              </w:rPr>
              <w:t xml:space="preserve">Action done after an event has already occurred </w:t>
            </w:r>
          </w:p>
        </w:tc>
        <w:tc>
          <w:tcPr>
            <w:tcW w:w="5922" w:type="dxa"/>
            <w:tcBorders>
              <w:top w:val="single" w:sz="8" w:space="0" w:color="9BBB59"/>
              <w:left w:val="single" w:sz="8" w:space="0" w:color="9BBB59"/>
              <w:bottom w:val="single" w:sz="8" w:space="0" w:color="9BBB59"/>
              <w:right w:val="single" w:sz="8" w:space="0" w:color="9BBB59"/>
            </w:tcBorders>
            <w:shd w:val="clear" w:color="auto" w:fill="FFFFFF"/>
          </w:tcPr>
          <w:p w14:paraId="4C6A5078" w14:textId="77777777" w:rsidR="00360E18" w:rsidRDefault="003E5F9B">
            <w:pPr>
              <w:spacing w:before="100" w:beforeAutospacing="1" w:after="100" w:afterAutospacing="1" w:line="360" w:lineRule="auto"/>
              <w:rPr>
                <w:rFonts w:eastAsia="Times New Roman" w:cs="Times New Roman"/>
                <w:color w:val="000000"/>
              </w:rPr>
            </w:pPr>
            <w:r>
              <w:rPr>
                <w:rFonts w:eastAsia="Times New Roman" w:cs="Times New Roman"/>
                <w:color w:val="000000"/>
              </w:rPr>
              <w:t>”The Professional Practices Committee was unanimous in its view that the Professional Charter and Codes of Conduct had been breached, and recommended to the PRCA Board of Management that Bell Pottinger’s membership be terminated. The Board approved that recommendation unanimously.”</w:t>
            </w:r>
          </w:p>
          <w:p w14:paraId="259DE4E9" w14:textId="77777777" w:rsidR="00360E18" w:rsidRDefault="003E5F9B">
            <w:pPr>
              <w:spacing w:before="100" w:beforeAutospacing="1" w:after="100" w:afterAutospacing="1" w:line="360" w:lineRule="auto"/>
              <w:rPr>
                <w:rFonts w:eastAsia="Times New Roman" w:cs="Times New Roman"/>
                <w:color w:val="000000"/>
              </w:rPr>
            </w:pPr>
            <w:r>
              <w:rPr>
                <w:rFonts w:eastAsia="Times New Roman" w:cs="Times New Roman"/>
                <w:color w:val="000000"/>
              </w:rPr>
              <w:t>The Hebert Smith Report 2017 indicated that “</w:t>
            </w:r>
            <w:r>
              <w:rPr>
                <w:rFonts w:cs="Times New Roman"/>
                <w:color w:val="000000"/>
              </w:rPr>
              <w:t>Bell Pottinger does not believe that the actions taken in relation to this account are representative of the way it works in general. Nevertheless, Bell Pottinger is determined to learn lessons from this review, take appropriate action and instigate all necessary measures to ensure that the agency meets the highest ethical and industry standards which it has always endeavoured to uphold.”</w:t>
            </w:r>
          </w:p>
        </w:tc>
      </w:tr>
      <w:tr w:rsidR="00360E18" w14:paraId="6BC25F14" w14:textId="77777777">
        <w:trPr>
          <w:trHeight w:val="283"/>
        </w:trPr>
        <w:tc>
          <w:tcPr>
            <w:tcW w:w="9882" w:type="dxa"/>
            <w:gridSpan w:val="4"/>
            <w:tcBorders>
              <w:top w:val="single" w:sz="8" w:space="0" w:color="9BBB59"/>
              <w:left w:val="single" w:sz="8" w:space="0" w:color="9BBB59"/>
              <w:bottom w:val="single" w:sz="8" w:space="0" w:color="9BBB59"/>
              <w:right w:val="single" w:sz="8" w:space="0" w:color="9BBB59"/>
            </w:tcBorders>
            <w:shd w:val="clear" w:color="auto" w:fill="FFFFFF"/>
          </w:tcPr>
          <w:p w14:paraId="4614BECB" w14:textId="77777777" w:rsidR="00360E18" w:rsidRDefault="00360E18">
            <w:pPr>
              <w:spacing w:line="360" w:lineRule="auto"/>
              <w:textAlignment w:val="baseline"/>
              <w:rPr>
                <w:rFonts w:cs="Times New Roman"/>
                <w:color w:val="000000"/>
              </w:rPr>
            </w:pPr>
          </w:p>
          <w:p w14:paraId="24E83D5A" w14:textId="77777777" w:rsidR="00360E18" w:rsidRDefault="003E5F9B">
            <w:pPr>
              <w:spacing w:line="360" w:lineRule="auto"/>
              <w:textAlignment w:val="baseline"/>
              <w:rPr>
                <w:rFonts w:cs="Times New Roman"/>
                <w:b/>
                <w:color w:val="000000"/>
              </w:rPr>
            </w:pPr>
            <w:r>
              <w:rPr>
                <w:rFonts w:cs="Times New Roman"/>
                <w:b/>
                <w:color w:val="000000"/>
              </w:rPr>
              <w:t>Category 3: Hebert Smith Review Outcomes</w:t>
            </w:r>
          </w:p>
          <w:p w14:paraId="7C8663BC" w14:textId="77777777" w:rsidR="00360E18" w:rsidRDefault="003E5F9B">
            <w:pPr>
              <w:spacing w:line="360" w:lineRule="auto"/>
              <w:textAlignment w:val="baseline"/>
              <w:rPr>
                <w:rFonts w:cs="Times New Roman"/>
                <w:color w:val="000000"/>
              </w:rPr>
            </w:pPr>
            <w:r>
              <w:rPr>
                <w:rFonts w:cs="Times New Roman"/>
                <w:color w:val="000000"/>
              </w:rPr>
              <w:t xml:space="preserve">This category is labelled Hebert Smith Review due to the fact that it provides a direct account of internal verification and review of Bell Pottinger activities and is an important piece of evidence of their practices. As evident in the online reports Herbert Smith Freehills review provides a vital cog in the Bell Pottinger case as indicated </w:t>
            </w:r>
            <w:r>
              <w:rPr>
                <w:rFonts w:cs="Times New Roman"/>
                <w:color w:val="000000"/>
                <w:lang w:val="en-GB"/>
              </w:rPr>
              <w:t xml:space="preserve">by the fact </w:t>
            </w:r>
            <w:r>
              <w:rPr>
                <w:rFonts w:cs="Times New Roman"/>
                <w:color w:val="000000"/>
              </w:rPr>
              <w:t xml:space="preserve">that they review 45000 files and had direct interviews with a number of employees </w:t>
            </w:r>
          </w:p>
          <w:p w14:paraId="4AAD0C6C" w14:textId="77777777" w:rsidR="00360E18" w:rsidRDefault="003E5F9B">
            <w:pPr>
              <w:spacing w:line="360" w:lineRule="auto"/>
              <w:textAlignment w:val="baseline"/>
              <w:rPr>
                <w:rFonts w:cs="Times New Roman"/>
                <w:color w:val="000000"/>
              </w:rPr>
            </w:pPr>
            <w:r>
              <w:rPr>
                <w:rFonts w:cs="Times New Roman"/>
                <w:b/>
                <w:color w:val="000000"/>
              </w:rPr>
              <w:t>Table 4.</w:t>
            </w:r>
            <w:r>
              <w:rPr>
                <w:rFonts w:cs="Times New Roman"/>
                <w:b/>
                <w:color w:val="000000"/>
                <w:lang w:val="en-GB"/>
              </w:rPr>
              <w:t>2</w:t>
            </w:r>
            <w:r>
              <w:rPr>
                <w:rFonts w:cs="Times New Roman"/>
                <w:b/>
                <w:color w:val="000000"/>
              </w:rPr>
              <w:t xml:space="preserve">.3: </w:t>
            </w:r>
            <w:r>
              <w:rPr>
                <w:rFonts w:cs="Times New Roman"/>
                <w:color w:val="000000"/>
              </w:rPr>
              <w:t xml:space="preserve"> </w:t>
            </w:r>
            <w:r>
              <w:rPr>
                <w:rFonts w:cs="Times New Roman"/>
                <w:b/>
                <w:color w:val="000000"/>
              </w:rPr>
              <w:t>Codes for evident in category 3: Hebert Smith Review Outcomes</w:t>
            </w:r>
          </w:p>
        </w:tc>
      </w:tr>
      <w:tr w:rsidR="00360E18" w14:paraId="4F1B338F" w14:textId="77777777">
        <w:trPr>
          <w:trHeight w:val="254"/>
        </w:trPr>
        <w:tc>
          <w:tcPr>
            <w:tcW w:w="1185" w:type="dxa"/>
            <w:tcBorders>
              <w:top w:val="single" w:sz="8" w:space="0" w:color="9BBB59"/>
              <w:left w:val="single" w:sz="8" w:space="0" w:color="9BBB59"/>
              <w:bottom w:val="single" w:sz="8" w:space="0" w:color="9BBB59"/>
              <w:right w:val="single" w:sz="8" w:space="0" w:color="9BBB59"/>
            </w:tcBorders>
            <w:shd w:val="clear" w:color="auto" w:fill="FFFFFF"/>
          </w:tcPr>
          <w:p w14:paraId="1AC665EC" w14:textId="77777777" w:rsidR="00360E18" w:rsidRDefault="003E5F9B">
            <w:pPr>
              <w:spacing w:line="360" w:lineRule="auto"/>
              <w:textAlignment w:val="baseline"/>
              <w:rPr>
                <w:rFonts w:cs="Times New Roman"/>
                <w:b/>
                <w:color w:val="000000"/>
              </w:rPr>
            </w:pPr>
            <w:r>
              <w:rPr>
                <w:rFonts w:cs="Times New Roman"/>
                <w:b/>
                <w:color w:val="000000"/>
              </w:rPr>
              <w:t>Codes</w:t>
            </w:r>
          </w:p>
        </w:tc>
        <w:tc>
          <w:tcPr>
            <w:tcW w:w="2535" w:type="dxa"/>
            <w:tcBorders>
              <w:top w:val="single" w:sz="8" w:space="0" w:color="9BBB59"/>
              <w:left w:val="single" w:sz="8" w:space="0" w:color="9BBB59"/>
              <w:bottom w:val="single" w:sz="8" w:space="0" w:color="9BBB59"/>
              <w:right w:val="single" w:sz="8" w:space="0" w:color="9BBB59"/>
            </w:tcBorders>
            <w:shd w:val="clear" w:color="auto" w:fill="FFFFFF"/>
          </w:tcPr>
          <w:p w14:paraId="4840D8B0" w14:textId="77777777" w:rsidR="00360E18" w:rsidRDefault="003E5F9B">
            <w:pPr>
              <w:spacing w:line="360" w:lineRule="auto"/>
              <w:textAlignment w:val="baseline"/>
              <w:rPr>
                <w:rFonts w:cs="Times New Roman"/>
                <w:b/>
                <w:color w:val="000000"/>
              </w:rPr>
            </w:pPr>
            <w:r>
              <w:rPr>
                <w:rFonts w:cs="Times New Roman"/>
                <w:b/>
                <w:color w:val="000000"/>
              </w:rPr>
              <w:t xml:space="preserve">Meaning </w:t>
            </w:r>
          </w:p>
        </w:tc>
        <w:tc>
          <w:tcPr>
            <w:tcW w:w="5922" w:type="dxa"/>
            <w:tcBorders>
              <w:top w:val="single" w:sz="8" w:space="0" w:color="9BBB59"/>
              <w:left w:val="single" w:sz="8" w:space="0" w:color="9BBB59"/>
              <w:bottom w:val="single" w:sz="8" w:space="0" w:color="9BBB59"/>
              <w:right w:val="single" w:sz="8" w:space="0" w:color="9BBB59"/>
            </w:tcBorders>
            <w:shd w:val="clear" w:color="auto" w:fill="FFFFFF"/>
          </w:tcPr>
          <w:p w14:paraId="7AC5BC7D" w14:textId="77777777" w:rsidR="00360E18" w:rsidRDefault="003E5F9B">
            <w:pPr>
              <w:spacing w:line="360" w:lineRule="auto"/>
              <w:textAlignment w:val="baseline"/>
              <w:rPr>
                <w:rFonts w:cs="Times New Roman"/>
                <w:b/>
                <w:color w:val="000000"/>
              </w:rPr>
            </w:pPr>
            <w:r>
              <w:rPr>
                <w:rFonts w:cs="Times New Roman"/>
                <w:b/>
                <w:color w:val="000000"/>
              </w:rPr>
              <w:t>Examples from Text</w:t>
            </w:r>
          </w:p>
        </w:tc>
        <w:tc>
          <w:tcPr>
            <w:tcW w:w="240" w:type="dxa"/>
            <w:vMerge w:val="restart"/>
            <w:tcBorders>
              <w:top w:val="single" w:sz="8" w:space="0" w:color="9BBB59"/>
              <w:left w:val="single" w:sz="8" w:space="0" w:color="9BBB59"/>
              <w:bottom w:val="single" w:sz="8" w:space="0" w:color="9BBB59"/>
              <w:right w:val="single" w:sz="8" w:space="0" w:color="9BBB59"/>
            </w:tcBorders>
            <w:shd w:val="clear" w:color="auto" w:fill="FFFFFF"/>
          </w:tcPr>
          <w:p w14:paraId="0EDCFE79" w14:textId="77777777" w:rsidR="00360E18" w:rsidRDefault="00360E18">
            <w:pPr>
              <w:spacing w:line="360" w:lineRule="auto"/>
              <w:textAlignment w:val="baseline"/>
              <w:rPr>
                <w:rFonts w:cs="Times New Roman"/>
                <w:b/>
                <w:color w:val="000000"/>
              </w:rPr>
            </w:pPr>
          </w:p>
        </w:tc>
      </w:tr>
      <w:tr w:rsidR="00360E18" w14:paraId="66AC06A3" w14:textId="77777777">
        <w:trPr>
          <w:trHeight w:val="282"/>
        </w:trPr>
        <w:tc>
          <w:tcPr>
            <w:tcW w:w="1185" w:type="dxa"/>
            <w:tcBorders>
              <w:top w:val="single" w:sz="8" w:space="0" w:color="9BBB59"/>
              <w:left w:val="single" w:sz="8" w:space="0" w:color="9BBB59"/>
              <w:bottom w:val="single" w:sz="8" w:space="0" w:color="9BBB59"/>
              <w:right w:val="single" w:sz="8" w:space="0" w:color="9BBB59"/>
            </w:tcBorders>
            <w:shd w:val="clear" w:color="auto" w:fill="FFFFFF"/>
          </w:tcPr>
          <w:p w14:paraId="6195D95A" w14:textId="77777777" w:rsidR="00360E18" w:rsidRDefault="003E5F9B">
            <w:pPr>
              <w:spacing w:line="360" w:lineRule="auto"/>
              <w:textAlignment w:val="baseline"/>
              <w:rPr>
                <w:rFonts w:cs="Times New Roman"/>
                <w:color w:val="000000"/>
              </w:rPr>
            </w:pPr>
            <w:r>
              <w:rPr>
                <w:rFonts w:cs="Times New Roman"/>
                <w:color w:val="000000"/>
              </w:rPr>
              <w:t>Defensive</w:t>
            </w:r>
          </w:p>
        </w:tc>
        <w:tc>
          <w:tcPr>
            <w:tcW w:w="2535" w:type="dxa"/>
            <w:tcBorders>
              <w:top w:val="single" w:sz="8" w:space="0" w:color="9BBB59"/>
              <w:left w:val="single" w:sz="8" w:space="0" w:color="9BBB59"/>
              <w:bottom w:val="single" w:sz="8" w:space="0" w:color="9BBB59"/>
              <w:right w:val="single" w:sz="8" w:space="0" w:color="9BBB59"/>
            </w:tcBorders>
            <w:shd w:val="clear" w:color="auto" w:fill="FFFFFF"/>
          </w:tcPr>
          <w:p w14:paraId="4CC03AD2" w14:textId="77777777" w:rsidR="00360E18" w:rsidRDefault="003E5F9B">
            <w:pPr>
              <w:spacing w:line="360" w:lineRule="auto"/>
              <w:textAlignment w:val="baseline"/>
              <w:rPr>
                <w:rFonts w:cs="Times New Roman"/>
                <w:color w:val="000000"/>
              </w:rPr>
            </w:pPr>
            <w:r>
              <w:rPr>
                <w:rFonts w:cs="Times New Roman"/>
                <w:color w:val="000000"/>
              </w:rPr>
              <w:t>Subverting responsibility by finding counter statements on an accusation</w:t>
            </w:r>
          </w:p>
        </w:tc>
        <w:tc>
          <w:tcPr>
            <w:tcW w:w="5922" w:type="dxa"/>
            <w:tcBorders>
              <w:top w:val="single" w:sz="8" w:space="0" w:color="9BBB59"/>
              <w:left w:val="single" w:sz="8" w:space="0" w:color="9BBB59"/>
              <w:bottom w:val="single" w:sz="8" w:space="0" w:color="9BBB59"/>
              <w:right w:val="single" w:sz="8" w:space="0" w:color="9BBB59"/>
            </w:tcBorders>
            <w:shd w:val="clear" w:color="auto" w:fill="FFFFFF"/>
          </w:tcPr>
          <w:p w14:paraId="059D5E10" w14:textId="77777777" w:rsidR="00360E18" w:rsidRDefault="003E5F9B">
            <w:pPr>
              <w:spacing w:line="360" w:lineRule="auto"/>
              <w:textAlignment w:val="baseline"/>
              <w:rPr>
                <w:rFonts w:cs="Times New Roman"/>
                <w:color w:val="000000"/>
              </w:rPr>
            </w:pPr>
            <w:r>
              <w:rPr>
                <w:rFonts w:cs="Times New Roman"/>
                <w:color w:val="000000"/>
              </w:rPr>
              <w:t>“Indeed, we have seen references in publi</w:t>
            </w:r>
            <w:r>
              <w:rPr>
                <w:rFonts w:cs="Times New Roman"/>
                <w:color w:val="000000"/>
                <w:lang w:val="en-GB"/>
              </w:rPr>
              <w:t>c</w:t>
            </w:r>
            <w:r>
              <w:rPr>
                <w:rFonts w:cs="Times New Roman"/>
                <w:color w:val="000000"/>
              </w:rPr>
              <w:t>ly available material that suggest that the term had already been in use for some time by the time that the BP account team commenced its work on the Oakbay mandate.” (Herbert Smith Freehills argument on the use of the term “white monopoly capital” in their report2017)</w:t>
            </w:r>
          </w:p>
        </w:tc>
        <w:tc>
          <w:tcPr>
            <w:tcW w:w="240" w:type="dxa"/>
            <w:vMerge/>
            <w:tcBorders>
              <w:top w:val="single" w:sz="8" w:space="0" w:color="9BBB59"/>
              <w:left w:val="single" w:sz="8" w:space="0" w:color="9BBB59"/>
              <w:bottom w:val="single" w:sz="8" w:space="0" w:color="9BBB59"/>
              <w:right w:val="single" w:sz="8" w:space="0" w:color="9BBB59"/>
            </w:tcBorders>
            <w:shd w:val="clear" w:color="auto" w:fill="FFFFFF"/>
          </w:tcPr>
          <w:p w14:paraId="012E4224" w14:textId="77777777" w:rsidR="00360E18" w:rsidRDefault="00360E18">
            <w:pPr>
              <w:spacing w:line="360" w:lineRule="auto"/>
              <w:textAlignment w:val="baseline"/>
              <w:rPr>
                <w:rFonts w:cs="Times New Roman"/>
                <w:color w:val="000000"/>
              </w:rPr>
            </w:pPr>
          </w:p>
        </w:tc>
      </w:tr>
      <w:tr w:rsidR="00360E18" w14:paraId="5503E736" w14:textId="77777777">
        <w:trPr>
          <w:trHeight w:val="565"/>
        </w:trPr>
        <w:tc>
          <w:tcPr>
            <w:tcW w:w="1185" w:type="dxa"/>
            <w:tcBorders>
              <w:top w:val="single" w:sz="8" w:space="0" w:color="9BBB59"/>
              <w:left w:val="single" w:sz="8" w:space="0" w:color="9BBB59"/>
              <w:bottom w:val="single" w:sz="8" w:space="0" w:color="9BBB59"/>
              <w:right w:val="single" w:sz="8" w:space="0" w:color="9BBB59"/>
            </w:tcBorders>
            <w:shd w:val="clear" w:color="auto" w:fill="FFFFFF"/>
          </w:tcPr>
          <w:p w14:paraId="708797D2" w14:textId="77777777" w:rsidR="00360E18" w:rsidRDefault="003E5F9B">
            <w:pPr>
              <w:spacing w:line="360" w:lineRule="auto"/>
              <w:textAlignment w:val="baseline"/>
              <w:rPr>
                <w:rFonts w:cs="Times New Roman"/>
                <w:color w:val="000000"/>
              </w:rPr>
            </w:pPr>
            <w:r>
              <w:rPr>
                <w:rFonts w:cs="Times New Roman"/>
                <w:color w:val="000000"/>
              </w:rPr>
              <w:t>Subjective</w:t>
            </w:r>
          </w:p>
        </w:tc>
        <w:tc>
          <w:tcPr>
            <w:tcW w:w="2535" w:type="dxa"/>
            <w:tcBorders>
              <w:top w:val="single" w:sz="8" w:space="0" w:color="9BBB59"/>
              <w:left w:val="single" w:sz="8" w:space="0" w:color="9BBB59"/>
              <w:bottom w:val="single" w:sz="8" w:space="0" w:color="9BBB59"/>
              <w:right w:val="single" w:sz="8" w:space="0" w:color="9BBB59"/>
            </w:tcBorders>
            <w:shd w:val="clear" w:color="auto" w:fill="FFFFFF"/>
          </w:tcPr>
          <w:p w14:paraId="1CD83B38" w14:textId="77777777" w:rsidR="00360E18" w:rsidRDefault="003E5F9B">
            <w:pPr>
              <w:spacing w:line="360" w:lineRule="auto"/>
              <w:textAlignment w:val="baseline"/>
              <w:rPr>
                <w:rFonts w:cs="Times New Roman"/>
                <w:color w:val="000000"/>
              </w:rPr>
            </w:pPr>
            <w:r>
              <w:rPr>
                <w:rFonts w:cs="Times New Roman"/>
                <w:color w:val="000000"/>
              </w:rPr>
              <w:t xml:space="preserve">Not looking at all the facts in one’s defense </w:t>
            </w:r>
          </w:p>
        </w:tc>
        <w:tc>
          <w:tcPr>
            <w:tcW w:w="5922" w:type="dxa"/>
            <w:tcBorders>
              <w:top w:val="single" w:sz="8" w:space="0" w:color="9BBB59"/>
              <w:left w:val="single" w:sz="8" w:space="0" w:color="9BBB59"/>
              <w:bottom w:val="single" w:sz="8" w:space="0" w:color="9BBB59"/>
              <w:right w:val="single" w:sz="8" w:space="0" w:color="9BBB59"/>
            </w:tcBorders>
            <w:shd w:val="clear" w:color="auto" w:fill="FFFFFF"/>
          </w:tcPr>
          <w:p w14:paraId="2E64846C" w14:textId="77777777" w:rsidR="00360E18" w:rsidRDefault="003E5F9B">
            <w:pPr>
              <w:spacing w:line="360" w:lineRule="auto"/>
              <w:textAlignment w:val="baseline"/>
              <w:rPr>
                <w:rFonts w:eastAsia="Times New Roman" w:cs="Times New Roman"/>
                <w:color w:val="000000"/>
              </w:rPr>
            </w:pPr>
            <w:r>
              <w:rPr>
                <w:rFonts w:eastAsia="Times New Roman" w:cs="Times New Roman"/>
                <w:color w:val="000000"/>
              </w:rPr>
              <w:t xml:space="preserve">“The report is unlikely to satisfy the vociferous critics of Bell Pottinger's conduct in South Africa. Phumzile Van Damme, Shadow Minister of Communications of South Africa's opposition Democratic Alliance party described it as "a poor attempt by Bell Pottinger to appear to be taking responsibility for the unethical campaign they ran on behalf of the Gupta family and, President Jacob Zuma’s son, Duduzane Zuma." </w:t>
            </w:r>
            <w:r>
              <w:rPr>
                <w:rFonts w:eastAsia="Times New Roman" w:cs="Times New Roman"/>
                <w:color w:val="000000"/>
              </w:rPr>
              <w:br/>
              <w:t>(Provokemedia, in its report: Bell Pottinger in ‘Breach of Relevent ethical Principles” of  4 September 2017)</w:t>
            </w:r>
          </w:p>
          <w:p w14:paraId="6138FC19" w14:textId="77777777" w:rsidR="00360E18" w:rsidRDefault="003E5F9B">
            <w:pPr>
              <w:spacing w:line="360" w:lineRule="auto"/>
              <w:textAlignment w:val="baseline"/>
              <w:rPr>
                <w:rFonts w:eastAsia="Times New Roman" w:cs="Times New Roman"/>
                <w:color w:val="000000"/>
              </w:rPr>
            </w:pPr>
            <w:r>
              <w:rPr>
                <w:rFonts w:eastAsia="Times New Roman" w:cs="Times New Roman"/>
                <w:color w:val="000000"/>
              </w:rPr>
              <w:t>"The DA looks forward to the release of the PRCA’s report on Bell Pottinger tomorrow," added Van Damme. "This report, by an independent organisation, not one hired by Bell Pottinger themselves, will inspire more confidence." As cited by (Provokemedia, in its report Bell Pottinger in ‘Breach of Relevent ethical Principles” of  4 September 2017)</w:t>
            </w:r>
          </w:p>
        </w:tc>
        <w:tc>
          <w:tcPr>
            <w:tcW w:w="240" w:type="dxa"/>
            <w:vMerge/>
            <w:tcBorders>
              <w:top w:val="single" w:sz="8" w:space="0" w:color="9BBB59"/>
              <w:left w:val="single" w:sz="8" w:space="0" w:color="9BBB59"/>
              <w:bottom w:val="single" w:sz="8" w:space="0" w:color="9BBB59"/>
              <w:right w:val="single" w:sz="8" w:space="0" w:color="9BBB59"/>
            </w:tcBorders>
            <w:shd w:val="clear" w:color="auto" w:fill="FFFFFF"/>
          </w:tcPr>
          <w:p w14:paraId="622C3541" w14:textId="77777777" w:rsidR="00360E18" w:rsidRDefault="00360E18">
            <w:pPr>
              <w:spacing w:line="360" w:lineRule="auto"/>
              <w:textAlignment w:val="baseline"/>
              <w:rPr>
                <w:rFonts w:cs="Times New Roman"/>
                <w:color w:val="000000"/>
              </w:rPr>
            </w:pPr>
          </w:p>
        </w:tc>
      </w:tr>
      <w:tr w:rsidR="00360E18" w14:paraId="2E6A04F7" w14:textId="77777777">
        <w:trPr>
          <w:trHeight w:val="1649"/>
        </w:trPr>
        <w:tc>
          <w:tcPr>
            <w:tcW w:w="9882" w:type="dxa"/>
            <w:gridSpan w:val="4"/>
            <w:tcBorders>
              <w:top w:val="single" w:sz="8" w:space="0" w:color="9BBB59"/>
              <w:left w:val="single" w:sz="8" w:space="0" w:color="9BBB59"/>
              <w:bottom w:val="single" w:sz="8" w:space="0" w:color="9BBB59"/>
              <w:right w:val="single" w:sz="8" w:space="0" w:color="9BBB59"/>
            </w:tcBorders>
            <w:shd w:val="clear" w:color="auto" w:fill="FFFFFF"/>
          </w:tcPr>
          <w:p w14:paraId="11C9F257" w14:textId="77777777" w:rsidR="00360E18" w:rsidRDefault="00360E18">
            <w:pPr>
              <w:spacing w:line="360" w:lineRule="auto"/>
              <w:textAlignment w:val="baseline"/>
              <w:rPr>
                <w:rFonts w:cs="Times New Roman"/>
                <w:color w:val="000000"/>
              </w:rPr>
            </w:pPr>
          </w:p>
          <w:p w14:paraId="0B62A06B" w14:textId="77777777" w:rsidR="00360E18" w:rsidRDefault="003E5F9B">
            <w:pPr>
              <w:spacing w:line="360" w:lineRule="auto"/>
              <w:textAlignment w:val="baseline"/>
              <w:rPr>
                <w:rFonts w:cs="Times New Roman"/>
                <w:b/>
                <w:color w:val="000000"/>
              </w:rPr>
            </w:pPr>
            <w:r>
              <w:rPr>
                <w:rFonts w:cs="Times New Roman"/>
                <w:b/>
                <w:color w:val="000000"/>
              </w:rPr>
              <w:t>Category 4: Organisational Accountability</w:t>
            </w:r>
          </w:p>
          <w:p w14:paraId="61B0CDCF" w14:textId="77777777" w:rsidR="00360E18" w:rsidRDefault="003E5F9B">
            <w:pPr>
              <w:spacing w:line="360" w:lineRule="auto"/>
              <w:textAlignment w:val="baseline"/>
              <w:rPr>
                <w:rFonts w:cs="Times New Roman"/>
                <w:color w:val="000000"/>
              </w:rPr>
            </w:pPr>
            <w:r>
              <w:rPr>
                <w:rFonts w:cs="Times New Roman"/>
                <w:color w:val="000000"/>
              </w:rPr>
              <w:t>This category is labelled organisational accountability because it encompasses all aspect</w:t>
            </w:r>
            <w:r>
              <w:rPr>
                <w:rFonts w:cs="Times New Roman"/>
                <w:color w:val="000000"/>
                <w:lang w:val="en-GB"/>
              </w:rPr>
              <w:t>s</w:t>
            </w:r>
            <w:r>
              <w:rPr>
                <w:rFonts w:cs="Times New Roman"/>
                <w:color w:val="000000"/>
              </w:rPr>
              <w:t xml:space="preserve"> that have to do with the pro-active/monitoring aspects that should be followed by organisations based on the lessons learnt from the Bell Pottinger economic empowerment campaign to ensure that clients, other organisations are protected from any form of harm. There was political persecution of white people in South Africa due to the campaigns conducted by the Bell Pottinger campaign as indicated by the amaBhungane Report of September 2017.</w:t>
            </w:r>
          </w:p>
          <w:p w14:paraId="56D46D18" w14:textId="77777777" w:rsidR="00360E18" w:rsidRDefault="003E5F9B">
            <w:pPr>
              <w:spacing w:line="360" w:lineRule="auto"/>
              <w:textAlignment w:val="baseline"/>
              <w:rPr>
                <w:rFonts w:cs="Times New Roman"/>
                <w:b/>
                <w:color w:val="000000"/>
              </w:rPr>
            </w:pPr>
            <w:r>
              <w:rPr>
                <w:rFonts w:cs="Times New Roman"/>
                <w:b/>
                <w:color w:val="000000"/>
              </w:rPr>
              <w:t>Table 4.</w:t>
            </w:r>
            <w:r>
              <w:rPr>
                <w:rFonts w:cs="Times New Roman"/>
                <w:b/>
                <w:color w:val="000000"/>
                <w:lang w:val="en-GB"/>
              </w:rPr>
              <w:t>2</w:t>
            </w:r>
            <w:r>
              <w:rPr>
                <w:rFonts w:cs="Times New Roman"/>
                <w:b/>
                <w:color w:val="000000"/>
              </w:rPr>
              <w:t xml:space="preserve">.4: Codes evident in category 4: Organisational Accountability </w:t>
            </w:r>
          </w:p>
        </w:tc>
      </w:tr>
      <w:tr w:rsidR="00360E18" w14:paraId="09A43EFA" w14:textId="77777777">
        <w:trPr>
          <w:gridAfter w:val="1"/>
          <w:wAfter w:w="240" w:type="dxa"/>
          <w:trHeight w:val="270"/>
        </w:trPr>
        <w:tc>
          <w:tcPr>
            <w:tcW w:w="1185" w:type="dxa"/>
            <w:tcBorders>
              <w:top w:val="single" w:sz="8" w:space="0" w:color="9BBB59"/>
              <w:left w:val="single" w:sz="8" w:space="0" w:color="9BBB59"/>
              <w:bottom w:val="single" w:sz="8" w:space="0" w:color="9BBB59"/>
              <w:right w:val="single" w:sz="8" w:space="0" w:color="9BBB59"/>
            </w:tcBorders>
            <w:shd w:val="clear" w:color="auto" w:fill="FFFFFF"/>
          </w:tcPr>
          <w:p w14:paraId="344D4A01" w14:textId="77777777" w:rsidR="00360E18" w:rsidRDefault="003E5F9B">
            <w:pPr>
              <w:spacing w:line="360" w:lineRule="auto"/>
              <w:textAlignment w:val="baseline"/>
              <w:rPr>
                <w:rFonts w:cs="Times New Roman"/>
                <w:b/>
                <w:color w:val="000000"/>
              </w:rPr>
            </w:pPr>
            <w:r>
              <w:rPr>
                <w:rFonts w:cs="Times New Roman"/>
                <w:b/>
                <w:color w:val="000000"/>
              </w:rPr>
              <w:t>Codes</w:t>
            </w:r>
          </w:p>
        </w:tc>
        <w:tc>
          <w:tcPr>
            <w:tcW w:w="2535" w:type="dxa"/>
            <w:tcBorders>
              <w:top w:val="single" w:sz="8" w:space="0" w:color="9BBB59"/>
              <w:left w:val="single" w:sz="8" w:space="0" w:color="9BBB59"/>
              <w:bottom w:val="single" w:sz="8" w:space="0" w:color="9BBB59"/>
              <w:right w:val="single" w:sz="8" w:space="0" w:color="9BBB59"/>
            </w:tcBorders>
            <w:shd w:val="clear" w:color="auto" w:fill="FFFFFF"/>
          </w:tcPr>
          <w:p w14:paraId="141CCCC7" w14:textId="77777777" w:rsidR="00360E18" w:rsidRDefault="003E5F9B">
            <w:pPr>
              <w:spacing w:line="360" w:lineRule="auto"/>
              <w:textAlignment w:val="baseline"/>
              <w:rPr>
                <w:rFonts w:cs="Times New Roman"/>
                <w:b/>
                <w:color w:val="000000"/>
              </w:rPr>
            </w:pPr>
            <w:r>
              <w:rPr>
                <w:rFonts w:cs="Times New Roman"/>
                <w:b/>
                <w:color w:val="000000"/>
              </w:rPr>
              <w:t>Meaning</w:t>
            </w:r>
          </w:p>
        </w:tc>
        <w:tc>
          <w:tcPr>
            <w:tcW w:w="5922" w:type="dxa"/>
            <w:tcBorders>
              <w:top w:val="single" w:sz="8" w:space="0" w:color="9BBB59"/>
              <w:left w:val="single" w:sz="8" w:space="0" w:color="9BBB59"/>
              <w:bottom w:val="single" w:sz="8" w:space="0" w:color="9BBB59"/>
              <w:right w:val="single" w:sz="8" w:space="0" w:color="9BBB59"/>
            </w:tcBorders>
            <w:shd w:val="clear" w:color="auto" w:fill="FFFFFF"/>
          </w:tcPr>
          <w:p w14:paraId="2FE89B8D" w14:textId="77777777" w:rsidR="00360E18" w:rsidRDefault="003E5F9B">
            <w:pPr>
              <w:spacing w:line="360" w:lineRule="auto"/>
              <w:textAlignment w:val="baseline"/>
              <w:rPr>
                <w:rFonts w:cs="Times New Roman"/>
                <w:b/>
                <w:color w:val="000000"/>
              </w:rPr>
            </w:pPr>
            <w:r>
              <w:rPr>
                <w:rFonts w:cs="Times New Roman"/>
                <w:b/>
                <w:color w:val="000000"/>
              </w:rPr>
              <w:t>Examples from Text</w:t>
            </w:r>
          </w:p>
        </w:tc>
      </w:tr>
      <w:tr w:rsidR="00360E18" w14:paraId="6AE0018D" w14:textId="77777777">
        <w:trPr>
          <w:gridAfter w:val="1"/>
          <w:wAfter w:w="240" w:type="dxa"/>
          <w:trHeight w:val="266"/>
        </w:trPr>
        <w:tc>
          <w:tcPr>
            <w:tcW w:w="1185" w:type="dxa"/>
            <w:tcBorders>
              <w:top w:val="single" w:sz="8" w:space="0" w:color="9BBB59"/>
              <w:left w:val="single" w:sz="8" w:space="0" w:color="9BBB59"/>
              <w:bottom w:val="single" w:sz="8" w:space="0" w:color="9BBB59"/>
              <w:right w:val="single" w:sz="8" w:space="0" w:color="9BBB59"/>
            </w:tcBorders>
            <w:shd w:val="clear" w:color="auto" w:fill="FFFFFF"/>
          </w:tcPr>
          <w:p w14:paraId="7D10AC9F" w14:textId="77777777" w:rsidR="00360E18" w:rsidRDefault="003E5F9B">
            <w:pPr>
              <w:spacing w:line="360" w:lineRule="auto"/>
              <w:textAlignment w:val="baseline"/>
              <w:rPr>
                <w:rFonts w:cs="Times New Roman"/>
                <w:color w:val="000000"/>
              </w:rPr>
            </w:pPr>
            <w:r>
              <w:rPr>
                <w:rFonts w:cs="Times New Roman"/>
                <w:color w:val="000000"/>
              </w:rPr>
              <w:t>Negligent</w:t>
            </w:r>
          </w:p>
        </w:tc>
        <w:tc>
          <w:tcPr>
            <w:tcW w:w="2535" w:type="dxa"/>
            <w:tcBorders>
              <w:top w:val="single" w:sz="8" w:space="0" w:color="9BBB59"/>
              <w:left w:val="single" w:sz="8" w:space="0" w:color="9BBB59"/>
              <w:bottom w:val="single" w:sz="8" w:space="0" w:color="9BBB59"/>
              <w:right w:val="single" w:sz="8" w:space="0" w:color="9BBB59"/>
            </w:tcBorders>
            <w:shd w:val="clear" w:color="auto" w:fill="FFFFFF"/>
          </w:tcPr>
          <w:p w14:paraId="03BB4B9F" w14:textId="77777777" w:rsidR="00360E18" w:rsidRDefault="003E5F9B">
            <w:pPr>
              <w:spacing w:line="360" w:lineRule="auto"/>
              <w:textAlignment w:val="baseline"/>
              <w:rPr>
                <w:rFonts w:cs="Times New Roman"/>
                <w:color w:val="000000"/>
              </w:rPr>
            </w:pPr>
            <w:r>
              <w:rPr>
                <w:rFonts w:cs="Times New Roman"/>
                <w:color w:val="000000"/>
              </w:rPr>
              <w:t>An organisation not taking due diligence in service delivery which is detrimental to service users and third parties</w:t>
            </w:r>
          </w:p>
        </w:tc>
        <w:tc>
          <w:tcPr>
            <w:tcW w:w="5922" w:type="dxa"/>
            <w:tcBorders>
              <w:top w:val="single" w:sz="8" w:space="0" w:color="9BBB59"/>
              <w:left w:val="single" w:sz="8" w:space="0" w:color="9BBB59"/>
              <w:bottom w:val="single" w:sz="8" w:space="0" w:color="9BBB59"/>
              <w:right w:val="single" w:sz="8" w:space="0" w:color="9BBB59"/>
            </w:tcBorders>
            <w:shd w:val="clear" w:color="auto" w:fill="FFFFFF"/>
          </w:tcPr>
          <w:p w14:paraId="4350CFFA" w14:textId="77777777" w:rsidR="00360E18" w:rsidRDefault="003E5F9B">
            <w:pPr>
              <w:spacing w:line="360" w:lineRule="auto"/>
              <w:textAlignment w:val="baseline"/>
              <w:rPr>
                <w:rFonts w:cs="Times New Roman"/>
                <w:color w:val="000000"/>
              </w:rPr>
            </w:pPr>
            <w:r>
              <w:rPr>
                <w:rFonts w:cs="Times New Roman"/>
                <w:color w:val="000000"/>
              </w:rPr>
              <w:t>Herbert Smith Freehills review report September 2017 indicates that “We have not seen evidence that members of BP's senior management knew about the detail of the work being done on the economic emancipation campaign or saw or knew about the potentially offensive content that was being created or other tactics being employed at that time.”</w:t>
            </w:r>
          </w:p>
          <w:p w14:paraId="0E479306" w14:textId="77777777" w:rsidR="00360E18" w:rsidRDefault="003E5F9B">
            <w:pPr>
              <w:spacing w:line="360" w:lineRule="auto"/>
              <w:textAlignment w:val="baseline"/>
              <w:rPr>
                <w:rFonts w:cs="Times New Roman"/>
                <w:color w:val="000000"/>
              </w:rPr>
            </w:pPr>
            <w:r>
              <w:rPr>
                <w:rFonts w:cs="Times New Roman"/>
                <w:color w:val="000000"/>
              </w:rPr>
              <w:t>“Although Bell Pottinger was widely blamed for the social media campaign, a forensic analysis performed by the African Network of Centers for Investigative Reporting concluded that it was created and overseen by employees and affiliates of the Guptas. In a report called “Manufacturing Divides,” the network found that much of the campaign was run out of a Gupta-financed “war room” at a marketing firm in India.”</w:t>
            </w:r>
            <w:r>
              <w:rPr>
                <w:rFonts w:eastAsia="Times New Roman" w:cs="Times New Roman"/>
                <w:color w:val="000000"/>
              </w:rPr>
              <w:t xml:space="preserve"> (New York Times report on Analysis: How Bell Pottinger its end in South Africa  , September 2017)</w:t>
            </w:r>
          </w:p>
        </w:tc>
      </w:tr>
      <w:tr w:rsidR="00360E18" w14:paraId="568F5C10" w14:textId="77777777">
        <w:trPr>
          <w:gridAfter w:val="1"/>
          <w:wAfter w:w="240" w:type="dxa"/>
          <w:trHeight w:val="256"/>
        </w:trPr>
        <w:tc>
          <w:tcPr>
            <w:tcW w:w="1185" w:type="dxa"/>
            <w:tcBorders>
              <w:top w:val="single" w:sz="8" w:space="0" w:color="9BBB59"/>
              <w:left w:val="single" w:sz="8" w:space="0" w:color="9BBB59"/>
              <w:bottom w:val="single" w:sz="8" w:space="0" w:color="9BBB59"/>
              <w:right w:val="single" w:sz="8" w:space="0" w:color="9BBB59"/>
            </w:tcBorders>
            <w:shd w:val="clear" w:color="auto" w:fill="FFFFFF"/>
          </w:tcPr>
          <w:p w14:paraId="2EA87D27" w14:textId="77777777" w:rsidR="00360E18" w:rsidRDefault="003E5F9B">
            <w:pPr>
              <w:spacing w:line="360" w:lineRule="auto"/>
              <w:textAlignment w:val="baseline"/>
              <w:rPr>
                <w:rFonts w:cs="Times New Roman"/>
                <w:color w:val="000000"/>
              </w:rPr>
            </w:pPr>
            <w:r>
              <w:rPr>
                <w:rFonts w:cs="Times New Roman"/>
                <w:color w:val="000000"/>
              </w:rPr>
              <w:t>Poor Supervision</w:t>
            </w:r>
          </w:p>
        </w:tc>
        <w:tc>
          <w:tcPr>
            <w:tcW w:w="2535" w:type="dxa"/>
            <w:tcBorders>
              <w:top w:val="single" w:sz="8" w:space="0" w:color="9BBB59"/>
              <w:left w:val="single" w:sz="8" w:space="0" w:color="9BBB59"/>
              <w:bottom w:val="single" w:sz="8" w:space="0" w:color="9BBB59"/>
              <w:right w:val="single" w:sz="8" w:space="0" w:color="9BBB59"/>
            </w:tcBorders>
            <w:shd w:val="clear" w:color="auto" w:fill="FFFFFF"/>
          </w:tcPr>
          <w:p w14:paraId="10D60F9F" w14:textId="77777777" w:rsidR="00360E18" w:rsidRDefault="003E5F9B">
            <w:pPr>
              <w:spacing w:line="360" w:lineRule="auto"/>
              <w:textAlignment w:val="baseline"/>
              <w:rPr>
                <w:rFonts w:cs="Times New Roman"/>
                <w:color w:val="000000"/>
              </w:rPr>
            </w:pPr>
            <w:r>
              <w:rPr>
                <w:rFonts w:cs="Times New Roman"/>
                <w:color w:val="000000"/>
              </w:rPr>
              <w:t xml:space="preserve"> Lack of proper follow up on program implementation within an organisation</w:t>
            </w:r>
          </w:p>
        </w:tc>
        <w:tc>
          <w:tcPr>
            <w:tcW w:w="5922" w:type="dxa"/>
            <w:tcBorders>
              <w:top w:val="single" w:sz="8" w:space="0" w:color="9BBB59"/>
              <w:left w:val="single" w:sz="8" w:space="0" w:color="9BBB59"/>
              <w:bottom w:val="single" w:sz="8" w:space="0" w:color="9BBB59"/>
              <w:right w:val="single" w:sz="8" w:space="0" w:color="9BBB59"/>
            </w:tcBorders>
            <w:shd w:val="clear" w:color="auto" w:fill="FFFFFF"/>
          </w:tcPr>
          <w:p w14:paraId="7F22010D" w14:textId="77777777" w:rsidR="00360E18" w:rsidRDefault="003E5F9B">
            <w:pPr>
              <w:spacing w:line="360" w:lineRule="auto"/>
              <w:textAlignment w:val="baseline"/>
              <w:rPr>
                <w:rFonts w:cs="Times New Roman"/>
                <w:color w:val="000000"/>
              </w:rPr>
            </w:pPr>
            <w:r>
              <w:rPr>
                <w:rFonts w:eastAsia="Times New Roman" w:cs="Times New Roman"/>
                <w:color w:val="000000"/>
              </w:rPr>
              <w:t>Hebert Smith Freehills, September 2017, states that Bell Pottinger's senior management "should have known that the campaign was at risk of causing offence, including on grounds of race. In such circumstances BP ought to have exercised extreme care and should have closely scrutinised the creation of content for the campaign. This does not appear to have happened."</w:t>
            </w:r>
          </w:p>
        </w:tc>
      </w:tr>
      <w:tr w:rsidR="00360E18" w14:paraId="1E710210" w14:textId="77777777">
        <w:trPr>
          <w:trHeight w:val="256"/>
        </w:trPr>
        <w:tc>
          <w:tcPr>
            <w:tcW w:w="9882" w:type="dxa"/>
            <w:gridSpan w:val="4"/>
            <w:tcBorders>
              <w:top w:val="single" w:sz="8" w:space="0" w:color="9BBB59"/>
              <w:left w:val="single" w:sz="8" w:space="0" w:color="9BBB59"/>
              <w:bottom w:val="single" w:sz="8" w:space="0" w:color="9BBB59"/>
              <w:right w:val="single" w:sz="8" w:space="0" w:color="9BBB59"/>
            </w:tcBorders>
            <w:shd w:val="clear" w:color="auto" w:fill="FFFFFF"/>
          </w:tcPr>
          <w:p w14:paraId="54CBB3E5" w14:textId="77777777" w:rsidR="00360E18" w:rsidRDefault="00360E18">
            <w:pPr>
              <w:spacing w:line="360" w:lineRule="auto"/>
              <w:textAlignment w:val="baseline"/>
              <w:rPr>
                <w:rFonts w:cs="Times New Roman"/>
                <w:color w:val="000000"/>
              </w:rPr>
            </w:pPr>
          </w:p>
          <w:p w14:paraId="25C1291E" w14:textId="77777777" w:rsidR="00360E18" w:rsidRDefault="003E5F9B">
            <w:pPr>
              <w:spacing w:line="360" w:lineRule="auto"/>
              <w:textAlignment w:val="baseline"/>
              <w:rPr>
                <w:rFonts w:cs="Times New Roman"/>
                <w:b/>
                <w:color w:val="000000"/>
              </w:rPr>
            </w:pPr>
            <w:r>
              <w:rPr>
                <w:rFonts w:cs="Times New Roman"/>
                <w:b/>
                <w:color w:val="000000"/>
              </w:rPr>
              <w:t>Category 5: PR Ethics Violation Mitigation Strategies</w:t>
            </w:r>
          </w:p>
          <w:p w14:paraId="7E531DF7" w14:textId="77777777" w:rsidR="00360E18" w:rsidRDefault="003E5F9B">
            <w:pPr>
              <w:spacing w:line="360" w:lineRule="auto"/>
              <w:textAlignment w:val="baseline"/>
              <w:rPr>
                <w:rFonts w:cs="Times New Roman"/>
                <w:color w:val="000000"/>
              </w:rPr>
            </w:pPr>
            <w:r>
              <w:rPr>
                <w:rFonts w:cs="Times New Roman"/>
                <w:color w:val="000000"/>
              </w:rPr>
              <w:t xml:space="preserve">This category is labelled PR ethics violation mitigation strategies because it encompasses that could have been done by Bell Pottinger to mitigate the chaos and breach of PR standards and principles. It also captures the strategies that can be done by the PRCA and PRISA to ensure that ethical codes of conduct are maintained and upheld as captured </w:t>
            </w:r>
          </w:p>
          <w:p w14:paraId="55B1842A" w14:textId="77777777" w:rsidR="00360E18" w:rsidRDefault="00360E18">
            <w:pPr>
              <w:spacing w:line="360" w:lineRule="auto"/>
              <w:textAlignment w:val="baseline"/>
              <w:rPr>
                <w:rFonts w:cs="Times New Roman"/>
                <w:b/>
                <w:color w:val="000000"/>
              </w:rPr>
            </w:pPr>
          </w:p>
          <w:p w14:paraId="16282DC8" w14:textId="77777777" w:rsidR="00360E18" w:rsidRDefault="003E5F9B">
            <w:pPr>
              <w:spacing w:line="360" w:lineRule="auto"/>
              <w:textAlignment w:val="baseline"/>
              <w:rPr>
                <w:rFonts w:cs="Times New Roman"/>
                <w:b/>
                <w:color w:val="000000"/>
              </w:rPr>
            </w:pPr>
            <w:r>
              <w:rPr>
                <w:rFonts w:cs="Times New Roman"/>
                <w:b/>
                <w:color w:val="000000"/>
              </w:rPr>
              <w:t>Table 4.</w:t>
            </w:r>
            <w:r>
              <w:rPr>
                <w:rFonts w:cs="Times New Roman"/>
                <w:b/>
                <w:color w:val="000000"/>
                <w:lang w:val="en-GB"/>
              </w:rPr>
              <w:t>2</w:t>
            </w:r>
            <w:r>
              <w:rPr>
                <w:rFonts w:cs="Times New Roman"/>
                <w:b/>
                <w:color w:val="000000"/>
              </w:rPr>
              <w:t>.5: Code evident in category 5: PR Ethics Violation Mitigation Strategies</w:t>
            </w:r>
          </w:p>
        </w:tc>
      </w:tr>
      <w:tr w:rsidR="00360E18" w14:paraId="127E0D50" w14:textId="77777777">
        <w:trPr>
          <w:trHeight w:val="223"/>
        </w:trPr>
        <w:tc>
          <w:tcPr>
            <w:tcW w:w="1185" w:type="dxa"/>
            <w:tcBorders>
              <w:top w:val="single" w:sz="8" w:space="0" w:color="9BBB59"/>
              <w:left w:val="single" w:sz="8" w:space="0" w:color="9BBB59"/>
              <w:bottom w:val="single" w:sz="8" w:space="0" w:color="9BBB59"/>
              <w:right w:val="single" w:sz="8" w:space="0" w:color="9BBB59"/>
            </w:tcBorders>
            <w:shd w:val="clear" w:color="auto" w:fill="FFFFFF"/>
          </w:tcPr>
          <w:p w14:paraId="7068E053" w14:textId="77777777" w:rsidR="00360E18" w:rsidRDefault="003E5F9B">
            <w:pPr>
              <w:spacing w:line="360" w:lineRule="auto"/>
              <w:textAlignment w:val="baseline"/>
              <w:rPr>
                <w:rFonts w:cs="Times New Roman"/>
                <w:b/>
                <w:color w:val="000000"/>
              </w:rPr>
            </w:pPr>
            <w:r>
              <w:rPr>
                <w:rFonts w:cs="Times New Roman"/>
                <w:b/>
                <w:color w:val="000000"/>
              </w:rPr>
              <w:t xml:space="preserve">Codes </w:t>
            </w:r>
          </w:p>
        </w:tc>
        <w:tc>
          <w:tcPr>
            <w:tcW w:w="2535" w:type="dxa"/>
            <w:tcBorders>
              <w:top w:val="single" w:sz="8" w:space="0" w:color="9BBB59"/>
              <w:left w:val="single" w:sz="8" w:space="0" w:color="9BBB59"/>
              <w:bottom w:val="single" w:sz="8" w:space="0" w:color="9BBB59"/>
              <w:right w:val="single" w:sz="8" w:space="0" w:color="9BBB59"/>
            </w:tcBorders>
            <w:shd w:val="clear" w:color="auto" w:fill="FFFFFF"/>
          </w:tcPr>
          <w:p w14:paraId="0272B90E" w14:textId="77777777" w:rsidR="00360E18" w:rsidRDefault="003E5F9B">
            <w:pPr>
              <w:spacing w:line="360" w:lineRule="auto"/>
              <w:textAlignment w:val="baseline"/>
              <w:rPr>
                <w:rFonts w:cs="Times New Roman"/>
                <w:b/>
                <w:color w:val="000000"/>
              </w:rPr>
            </w:pPr>
            <w:r>
              <w:rPr>
                <w:rFonts w:cs="Times New Roman"/>
                <w:b/>
                <w:color w:val="000000"/>
              </w:rPr>
              <w:t>Meaning</w:t>
            </w:r>
          </w:p>
        </w:tc>
        <w:tc>
          <w:tcPr>
            <w:tcW w:w="5922" w:type="dxa"/>
            <w:tcBorders>
              <w:top w:val="single" w:sz="8" w:space="0" w:color="9BBB59"/>
              <w:left w:val="single" w:sz="8" w:space="0" w:color="9BBB59"/>
              <w:bottom w:val="single" w:sz="8" w:space="0" w:color="9BBB59"/>
              <w:right w:val="single" w:sz="8" w:space="0" w:color="9BBB59"/>
            </w:tcBorders>
            <w:shd w:val="clear" w:color="auto" w:fill="FFFFFF"/>
          </w:tcPr>
          <w:p w14:paraId="06320CF4" w14:textId="77777777" w:rsidR="00360E18" w:rsidRDefault="003E5F9B">
            <w:pPr>
              <w:spacing w:line="360" w:lineRule="auto"/>
              <w:textAlignment w:val="baseline"/>
              <w:rPr>
                <w:rFonts w:cs="Times New Roman"/>
                <w:b/>
                <w:color w:val="000000"/>
              </w:rPr>
            </w:pPr>
            <w:r>
              <w:rPr>
                <w:rFonts w:cs="Times New Roman"/>
                <w:b/>
                <w:color w:val="000000"/>
              </w:rPr>
              <w:t>Examples from Text</w:t>
            </w:r>
          </w:p>
        </w:tc>
        <w:tc>
          <w:tcPr>
            <w:tcW w:w="240" w:type="dxa"/>
            <w:vMerge w:val="restart"/>
            <w:tcBorders>
              <w:top w:val="single" w:sz="8" w:space="0" w:color="9BBB59"/>
              <w:left w:val="single" w:sz="8" w:space="0" w:color="9BBB59"/>
              <w:bottom w:val="single" w:sz="8" w:space="0" w:color="9BBB59"/>
              <w:right w:val="single" w:sz="8" w:space="0" w:color="9BBB59"/>
            </w:tcBorders>
            <w:shd w:val="clear" w:color="auto" w:fill="FFFFFF"/>
          </w:tcPr>
          <w:p w14:paraId="4927AF54" w14:textId="77777777" w:rsidR="00360E18" w:rsidRDefault="00360E18">
            <w:pPr>
              <w:spacing w:line="360" w:lineRule="auto"/>
              <w:textAlignment w:val="baseline"/>
              <w:rPr>
                <w:rFonts w:cs="Times New Roman"/>
                <w:color w:val="000000"/>
              </w:rPr>
            </w:pPr>
          </w:p>
        </w:tc>
      </w:tr>
      <w:tr w:rsidR="00360E18" w14:paraId="196AA1F9" w14:textId="77777777">
        <w:trPr>
          <w:trHeight w:val="267"/>
        </w:trPr>
        <w:tc>
          <w:tcPr>
            <w:tcW w:w="1185" w:type="dxa"/>
            <w:tcBorders>
              <w:top w:val="single" w:sz="8" w:space="0" w:color="9BBB59"/>
              <w:left w:val="single" w:sz="8" w:space="0" w:color="9BBB59"/>
              <w:bottom w:val="single" w:sz="8" w:space="0" w:color="9BBB59"/>
              <w:right w:val="single" w:sz="8" w:space="0" w:color="9BBB59"/>
            </w:tcBorders>
            <w:shd w:val="clear" w:color="auto" w:fill="FFFFFF"/>
          </w:tcPr>
          <w:p w14:paraId="08D17E86" w14:textId="77777777" w:rsidR="00360E18" w:rsidRDefault="003E5F9B">
            <w:pPr>
              <w:spacing w:line="360" w:lineRule="auto"/>
              <w:textAlignment w:val="baseline"/>
              <w:rPr>
                <w:rFonts w:cs="Times New Roman"/>
                <w:color w:val="000000"/>
              </w:rPr>
            </w:pPr>
            <w:r>
              <w:rPr>
                <w:rFonts w:cs="Times New Roman"/>
                <w:color w:val="000000"/>
              </w:rPr>
              <w:t>Penalisation</w:t>
            </w:r>
          </w:p>
        </w:tc>
        <w:tc>
          <w:tcPr>
            <w:tcW w:w="2535" w:type="dxa"/>
            <w:tcBorders>
              <w:top w:val="single" w:sz="8" w:space="0" w:color="9BBB59"/>
              <w:left w:val="single" w:sz="8" w:space="0" w:color="9BBB59"/>
              <w:bottom w:val="single" w:sz="8" w:space="0" w:color="9BBB59"/>
              <w:right w:val="single" w:sz="8" w:space="0" w:color="9BBB59"/>
            </w:tcBorders>
            <w:shd w:val="clear" w:color="auto" w:fill="FFFFFF"/>
          </w:tcPr>
          <w:p w14:paraId="67EF8097" w14:textId="77777777" w:rsidR="00360E18" w:rsidRDefault="003E5F9B">
            <w:pPr>
              <w:spacing w:line="360" w:lineRule="auto"/>
              <w:textAlignment w:val="baseline"/>
              <w:rPr>
                <w:rFonts w:cs="Times New Roman"/>
                <w:color w:val="000000"/>
              </w:rPr>
            </w:pPr>
            <w:r>
              <w:rPr>
                <w:rFonts w:cs="Times New Roman"/>
                <w:color w:val="000000"/>
              </w:rPr>
              <w:t xml:space="preserve">Heavy sanctioning of media houses/agencies that go against the set principles </w:t>
            </w:r>
          </w:p>
        </w:tc>
        <w:tc>
          <w:tcPr>
            <w:tcW w:w="5922" w:type="dxa"/>
            <w:tcBorders>
              <w:top w:val="single" w:sz="8" w:space="0" w:color="9BBB59"/>
              <w:left w:val="single" w:sz="8" w:space="0" w:color="9BBB59"/>
              <w:bottom w:val="single" w:sz="8" w:space="0" w:color="9BBB59"/>
              <w:right w:val="single" w:sz="8" w:space="0" w:color="9BBB59"/>
            </w:tcBorders>
            <w:shd w:val="clear" w:color="auto" w:fill="FFFFFF"/>
          </w:tcPr>
          <w:p w14:paraId="6A251D9C" w14:textId="77777777" w:rsidR="00360E18" w:rsidRDefault="003E5F9B">
            <w:pPr>
              <w:spacing w:before="100" w:beforeAutospacing="1" w:after="100" w:afterAutospacing="1"/>
              <w:rPr>
                <w:rFonts w:eastAsia="Times New Roman" w:cs="Times New Roman"/>
                <w:color w:val="000000"/>
              </w:rPr>
            </w:pPr>
            <w:r>
              <w:rPr>
                <w:rFonts w:eastAsia="Times New Roman" w:cs="Times New Roman"/>
                <w:color w:val="000000"/>
              </w:rPr>
              <w:t>Francis Ingham MPRCA, Director General, PRCA, said: “Bell Pottinger has brought the PR and communications industry into disrepute with its actions, and it has received the harshest possible sanctions. The PRCA has never before passed down such a damning indictment of an agency’s behaviour.”</w:t>
            </w:r>
          </w:p>
          <w:p w14:paraId="2CEDD412" w14:textId="77777777" w:rsidR="00360E18" w:rsidRDefault="003E5F9B">
            <w:pPr>
              <w:spacing w:before="100" w:beforeAutospacing="1" w:after="100" w:afterAutospacing="1"/>
              <w:rPr>
                <w:rFonts w:eastAsia="Times New Roman" w:cs="Times New Roman"/>
                <w:color w:val="000000"/>
              </w:rPr>
            </w:pPr>
            <w:r>
              <w:rPr>
                <w:rFonts w:eastAsia="Times New Roman" w:cs="Times New Roman"/>
                <w:color w:val="000000"/>
              </w:rPr>
              <w:t>“This outcome reflects the huge importance that the PRCA places on the protection of ethical standards in the business of PR and communications.” (PRCA, 2017)</w:t>
            </w:r>
          </w:p>
          <w:p w14:paraId="3AED8DAE" w14:textId="77777777" w:rsidR="00360E18" w:rsidRDefault="00360E18">
            <w:pPr>
              <w:spacing w:before="100" w:beforeAutospacing="1" w:after="100" w:afterAutospacing="1"/>
              <w:rPr>
                <w:rFonts w:eastAsia="Times New Roman" w:cs="Times New Roman"/>
                <w:color w:val="000000"/>
              </w:rPr>
            </w:pPr>
          </w:p>
        </w:tc>
        <w:tc>
          <w:tcPr>
            <w:tcW w:w="240" w:type="dxa"/>
            <w:vMerge/>
            <w:tcBorders>
              <w:top w:val="single" w:sz="8" w:space="0" w:color="9BBB59"/>
              <w:left w:val="single" w:sz="8" w:space="0" w:color="9BBB59"/>
              <w:bottom w:val="single" w:sz="8" w:space="0" w:color="9BBB59"/>
              <w:right w:val="single" w:sz="8" w:space="0" w:color="9BBB59"/>
            </w:tcBorders>
            <w:shd w:val="clear" w:color="auto" w:fill="FFFFFF"/>
          </w:tcPr>
          <w:p w14:paraId="46612F91" w14:textId="77777777" w:rsidR="00360E18" w:rsidRDefault="00360E18">
            <w:pPr>
              <w:spacing w:line="360" w:lineRule="auto"/>
              <w:textAlignment w:val="baseline"/>
              <w:rPr>
                <w:rFonts w:cs="Times New Roman"/>
                <w:color w:val="000000"/>
              </w:rPr>
            </w:pPr>
          </w:p>
        </w:tc>
      </w:tr>
      <w:tr w:rsidR="00360E18" w14:paraId="375FEB9B" w14:textId="77777777">
        <w:trPr>
          <w:trHeight w:val="330"/>
        </w:trPr>
        <w:tc>
          <w:tcPr>
            <w:tcW w:w="9882" w:type="dxa"/>
            <w:gridSpan w:val="4"/>
            <w:tcBorders>
              <w:top w:val="single" w:sz="8" w:space="0" w:color="9BBB59"/>
              <w:left w:val="single" w:sz="8" w:space="0" w:color="9BBB59"/>
              <w:bottom w:val="single" w:sz="8" w:space="0" w:color="9BBB59"/>
              <w:right w:val="single" w:sz="8" w:space="0" w:color="9BBB59"/>
            </w:tcBorders>
            <w:shd w:val="clear" w:color="auto" w:fill="FFFFFF"/>
          </w:tcPr>
          <w:p w14:paraId="2AD48E32" w14:textId="77777777" w:rsidR="00360E18" w:rsidRDefault="00360E18">
            <w:pPr>
              <w:spacing w:line="360" w:lineRule="auto"/>
              <w:textAlignment w:val="baseline"/>
              <w:rPr>
                <w:rFonts w:cs="Times New Roman"/>
                <w:color w:val="000000"/>
              </w:rPr>
            </w:pPr>
          </w:p>
        </w:tc>
      </w:tr>
    </w:tbl>
    <w:p w14:paraId="75DE722C" w14:textId="77777777" w:rsidR="00360E18" w:rsidRDefault="00360E18">
      <w:pPr>
        <w:shd w:val="clear" w:color="auto" w:fill="FFFFFF"/>
        <w:spacing w:line="360" w:lineRule="auto"/>
        <w:textAlignment w:val="baseline"/>
        <w:rPr>
          <w:rFonts w:cs="Times New Roman"/>
          <w:b/>
        </w:rPr>
      </w:pPr>
    </w:p>
    <w:p w14:paraId="71CEEC28" w14:textId="77777777" w:rsidR="00360E18" w:rsidRDefault="003E5F9B">
      <w:pPr>
        <w:pStyle w:val="Heading2"/>
        <w:rPr>
          <w:lang w:val="en-GB"/>
        </w:rPr>
      </w:pPr>
      <w:r>
        <w:rPr>
          <w:lang w:val="en-GB"/>
        </w:rPr>
        <w:t xml:space="preserve">4.3 Discussion and Interpretation </w:t>
      </w:r>
    </w:p>
    <w:p w14:paraId="2A46A335" w14:textId="77777777" w:rsidR="00360E18" w:rsidRDefault="003E5F9B">
      <w:pPr>
        <w:spacing w:line="360" w:lineRule="auto"/>
        <w:ind w:firstLineChars="200" w:firstLine="480"/>
        <w:rPr>
          <w:lang w:val="en-GB"/>
        </w:rPr>
      </w:pPr>
      <w:r>
        <w:t>This component provides a further interpretation of the aspects highlighted above. Bell Pottinger was engaged into the Gupta’s Oakbay Investments economic emancipation campaign there where a number of racially toxic events which stirred chaos within the South Africa. The crisis was initiated by their Public relations activities which generated fake news and made campaigns that created racial divisions. Lazer et al (2018) defines fake news as fabricated information that mimics news media content in form but not in organisational process or intent. Fake news outlets lack the news media’s editorial norms and processes for ensuring the accuracy and credibility of information. The campaign gained more questions than answers which led to political groups and investigative journalism institutions to question and investigate Bell Pottinger’s practices. The agenda for the engagement of Bell Pottinger by the Oakbay Investment was diverted and led to racial division after the utilization of phrase “white monopoly capital”. There was need to set and adhere to an agenda.  Agenda setting as indicated by Cloete &amp; de Coning, (2011) deliberative planning process through which policy issues are identified, problems defined and prioritised, support mobilised and decision makers lobbied to take appropriate action. In general the Bell Pottinger activities were divisive, manipulative and dishonesty which led to complaint being lodged and investigations done</w:t>
      </w:r>
      <w:r>
        <w:rPr>
          <w:lang w:val="en-GB"/>
        </w:rPr>
        <w:t>.</w:t>
      </w:r>
    </w:p>
    <w:p w14:paraId="72EFF8A6" w14:textId="77777777" w:rsidR="00360E18" w:rsidRDefault="003E5F9B">
      <w:pPr>
        <w:spacing w:line="360" w:lineRule="auto"/>
        <w:ind w:firstLineChars="200" w:firstLine="480"/>
      </w:pPr>
      <w:r>
        <w:t>A number of clauses were identified to have been breached after an inquiry was conducted the PRCA and PRISA based on the complaint that was lodged by the Democratic Alliance which is one of South Africa’s opposition parties. The following are the clauses identified during the inquiry PRCA Professional Charter clause 1.1: “Have a positive duty to observe the highest standards in the practice of Public Relations and Communications. Furthermore a member has the responsibility at all times to deal fairly and honestly with fellow members and professionals, the Public Relations and Communications profession, other professions, suppliers, intermediaries, the media of communication, colleagues, and above all else the public.”</w:t>
      </w:r>
    </w:p>
    <w:p w14:paraId="7B22F4AF" w14:textId="77777777" w:rsidR="00360E18" w:rsidRDefault="003E5F9B">
      <w:pPr>
        <w:spacing w:line="360" w:lineRule="auto"/>
        <w:ind w:firstLineChars="200" w:firstLine="480"/>
      </w:pPr>
      <w:r>
        <w:t>Secondly, PRCA Professional Charter clause 4: “A member is required to take all reasonable care that professional duties are conducted without causing offence on the grounds of gender, race, religion, disability or any other form of discrimination or unacceptable reference.”</w:t>
      </w:r>
    </w:p>
    <w:p w14:paraId="0711CB7F" w14:textId="77777777" w:rsidR="00360E18" w:rsidRDefault="003E5F9B">
      <w:pPr>
        <w:spacing w:line="360" w:lineRule="auto"/>
        <w:ind w:firstLineChars="200" w:firstLine="480"/>
      </w:pPr>
      <w:r>
        <w:t>Thirdly, PRCA Public Affairs and Lobbying Code of Conduct clause 12: “PRCA members conducting Public Affairs and Lobbying services must be at all times aware of the importance of their observance of the principles and duties set out in this Code for the protection and maintenance of their own reputation, the good name and success of their organisation, and the standing of the profession as a whole.”</w:t>
      </w:r>
    </w:p>
    <w:p w14:paraId="50B88C98" w14:textId="77777777" w:rsidR="00360E18" w:rsidRDefault="003E5F9B">
      <w:pPr>
        <w:spacing w:line="360" w:lineRule="auto"/>
        <w:ind w:firstLineChars="200" w:firstLine="480"/>
      </w:pPr>
      <w:r>
        <w:t>Lastly, PRCA Public Affairs and Lobbying Code of Conduct clause 13: “A member shall not act or engage in any practice or conduct in any manner detrimental to the reputation of the Association or the profession of Public Affairs and Lobbying in general.”</w:t>
      </w:r>
    </w:p>
    <w:p w14:paraId="52F68BAB" w14:textId="77777777" w:rsidR="00360E18" w:rsidRDefault="003E5F9B">
      <w:pPr>
        <w:spacing w:line="360" w:lineRule="auto"/>
        <w:ind w:firstLineChars="200" w:firstLine="480"/>
      </w:pPr>
      <w:r>
        <w:t>The issues of accountability on Bell Pottinger's senior management was directly indicated within the Hebert Smith Freehills review report 2017 that "should have known that the campaign was at risk of causing offence, including on grounds of race. In such circumstances BP ought to have exercised extreme care and should have closely scrutinised the creation of content for the campaign. This does not appear to have happened." This would have ensure that the organisation does not show that they have been negligent and did not provide that appropriate supervision and support required.</w:t>
      </w:r>
    </w:p>
    <w:p w14:paraId="575900E7" w14:textId="77777777" w:rsidR="00360E18" w:rsidRDefault="003E5F9B">
      <w:pPr>
        <w:spacing w:line="360" w:lineRule="auto"/>
        <w:ind w:firstLineChars="200" w:firstLine="480"/>
      </w:pPr>
      <w:r>
        <w:t>Based on all these indications when Bell Pottinger’s role became public, protesters rallied against the company, both in South Africa and outside. The Professional Practice Committee understood that the burden of Bell Pottinger’s response to be that the offending element was just one component of a single work stream in a large and complex programme (PRCA report, 2017).  Identified were issues of dishonest, deceptiveness, manipulation, negligence, unaccountability as some of the major loopholes within the operations and PR practice. Subsequently the investigation by the Public Relations and Communications Association, led to the termination of membership of Bell Pottinger.</w:t>
      </w:r>
    </w:p>
    <w:p w14:paraId="0C847955" w14:textId="77777777" w:rsidR="00360E18" w:rsidRDefault="003E5F9B">
      <w:pPr>
        <w:pStyle w:val="Heading2"/>
        <w:rPr>
          <w:lang w:val="en-GB"/>
        </w:rPr>
      </w:pPr>
      <w:r>
        <w:rPr>
          <w:lang w:val="en-GB"/>
        </w:rPr>
        <w:t xml:space="preserve">4.4 Conclusion </w:t>
      </w:r>
    </w:p>
    <w:p w14:paraId="512F7C6F" w14:textId="77777777" w:rsidR="00360E18" w:rsidRDefault="003E5F9B">
      <w:pPr>
        <w:spacing w:line="360" w:lineRule="auto"/>
        <w:ind w:firstLineChars="200" w:firstLine="480"/>
        <w:rPr>
          <w:rFonts w:cs="Times New Roman"/>
          <w:lang w:val="en-GB"/>
        </w:rPr>
      </w:pPr>
      <w:r>
        <w:rPr>
          <w:rFonts w:cs="Times New Roman"/>
          <w:lang w:val="en-GB"/>
        </w:rPr>
        <w:t>This chapter provided an analysis of the findings based on the content of different online media source based on how they report the practices economic emancipation campaign by the Bell Pottinger how it violates the PRISA and PRCA ethical codes of conduct ethical codes of conduct An in-depth analysis and presentation is provided utilising the coding matrix and categorisation which in turn provides a detailed and clear reflection of malpractices and the ultimate verdict reached. I believe there are a wide array of perspectives that may be brought to this research that may need to be explored from the Bell Pottinger economic emancipation campaign scandal.</w:t>
      </w:r>
    </w:p>
    <w:p w14:paraId="25C57DE6" w14:textId="77777777" w:rsidR="00360E18" w:rsidRDefault="003E5F9B">
      <w:pPr>
        <w:rPr>
          <w:rFonts w:cs="Times New Roman"/>
          <w:lang w:val="en-GB"/>
        </w:rPr>
      </w:pPr>
      <w:r>
        <w:rPr>
          <w:rFonts w:cs="Times New Roman"/>
          <w:lang w:val="en-GB"/>
        </w:rPr>
        <w:br w:type="page"/>
      </w:r>
    </w:p>
    <w:p w14:paraId="247BB6A6" w14:textId="77777777" w:rsidR="00360E18" w:rsidRDefault="003E5F9B">
      <w:pPr>
        <w:pStyle w:val="Heading1"/>
        <w:numPr>
          <w:ilvl w:val="0"/>
          <w:numId w:val="13"/>
        </w:numPr>
        <w:rPr>
          <w:lang w:val="en-GB"/>
        </w:rPr>
      </w:pPr>
      <w:r>
        <w:rPr>
          <w:lang w:val="en-GB"/>
        </w:rPr>
        <w:t>CHAPTER FIVE: SUMMARY, CONCLUSIONS AND RECOMMENDATIONS</w:t>
      </w:r>
    </w:p>
    <w:p w14:paraId="391ACCD5" w14:textId="77777777" w:rsidR="00360E18" w:rsidRDefault="003E5F9B">
      <w:pPr>
        <w:pStyle w:val="Heading2"/>
        <w:rPr>
          <w:lang w:val="en-GB"/>
        </w:rPr>
      </w:pPr>
      <w:r>
        <w:rPr>
          <w:lang w:val="en-GB"/>
        </w:rPr>
        <w:t>5.1 Introduction</w:t>
      </w:r>
    </w:p>
    <w:p w14:paraId="5430C8A4" w14:textId="77777777" w:rsidR="00360E18" w:rsidRDefault="003E5F9B">
      <w:pPr>
        <w:spacing w:line="360" w:lineRule="auto"/>
        <w:ind w:firstLineChars="200" w:firstLine="480"/>
        <w:rPr>
          <w:rFonts w:cs="Times New Roman"/>
          <w:lang w:val="en-GB"/>
        </w:rPr>
      </w:pPr>
      <w:r>
        <w:rPr>
          <w:rFonts w:cs="Times New Roman"/>
          <w:lang w:val="en-GB"/>
        </w:rPr>
        <w:t xml:space="preserve">This chapter sums up the research with a set of conclusions, summary and recommendations of the research study. The chapter proceeds with a summary of the research study, stating the motivation, background, literature underpinnings and methodological considerations. Having done that, the chapter will then draw conclusions from findings before presenting recommendations that are anchored on the PRCA and PRISA reform to their codes of conduct for purposes of introducing proactive codes as opposed to reactive and damaging, as the Bell Pottinger has shown, practices. </w:t>
      </w:r>
    </w:p>
    <w:p w14:paraId="6E8E1D6F" w14:textId="77777777" w:rsidR="00360E18" w:rsidRDefault="003E5F9B">
      <w:pPr>
        <w:pStyle w:val="Heading2"/>
        <w:rPr>
          <w:lang w:val="en-GB"/>
        </w:rPr>
      </w:pPr>
      <w:r>
        <w:rPr>
          <w:lang w:val="en-GB"/>
        </w:rPr>
        <w:t xml:space="preserve">5.2 Summary </w:t>
      </w:r>
    </w:p>
    <w:p w14:paraId="5D0C0DB4" w14:textId="77777777" w:rsidR="00360E18" w:rsidRDefault="003E5F9B">
      <w:pPr>
        <w:spacing w:line="360" w:lineRule="auto"/>
        <w:ind w:firstLineChars="200" w:firstLine="480"/>
        <w:rPr>
          <w:rFonts w:cs="Times New Roman"/>
          <w:lang w:val="en-GB"/>
        </w:rPr>
      </w:pPr>
      <w:r>
        <w:rPr>
          <w:rFonts w:cs="Times New Roman"/>
          <w:lang w:val="en-GB"/>
        </w:rPr>
        <w:t>This research study was motivated by the infamous coverage of the Bell Pottinger saga in South Africa following reports that the British company had violated PRCA and PRISA codes of conduct when it conducted the economic emancipation campaign. The background of the study suggested that the Bell Pottinger case came to light when the Democratic Alliance reported the matter on allegations that the PR company was fuelling racial tensions to hoodwink the public from scrutinising corruption cases particularly against the Guptas’ state capture and the ruling party.</w:t>
      </w:r>
    </w:p>
    <w:p w14:paraId="32769F43" w14:textId="77777777" w:rsidR="00360E18" w:rsidRDefault="003E5F9B">
      <w:pPr>
        <w:spacing w:line="360" w:lineRule="auto"/>
        <w:ind w:firstLineChars="200" w:firstLine="480"/>
        <w:rPr>
          <w:rFonts w:cs="Times New Roman"/>
          <w:lang w:val="en-GB"/>
        </w:rPr>
      </w:pPr>
      <w:r>
        <w:rPr>
          <w:rFonts w:cs="Times New Roman"/>
          <w:lang w:val="en-GB"/>
        </w:rPr>
        <w:t>Chapter one has thus laid the foundations for a thorough analysis with a presentation of research objectives. Among other things, the objectives were concerned with revealing the extent to which Bell Pottinger breached ethical codes of conduct within the public relations spectrum as well as highlighting the actual ethical provisions that had been breached. By doing this, the succeeding paragraphs, particularly the recommendations sections would unpack how PR conduct can balance their profit making business with strict adherence to laid down rules of engagement.</w:t>
      </w:r>
    </w:p>
    <w:p w14:paraId="0BC8A443" w14:textId="77777777" w:rsidR="00360E18" w:rsidRDefault="003E5F9B">
      <w:pPr>
        <w:rPr>
          <w:rFonts w:cs="Times New Roman"/>
          <w:lang w:val="en-GB"/>
        </w:rPr>
      </w:pPr>
      <w:r>
        <w:rPr>
          <w:rFonts w:cs="Times New Roman"/>
          <w:lang w:val="en-GB"/>
        </w:rPr>
        <w:br w:type="page"/>
      </w:r>
    </w:p>
    <w:p w14:paraId="2B52466E" w14:textId="77777777" w:rsidR="00360E18" w:rsidRDefault="00360E18">
      <w:pPr>
        <w:spacing w:line="360" w:lineRule="auto"/>
        <w:rPr>
          <w:rFonts w:cs="Times New Roman"/>
        </w:rPr>
      </w:pPr>
    </w:p>
    <w:p w14:paraId="0E64A442" w14:textId="77777777" w:rsidR="00360E18" w:rsidRDefault="00360E18">
      <w:pPr>
        <w:spacing w:line="360" w:lineRule="auto"/>
        <w:rPr>
          <w:rFonts w:cs="Times New Roman"/>
          <w:b/>
        </w:rPr>
      </w:pPr>
    </w:p>
    <w:p w14:paraId="45FE3797" w14:textId="77777777" w:rsidR="00360E18" w:rsidRDefault="00360E18">
      <w:pPr>
        <w:spacing w:line="360" w:lineRule="auto"/>
        <w:rPr>
          <w:rFonts w:cs="Times New Roman"/>
          <w:b/>
        </w:rPr>
      </w:pPr>
    </w:p>
    <w:p w14:paraId="44A77DDD" w14:textId="77777777" w:rsidR="00360E18" w:rsidRDefault="00360E18">
      <w:pPr>
        <w:spacing w:line="360" w:lineRule="auto"/>
        <w:rPr>
          <w:rFonts w:cs="Times New Roman"/>
          <w:b/>
        </w:rPr>
      </w:pPr>
    </w:p>
    <w:p w14:paraId="6894513D" w14:textId="77777777" w:rsidR="00360E18" w:rsidRDefault="00360E18">
      <w:pPr>
        <w:spacing w:line="360" w:lineRule="auto"/>
        <w:rPr>
          <w:rFonts w:cs="Times New Roman"/>
          <w:b/>
        </w:rPr>
      </w:pPr>
    </w:p>
    <w:p w14:paraId="1CFD75B7" w14:textId="77777777" w:rsidR="00360E18" w:rsidRDefault="00360E18">
      <w:pPr>
        <w:spacing w:line="360" w:lineRule="auto"/>
        <w:rPr>
          <w:rFonts w:cs="Times New Roman"/>
          <w:b/>
        </w:rPr>
      </w:pPr>
    </w:p>
    <w:p w14:paraId="4299BE2E" w14:textId="77777777" w:rsidR="00360E18" w:rsidRDefault="00360E18">
      <w:pPr>
        <w:spacing w:line="360" w:lineRule="auto"/>
        <w:rPr>
          <w:rFonts w:cs="Times New Roman"/>
          <w:b/>
        </w:rPr>
      </w:pPr>
    </w:p>
    <w:p w14:paraId="1F21B63E" w14:textId="77777777" w:rsidR="00360E18" w:rsidRDefault="00360E18">
      <w:pPr>
        <w:spacing w:line="360" w:lineRule="auto"/>
        <w:rPr>
          <w:rFonts w:cs="Times New Roman"/>
          <w:b/>
        </w:rPr>
      </w:pPr>
    </w:p>
    <w:p w14:paraId="6B591F98" w14:textId="77777777" w:rsidR="00360E18" w:rsidRDefault="00360E18">
      <w:pPr>
        <w:spacing w:line="360" w:lineRule="auto"/>
        <w:rPr>
          <w:rFonts w:cs="Times New Roman"/>
          <w:b/>
        </w:rPr>
      </w:pPr>
    </w:p>
    <w:p w14:paraId="551DF777" w14:textId="77777777" w:rsidR="00360E18" w:rsidRDefault="00360E18">
      <w:pPr>
        <w:spacing w:line="360" w:lineRule="auto"/>
        <w:rPr>
          <w:rFonts w:cs="Times New Roman"/>
          <w:b/>
        </w:rPr>
      </w:pPr>
    </w:p>
    <w:p w14:paraId="79AB63C6" w14:textId="77777777" w:rsidR="00360E18" w:rsidRDefault="00360E18">
      <w:pPr>
        <w:spacing w:line="360" w:lineRule="auto"/>
        <w:rPr>
          <w:rFonts w:cs="Times New Roman"/>
          <w:b/>
        </w:rPr>
      </w:pPr>
    </w:p>
    <w:p w14:paraId="3F1F9113" w14:textId="77777777" w:rsidR="00360E18" w:rsidRDefault="00360E18">
      <w:pPr>
        <w:spacing w:line="360" w:lineRule="auto"/>
        <w:rPr>
          <w:rFonts w:cs="Times New Roman"/>
          <w:b/>
        </w:rPr>
      </w:pPr>
    </w:p>
    <w:p w14:paraId="390D6057" w14:textId="77777777" w:rsidR="00360E18" w:rsidRDefault="00360E18">
      <w:pPr>
        <w:spacing w:line="360" w:lineRule="auto"/>
        <w:rPr>
          <w:rFonts w:cs="Times New Roman"/>
          <w:b/>
        </w:rPr>
      </w:pPr>
    </w:p>
    <w:p w14:paraId="5135CCA9" w14:textId="77777777" w:rsidR="00360E18" w:rsidRDefault="00360E18">
      <w:pPr>
        <w:rPr>
          <w:rFonts w:cs="Times New Roman"/>
        </w:rPr>
      </w:pPr>
    </w:p>
    <w:p w14:paraId="17F94E2E" w14:textId="77777777" w:rsidR="00360E18" w:rsidRDefault="00360E18">
      <w:pPr>
        <w:spacing w:line="360" w:lineRule="auto"/>
        <w:ind w:firstLineChars="200" w:firstLine="480"/>
        <w:rPr>
          <w:rFonts w:cs="Times New Roman"/>
          <w:lang w:val="en-GB"/>
        </w:rPr>
      </w:pPr>
    </w:p>
    <w:p w14:paraId="52390BEF" w14:textId="77777777" w:rsidR="00360E18" w:rsidRDefault="00360E18">
      <w:pPr>
        <w:spacing w:line="360" w:lineRule="auto"/>
        <w:ind w:firstLineChars="200" w:firstLine="480"/>
        <w:rPr>
          <w:rFonts w:cs="Times New Roman"/>
          <w:lang w:val="en-GB"/>
        </w:rPr>
      </w:pPr>
    </w:p>
    <w:p w14:paraId="718BA5C4" w14:textId="77777777" w:rsidR="00360E18" w:rsidRDefault="00360E18">
      <w:pPr>
        <w:spacing w:line="360" w:lineRule="auto"/>
        <w:ind w:firstLineChars="200" w:firstLine="480"/>
        <w:rPr>
          <w:rFonts w:cs="Times New Roman"/>
          <w:lang w:val="en-GB"/>
        </w:rPr>
      </w:pPr>
    </w:p>
    <w:p w14:paraId="15633728" w14:textId="77777777" w:rsidR="00360E18" w:rsidRDefault="00360E18">
      <w:pPr>
        <w:spacing w:line="360" w:lineRule="auto"/>
        <w:ind w:firstLineChars="200" w:firstLine="480"/>
        <w:rPr>
          <w:rFonts w:cs="Times New Roman"/>
          <w:lang w:val="en-GB"/>
        </w:rPr>
      </w:pPr>
    </w:p>
    <w:p w14:paraId="1A47C330" w14:textId="77777777" w:rsidR="00360E18" w:rsidRDefault="00360E18">
      <w:pPr>
        <w:spacing w:line="360" w:lineRule="auto"/>
        <w:ind w:firstLineChars="200" w:firstLine="480"/>
        <w:rPr>
          <w:lang w:val="en-GB"/>
        </w:rPr>
      </w:pPr>
    </w:p>
    <w:p w14:paraId="4E17D11E" w14:textId="77777777" w:rsidR="00360E18" w:rsidRDefault="00360E18">
      <w:pPr>
        <w:spacing w:line="360" w:lineRule="auto"/>
        <w:ind w:firstLineChars="200" w:firstLine="480"/>
        <w:rPr>
          <w:lang w:val="en-GB"/>
        </w:rPr>
      </w:pPr>
    </w:p>
    <w:p w14:paraId="02BE4D16" w14:textId="77777777" w:rsidR="00360E18" w:rsidRDefault="00360E18">
      <w:pPr>
        <w:spacing w:line="360" w:lineRule="auto"/>
        <w:ind w:firstLineChars="200" w:firstLine="480"/>
        <w:rPr>
          <w:lang w:val="en-GB"/>
        </w:rPr>
      </w:pPr>
    </w:p>
    <w:p w14:paraId="599FE8A8" w14:textId="77777777" w:rsidR="00360E18" w:rsidRDefault="003E5F9B">
      <w:pPr>
        <w:rPr>
          <w:lang w:val="en-GB"/>
        </w:rPr>
      </w:pPr>
      <w:r>
        <w:rPr>
          <w:lang w:val="en-GB"/>
        </w:rPr>
        <w:br w:type="page"/>
      </w:r>
    </w:p>
    <w:p w14:paraId="66AD608E" w14:textId="77777777" w:rsidR="00360E18" w:rsidRDefault="003E5F9B">
      <w:pPr>
        <w:pStyle w:val="Heading2"/>
        <w:rPr>
          <w:lang w:val="en-GB"/>
        </w:rPr>
      </w:pPr>
      <w:r>
        <w:rPr>
          <w:lang w:val="en-GB"/>
        </w:rPr>
        <w:t xml:space="preserve">References </w:t>
      </w:r>
    </w:p>
    <w:p w14:paraId="245E0B2B" w14:textId="77777777" w:rsidR="00360E18" w:rsidRDefault="003E5F9B">
      <w:pPr>
        <w:spacing w:line="360" w:lineRule="auto"/>
        <w:rPr>
          <w:lang w:val="en-GB"/>
        </w:rPr>
      </w:pPr>
      <w:r>
        <w:rPr>
          <w:lang w:val="en-GB"/>
        </w:rPr>
        <w:t xml:space="preserve">Delta Net International, (2021). What is a code of Conduct. Available at: </w:t>
      </w:r>
      <w:hyperlink r:id="rId8" w:history="1">
        <w:r>
          <w:rPr>
            <w:rStyle w:val="Hyperlink"/>
            <w:lang w:val="en-GB"/>
          </w:rPr>
          <w:t>https://www.delta-net.com/compliance/code-of-conduct/faqs/why-is-a-code-of-conduct-important</w:t>
        </w:r>
      </w:hyperlink>
      <w:r>
        <w:rPr>
          <w:lang w:val="en-GB"/>
        </w:rPr>
        <w:t xml:space="preserve"> [Accessed 07 October 2021].</w:t>
      </w:r>
    </w:p>
    <w:p w14:paraId="46DF3375" w14:textId="77777777" w:rsidR="00360E18" w:rsidRDefault="003E5F9B">
      <w:pPr>
        <w:spacing w:line="360" w:lineRule="auto"/>
        <w:rPr>
          <w:lang w:val="en-GB"/>
        </w:rPr>
      </w:pPr>
      <w:r>
        <w:rPr>
          <w:lang w:val="en-GB"/>
        </w:rPr>
        <w:t xml:space="preserve">Gain Integrity, (2021). Code of Conduct. Available at: </w:t>
      </w:r>
      <w:hyperlink r:id="rId9" w:history="1">
        <w:r>
          <w:rPr>
            <w:rStyle w:val="Hyperlink"/>
            <w:lang w:val="en-GB"/>
          </w:rPr>
          <w:t>https://www.ganintegrity.com/compliance-glossary/code-of-conduct/</w:t>
        </w:r>
      </w:hyperlink>
      <w:r>
        <w:rPr>
          <w:lang w:val="en-GB"/>
        </w:rPr>
        <w:t xml:space="preserve"> [Accessed 07 October 2021].</w:t>
      </w:r>
    </w:p>
    <w:p w14:paraId="7BC5EA3D" w14:textId="77777777" w:rsidR="00360E18" w:rsidRDefault="003E5F9B">
      <w:pPr>
        <w:spacing w:line="360" w:lineRule="auto"/>
        <w:rPr>
          <w:lang w:val="en-GB"/>
        </w:rPr>
      </w:pPr>
      <w:r>
        <w:rPr>
          <w:lang w:val="en-GB"/>
        </w:rPr>
        <w:t xml:space="preserve">Velasquez, M., Andre, C., Shanks, T., S.J., Meyer, M.J., (2010). What is ethics? Markula Centre for Applied Sciences at Santa Clare University. Available at: </w:t>
      </w:r>
      <w:hyperlink r:id="rId10" w:history="1">
        <w:r>
          <w:rPr>
            <w:rStyle w:val="Hyperlink"/>
            <w:lang w:val="en-GB"/>
          </w:rPr>
          <w:t>https://www.scu.edu/ethics/ethics-resources/ethical-decision-making/what-is-ethics/</w:t>
        </w:r>
      </w:hyperlink>
      <w:r>
        <w:rPr>
          <w:lang w:val="en-GB"/>
        </w:rPr>
        <w:t xml:space="preserve"> [Accessed 07 October 2021].</w:t>
      </w:r>
    </w:p>
    <w:p w14:paraId="72B82516" w14:textId="77777777" w:rsidR="00360E18" w:rsidRDefault="003E5F9B">
      <w:pPr>
        <w:spacing w:line="360" w:lineRule="auto"/>
        <w:rPr>
          <w:rFonts w:eastAsia="SimSun" w:cs="Times New Roman"/>
          <w:color w:val="222222"/>
          <w:shd w:val="clear" w:color="auto" w:fill="FFFFFF"/>
        </w:rPr>
      </w:pPr>
      <w:r>
        <w:rPr>
          <w:rFonts w:eastAsia="SimSun" w:cs="Times New Roman"/>
          <w:color w:val="222222"/>
          <w:shd w:val="clear" w:color="auto" w:fill="FFFFFF"/>
        </w:rPr>
        <w:t>JM, L., 2001. Gray literature. </w:t>
      </w:r>
      <w:r>
        <w:rPr>
          <w:rFonts w:eastAsia="SimSun" w:cs="Times New Roman"/>
          <w:i/>
          <w:iCs/>
          <w:color w:val="222222"/>
          <w:shd w:val="clear" w:color="auto" w:fill="FFFFFF"/>
        </w:rPr>
        <w:t>A Dictionary of Epidemiology. 4th ed. Oxford: Oxford Univ Pr</w:t>
      </w:r>
      <w:r>
        <w:rPr>
          <w:rFonts w:eastAsia="SimSun" w:cs="Times New Roman"/>
          <w:color w:val="222222"/>
          <w:shd w:val="clear" w:color="auto" w:fill="FFFFFF"/>
        </w:rPr>
        <w:t>.</w:t>
      </w:r>
    </w:p>
    <w:p w14:paraId="1D73B1CF" w14:textId="77777777" w:rsidR="00360E18" w:rsidRDefault="003E5F9B">
      <w:pPr>
        <w:shd w:val="clear" w:color="auto" w:fill="FFFFFF"/>
        <w:spacing w:line="360" w:lineRule="auto"/>
        <w:textAlignment w:val="baseline"/>
        <w:rPr>
          <w:rFonts w:cs="Times New Roman"/>
        </w:rPr>
      </w:pPr>
      <w:r>
        <w:rPr>
          <w:rFonts w:cs="Times New Roman"/>
        </w:rPr>
        <w:t xml:space="preserve">Cloete, F., de Coning, C., Wissink, H. &amp; Rabie, B. (eds.). 2018. Improving Public Policy: For Good Governance. Pretoria: van Schaik. </w:t>
      </w:r>
    </w:p>
    <w:p w14:paraId="7A790C91" w14:textId="77777777" w:rsidR="00360E18" w:rsidRDefault="003E5F9B">
      <w:pPr>
        <w:shd w:val="clear" w:color="auto" w:fill="FFFFFF"/>
        <w:spacing w:line="360" w:lineRule="auto"/>
        <w:textAlignment w:val="baseline"/>
        <w:rPr>
          <w:rFonts w:cs="Times New Roman"/>
        </w:rPr>
      </w:pPr>
      <w:r>
        <w:rPr>
          <w:rFonts w:cs="Times New Roman"/>
        </w:rPr>
        <w:t xml:space="preserve">Ethical Code of Group PRISA (2015) Available at </w:t>
      </w:r>
      <w:hyperlink r:id="rId11" w:history="1">
        <w:r>
          <w:rPr>
            <w:rStyle w:val="Hyperlink"/>
            <w:rFonts w:cs="Times New Roman"/>
          </w:rPr>
          <w:t>https://www.prisa.com/uploads/2016/03/codigo-etico-en.pdf</w:t>
        </w:r>
      </w:hyperlink>
      <w:r>
        <w:rPr>
          <w:rStyle w:val="Hyperlink"/>
          <w:rFonts w:cs="Times New Roman"/>
        </w:rPr>
        <w:t xml:space="preserve"> </w:t>
      </w:r>
      <w:r>
        <w:rPr>
          <w:rStyle w:val="Hyperlink"/>
          <w:rFonts w:cs="Times New Roman"/>
          <w:color w:val="auto"/>
          <w:u w:val="none"/>
        </w:rPr>
        <w:t>accessed 27 December 2021</w:t>
      </w:r>
    </w:p>
    <w:p w14:paraId="10E403A0" w14:textId="77777777" w:rsidR="00360E18" w:rsidRDefault="003E5F9B">
      <w:pPr>
        <w:rPr>
          <w:rFonts w:cs="Times New Roman"/>
        </w:rPr>
      </w:pPr>
      <w:r>
        <w:rPr>
          <w:rFonts w:cs="Times New Roman"/>
        </w:rPr>
        <w:t>Laser, D., Baum, M., Benkler, Y., Berinsky, A.J., Greenhill, K.M., Menczer, F. and Miriam, J. (2018) Science of Fake News. Science. Volume 359, Issue 6380. pp. 1094-1096.</w:t>
      </w:r>
    </w:p>
    <w:p w14:paraId="166BC8CD" w14:textId="77777777" w:rsidR="00360E18" w:rsidRDefault="003E5F9B">
      <w:pPr>
        <w:shd w:val="clear" w:color="auto" w:fill="FFFFFF"/>
        <w:spacing w:line="360" w:lineRule="auto"/>
        <w:textAlignment w:val="baseline"/>
        <w:rPr>
          <w:rFonts w:cs="Times New Roman"/>
        </w:rPr>
      </w:pPr>
      <w:r>
        <w:rPr>
          <w:rFonts w:cs="Times New Roman"/>
        </w:rPr>
        <w:t xml:space="preserve">BellPottingerFOIMaterial(2017)Available at </w:t>
      </w:r>
      <w:hyperlink r:id="rId12" w:history="1">
        <w:r>
          <w:rPr>
            <w:rStyle w:val="Hyperlink"/>
            <w:rFonts w:cs="Times New Roman"/>
          </w:rPr>
          <w:t>https://assets.publishing.service.gov.uk/government/uploads/system/uploads/attachment_data/file/678540/FOI_0870-17_-_Bell_Pottinger_-_FINAL_RELEASE.PDF</w:t>
        </w:r>
      </w:hyperlink>
      <w:r>
        <w:rPr>
          <w:rStyle w:val="Hyperlink"/>
          <w:rFonts w:cs="Times New Roman"/>
        </w:rPr>
        <w:t xml:space="preserve"> </w:t>
      </w:r>
      <w:r>
        <w:rPr>
          <w:rFonts w:cs="Times New Roman"/>
        </w:rPr>
        <w:t>accessed 24 December 2021</w:t>
      </w:r>
    </w:p>
    <w:p w14:paraId="40031260" w14:textId="77777777" w:rsidR="00360E18" w:rsidRDefault="003E5F9B">
      <w:pPr>
        <w:shd w:val="clear" w:color="auto" w:fill="FFFFFF"/>
        <w:spacing w:line="360" w:lineRule="auto"/>
        <w:textAlignment w:val="baseline"/>
        <w:rPr>
          <w:rFonts w:cs="Times New Roman"/>
        </w:rPr>
      </w:pPr>
      <w:r>
        <w:rPr>
          <w:rFonts w:cs="Times New Roman"/>
        </w:rPr>
        <w:t>Herbert Smith Freehills Review. 2017. The Full Report into Bell Pottinger’s Oakbay Account. Huffpost South Africa. 4 September 2017</w:t>
      </w:r>
    </w:p>
    <w:p w14:paraId="50E4C5AA" w14:textId="77777777" w:rsidR="00360E18" w:rsidRDefault="003E5F9B">
      <w:pPr>
        <w:rPr>
          <w:rFonts w:cs="Times New Roman"/>
        </w:rPr>
      </w:pPr>
      <w:r>
        <w:rPr>
          <w:rFonts w:cs="Times New Roman"/>
        </w:rPr>
        <w:t>Holtzhausen, D.R. (2012) Public relations as activism: Postmodern approaches to theory and practice. New York, NY: Routledge.</w:t>
      </w:r>
    </w:p>
    <w:p w14:paraId="737FEDF6" w14:textId="77777777" w:rsidR="00360E18" w:rsidRDefault="00553002">
      <w:pPr>
        <w:shd w:val="clear" w:color="auto" w:fill="FFFFFF"/>
        <w:spacing w:line="360" w:lineRule="auto"/>
        <w:textAlignment w:val="baseline"/>
        <w:rPr>
          <w:rFonts w:cs="Times New Roman"/>
        </w:rPr>
      </w:pPr>
      <w:hyperlink r:id="rId13" w:history="1">
        <w:r w:rsidR="003E5F9B">
          <w:rPr>
            <w:rStyle w:val="Hyperlink"/>
            <w:rFonts w:cs="Times New Roman"/>
          </w:rPr>
          <w:t>https://s3-eu-west-1.amazonaws.com/s3.sourceafrica.net/documents/118115/Manufacturing-Divides.pdf</w:t>
        </w:r>
      </w:hyperlink>
    </w:p>
    <w:p w14:paraId="0DD8E317" w14:textId="77777777" w:rsidR="00360E18" w:rsidRDefault="003E5F9B">
      <w:pPr>
        <w:shd w:val="clear" w:color="auto" w:fill="FFFFFF"/>
        <w:spacing w:line="360" w:lineRule="auto"/>
        <w:textAlignment w:val="baseline"/>
        <w:rPr>
          <w:rFonts w:cs="Times New Roman"/>
        </w:rPr>
      </w:pPr>
      <w:r>
        <w:rPr>
          <w:rFonts w:cs="Times New Roman"/>
        </w:rPr>
        <w:t xml:space="preserve"> Management Narratiive Report (2018) Available at </w:t>
      </w:r>
      <w:hyperlink r:id="rId14" w:history="1">
        <w:r>
          <w:rPr>
            <w:rStyle w:val="Hyperlink"/>
            <w:rFonts w:cs="Times New Roman"/>
          </w:rPr>
          <w:t>https://amabhungane.org/wp-content/uploads/2019/02/180914_amaB_2017-18-FY-narrative-report-_final.pdf</w:t>
        </w:r>
      </w:hyperlink>
      <w:r>
        <w:rPr>
          <w:rStyle w:val="Hyperlink"/>
          <w:rFonts w:cs="Times New Roman"/>
          <w:u w:val="none"/>
        </w:rPr>
        <w:t xml:space="preserve"> </w:t>
      </w:r>
      <w:r>
        <w:rPr>
          <w:rStyle w:val="Hyperlink"/>
          <w:rFonts w:cs="Times New Roman"/>
          <w:color w:val="auto"/>
          <w:u w:val="none"/>
        </w:rPr>
        <w:t>accessed 24 December 2021</w:t>
      </w:r>
    </w:p>
    <w:p w14:paraId="548CB269" w14:textId="77777777" w:rsidR="00360E18" w:rsidRDefault="003E5F9B">
      <w:pPr>
        <w:shd w:val="clear" w:color="auto" w:fill="FFFFFF"/>
        <w:spacing w:line="360" w:lineRule="auto"/>
        <w:textAlignment w:val="baseline"/>
        <w:rPr>
          <w:rFonts w:cs="Times New Roman"/>
        </w:rPr>
      </w:pPr>
      <w:r>
        <w:rPr>
          <w:rFonts w:cs="Times New Roman"/>
        </w:rPr>
        <w:t>Tsolofelo, D (2019) An investigation of techniques and functions used by public relations practitioners at agencies in Durban,SouthAfrica[Availableat]</w:t>
      </w:r>
      <w:hyperlink r:id="rId15" w:history="1">
        <w:r>
          <w:rPr>
            <w:rStyle w:val="Hyperlink"/>
            <w:rFonts w:cs="Times New Roman"/>
          </w:rPr>
          <w:t>http://etd.cput.ac.za/bitstream/20.500.11838/3091/1/Dumakude_Tsholofelo_209149655.pdf</w:t>
        </w:r>
      </w:hyperlink>
      <w:r>
        <w:rPr>
          <w:rStyle w:val="Hyperlink"/>
          <w:rFonts w:cs="Times New Roman"/>
        </w:rPr>
        <w:t xml:space="preserve"> </w:t>
      </w:r>
      <w:r>
        <w:rPr>
          <w:rStyle w:val="Hyperlink"/>
          <w:rFonts w:cs="Times New Roman"/>
          <w:color w:val="auto"/>
          <w:u w:val="none"/>
        </w:rPr>
        <w:t>accessed 28 December 2021</w:t>
      </w:r>
    </w:p>
    <w:p w14:paraId="34A543CE" w14:textId="77777777" w:rsidR="00360E18" w:rsidRDefault="003E5F9B">
      <w:pPr>
        <w:shd w:val="clear" w:color="auto" w:fill="FFFFFF"/>
        <w:spacing w:line="360" w:lineRule="auto"/>
        <w:textAlignment w:val="baseline"/>
        <w:rPr>
          <w:rFonts w:cs="Times New Roman"/>
        </w:rPr>
      </w:pPr>
      <w:r>
        <w:rPr>
          <w:rFonts w:cs="Times New Roman"/>
        </w:rPr>
        <w:t xml:space="preserve">Webb W, (2018) Bell-Pottinger and White Monopoly Capital: A Caveat for Setting the Agenda [Available at] </w:t>
      </w:r>
      <w:hyperlink r:id="rId16" w:history="1">
        <w:r>
          <w:rPr>
            <w:rStyle w:val="Hyperlink"/>
            <w:rFonts w:cs="Times New Roman"/>
          </w:rPr>
          <w:t>https://www.wgtn.ac.nz/__data/assets/pdf_file/0009/1729971/werner-webb.pdf accessed 24 December 2021</w:t>
        </w:r>
      </w:hyperlink>
    </w:p>
    <w:p w14:paraId="432711A0" w14:textId="77777777" w:rsidR="00360E18" w:rsidRDefault="003E5F9B">
      <w:pPr>
        <w:shd w:val="clear" w:color="auto" w:fill="FFFFFF"/>
        <w:spacing w:line="360" w:lineRule="auto"/>
        <w:textAlignment w:val="baseline"/>
        <w:rPr>
          <w:rFonts w:cs="Times New Roman"/>
        </w:rPr>
      </w:pPr>
      <w:r>
        <w:rPr>
          <w:rFonts w:cs="Times New Roman"/>
        </w:rPr>
        <w:t xml:space="preserve">Wöcke, A., and Mthombeni, M (2020) Reputations and corruption: Bell Pottinger in South Africa </w:t>
      </w:r>
      <w:hyperlink r:id="rId17" w:history="1">
        <w:r>
          <w:rPr>
            <w:rStyle w:val="Hyperlink"/>
            <w:rFonts w:cs="Times New Roman"/>
          </w:rPr>
          <w:t>https://www.gibs.co.za/aboutus/faculty/documents/gibs%20case%20studies%20booklet%201920.pdf</w:t>
        </w:r>
      </w:hyperlink>
      <w:r>
        <w:rPr>
          <w:rStyle w:val="Hyperlink"/>
          <w:rFonts w:cs="Times New Roman"/>
        </w:rPr>
        <w:t xml:space="preserve"> </w:t>
      </w:r>
      <w:r>
        <w:rPr>
          <w:rStyle w:val="Hyperlink"/>
          <w:rFonts w:cs="Times New Roman"/>
          <w:color w:val="auto"/>
          <w:u w:val="none"/>
        </w:rPr>
        <w:t>accessed 23 December 2021</w:t>
      </w:r>
    </w:p>
    <w:p w14:paraId="4CDBEE28" w14:textId="77777777" w:rsidR="00360E18" w:rsidRDefault="00553002">
      <w:pPr>
        <w:shd w:val="clear" w:color="auto" w:fill="FFFFFF"/>
        <w:spacing w:line="360" w:lineRule="auto"/>
        <w:textAlignment w:val="baseline"/>
        <w:rPr>
          <w:rFonts w:cs="Times New Roman"/>
        </w:rPr>
      </w:pPr>
      <w:hyperlink r:id="rId18" w:history="1">
        <w:r w:rsidR="003E5F9B">
          <w:rPr>
            <w:rStyle w:val="Hyperlink"/>
            <w:rFonts w:eastAsia="Times New Roman" w:cs="Times New Roman"/>
          </w:rPr>
          <w:t>https://journals.ufs.ac.za/index.php/com/article/download/3732/3492/7019</w:t>
        </w:r>
      </w:hyperlink>
    </w:p>
    <w:p w14:paraId="2C4C55DD" w14:textId="77777777" w:rsidR="00360E18" w:rsidRDefault="003E5F9B">
      <w:pPr>
        <w:shd w:val="clear" w:color="auto" w:fill="FFFFFF"/>
        <w:spacing w:line="360" w:lineRule="auto"/>
        <w:textAlignment w:val="baseline"/>
        <w:rPr>
          <w:rFonts w:cs="Times New Roman"/>
          <w:i/>
          <w:iCs/>
        </w:rPr>
      </w:pPr>
      <w:r>
        <w:rPr>
          <w:rFonts w:cs="Times New Roman"/>
          <w:i/>
          <w:iCs/>
        </w:rPr>
        <w:t xml:space="preserve">SUDHAMAN, A (2017) Bell Pottinger “In Breach of Ethical Principles” </w:t>
      </w:r>
      <w:hyperlink r:id="rId19" w:history="1">
        <w:r>
          <w:rPr>
            <w:rStyle w:val="Hyperlink"/>
            <w:rFonts w:cs="Times New Roman"/>
            <w:i/>
            <w:iCs/>
          </w:rPr>
          <w:t>https://www.provokemedia.com/latest/article/bell-pottinger-'in-breach-of-relevant-ethical-principles'-says-report</w:t>
        </w:r>
      </w:hyperlink>
      <w:r>
        <w:rPr>
          <w:rFonts w:cs="Times New Roman"/>
          <w:i/>
          <w:iCs/>
        </w:rPr>
        <w:t xml:space="preserve"> accessed 24 December 2021</w:t>
      </w:r>
    </w:p>
    <w:p w14:paraId="0786D741" w14:textId="77777777" w:rsidR="00360E18" w:rsidRDefault="003E5F9B">
      <w:pPr>
        <w:shd w:val="clear" w:color="auto" w:fill="FFFFFF"/>
        <w:spacing w:before="100" w:beforeAutospacing="1" w:after="100" w:afterAutospacing="1" w:line="360" w:lineRule="auto"/>
        <w:ind w:left="9" w:hanging="10"/>
        <w:rPr>
          <w:rFonts w:eastAsia="Times New Roman" w:cs="Times New Roman"/>
          <w:color w:val="000000"/>
          <w:lang w:val="en-ZW" w:eastAsia="en-ZW"/>
        </w:rPr>
      </w:pPr>
      <w:r>
        <w:rPr>
          <w:rFonts w:eastAsia="Times New Roman" w:cs="Times New Roman"/>
          <w:color w:val="000000"/>
          <w:lang w:val="en-ZW" w:eastAsia="en-ZW"/>
        </w:rPr>
        <w:t xml:space="preserve">Vogt, W. P. (2020) Dictionary of Statistics and Methodology: </w:t>
      </w:r>
      <w:r>
        <w:rPr>
          <w:rFonts w:eastAsia="Times New Roman" w:cs="Times New Roman"/>
          <w:i/>
          <w:color w:val="000000"/>
          <w:lang w:val="en-ZW" w:eastAsia="en-ZW"/>
        </w:rPr>
        <w:t>A Nontechnical Guide for the Social Sciences,</w:t>
      </w:r>
      <w:r>
        <w:rPr>
          <w:rFonts w:eastAsia="Times New Roman" w:cs="Times New Roman"/>
          <w:color w:val="000000"/>
          <w:lang w:val="en-ZW" w:eastAsia="en-ZW"/>
        </w:rPr>
        <w:t xml:space="preserve"> London: Sage.</w:t>
      </w:r>
    </w:p>
    <w:p w14:paraId="5AFC9587" w14:textId="77777777" w:rsidR="00360E18" w:rsidRDefault="003E5F9B">
      <w:pPr>
        <w:jc w:val="left"/>
        <w:rPr>
          <w:rFonts w:eastAsia="Times New Roman"/>
        </w:rPr>
      </w:pPr>
      <w:r>
        <w:rPr>
          <w:rFonts w:ascii="Arial" w:eastAsia="SimSun" w:hAnsi="Arial" w:cs="Arial"/>
          <w:color w:val="222222"/>
          <w:sz w:val="19"/>
          <w:szCs w:val="19"/>
          <w:shd w:val="clear" w:color="auto" w:fill="FFFFFF"/>
        </w:rPr>
        <w:t xml:space="preserve">Simon, M., 2011. </w:t>
      </w:r>
      <w:r>
        <w:rPr>
          <w:rFonts w:eastAsia="Times New Roman"/>
        </w:rPr>
        <w:t>Dissertation and scholarly research: Recipes for</w:t>
      </w:r>
      <w:r>
        <w:rPr>
          <w:rFonts w:eastAsia="Times New Roman"/>
          <w:lang w:val="en-GB"/>
        </w:rPr>
        <w:t xml:space="preserve"> </w:t>
      </w:r>
      <w:r>
        <w:rPr>
          <w:rFonts w:eastAsia="Times New Roman"/>
        </w:rPr>
        <w:t>success (2011 Ed.). Seattle, WA, Dissertation Success, LLC.</w:t>
      </w:r>
    </w:p>
    <w:p w14:paraId="27014FBC" w14:textId="77777777" w:rsidR="00360E18" w:rsidRDefault="003E5F9B">
      <w:pPr>
        <w:jc w:val="left"/>
        <w:rPr>
          <w:rFonts w:eastAsia="Times New Roman"/>
          <w:lang w:val="en-GB" w:eastAsia="en-ZW"/>
        </w:rPr>
      </w:pPr>
      <w:r>
        <w:rPr>
          <w:rFonts w:ascii="Arial" w:eastAsia="SimSun" w:hAnsi="Arial" w:cs="Arial"/>
          <w:color w:val="222222"/>
          <w:sz w:val="19"/>
          <w:szCs w:val="19"/>
          <w:shd w:val="clear" w:color="auto" w:fill="FFFFFF"/>
        </w:rPr>
        <w:t>Van Heerden, G., 2005. </w:t>
      </w:r>
      <w:r>
        <w:rPr>
          <w:rFonts w:ascii="Arial" w:eastAsia="SimSun" w:hAnsi="Arial" w:cs="Arial"/>
          <w:i/>
          <w:iCs/>
          <w:color w:val="222222"/>
          <w:sz w:val="19"/>
          <w:szCs w:val="19"/>
          <w:shd w:val="clear" w:color="auto" w:fill="FFFFFF"/>
        </w:rPr>
        <w:t>The practice of public relations in Africa: a descriptive study</w:t>
      </w:r>
      <w:r>
        <w:rPr>
          <w:rFonts w:ascii="Arial" w:eastAsia="SimSun" w:hAnsi="Arial" w:cs="Arial"/>
          <w:color w:val="222222"/>
          <w:sz w:val="19"/>
          <w:szCs w:val="19"/>
          <w:shd w:val="clear" w:color="auto" w:fill="FFFFFF"/>
        </w:rPr>
        <w:t> (Doctoral dissertation, University of Pretoria).</w:t>
      </w:r>
    </w:p>
    <w:p w14:paraId="785CA427" w14:textId="77777777" w:rsidR="00360E18" w:rsidRDefault="00360E18">
      <w:pPr>
        <w:spacing w:line="360" w:lineRule="auto"/>
        <w:rPr>
          <w:rFonts w:eastAsia="SimSun" w:cs="Times New Roman"/>
          <w:color w:val="222222"/>
          <w:shd w:val="clear" w:color="auto" w:fill="FFFFFF"/>
          <w:lang w:val="en-GB"/>
        </w:rPr>
      </w:pPr>
    </w:p>
    <w:p w14:paraId="1512699A" w14:textId="77777777" w:rsidR="00360E18" w:rsidRDefault="00360E18">
      <w:pPr>
        <w:spacing w:line="360" w:lineRule="auto"/>
        <w:ind w:firstLineChars="200" w:firstLine="480"/>
        <w:rPr>
          <w:lang w:val="en-GB"/>
        </w:rPr>
      </w:pPr>
    </w:p>
    <w:p w14:paraId="7E69EF1D" w14:textId="77777777" w:rsidR="00360E18" w:rsidRDefault="003E5F9B">
      <w:pPr>
        <w:spacing w:line="360" w:lineRule="auto"/>
        <w:ind w:firstLineChars="200" w:firstLine="480"/>
        <w:rPr>
          <w:lang w:val="en-GB"/>
        </w:rPr>
      </w:pPr>
      <w:r>
        <w:rPr>
          <w:lang w:val="en-GB"/>
        </w:rPr>
        <w:t xml:space="preserve"> </w:t>
      </w:r>
    </w:p>
    <w:p w14:paraId="41073840" w14:textId="77777777" w:rsidR="00360E18" w:rsidRDefault="00360E18">
      <w:pPr>
        <w:spacing w:line="360" w:lineRule="auto"/>
        <w:ind w:firstLineChars="200" w:firstLine="480"/>
        <w:rPr>
          <w:lang w:val="en-GB"/>
        </w:rPr>
      </w:pPr>
    </w:p>
    <w:p w14:paraId="4D05CDE2" w14:textId="77777777" w:rsidR="00360E18" w:rsidRDefault="00360E18">
      <w:pPr>
        <w:spacing w:line="360" w:lineRule="auto"/>
        <w:ind w:firstLineChars="200" w:firstLine="480"/>
        <w:rPr>
          <w:lang w:val="en-GB"/>
        </w:rPr>
      </w:pPr>
    </w:p>
    <w:p w14:paraId="72B840BF" w14:textId="77777777" w:rsidR="00360E18" w:rsidRDefault="00360E18">
      <w:pPr>
        <w:spacing w:line="360" w:lineRule="auto"/>
        <w:rPr>
          <w:lang w:val="en-GB"/>
        </w:rPr>
      </w:pPr>
    </w:p>
    <w:p w14:paraId="2198E3F0" w14:textId="77777777" w:rsidR="00360E18" w:rsidRDefault="00360E18"/>
    <w:sectPr w:rsidR="00360E18">
      <w:footerReference w:type="default" r:id="rId20"/>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108313" w14:textId="77777777" w:rsidR="008D2547" w:rsidRDefault="003E5F9B">
      <w:r>
        <w:separator/>
      </w:r>
    </w:p>
  </w:endnote>
  <w:endnote w:type="continuationSeparator" w:id="0">
    <w:p w14:paraId="4827D902" w14:textId="77777777" w:rsidR="008D2547" w:rsidRDefault="003E5F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default"/>
    <w:sig w:usb0="00000000" w:usb1="0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algun Gothic">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38DB6" w14:textId="77777777" w:rsidR="00360E18" w:rsidRDefault="003E5F9B">
    <w:pPr>
      <w:pStyle w:val="Footer"/>
    </w:pPr>
    <w:r>
      <w:rPr>
        <w:noProof/>
      </w:rPr>
      <mc:AlternateContent>
        <mc:Choice Requires="wps">
          <w:drawing>
            <wp:anchor distT="0" distB="0" distL="114300" distR="114300" simplePos="0" relativeHeight="251659264" behindDoc="0" locked="0" layoutInCell="1" allowOverlap="1" wp14:anchorId="143D90AF" wp14:editId="18E4399B">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682B359" w14:textId="77777777" w:rsidR="00360E18" w:rsidRDefault="003E5F9B">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43D90AF"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" filled="f" stroked="f" strokeweight=".5pt">
              <v:textbox style="mso-fit-shape-to-text:t" inset="0,0,0,0">
                <w:txbxContent>
                  <w:p w14:paraId="0682B359" w14:textId="77777777" w:rsidR="00360E18" w:rsidRDefault="003E5F9B">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E72F6" w14:textId="77777777" w:rsidR="008D2547" w:rsidRDefault="003E5F9B">
      <w:r>
        <w:separator/>
      </w:r>
    </w:p>
  </w:footnote>
  <w:footnote w:type="continuationSeparator" w:id="0">
    <w:p w14:paraId="7A35C10A" w14:textId="77777777" w:rsidR="008D2547" w:rsidRDefault="003E5F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D6006B3"/>
    <w:multiLevelType w:val="singleLevel"/>
    <w:tmpl w:val="CD6006B3"/>
    <w:lvl w:ilvl="0">
      <w:start w:val="3"/>
      <w:numFmt w:val="decimal"/>
      <w:suff w:val="space"/>
      <w:lvlText w:val="%1."/>
      <w:lvlJc w:val="left"/>
    </w:lvl>
  </w:abstractNum>
  <w:abstractNum w:abstractNumId="1" w15:restartNumberingAfterBreak="0">
    <w:nsid w:val="F5F550A7"/>
    <w:multiLevelType w:val="singleLevel"/>
    <w:tmpl w:val="F5F550A7"/>
    <w:lvl w:ilvl="0">
      <w:start w:val="1"/>
      <w:numFmt w:val="decimal"/>
      <w:lvlText w:val="%1."/>
      <w:lvlJc w:val="left"/>
      <w:pPr>
        <w:tabs>
          <w:tab w:val="left" w:pos="425"/>
        </w:tabs>
        <w:ind w:left="425" w:hanging="425"/>
      </w:pPr>
      <w:rPr>
        <w:rFonts w:hint="default"/>
      </w:rPr>
    </w:lvl>
  </w:abstractNum>
  <w:abstractNum w:abstractNumId="2"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3"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4"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5"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6"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7"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8"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9"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10"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11"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2" w15:restartNumberingAfterBreak="0">
    <w:nsid w:val="05E137DA"/>
    <w:multiLevelType w:val="singleLevel"/>
    <w:tmpl w:val="05E137DA"/>
    <w:lvl w:ilvl="0">
      <w:start w:val="1"/>
      <w:numFmt w:val="decimal"/>
      <w:lvlText w:val="%1)"/>
      <w:lvlJc w:val="left"/>
      <w:pPr>
        <w:tabs>
          <w:tab w:val="left" w:pos="425"/>
        </w:tabs>
        <w:ind w:left="425" w:hanging="425"/>
      </w:pPr>
      <w:rPr>
        <w:rFonts w:hint="default"/>
      </w:rPr>
    </w:lvl>
  </w:abstractNum>
  <w:num w:numId="1">
    <w:abstractNumId w:val="11"/>
  </w:num>
  <w:num w:numId="2">
    <w:abstractNumId w:val="9"/>
  </w:num>
  <w:num w:numId="3">
    <w:abstractNumId w:val="8"/>
  </w:num>
  <w:num w:numId="4">
    <w:abstractNumId w:val="7"/>
  </w:num>
  <w:num w:numId="5">
    <w:abstractNumId w:val="6"/>
  </w:num>
  <w:num w:numId="6">
    <w:abstractNumId w:val="10"/>
  </w:num>
  <w:num w:numId="7">
    <w:abstractNumId w:val="5"/>
  </w:num>
  <w:num w:numId="8">
    <w:abstractNumId w:val="4"/>
  </w:num>
  <w:num w:numId="9">
    <w:abstractNumId w:val="3"/>
  </w:num>
  <w:num w:numId="10">
    <w:abstractNumId w:val="2"/>
  </w:num>
  <w:num w:numId="11">
    <w:abstractNumId w:val="1"/>
  </w:num>
  <w:num w:numId="12">
    <w:abstractNumId w:val="12"/>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72A27"/>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2A27"/>
    <w:rsid w:val="001743F4"/>
    <w:rsid w:val="00187C33"/>
    <w:rsid w:val="001936B7"/>
    <w:rsid w:val="00196AB1"/>
    <w:rsid w:val="00201333"/>
    <w:rsid w:val="00210FA7"/>
    <w:rsid w:val="00216417"/>
    <w:rsid w:val="0026631D"/>
    <w:rsid w:val="002C2F53"/>
    <w:rsid w:val="0033518C"/>
    <w:rsid w:val="003437C2"/>
    <w:rsid w:val="00360E18"/>
    <w:rsid w:val="00377186"/>
    <w:rsid w:val="003A1C03"/>
    <w:rsid w:val="003E5F9B"/>
    <w:rsid w:val="00414627"/>
    <w:rsid w:val="00425D63"/>
    <w:rsid w:val="004643D8"/>
    <w:rsid w:val="00484776"/>
    <w:rsid w:val="00497C24"/>
    <w:rsid w:val="004C7BA5"/>
    <w:rsid w:val="004E7628"/>
    <w:rsid w:val="004F48F2"/>
    <w:rsid w:val="005149B1"/>
    <w:rsid w:val="00553002"/>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D2547"/>
    <w:rsid w:val="008E6C4B"/>
    <w:rsid w:val="008F18C0"/>
    <w:rsid w:val="00907648"/>
    <w:rsid w:val="00930FDE"/>
    <w:rsid w:val="00984C93"/>
    <w:rsid w:val="00987CE1"/>
    <w:rsid w:val="0099405C"/>
    <w:rsid w:val="009C600F"/>
    <w:rsid w:val="009D3723"/>
    <w:rsid w:val="009D5E29"/>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94020"/>
    <w:rsid w:val="00CA2C6C"/>
    <w:rsid w:val="00CC0600"/>
    <w:rsid w:val="00CC78AC"/>
    <w:rsid w:val="00CF7953"/>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027137AB"/>
    <w:rsid w:val="033A3AA5"/>
    <w:rsid w:val="034A0020"/>
    <w:rsid w:val="05110523"/>
    <w:rsid w:val="05352EE9"/>
    <w:rsid w:val="062B3723"/>
    <w:rsid w:val="0740635A"/>
    <w:rsid w:val="07A97D0C"/>
    <w:rsid w:val="09A53D2F"/>
    <w:rsid w:val="09DC5382"/>
    <w:rsid w:val="0AD80910"/>
    <w:rsid w:val="0CB45A74"/>
    <w:rsid w:val="0D2A3662"/>
    <w:rsid w:val="0E38797C"/>
    <w:rsid w:val="0E8A3828"/>
    <w:rsid w:val="0FE45E4C"/>
    <w:rsid w:val="10845194"/>
    <w:rsid w:val="112D702C"/>
    <w:rsid w:val="116A429D"/>
    <w:rsid w:val="11FB5F39"/>
    <w:rsid w:val="120567F2"/>
    <w:rsid w:val="122B0BEF"/>
    <w:rsid w:val="145A7752"/>
    <w:rsid w:val="14E84E96"/>
    <w:rsid w:val="15C03C2F"/>
    <w:rsid w:val="169A6216"/>
    <w:rsid w:val="16AA7900"/>
    <w:rsid w:val="16E93B14"/>
    <w:rsid w:val="172054F7"/>
    <w:rsid w:val="179947A3"/>
    <w:rsid w:val="17D2557C"/>
    <w:rsid w:val="186777CE"/>
    <w:rsid w:val="1896559D"/>
    <w:rsid w:val="18A4604D"/>
    <w:rsid w:val="1A2560EE"/>
    <w:rsid w:val="1BAC65A8"/>
    <w:rsid w:val="1EF70979"/>
    <w:rsid w:val="1F19580A"/>
    <w:rsid w:val="21E6576B"/>
    <w:rsid w:val="24137D6A"/>
    <w:rsid w:val="24A35FAF"/>
    <w:rsid w:val="24C45153"/>
    <w:rsid w:val="24DB2DF9"/>
    <w:rsid w:val="262B262D"/>
    <w:rsid w:val="26D82689"/>
    <w:rsid w:val="26F94F72"/>
    <w:rsid w:val="286F56DE"/>
    <w:rsid w:val="28D620A0"/>
    <w:rsid w:val="29E02CEF"/>
    <w:rsid w:val="2A001BB2"/>
    <w:rsid w:val="2BA2215A"/>
    <w:rsid w:val="2C8A5D62"/>
    <w:rsid w:val="2CEB1B48"/>
    <w:rsid w:val="2DD63185"/>
    <w:rsid w:val="2DF732BE"/>
    <w:rsid w:val="2F5E322D"/>
    <w:rsid w:val="320B7675"/>
    <w:rsid w:val="321055A7"/>
    <w:rsid w:val="326D21F0"/>
    <w:rsid w:val="32A72DF4"/>
    <w:rsid w:val="33FB3592"/>
    <w:rsid w:val="34647C87"/>
    <w:rsid w:val="34CB45A2"/>
    <w:rsid w:val="362117B9"/>
    <w:rsid w:val="36F11581"/>
    <w:rsid w:val="38DB481A"/>
    <w:rsid w:val="39D113EA"/>
    <w:rsid w:val="3ADA5FF9"/>
    <w:rsid w:val="3D190F83"/>
    <w:rsid w:val="3E42486A"/>
    <w:rsid w:val="401C5325"/>
    <w:rsid w:val="40C3610D"/>
    <w:rsid w:val="41926E02"/>
    <w:rsid w:val="445E3786"/>
    <w:rsid w:val="44713596"/>
    <w:rsid w:val="44E421C4"/>
    <w:rsid w:val="458C34F7"/>
    <w:rsid w:val="46AC3EB6"/>
    <w:rsid w:val="47393122"/>
    <w:rsid w:val="47596D56"/>
    <w:rsid w:val="480226F0"/>
    <w:rsid w:val="4A48230A"/>
    <w:rsid w:val="4AA938FB"/>
    <w:rsid w:val="4AB84A0A"/>
    <w:rsid w:val="4C946ACE"/>
    <w:rsid w:val="4DB83E90"/>
    <w:rsid w:val="4F0E7174"/>
    <w:rsid w:val="4F3B07BA"/>
    <w:rsid w:val="4FC75950"/>
    <w:rsid w:val="505B69A6"/>
    <w:rsid w:val="50616074"/>
    <w:rsid w:val="52420814"/>
    <w:rsid w:val="52473366"/>
    <w:rsid w:val="529C7170"/>
    <w:rsid w:val="538A0F5C"/>
    <w:rsid w:val="53C241CC"/>
    <w:rsid w:val="543228F3"/>
    <w:rsid w:val="55CC6171"/>
    <w:rsid w:val="568C5B67"/>
    <w:rsid w:val="569B5520"/>
    <w:rsid w:val="56C55F53"/>
    <w:rsid w:val="56DE267C"/>
    <w:rsid w:val="576C4E35"/>
    <w:rsid w:val="58320AE9"/>
    <w:rsid w:val="586D2E8F"/>
    <w:rsid w:val="58C37971"/>
    <w:rsid w:val="5B741932"/>
    <w:rsid w:val="5B9F17C7"/>
    <w:rsid w:val="5C685377"/>
    <w:rsid w:val="5E7A4310"/>
    <w:rsid w:val="5ED600FC"/>
    <w:rsid w:val="5F2D1E34"/>
    <w:rsid w:val="5F72486E"/>
    <w:rsid w:val="60B42638"/>
    <w:rsid w:val="6145712D"/>
    <w:rsid w:val="6198494C"/>
    <w:rsid w:val="619D6F6E"/>
    <w:rsid w:val="628D3150"/>
    <w:rsid w:val="634B0F20"/>
    <w:rsid w:val="63E101BF"/>
    <w:rsid w:val="643A3D5D"/>
    <w:rsid w:val="6528243A"/>
    <w:rsid w:val="658132DC"/>
    <w:rsid w:val="666A3068"/>
    <w:rsid w:val="66F11055"/>
    <w:rsid w:val="685F2D2D"/>
    <w:rsid w:val="68E26A54"/>
    <w:rsid w:val="695016D8"/>
    <w:rsid w:val="6A534194"/>
    <w:rsid w:val="6B71165A"/>
    <w:rsid w:val="6B806D0C"/>
    <w:rsid w:val="6BE00A1A"/>
    <w:rsid w:val="6C450FCC"/>
    <w:rsid w:val="6CBF272E"/>
    <w:rsid w:val="6D2C10BF"/>
    <w:rsid w:val="6E573244"/>
    <w:rsid w:val="70C319CD"/>
    <w:rsid w:val="71AA0526"/>
    <w:rsid w:val="71B73BA2"/>
    <w:rsid w:val="726D0DF1"/>
    <w:rsid w:val="73257CB6"/>
    <w:rsid w:val="7377284F"/>
    <w:rsid w:val="73DE422C"/>
    <w:rsid w:val="748078D1"/>
    <w:rsid w:val="751322A8"/>
    <w:rsid w:val="7585147D"/>
    <w:rsid w:val="75B532E8"/>
    <w:rsid w:val="75BD6F84"/>
    <w:rsid w:val="75C056FC"/>
    <w:rsid w:val="779E127B"/>
    <w:rsid w:val="792B035F"/>
    <w:rsid w:val="79C72811"/>
    <w:rsid w:val="7A9E2A33"/>
    <w:rsid w:val="7AB65CAC"/>
    <w:rsid w:val="7AD12432"/>
    <w:rsid w:val="7AF5546E"/>
    <w:rsid w:val="7BF079EA"/>
    <w:rsid w:val="7C297F70"/>
    <w:rsid w:val="7CD912EE"/>
    <w:rsid w:val="7D22336F"/>
    <w:rsid w:val="7D3A65C7"/>
    <w:rsid w:val="7DEC121D"/>
    <w:rsid w:val="7F614C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EF4006B"/>
  <w15:docId w15:val="{00977D4E-1178-134C-B1EA-C82F3BA3A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1" w:count="376">
    <w:lsdException w:name="heading 2" w:unhideWhenUsed="1"/>
    <w:lsdException w:name="heading 3"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caption" w:semiHidden="1" w:unhideWhenUsed="1"/>
    <w:lsdException w:name="Default Paragraph Font" w:semiHidden="1"/>
    <w:lsdException w:name="HTML Top of Form" w:semiHidden="1" w:uiPriority="99" w:unhideWhenUsed="1" w:qFormat="0"/>
    <w:lsdException w:name="HTML Bottom of Form" w:semiHidden="1" w:uiPriority="99" w:unhideWhenUsed="1" w:qFormat="0"/>
    <w:lsdException w:name="Normal Table" w:semiHidden="1" w:unhideWhenUsed="1"/>
    <w:lsdException w:name="No List" w:semiHidden="1" w:uiPriority="99" w:unhideWhenUsed="1" w:qFormat="0"/>
    <w:lsdException w:name="Outline List 1" w:semiHidden="1" w:uiPriority="99" w:unhideWhenUsed="1" w:qFormat="0"/>
    <w:lsdException w:name="Outline List 2" w:semiHidden="1" w:uiPriority="99" w:unhideWhenUsed="1" w:qFormat="0"/>
    <w:lsdException w:name="Outline List 3" w:semiHidden="1" w:uiPriority="99" w:unhideWhenUsed="1" w:qFormat="0"/>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qFormat="0"/>
    <w:lsdException w:name="No Spacing" w:uiPriority="99" w:qFormat="0"/>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qFormat="0"/>
    <w:lsdException w:name="List Paragraph" w:uiPriority="99" w:qFormat="0"/>
    <w:lsdException w:name="Quote" w:uiPriority="99" w:qFormat="0"/>
    <w:lsdException w:name="Intense Quote" w:uiPriority="99" w:qFormat="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qFormat="0"/>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sdException w:name="Mention" w:semiHidden="1" w:uiPriority="99" w:unhideWhenUsed="1" w:qFormat="0"/>
    <w:lsdException w:name="Smart Hyperlink" w:semiHidden="1" w:uiPriority="99" w:unhideWhenUsed="1" w:qFormat="0"/>
    <w:lsdException w:name="Hashtag" w:semiHidden="1" w:uiPriority="99" w:unhideWhenUsed="1" w:qFormat="0"/>
    <w:lsdException w:name="Unresolved Mention" w:semiHidden="1" w:uiPriority="99" w:unhideWhenUsed="1" w:qFormat="0"/>
    <w:lsdException w:name="Smart Link" w:semiHidden="1" w:uiPriority="99" w:unhideWhenUsed="1" w:qFormat="0"/>
  </w:latentStyles>
  <w:style w:type="paragraph" w:default="1" w:styleId="Normal">
    <w:name w:val="Normal"/>
    <w:qFormat/>
    <w:pPr>
      <w:jc w:val="both"/>
    </w:pPr>
    <w:rPr>
      <w:rFonts w:eastAsia="Malgun Gothic" w:cstheme="minorBidi"/>
      <w:sz w:val="24"/>
      <w:szCs w:val="24"/>
      <w:lang w:val="en-US" w:eastAsia="zh-CN"/>
    </w:rPr>
  </w:style>
  <w:style w:type="paragraph" w:styleId="Heading1">
    <w:name w:val="heading 1"/>
    <w:basedOn w:val="Normal"/>
    <w:next w:val="Normal"/>
    <w:qFormat/>
    <w:pPr>
      <w:keepNext/>
      <w:keepLines/>
      <w:spacing w:line="579" w:lineRule="auto"/>
      <w:jc w:val="center"/>
      <w:outlineLvl w:val="0"/>
    </w:pPr>
    <w:rPr>
      <w:b/>
      <w:bCs/>
      <w:kern w:val="44"/>
      <w:sz w:val="32"/>
      <w:szCs w:val="44"/>
    </w:rPr>
  </w:style>
  <w:style w:type="paragraph" w:styleId="Heading2">
    <w:name w:val="heading 2"/>
    <w:basedOn w:val="Normal"/>
    <w:next w:val="Normal"/>
    <w:unhideWhenUsed/>
    <w:qFormat/>
    <w:pPr>
      <w:keepNext/>
      <w:keepLines/>
      <w:spacing w:line="416" w:lineRule="auto"/>
      <w:outlineLvl w:val="1"/>
    </w:pPr>
    <w:rPr>
      <w:b/>
      <w:bCs/>
      <w:sz w:val="28"/>
      <w:szCs w:val="32"/>
    </w:rPr>
  </w:style>
  <w:style w:type="paragraph" w:styleId="Heading3">
    <w:name w:val="heading 3"/>
    <w:basedOn w:val="Normal"/>
    <w:next w:val="Normal"/>
    <w:unhideWhenUsed/>
    <w:qFormat/>
    <w:pPr>
      <w:keepNext/>
      <w:keepLines/>
      <w:spacing w:line="416" w:lineRule="auto"/>
      <w:outlineLvl w:val="2"/>
    </w:pPr>
    <w:rPr>
      <w:b/>
      <w:bCs/>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rPr>
  </w:style>
  <w:style w:type="paragraph" w:styleId="Heading7">
    <w:name w:val="heading 7"/>
    <w:basedOn w:val="Normal"/>
    <w:next w:val="Normal"/>
    <w:semiHidden/>
    <w:unhideWhenUsed/>
    <w:qFormat/>
    <w:pPr>
      <w:keepNext/>
      <w:keepLines/>
      <w:spacing w:before="240" w:after="64" w:line="320" w:lineRule="auto"/>
      <w:outlineLvl w:val="6"/>
    </w:pPr>
    <w:rPr>
      <w:b/>
      <w:bCs/>
    </w:rPr>
  </w:style>
  <w:style w:type="paragraph" w:styleId="Heading8">
    <w:name w:val="heading 8"/>
    <w:basedOn w:val="Normal"/>
    <w:next w:val="Normal"/>
    <w:semiHidden/>
    <w:unhideWhenUsed/>
    <w:qFormat/>
    <w:pPr>
      <w:keepNext/>
      <w:keepLines/>
      <w:spacing w:before="240" w:after="64" w:line="320" w:lineRule="auto"/>
      <w:outlineLvl w:val="7"/>
    </w:p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qFormat/>
    <w:rPr>
      <w:sz w:val="16"/>
      <w:szCs w:val="16"/>
    </w:rPr>
  </w:style>
  <w:style w:type="paragraph" w:styleId="BlockText">
    <w:name w:val="Block Text"/>
    <w:basedOn w:val="Normal"/>
    <w:qFormat/>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line="480" w:lineRule="auto"/>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qForma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sz w:val="20"/>
    </w:rPr>
  </w:style>
  <w:style w:type="paragraph" w:styleId="Closing">
    <w:name w:val="Closing"/>
    <w:basedOn w:val="Normal"/>
    <w:qFormat/>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qFormat/>
    <w:pPr>
      <w:jc w:val="left"/>
    </w:pPr>
  </w:style>
  <w:style w:type="paragraph" w:styleId="CommentSubject">
    <w:name w:val="annotation subject"/>
    <w:basedOn w:val="CommentText"/>
    <w:next w:val="CommentText"/>
    <w:qForma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jc w:val="left"/>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ascii="Arial" w:hAnsi="Arial" w:cs="Arial"/>
    </w:rPr>
  </w:style>
  <w:style w:type="paragraph" w:styleId="EnvelopeReturn">
    <w:name w:val="envelope return"/>
    <w:basedOn w:val="Normal"/>
    <w:qFormat/>
    <w:pPr>
      <w:snapToGrid w:val="0"/>
    </w:pPr>
    <w:rPr>
      <w:rFonts w:ascii="Arial" w:hAnsi="Arial" w:cs="Arial"/>
    </w:rPr>
  </w:style>
  <w:style w:type="character" w:styleId="FollowedHyperlink">
    <w:name w:val="FollowedHyperlink"/>
    <w:basedOn w:val="DefaultParagraphFont"/>
    <w:qFormat/>
    <w:rPr>
      <w:color w:val="800080"/>
      <w:u w:val="single"/>
    </w:rPr>
  </w:style>
  <w:style w:type="paragraph" w:styleId="Footer">
    <w:name w:val="footer"/>
    <w:basedOn w:val="Normal"/>
    <w:qFormat/>
    <w:pPr>
      <w:tabs>
        <w:tab w:val="center" w:pos="4153"/>
        <w:tab w:val="right" w:pos="8306"/>
      </w:tabs>
      <w:snapToGrid w:val="0"/>
      <w:jc w:val="left"/>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jc w:val="left"/>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qFormat/>
    <w:rPr>
      <w:i/>
      <w:iCs/>
    </w:rPr>
  </w:style>
  <w:style w:type="character" w:styleId="HTMLCite">
    <w:name w:val="HTML Cite"/>
    <w:basedOn w:val="DefaultParagraphFont"/>
    <w:qFormat/>
    <w:rPr>
      <w:i/>
      <w:iCs/>
    </w:rPr>
  </w:style>
  <w:style w:type="character" w:styleId="HTMLCode">
    <w:name w:val="HTML Code"/>
    <w:basedOn w:val="DefaultParagraphFont"/>
    <w:qForma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qFormat/>
    <w:rPr>
      <w:rFonts w:ascii="Courier New" w:hAnsi="Courier New" w:cs="Courier New"/>
      <w:sz w:val="20"/>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qFormat/>
    <w:rPr>
      <w:color w:val="0000FF"/>
      <w:u w:val="single"/>
    </w:rPr>
  </w:style>
  <w:style w:type="paragraph" w:styleId="Index1">
    <w:name w:val="index 1"/>
    <w:basedOn w:val="Normal"/>
    <w:next w:val="Normal"/>
    <w:qFormat/>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qFormat/>
    <w:rPr>
      <w:rFonts w:ascii="Arial" w:hAnsi="Arial" w:cs="Arial"/>
      <w:b/>
      <w:bCs/>
    </w:rPr>
  </w:style>
  <w:style w:type="character" w:styleId="LineNumber">
    <w:name w:val="line number"/>
    <w:basedOn w:val="DefaultParagraphFont"/>
    <w:qForma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qFormat/>
    <w:pPr>
      <w:numPr>
        <w:numId w:val="2"/>
      </w:numPr>
    </w:pPr>
  </w:style>
  <w:style w:type="paragraph" w:styleId="ListBullet3">
    <w:name w:val="List Bullet 3"/>
    <w:basedOn w:val="Normal"/>
    <w:qFormat/>
    <w:pPr>
      <w:numPr>
        <w:numId w:val="3"/>
      </w:numPr>
    </w:pPr>
  </w:style>
  <w:style w:type="paragraph" w:styleId="ListBullet4">
    <w:name w:val="List Bullet 4"/>
    <w:basedOn w:val="Normal"/>
    <w:qFormat/>
    <w:pPr>
      <w:numPr>
        <w:numId w:val="4"/>
      </w:numPr>
    </w:pPr>
  </w:style>
  <w:style w:type="paragraph" w:styleId="ListBullet5">
    <w:name w:val="List Bullet 5"/>
    <w:basedOn w:val="Normal"/>
    <w:qFormat/>
    <w:pPr>
      <w:numPr>
        <w:numId w:val="5"/>
      </w:numPr>
    </w:pPr>
  </w:style>
  <w:style w:type="paragraph" w:styleId="ListContinue">
    <w:name w:val="List Continue"/>
    <w:basedOn w:val="Normal"/>
    <w:qFormat/>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qFormat/>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val="en-US" w:eastAsia="zh-CN"/>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rPr>
  </w:style>
  <w:style w:type="paragraph" w:styleId="NormalWeb">
    <w:name w:val="Normal (Web)"/>
    <w:basedOn w:val="Normal"/>
    <w:qFormat/>
  </w:style>
  <w:style w:type="paragraph" w:styleId="NormalIndent">
    <w:name w:val="Normal Indent"/>
    <w:basedOn w:val="Normal"/>
    <w:qFormat/>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qFormat/>
  </w:style>
  <w:style w:type="paragraph" w:styleId="PlainText">
    <w:name w:val="Plain Text"/>
    <w:basedOn w:val="Normal"/>
    <w:qFormat/>
    <w:rPr>
      <w:rFonts w:ascii="SimSun" w:hAnsi="Courier New" w:cs="Courier New"/>
      <w:szCs w:val="21"/>
    </w:rPr>
  </w:style>
  <w:style w:type="paragraph" w:styleId="Salutation">
    <w:name w:val="Salutation"/>
    <w:basedOn w:val="Normal"/>
    <w:next w:val="Normal"/>
    <w:qFormat/>
  </w:style>
  <w:style w:type="paragraph" w:styleId="Signature">
    <w:name w:val="Signature"/>
    <w:basedOn w:val="Normal"/>
    <w:qFormat/>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qFormat/>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qFormat/>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qFormat/>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qFormat/>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urful1">
    <w:name w:val="Table Colorful 1"/>
    <w:basedOn w:val="TableNormal"/>
    <w:qFormat/>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urful2">
    <w:name w:val="Table Colorful 2"/>
    <w:basedOn w:val="TableNormal"/>
    <w:qFormat/>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urful3">
    <w:name w:val="Table Colorful 3"/>
    <w:basedOn w:val="TableNormal"/>
    <w:qFormat/>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qFormat/>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qFormat/>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qFormat/>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qFormat/>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qFormat/>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qFormat/>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qFormat/>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qFormat/>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qFormat/>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qFormat/>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qFormat/>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qFormat/>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qFormat/>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qFormat/>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qFormat/>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qFormat/>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qFormat/>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qFormat/>
    <w:pPr>
      <w:spacing w:before="120"/>
    </w:pPr>
    <w:rPr>
      <w:rFonts w:ascii="Arial" w:hAnsi="Arial" w:cs="Arial"/>
    </w:rPr>
  </w:style>
  <w:style w:type="paragraph" w:styleId="TOC1">
    <w:name w:val="toc 1"/>
    <w:basedOn w:val="Normal"/>
    <w:next w:val="Normal"/>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qFormat/>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qFormat/>
    <w:pPr>
      <w:ind w:leftChars="1400" w:left="2940"/>
    </w:pPr>
  </w:style>
  <w:style w:type="paragraph" w:styleId="TOC9">
    <w:name w:val="toc 9"/>
    <w:basedOn w:val="Normal"/>
    <w:next w:val="Normal"/>
    <w:qFormat/>
    <w:pPr>
      <w:ind w:leftChars="1600" w:left="3360"/>
    </w:pPr>
  </w:style>
  <w:style w:type="table" w:styleId="LightShading">
    <w:name w:val="Light Shading"/>
    <w:basedOn w:val="TableNormal"/>
    <w:uiPriority w:val="60"/>
    <w:qFormat/>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qFormat/>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qFormat/>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qFormat/>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qFormat/>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qFormat/>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qFormat/>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qFormat/>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qFormat/>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qFormat/>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qFormat/>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qFormat/>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qFormat/>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qFormat/>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qFormat/>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qFormat/>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qFormat/>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urfulShading">
    <w:name w:val="Colorful Shading"/>
    <w:basedOn w:val="TableNormal"/>
    <w:uiPriority w:val="71"/>
    <w:qFormat/>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u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urfulShadingAccent2">
    <w:name w:val="Colorful Shading Accent 2"/>
    <w:basedOn w:val="TableNormal"/>
    <w:uiPriority w:val="71"/>
    <w:qFormat/>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urfulShadingAccent3">
    <w:name w:val="Colorful Shading Accent 3"/>
    <w:basedOn w:val="TableNormal"/>
    <w:uiPriority w:val="71"/>
    <w:qFormat/>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urfulShadingAccent4">
    <w:name w:val="Colorful Shading Accent 4"/>
    <w:basedOn w:val="TableNormal"/>
    <w:uiPriority w:val="71"/>
    <w:qFormat/>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urfulShadingAccent5">
    <w:name w:val="Colorful Shading Accent 5"/>
    <w:basedOn w:val="TableNormal"/>
    <w:uiPriority w:val="71"/>
    <w:qFormat/>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urfulShadingAccent6">
    <w:name w:val="Colorful Shading Accent 6"/>
    <w:basedOn w:val="TableNormal"/>
    <w:uiPriority w:val="71"/>
    <w:qFormat/>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urfulList">
    <w:name w:val="Colorful List"/>
    <w:basedOn w:val="TableNormal"/>
    <w:uiPriority w:val="72"/>
    <w:qFormat/>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urfulListAccent1">
    <w:name w:val="Colorful List Accent 1"/>
    <w:basedOn w:val="TableNormal"/>
    <w:uiPriority w:val="72"/>
    <w:qFormat/>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urfulListAccent2">
    <w:name w:val="Colorful List Accent 2"/>
    <w:basedOn w:val="TableNormal"/>
    <w:uiPriority w:val="72"/>
    <w:qFormat/>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urfulListAccent3">
    <w:name w:val="Colorful List Accent 3"/>
    <w:basedOn w:val="TableNormal"/>
    <w:uiPriority w:val="72"/>
    <w:qFormat/>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urfulListAccent4">
    <w:name w:val="Colorful List Accent 4"/>
    <w:basedOn w:val="TableNormal"/>
    <w:uiPriority w:val="72"/>
    <w:qFormat/>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urfulListAccent5">
    <w:name w:val="Colorful List Accent 5"/>
    <w:basedOn w:val="TableNormal"/>
    <w:uiPriority w:val="72"/>
    <w:qFormat/>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urfulListAccent6">
    <w:name w:val="Colorful List Accent 6"/>
    <w:basedOn w:val="TableNormal"/>
    <w:uiPriority w:val="72"/>
    <w:qFormat/>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urfulGrid">
    <w:name w:val="Colorful Grid"/>
    <w:basedOn w:val="TableNormal"/>
    <w:uiPriority w:val="73"/>
    <w:qFormat/>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urfulGridAccent1">
    <w:name w:val="Colorful Grid Accent 1"/>
    <w:basedOn w:val="TableNormal"/>
    <w:uiPriority w:val="73"/>
    <w:qFormat/>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urfulGridAccent2">
    <w:name w:val="Colorful Grid Accent 2"/>
    <w:basedOn w:val="TableNormal"/>
    <w:uiPriority w:val="73"/>
    <w:qFormat/>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urfulGridAccent3">
    <w:name w:val="Colorful Grid Accent 3"/>
    <w:basedOn w:val="TableNormal"/>
    <w:uiPriority w:val="73"/>
    <w:qFormat/>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urfulGridAccent4">
    <w:name w:val="Colorful Grid Accent 4"/>
    <w:basedOn w:val="TableNormal"/>
    <w:uiPriority w:val="73"/>
    <w:qFormat/>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urfulGridAccent5">
    <w:name w:val="Colorful Grid Accent 5"/>
    <w:basedOn w:val="TableNormal"/>
    <w:uiPriority w:val="73"/>
    <w:qFormat/>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urfulGridAccent6">
    <w:name w:val="Colorful Grid Accent 6"/>
    <w:basedOn w:val="TableNormal"/>
    <w:uiPriority w:val="73"/>
    <w:qFormat/>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delta-net.com/compliance/code-of-conduct/faqs/why-is-a-code-of-conduct-important" TargetMode="External"/><Relationship Id="rId13" Type="http://schemas.openxmlformats.org/officeDocument/2006/relationships/hyperlink" Target="https://s3-eu-west-1.amazonaws.com/s3.sourceafrica.net/documents/118115/Manufacturing-Divides.pdf" TargetMode="External"/><Relationship Id="rId18" Type="http://schemas.openxmlformats.org/officeDocument/2006/relationships/hyperlink" Target="https://journals.ufs.ac.za/index.php/com/article/download/3732/3492/701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678540/FOI_0870-17_-_Bell_Pottinger_-_FINAL_RELEASE.PDF" TargetMode="External"/><Relationship Id="rId17" Type="http://schemas.openxmlformats.org/officeDocument/2006/relationships/hyperlink" Target="https://www.gibs.co.za/aboutus/faculty/documents/gibs%20case%20studies%20booklet%201920.pdf" TargetMode="External"/><Relationship Id="rId2" Type="http://schemas.openxmlformats.org/officeDocument/2006/relationships/numbering" Target="numbering.xml"/><Relationship Id="rId16" Type="http://schemas.openxmlformats.org/officeDocument/2006/relationships/hyperlink" Target="https://www.wgtn.ac.nz/__data/assets/pdf_file/0009/1729971/werner-webb.pdf%20accessed%2024%20December%20202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isa.com/uploads/2016/03/codigo-etico-en.pdf" TargetMode="External"/><Relationship Id="rId5" Type="http://schemas.openxmlformats.org/officeDocument/2006/relationships/webSettings" Target="webSettings.xml"/><Relationship Id="rId15" Type="http://schemas.openxmlformats.org/officeDocument/2006/relationships/hyperlink" Target="http://etd.cput.ac.za/bitstream/20.500.11838/3091/1/Dumakude_Tsholofelo_209149655.pdf" TargetMode="External"/><Relationship Id="rId10" Type="http://schemas.openxmlformats.org/officeDocument/2006/relationships/hyperlink" Target="https://www.scu.edu/ethics/ethics-resources/ethical-decision-making/what-is-ethics/" TargetMode="External"/><Relationship Id="rId19" Type="http://schemas.openxmlformats.org/officeDocument/2006/relationships/hyperlink" Target="https://www.provokemedia.com/latest/article/bell-pottinger-'in-breach-of-relevant-ethical-principles'-says-report" TargetMode="External"/><Relationship Id="rId4" Type="http://schemas.openxmlformats.org/officeDocument/2006/relationships/settings" Target="settings.xml"/><Relationship Id="rId9" Type="http://schemas.openxmlformats.org/officeDocument/2006/relationships/hyperlink" Target="https://www.ganintegrity.com/compliance-glossary/code-of-conduct/" TargetMode="External"/><Relationship Id="rId14" Type="http://schemas.openxmlformats.org/officeDocument/2006/relationships/hyperlink" Target="https://amabhungane.org/wp-content/uploads/2019/02/180914_amaB_2017-18-FY-narrative-report-_final.pdf" TargetMode="External"/><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14053</Words>
  <Characters>80161</Characters>
  <Application>Microsoft Office Word</Application>
  <DocSecurity>0</DocSecurity>
  <Lines>668</Lines>
  <Paragraphs>188</Paragraphs>
  <ScaleCrop>false</ScaleCrop>
  <Company/>
  <LinksUpToDate>false</LinksUpToDate>
  <CharactersWithSpaces>94026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linco</dc:creator>
  <cp:lastModifiedBy>Richard Kanjoma (1916228)</cp:lastModifiedBy>
  <cp:revision>2</cp:revision>
  <dcterms:created xsi:type="dcterms:W3CDTF">2022-01-03T19:48:00Z</dcterms:created>
  <dcterms:modified xsi:type="dcterms:W3CDTF">2022-01-03T19:48:00Z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2057-11.2.0.10382</vt:lpwstr>
  </property>
  <property fmtid="{D5CDD505-2E9C-101B-9397-08002B2CF9AE}" pid="3" name="ICV">
    <vt:lpwstr>E11CE8EAC8E7492AACCD4CDAC54522A2</vt:lpwstr>
  </property>
</Properties>
</file>