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B4989B" w14:textId="2A62200D" w:rsidR="003669B7" w:rsidRDefault="0080450B" w:rsidP="003669B7">
      <w:pPr>
        <w:pStyle w:val="Heading1"/>
        <w:rPr>
          <w:rFonts w:ascii="Arial" w:hAnsi="Arial" w:cs="Arial"/>
          <w:b w:val="0"/>
          <w:bCs w:val="0"/>
          <w:color w:val="000000" w:themeColor="text1"/>
          <w:sz w:val="22"/>
          <w:szCs w:val="22"/>
        </w:rPr>
      </w:pPr>
      <w:r w:rsidRPr="00176CD4">
        <w:rPr>
          <w:rFonts w:ascii="Arial" w:hAnsi="Arial" w:cs="Arial"/>
          <w:b w:val="0"/>
          <w:bCs w:val="0"/>
          <w:color w:val="000000" w:themeColor="text1"/>
          <w:sz w:val="22"/>
          <w:szCs w:val="22"/>
        </w:rPr>
        <w:t>Student Name:</w:t>
      </w:r>
      <w:r w:rsidR="00710E9C">
        <w:rPr>
          <w:rFonts w:ascii="Arial" w:hAnsi="Arial" w:cs="Arial"/>
          <w:b w:val="0"/>
          <w:bCs w:val="0"/>
          <w:color w:val="000000" w:themeColor="text1"/>
          <w:sz w:val="22"/>
          <w:szCs w:val="22"/>
        </w:rPr>
        <w:t xml:space="preserve"> </w:t>
      </w:r>
      <w:r w:rsidRPr="00176CD4">
        <w:rPr>
          <w:rFonts w:ascii="Arial" w:hAnsi="Arial" w:cs="Arial"/>
          <w:b w:val="0"/>
          <w:bCs w:val="0"/>
          <w:color w:val="000000" w:themeColor="text1"/>
          <w:sz w:val="22"/>
          <w:szCs w:val="22"/>
        </w:rPr>
        <w:t>Mariama</w:t>
      </w:r>
      <w:r w:rsidR="00D40197">
        <w:rPr>
          <w:rFonts w:ascii="Arial" w:hAnsi="Arial" w:cs="Arial"/>
          <w:b w:val="0"/>
          <w:bCs w:val="0"/>
          <w:color w:val="000000" w:themeColor="text1"/>
          <w:sz w:val="22"/>
          <w:szCs w:val="22"/>
        </w:rPr>
        <w:t xml:space="preserve"> </w:t>
      </w:r>
      <w:proofErr w:type="spellStart"/>
      <w:r w:rsidR="007F0B95" w:rsidRPr="00176CD4">
        <w:rPr>
          <w:rFonts w:ascii="Arial" w:hAnsi="Arial" w:cs="Arial"/>
          <w:b w:val="0"/>
          <w:bCs w:val="0"/>
          <w:color w:val="000000" w:themeColor="text1"/>
          <w:sz w:val="22"/>
          <w:szCs w:val="22"/>
        </w:rPr>
        <w:t>dalanda</w:t>
      </w:r>
      <w:proofErr w:type="spellEnd"/>
      <w:r w:rsidR="007F0B95" w:rsidRPr="00176CD4">
        <w:rPr>
          <w:rFonts w:ascii="Arial" w:hAnsi="Arial" w:cs="Arial"/>
          <w:b w:val="0"/>
          <w:bCs w:val="0"/>
          <w:color w:val="000000" w:themeColor="text1"/>
          <w:sz w:val="22"/>
          <w:szCs w:val="22"/>
        </w:rPr>
        <w:t xml:space="preserve"> </w:t>
      </w:r>
      <w:proofErr w:type="spellStart"/>
      <w:r w:rsidR="006C1ADB">
        <w:rPr>
          <w:rFonts w:ascii="Arial" w:hAnsi="Arial" w:cs="Arial"/>
          <w:b w:val="0"/>
          <w:bCs w:val="0"/>
          <w:color w:val="000000" w:themeColor="text1"/>
          <w:sz w:val="22"/>
          <w:szCs w:val="22"/>
        </w:rPr>
        <w:t>Jallo</w:t>
      </w:r>
      <w:r w:rsidR="00BC108A">
        <w:rPr>
          <w:rFonts w:ascii="Arial" w:hAnsi="Arial" w:cs="Arial"/>
          <w:b w:val="0"/>
          <w:bCs w:val="0"/>
          <w:color w:val="000000" w:themeColor="text1"/>
          <w:sz w:val="22"/>
          <w:szCs w:val="22"/>
        </w:rPr>
        <w:t>w</w:t>
      </w:r>
      <w:proofErr w:type="spellEnd"/>
    </w:p>
    <w:p w14:paraId="0085A644" w14:textId="77777777" w:rsidR="00254B8C" w:rsidRPr="00254B8C" w:rsidRDefault="00254B8C" w:rsidP="00254B8C"/>
    <w:p w14:paraId="35BBFD4A" w14:textId="1174503E" w:rsidR="00F47CA6" w:rsidRPr="00176CD4" w:rsidRDefault="007D40CC">
      <w:pPr>
        <w:pStyle w:val="p1"/>
        <w:rPr>
          <w:rFonts w:ascii="Arial" w:hAnsi="Arial" w:cs="Arial"/>
          <w:sz w:val="22"/>
          <w:szCs w:val="22"/>
        </w:rPr>
      </w:pPr>
      <w:r w:rsidRPr="00176CD4">
        <w:rPr>
          <w:rFonts w:ascii="Arial" w:hAnsi="Arial" w:cs="Arial"/>
          <w:sz w:val="22"/>
          <w:szCs w:val="22"/>
        </w:rPr>
        <w:t>Lecturer name</w:t>
      </w:r>
      <w:r w:rsidR="0006576D" w:rsidRPr="00176CD4">
        <w:rPr>
          <w:rFonts w:ascii="Arial" w:hAnsi="Arial" w:cs="Arial"/>
          <w:sz w:val="22"/>
          <w:szCs w:val="22"/>
        </w:rPr>
        <w:t>:</w:t>
      </w:r>
      <w:r w:rsidR="00710E9C">
        <w:rPr>
          <w:rFonts w:ascii="Arial" w:hAnsi="Arial" w:cs="Arial"/>
          <w:sz w:val="22"/>
          <w:szCs w:val="22"/>
        </w:rPr>
        <w:t xml:space="preserve"> </w:t>
      </w:r>
      <w:r w:rsidR="00127C47">
        <w:rPr>
          <w:rFonts w:ascii="Arial" w:hAnsi="Arial" w:cs="Arial"/>
          <w:sz w:val="22"/>
          <w:szCs w:val="22"/>
        </w:rPr>
        <w:t xml:space="preserve">Mr </w:t>
      </w:r>
      <w:r w:rsidR="00951A9A">
        <w:rPr>
          <w:rStyle w:val="s1"/>
          <w:rFonts w:ascii="Arial" w:hAnsi="Arial" w:cs="Arial"/>
          <w:sz w:val="22"/>
          <w:szCs w:val="22"/>
        </w:rPr>
        <w:t xml:space="preserve">Mohamed </w:t>
      </w:r>
      <w:proofErr w:type="spellStart"/>
      <w:r w:rsidR="00127C47">
        <w:rPr>
          <w:rStyle w:val="s1"/>
          <w:rFonts w:ascii="Arial" w:hAnsi="Arial" w:cs="Arial"/>
          <w:sz w:val="22"/>
          <w:szCs w:val="22"/>
        </w:rPr>
        <w:t>Alieu</w:t>
      </w:r>
      <w:proofErr w:type="spellEnd"/>
    </w:p>
    <w:p w14:paraId="18CBCA50" w14:textId="77777777" w:rsidR="003669B7" w:rsidRDefault="003669B7">
      <w:pPr>
        <w:pStyle w:val="p1"/>
        <w:rPr>
          <w:rFonts w:ascii="Arial" w:hAnsi="Arial" w:cs="Arial"/>
          <w:sz w:val="22"/>
          <w:szCs w:val="22"/>
        </w:rPr>
      </w:pPr>
    </w:p>
    <w:p w14:paraId="388001D6" w14:textId="647C8A20" w:rsidR="00FD7458" w:rsidRDefault="00CC38B1">
      <w:pPr>
        <w:pStyle w:val="p1"/>
        <w:rPr>
          <w:rFonts w:ascii="Arial" w:hAnsi="Arial" w:cs="Arial"/>
          <w:sz w:val="22"/>
          <w:szCs w:val="22"/>
        </w:rPr>
      </w:pPr>
      <w:r>
        <w:rPr>
          <w:rFonts w:ascii="Arial" w:hAnsi="Arial" w:cs="Arial"/>
          <w:sz w:val="22"/>
          <w:szCs w:val="22"/>
        </w:rPr>
        <w:t>Module code: L</w:t>
      </w:r>
      <w:r w:rsidR="003451A4">
        <w:rPr>
          <w:rFonts w:ascii="Arial" w:hAnsi="Arial" w:cs="Arial"/>
          <w:sz w:val="22"/>
          <w:szCs w:val="22"/>
        </w:rPr>
        <w:t>CHS4003</w:t>
      </w:r>
    </w:p>
    <w:p w14:paraId="4353BC27" w14:textId="77777777" w:rsidR="003669B7" w:rsidRDefault="003669B7">
      <w:pPr>
        <w:pStyle w:val="p1"/>
        <w:rPr>
          <w:rFonts w:ascii="Arial" w:hAnsi="Arial" w:cs="Arial"/>
          <w:sz w:val="22"/>
          <w:szCs w:val="22"/>
        </w:rPr>
      </w:pPr>
    </w:p>
    <w:p w14:paraId="745121E1" w14:textId="7F511416" w:rsidR="006C1ADB" w:rsidRDefault="003451A4" w:rsidP="006C1ADB">
      <w:pPr>
        <w:pStyle w:val="p1"/>
        <w:rPr>
          <w:rFonts w:ascii="Arial" w:hAnsi="Arial" w:cs="Arial"/>
          <w:sz w:val="22"/>
          <w:szCs w:val="22"/>
        </w:rPr>
      </w:pPr>
      <w:r>
        <w:rPr>
          <w:rFonts w:ascii="Arial" w:hAnsi="Arial" w:cs="Arial"/>
          <w:sz w:val="22"/>
          <w:szCs w:val="22"/>
        </w:rPr>
        <w:t>Student number</w:t>
      </w:r>
      <w:r w:rsidR="003669B7">
        <w:rPr>
          <w:rFonts w:ascii="Arial" w:hAnsi="Arial" w:cs="Arial"/>
          <w:sz w:val="22"/>
          <w:szCs w:val="22"/>
        </w:rPr>
        <w:t>:</w:t>
      </w:r>
      <w:r>
        <w:rPr>
          <w:rFonts w:ascii="Arial" w:hAnsi="Arial" w:cs="Arial"/>
          <w:sz w:val="22"/>
          <w:szCs w:val="22"/>
        </w:rPr>
        <w:t xml:space="preserve"> </w:t>
      </w:r>
      <w:r w:rsidR="00E521AF">
        <w:rPr>
          <w:rFonts w:ascii="Arial" w:hAnsi="Arial" w:cs="Arial"/>
          <w:sz w:val="22"/>
          <w:szCs w:val="22"/>
        </w:rPr>
        <w:t>2442841</w:t>
      </w:r>
    </w:p>
    <w:p w14:paraId="40132DF0" w14:textId="77777777" w:rsidR="006C1ADB" w:rsidRDefault="006C1ADB" w:rsidP="006C1ADB">
      <w:pPr>
        <w:pStyle w:val="p1"/>
        <w:rPr>
          <w:rFonts w:ascii="Arial" w:hAnsi="Arial" w:cs="Arial"/>
          <w:sz w:val="22"/>
          <w:szCs w:val="22"/>
        </w:rPr>
      </w:pPr>
    </w:p>
    <w:p w14:paraId="46CEEC6E" w14:textId="77777777" w:rsidR="006C1ADB" w:rsidRDefault="006C1ADB" w:rsidP="006C1ADB">
      <w:pPr>
        <w:pStyle w:val="p1"/>
        <w:rPr>
          <w:rFonts w:ascii="Arial" w:hAnsi="Arial" w:cs="Arial"/>
          <w:sz w:val="22"/>
          <w:szCs w:val="22"/>
        </w:rPr>
      </w:pPr>
    </w:p>
    <w:p w14:paraId="7A6F4D24" w14:textId="3AD6357E" w:rsidR="00676C66" w:rsidRPr="00CE372B" w:rsidRDefault="007274A3" w:rsidP="006C1ADB">
      <w:pPr>
        <w:pStyle w:val="p1"/>
        <w:rPr>
          <w:rFonts w:ascii="Arial" w:hAnsi="Arial" w:cs="Arial"/>
          <w:b/>
          <w:bCs/>
          <w:sz w:val="22"/>
          <w:szCs w:val="22"/>
          <w:u w:val="single"/>
        </w:rPr>
      </w:pPr>
      <w:r w:rsidRPr="00CE372B">
        <w:rPr>
          <w:rFonts w:ascii="Arial" w:hAnsi="Arial" w:cs="Arial"/>
          <w:b/>
          <w:bCs/>
          <w:sz w:val="22"/>
          <w:szCs w:val="22"/>
          <w:u w:val="single"/>
        </w:rPr>
        <w:t>Mrs Mann Case Study</w:t>
      </w:r>
    </w:p>
    <w:p w14:paraId="297A2139" w14:textId="77777777" w:rsidR="00CE372B" w:rsidRDefault="007274A3" w:rsidP="00CE372B">
      <w:pPr>
        <w:pStyle w:val="Heading2"/>
        <w:rPr>
          <w:rFonts w:ascii="Arial" w:hAnsi="Arial" w:cs="Arial"/>
          <w:color w:val="000000" w:themeColor="text1"/>
          <w:sz w:val="22"/>
          <w:szCs w:val="22"/>
        </w:rPr>
      </w:pPr>
      <w:r w:rsidRPr="00AC679B">
        <w:rPr>
          <w:rFonts w:ascii="Arial" w:hAnsi="Arial" w:cs="Arial"/>
          <w:color w:val="000000" w:themeColor="text1"/>
          <w:sz w:val="22"/>
          <w:szCs w:val="22"/>
        </w:rPr>
        <w:t>Communication, Administration, and Collaborative Working in Health and Social Care</w:t>
      </w:r>
    </w:p>
    <w:p w14:paraId="68746AC5" w14:textId="11EC18A5" w:rsidR="00676C66" w:rsidRPr="00CE372B" w:rsidRDefault="007274A3" w:rsidP="00CE372B">
      <w:pPr>
        <w:pStyle w:val="Heading2"/>
        <w:rPr>
          <w:rFonts w:ascii="Arial" w:hAnsi="Arial" w:cs="Arial"/>
          <w:color w:val="000000" w:themeColor="text1"/>
          <w:sz w:val="22"/>
          <w:szCs w:val="22"/>
        </w:rPr>
      </w:pPr>
      <w:r w:rsidRPr="00AC679B">
        <w:rPr>
          <w:rFonts w:ascii="Arial" w:hAnsi="Arial" w:cs="Arial"/>
          <w:color w:val="000000" w:themeColor="text1"/>
        </w:rPr>
        <w:br/>
        <w:t>Introduction</w:t>
      </w:r>
    </w:p>
    <w:p w14:paraId="5530E5D3" w14:textId="77777777" w:rsidR="00676C66" w:rsidRPr="00AC679B" w:rsidRDefault="007274A3">
      <w:pPr>
        <w:rPr>
          <w:rFonts w:ascii="Arial" w:hAnsi="Arial" w:cs="Arial"/>
        </w:rPr>
      </w:pPr>
      <w:r w:rsidRPr="00AC679B">
        <w:rPr>
          <w:rFonts w:ascii="Arial" w:hAnsi="Arial" w:cs="Arial"/>
        </w:rPr>
        <w:t>Effective communication, accurate administration, and collaborative working are essential components of high-quality health and social care practice. These elements ensure that service users receive safe, coordinated, and person-centred care, particularly when multiple professionals and agencies are involved (Skills for Care, 2021; World Health Organization, 2016). This assignment explores these principles within the context of Mrs Mann, a 72-year-old woman recovering from hip replacement surgery who receives domiciliary care support at home. Due to her age, recent hospital discharge, limited English proficiency, and reliance on a multidisciplinary care team, Mrs Mann is vulnerable to risks associated with poor communication and ineffective record keeping (National Institute for Health and Care Excellence, 2015).</w:t>
      </w:r>
    </w:p>
    <w:p w14:paraId="4FEDBCD2" w14:textId="77777777" w:rsidR="00676C66" w:rsidRPr="00AC679B" w:rsidRDefault="007274A3">
      <w:pPr>
        <w:rPr>
          <w:rFonts w:ascii="Arial" w:hAnsi="Arial" w:cs="Arial"/>
          <w:b/>
          <w:bCs/>
        </w:rPr>
      </w:pPr>
      <w:r w:rsidRPr="00AC679B">
        <w:rPr>
          <w:rFonts w:ascii="Arial" w:hAnsi="Arial" w:cs="Arial"/>
          <w:b/>
          <w:bCs/>
        </w:rPr>
        <w:t>The Importance of Effective Communication in Mrs Mann’s Care</w:t>
      </w:r>
    </w:p>
    <w:p w14:paraId="6E71B714" w14:textId="77777777" w:rsidR="00676C66" w:rsidRPr="00AC679B" w:rsidRDefault="007274A3">
      <w:pPr>
        <w:rPr>
          <w:rFonts w:ascii="Arial" w:hAnsi="Arial" w:cs="Arial"/>
        </w:rPr>
      </w:pPr>
      <w:r w:rsidRPr="00AC679B">
        <w:rPr>
          <w:rFonts w:ascii="Arial" w:hAnsi="Arial" w:cs="Arial"/>
        </w:rPr>
        <w:t>Effective communication is fundamental to delivering safe, person-centred care, particularly for service users with complex needs such as Mrs Mann (Skills for Care, 2021). Following her discharge after hip replacement surgery, Mrs Mann relies on coordinated input from domiciliary care workers, her GP, a community physiotherapist, and her family. Clear and accurate communication between all professionals is essential to ensure continuity of care, prevent errors, and support recovery (World Health Organization, 2016). The incident involving inconsistent documentation and delayed medication adjustment highlights the risks associated with ineffective communication within health and social care services.</w:t>
      </w:r>
    </w:p>
    <w:p w14:paraId="1B895E99" w14:textId="77777777" w:rsidR="00676C66" w:rsidRPr="00AC679B" w:rsidRDefault="007274A3">
      <w:pPr>
        <w:rPr>
          <w:rFonts w:ascii="Arial" w:hAnsi="Arial" w:cs="Arial"/>
        </w:rPr>
      </w:pPr>
      <w:r w:rsidRPr="00AC679B">
        <w:rPr>
          <w:rFonts w:ascii="Arial" w:hAnsi="Arial" w:cs="Arial"/>
        </w:rPr>
        <w:t xml:space="preserve">Mrs Mann’s limited English proficiency makes effective communication especially important. Without appropriate support, she may struggle to understand medication instructions, mobility guidance, or changes to her care plan, increasing the risk of harm. Effective communication also supports dignity and independence and helps </w:t>
      </w:r>
      <w:r w:rsidRPr="00AC679B">
        <w:rPr>
          <w:rFonts w:ascii="Arial" w:hAnsi="Arial" w:cs="Arial"/>
        </w:rPr>
        <w:lastRenderedPageBreak/>
        <w:t>professionals identify concerns early, such as pain, reduced mobility, or adverse medication effects (Skills for Care, 2021).</w:t>
      </w:r>
    </w:p>
    <w:p w14:paraId="7FFECF72" w14:textId="77777777" w:rsidR="00676C66" w:rsidRPr="00AC679B" w:rsidRDefault="007274A3">
      <w:pPr>
        <w:rPr>
          <w:rFonts w:ascii="Arial" w:hAnsi="Arial" w:cs="Arial"/>
          <w:b/>
          <w:bCs/>
        </w:rPr>
      </w:pPr>
      <w:r w:rsidRPr="00AC679B">
        <w:rPr>
          <w:rFonts w:ascii="Arial" w:hAnsi="Arial" w:cs="Arial"/>
          <w:b/>
          <w:bCs/>
        </w:rPr>
        <w:t>Communicating with Mrs Mann and Her Family</w:t>
      </w:r>
    </w:p>
    <w:p w14:paraId="6D694DA2" w14:textId="77777777" w:rsidR="00676C66" w:rsidRPr="00AC679B" w:rsidRDefault="007274A3">
      <w:pPr>
        <w:rPr>
          <w:rFonts w:ascii="Arial" w:hAnsi="Arial" w:cs="Arial"/>
        </w:rPr>
      </w:pPr>
      <w:r w:rsidRPr="00AC679B">
        <w:rPr>
          <w:rFonts w:ascii="Arial" w:hAnsi="Arial" w:cs="Arial"/>
        </w:rPr>
        <w:t>When communicating with Mrs Mann, staff must adopt inclusive and respectful approaches that recognise her language and cultural needs. Under the Equality Act 2010, language barriers may constitute indirect discrimination if reasonable adjustments are not made (Equality Act 2010). The Act promotes equality, dignity, and inclusion and requires services to ensure that Mrs Mann can access information in a way she understands. This may involve using professional interpreters, translated written materials, or visual aids rather than relying solely on her daughter to interpret.</w:t>
      </w:r>
    </w:p>
    <w:p w14:paraId="7BD43E67" w14:textId="77777777" w:rsidR="00676C66" w:rsidRPr="00AC679B" w:rsidRDefault="007274A3">
      <w:pPr>
        <w:rPr>
          <w:rFonts w:ascii="Arial" w:hAnsi="Arial" w:cs="Arial"/>
        </w:rPr>
      </w:pPr>
      <w:r w:rsidRPr="00AC679B">
        <w:rPr>
          <w:rFonts w:ascii="Arial" w:hAnsi="Arial" w:cs="Arial"/>
        </w:rPr>
        <w:t>While family involvement can provide emotional support, it is essential to maintain confidentiality and ensure that Mrs Mann’s voice remains central to decision-making. Clear and consistent communication with her daughter, with Mrs Mann’s consent, supports shared understanding and helps prevent misunderstandings regarding medication changes or physiotherapy plans (Health and Care Professions Council, 2022).</w:t>
      </w:r>
    </w:p>
    <w:p w14:paraId="186AEDAE" w14:textId="77777777" w:rsidR="00676C66" w:rsidRPr="00AC679B" w:rsidRDefault="007274A3">
      <w:pPr>
        <w:rPr>
          <w:rFonts w:ascii="Arial" w:hAnsi="Arial" w:cs="Arial"/>
          <w:b/>
          <w:bCs/>
        </w:rPr>
      </w:pPr>
      <w:r w:rsidRPr="00AC679B">
        <w:rPr>
          <w:rFonts w:ascii="Arial" w:hAnsi="Arial" w:cs="Arial"/>
          <w:b/>
          <w:bCs/>
        </w:rPr>
        <w:t>Use of Communication Models</w:t>
      </w:r>
    </w:p>
    <w:p w14:paraId="592CF437" w14:textId="77777777" w:rsidR="00676C66" w:rsidRPr="00AC679B" w:rsidRDefault="007274A3">
      <w:pPr>
        <w:rPr>
          <w:rFonts w:ascii="Arial" w:hAnsi="Arial" w:cs="Arial"/>
        </w:rPr>
      </w:pPr>
      <w:r w:rsidRPr="00AC679B">
        <w:rPr>
          <w:rFonts w:ascii="Arial" w:hAnsi="Arial" w:cs="Arial"/>
        </w:rPr>
        <w:t>The Communication Cycle Model is relevant to Mrs Mann’s care, as it emphasises sending, receiving, and confirming understanding. In practice, carers should check that Mrs Mann has understood information by observing non-verbal cues, asking open-ended questions, and encouraging feedback through an interpreter where necessary (Skills for Care, 2021). Breakdowns in this process can lead to unsafe practice and errors.</w:t>
      </w:r>
    </w:p>
    <w:p w14:paraId="2CA1D12D" w14:textId="77777777" w:rsidR="00676C66" w:rsidRPr="00AC679B" w:rsidRDefault="007274A3">
      <w:pPr>
        <w:rPr>
          <w:rFonts w:ascii="Arial" w:hAnsi="Arial" w:cs="Arial"/>
          <w:b/>
          <w:bCs/>
        </w:rPr>
      </w:pPr>
      <w:r w:rsidRPr="00AC679B">
        <w:rPr>
          <w:rFonts w:ascii="Arial" w:hAnsi="Arial" w:cs="Arial"/>
          <w:b/>
          <w:bCs/>
        </w:rPr>
        <w:t>The Importance of Good Administrative Skills in Mrs Mann’s Care</w:t>
      </w:r>
    </w:p>
    <w:p w14:paraId="56E2741A" w14:textId="77777777" w:rsidR="00676C66" w:rsidRPr="00AC679B" w:rsidRDefault="007274A3">
      <w:pPr>
        <w:rPr>
          <w:rFonts w:ascii="Arial" w:hAnsi="Arial" w:cs="Arial"/>
        </w:rPr>
      </w:pPr>
      <w:r w:rsidRPr="00AC679B">
        <w:rPr>
          <w:rFonts w:ascii="Arial" w:hAnsi="Arial" w:cs="Arial"/>
        </w:rPr>
        <w:t>Good administrative skills are essential in professional health and social care practice, as they support safe, effective, and coordinated care delivery. Accurate documentation and information sharing reduce the risk of errors and promote continuity of care (NHS England, 2023). In Mrs Mann’s case, poor administrative practice contributed to delayed medication adjustment.</w:t>
      </w:r>
    </w:p>
    <w:p w14:paraId="488CF198" w14:textId="77777777" w:rsidR="00676C66" w:rsidRPr="00AC679B" w:rsidRDefault="007274A3">
      <w:pPr>
        <w:rPr>
          <w:rFonts w:ascii="Arial" w:hAnsi="Arial" w:cs="Arial"/>
          <w:b/>
          <w:bCs/>
        </w:rPr>
      </w:pPr>
      <w:r w:rsidRPr="00AC679B">
        <w:rPr>
          <w:rFonts w:ascii="Arial" w:hAnsi="Arial" w:cs="Arial"/>
          <w:b/>
          <w:bCs/>
        </w:rPr>
        <w:t>Record Keeping and Data Protection</w:t>
      </w:r>
    </w:p>
    <w:p w14:paraId="621D407D" w14:textId="77777777" w:rsidR="00676C66" w:rsidRPr="00AC679B" w:rsidRDefault="007274A3">
      <w:pPr>
        <w:rPr>
          <w:rFonts w:ascii="Arial" w:hAnsi="Arial" w:cs="Arial"/>
        </w:rPr>
      </w:pPr>
      <w:r w:rsidRPr="00AC679B">
        <w:rPr>
          <w:rFonts w:ascii="Arial" w:hAnsi="Arial" w:cs="Arial"/>
        </w:rPr>
        <w:t>Record keeping is a core administrative responsibility. Records must be accurate, clear, dated, and completed in a timely manner. The Data Protection Act 2018 provides the legal framework for handling personal and sensitive information and requires data to be processed lawfully, fairly, and securely (Data Protection Act 2018).</w:t>
      </w:r>
    </w:p>
    <w:p w14:paraId="173FE74F" w14:textId="77777777" w:rsidR="00676C66" w:rsidRPr="00AC679B" w:rsidRDefault="007274A3">
      <w:pPr>
        <w:rPr>
          <w:rFonts w:ascii="Arial" w:hAnsi="Arial" w:cs="Arial"/>
          <w:b/>
          <w:bCs/>
        </w:rPr>
      </w:pPr>
      <w:r w:rsidRPr="00AC679B">
        <w:rPr>
          <w:rFonts w:ascii="Arial" w:hAnsi="Arial" w:cs="Arial"/>
          <w:b/>
          <w:bCs/>
        </w:rPr>
        <w:t>The Importance of Collaborative Working</w:t>
      </w:r>
    </w:p>
    <w:p w14:paraId="09998AC2" w14:textId="77777777" w:rsidR="00676C66" w:rsidRPr="00AC679B" w:rsidRDefault="007274A3">
      <w:pPr>
        <w:rPr>
          <w:rFonts w:ascii="Arial" w:hAnsi="Arial" w:cs="Arial"/>
        </w:rPr>
      </w:pPr>
      <w:r w:rsidRPr="00AC679B">
        <w:rPr>
          <w:rFonts w:ascii="Arial" w:hAnsi="Arial" w:cs="Arial"/>
        </w:rPr>
        <w:t xml:space="preserve">Collaborative working between domiciliary carers, the GP, and the community physiotherapist is essential to support Mrs Mann’s recovery. Effective collaboration allows professionals to share information, recognise changes in condition, and respond </w:t>
      </w:r>
      <w:r w:rsidRPr="00AC679B">
        <w:rPr>
          <w:rFonts w:ascii="Arial" w:hAnsi="Arial" w:cs="Arial"/>
        </w:rPr>
        <w:lastRenderedPageBreak/>
        <w:t>appropriately, reducing risks such as falls or delayed recovery (World Health Organization, 2016; National Institute for Health and Care Excellence, 2015).</w:t>
      </w:r>
    </w:p>
    <w:p w14:paraId="626CEBC6" w14:textId="77777777" w:rsidR="00676C66" w:rsidRPr="00AC679B" w:rsidRDefault="007274A3">
      <w:pPr>
        <w:rPr>
          <w:rFonts w:ascii="Arial" w:hAnsi="Arial" w:cs="Arial"/>
          <w:b/>
          <w:bCs/>
        </w:rPr>
      </w:pPr>
      <w:r w:rsidRPr="00AC679B">
        <w:rPr>
          <w:rFonts w:ascii="Arial" w:hAnsi="Arial" w:cs="Arial"/>
          <w:b/>
          <w:bCs/>
        </w:rPr>
        <w:t>Conclusion</w:t>
      </w:r>
    </w:p>
    <w:p w14:paraId="079DE6B8" w14:textId="77777777" w:rsidR="00676C66" w:rsidRPr="00AC679B" w:rsidRDefault="007274A3">
      <w:pPr>
        <w:rPr>
          <w:rFonts w:ascii="Arial" w:hAnsi="Arial" w:cs="Arial"/>
        </w:rPr>
      </w:pPr>
      <w:r w:rsidRPr="00AC679B">
        <w:rPr>
          <w:rFonts w:ascii="Arial" w:hAnsi="Arial" w:cs="Arial"/>
        </w:rPr>
        <w:t>In conclusion, effective communication, good administrative skills, and collaborative working are vital in ensuring high-quality care for Mrs Mann. Applying legislation, maintaining accurate records, and working together across disciplines promotes safety, dignity, and positive health outcomes (Skills for Care, 2021).</w:t>
      </w:r>
    </w:p>
    <w:p w14:paraId="4FA8E7E0" w14:textId="77777777" w:rsidR="00676C66" w:rsidRPr="00AC679B" w:rsidRDefault="007274A3">
      <w:pPr>
        <w:rPr>
          <w:rFonts w:ascii="Arial" w:hAnsi="Arial" w:cs="Arial"/>
          <w:b/>
          <w:bCs/>
        </w:rPr>
      </w:pPr>
      <w:r w:rsidRPr="00AC679B">
        <w:rPr>
          <w:rFonts w:ascii="Arial" w:hAnsi="Arial" w:cs="Arial"/>
          <w:b/>
          <w:bCs/>
        </w:rPr>
        <w:t>References</w:t>
      </w:r>
    </w:p>
    <w:p w14:paraId="1DD45DB6" w14:textId="77777777" w:rsidR="00676C66" w:rsidRPr="00AC679B" w:rsidRDefault="007274A3">
      <w:pPr>
        <w:rPr>
          <w:rFonts w:ascii="Arial" w:hAnsi="Arial" w:cs="Arial"/>
        </w:rPr>
      </w:pPr>
      <w:r w:rsidRPr="00AC679B">
        <w:rPr>
          <w:rFonts w:ascii="Arial" w:hAnsi="Arial" w:cs="Arial"/>
        </w:rPr>
        <w:t>Data Protection Act 2018. (2018). Data Protection Act 2018. London: The Stationery Office.</w:t>
      </w:r>
    </w:p>
    <w:p w14:paraId="771BC0B7" w14:textId="77777777" w:rsidR="00676C66" w:rsidRPr="00AC679B" w:rsidRDefault="007274A3">
      <w:pPr>
        <w:rPr>
          <w:rFonts w:ascii="Arial" w:hAnsi="Arial" w:cs="Arial"/>
        </w:rPr>
      </w:pPr>
      <w:r w:rsidRPr="00AC679B">
        <w:rPr>
          <w:rFonts w:ascii="Arial" w:hAnsi="Arial" w:cs="Arial"/>
        </w:rPr>
        <w:t>Equality Act 2010. (2010). Equality Act 2010. London: The Stationery Office.</w:t>
      </w:r>
    </w:p>
    <w:p w14:paraId="7EBD361F" w14:textId="77777777" w:rsidR="00676C66" w:rsidRPr="00AC679B" w:rsidRDefault="007274A3">
      <w:pPr>
        <w:rPr>
          <w:rFonts w:ascii="Arial" w:hAnsi="Arial" w:cs="Arial"/>
        </w:rPr>
      </w:pPr>
      <w:r w:rsidRPr="00AC679B">
        <w:rPr>
          <w:rFonts w:ascii="Arial" w:hAnsi="Arial" w:cs="Arial"/>
        </w:rPr>
        <w:t>Health and Care Professions Council. (2022). Standards of conduct, performance and ethics. London: HCPC.</w:t>
      </w:r>
    </w:p>
    <w:p w14:paraId="302CDB54" w14:textId="77777777" w:rsidR="003375B1" w:rsidRPr="00AC679B" w:rsidRDefault="007274A3">
      <w:pPr>
        <w:rPr>
          <w:rFonts w:ascii="Arial" w:hAnsi="Arial" w:cs="Arial"/>
        </w:rPr>
      </w:pPr>
      <w:r w:rsidRPr="00AC679B">
        <w:rPr>
          <w:rFonts w:ascii="Arial" w:hAnsi="Arial" w:cs="Arial"/>
        </w:rPr>
        <w:t>National Institute for Health and Care Excellence. (2015). Older people with social care needs and multiple long-term conditions. London: NICE.</w:t>
      </w:r>
    </w:p>
    <w:p w14:paraId="0A95D373" w14:textId="3CCA18F9" w:rsidR="00676C66" w:rsidRPr="00AC679B" w:rsidRDefault="007274A3">
      <w:pPr>
        <w:rPr>
          <w:rFonts w:ascii="Arial" w:hAnsi="Arial" w:cs="Arial"/>
        </w:rPr>
      </w:pPr>
      <w:r w:rsidRPr="00AC679B">
        <w:rPr>
          <w:rFonts w:ascii="Arial" w:hAnsi="Arial" w:cs="Arial"/>
        </w:rPr>
        <w:t>NHS England. (2023). Information governance and record keeping in health and care. London: NHS England.</w:t>
      </w:r>
    </w:p>
    <w:p w14:paraId="30DD9654" w14:textId="77777777" w:rsidR="00676C66" w:rsidRPr="00AC679B" w:rsidRDefault="007274A3">
      <w:pPr>
        <w:rPr>
          <w:rFonts w:ascii="Arial" w:hAnsi="Arial" w:cs="Arial"/>
        </w:rPr>
      </w:pPr>
      <w:r w:rsidRPr="00AC679B">
        <w:rPr>
          <w:rFonts w:ascii="Arial" w:hAnsi="Arial" w:cs="Arial"/>
        </w:rPr>
        <w:t>Skills for Care. (2021). Effective communication in health and social care. Leeds: Skills for Care.</w:t>
      </w:r>
    </w:p>
    <w:p w14:paraId="3FDCED28" w14:textId="77777777" w:rsidR="00676C66" w:rsidRPr="00AC679B" w:rsidRDefault="007274A3">
      <w:pPr>
        <w:rPr>
          <w:rFonts w:ascii="Arial" w:hAnsi="Arial" w:cs="Arial"/>
        </w:rPr>
      </w:pPr>
      <w:r w:rsidRPr="00AC679B">
        <w:rPr>
          <w:rFonts w:ascii="Arial" w:hAnsi="Arial" w:cs="Arial"/>
        </w:rPr>
        <w:t>World Health Organization. (2016). Framework on integrated, people-centred health services. Geneva: WHO.</w:t>
      </w:r>
      <w:r w:rsidRPr="00AC679B">
        <w:rPr>
          <w:rFonts w:ascii="Arial" w:hAnsi="Arial" w:cs="Arial"/>
        </w:rPr>
        <w:br/>
      </w:r>
    </w:p>
    <w:sectPr w:rsidR="00676C66" w:rsidRPr="00AC679B"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26726001">
    <w:abstractNumId w:val="8"/>
  </w:num>
  <w:num w:numId="2" w16cid:durableId="1304969752">
    <w:abstractNumId w:val="6"/>
  </w:num>
  <w:num w:numId="3" w16cid:durableId="171528216">
    <w:abstractNumId w:val="5"/>
  </w:num>
  <w:num w:numId="4" w16cid:durableId="432897545">
    <w:abstractNumId w:val="4"/>
  </w:num>
  <w:num w:numId="5" w16cid:durableId="434059744">
    <w:abstractNumId w:val="7"/>
  </w:num>
  <w:num w:numId="6" w16cid:durableId="192109866">
    <w:abstractNumId w:val="3"/>
  </w:num>
  <w:num w:numId="7" w16cid:durableId="37315605">
    <w:abstractNumId w:val="2"/>
  </w:num>
  <w:num w:numId="8" w16cid:durableId="1395394197">
    <w:abstractNumId w:val="1"/>
  </w:num>
  <w:num w:numId="9" w16cid:durableId="1271430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proofState w:spelling="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576D"/>
    <w:rsid w:val="000F7A33"/>
    <w:rsid w:val="00127C47"/>
    <w:rsid w:val="0015074B"/>
    <w:rsid w:val="00170A88"/>
    <w:rsid w:val="00176CD4"/>
    <w:rsid w:val="00254B8C"/>
    <w:rsid w:val="0029639D"/>
    <w:rsid w:val="002E1F2E"/>
    <w:rsid w:val="00326F90"/>
    <w:rsid w:val="003375B1"/>
    <w:rsid w:val="003451A4"/>
    <w:rsid w:val="003669B7"/>
    <w:rsid w:val="00676C66"/>
    <w:rsid w:val="006C1ADB"/>
    <w:rsid w:val="00710E9C"/>
    <w:rsid w:val="007274A3"/>
    <w:rsid w:val="007D40CC"/>
    <w:rsid w:val="007F0B95"/>
    <w:rsid w:val="0080450B"/>
    <w:rsid w:val="008715EB"/>
    <w:rsid w:val="008D3AA7"/>
    <w:rsid w:val="00951318"/>
    <w:rsid w:val="00951A9A"/>
    <w:rsid w:val="00AA1D8D"/>
    <w:rsid w:val="00AC679B"/>
    <w:rsid w:val="00B47730"/>
    <w:rsid w:val="00BC108A"/>
    <w:rsid w:val="00C97965"/>
    <w:rsid w:val="00CB0664"/>
    <w:rsid w:val="00CC38B1"/>
    <w:rsid w:val="00CE372B"/>
    <w:rsid w:val="00D40197"/>
    <w:rsid w:val="00D45A00"/>
    <w:rsid w:val="00E521AF"/>
    <w:rsid w:val="00F47CA6"/>
    <w:rsid w:val="00FC693F"/>
    <w:rsid w:val="00FD745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E6C0E16"/>
  <w14:defaultImageDpi w14:val="300"/>
  <w15:docId w15:val="{D1F9D24E-1CB0-864A-8D0A-3A6799EEB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F47CA6"/>
    <w:pPr>
      <w:spacing w:after="0" w:line="240" w:lineRule="auto"/>
    </w:pPr>
    <w:rPr>
      <w:rFonts w:ascii="Helvetica" w:hAnsi="Helvetica" w:cs="Times New Roman"/>
      <w:sz w:val="18"/>
      <w:szCs w:val="18"/>
      <w:lang w:val="en-GB" w:eastAsia="en-GB"/>
    </w:rPr>
  </w:style>
  <w:style w:type="character" w:customStyle="1" w:styleId="s1">
    <w:name w:val="s1"/>
    <w:basedOn w:val="DefaultParagraphFont"/>
    <w:rsid w:val="00F47CA6"/>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907</Words>
  <Characters>5170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6065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Abubakarr kamara</cp:lastModifiedBy>
  <cp:revision>2</cp:revision>
  <dcterms:created xsi:type="dcterms:W3CDTF">2025-12-14T22:16:00Z</dcterms:created>
  <dcterms:modified xsi:type="dcterms:W3CDTF">2025-12-14T22:16:00Z</dcterms:modified>
  <cp:category/>
</cp:coreProperties>
</file>