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9"/>
        <w:ind w:right="0" w:left="0" w:firstLine="0"/>
        <w:jc w:val="left"/>
        <w:rPr>
          <w:rFonts w:ascii="Aptos" w:hAnsi="Aptos" w:cs="Aptos" w:eastAsia="Aptos"/>
          <w:b/>
          <w:color w:val="auto"/>
          <w:spacing w:val="0"/>
          <w:position w:val="0"/>
          <w:sz w:val="24"/>
          <w:shd w:fill="auto" w:val="clear"/>
        </w:rPr>
      </w:pPr>
      <w:r>
        <w:object w:dxaOrig="8664" w:dyaOrig="8633">
          <v:rect xmlns:o="urn:schemas-microsoft-com:office:office" xmlns:v="urn:schemas-microsoft-com:vml" id="rectole0000000000" style="width:433.200000pt;height:431.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 </w:t>
      </w:r>
    </w:p>
    <w:p>
      <w:pPr>
        <w:spacing w:before="0" w:after="160" w:line="279"/>
        <w:ind w:right="0" w:left="0" w:firstLine="0"/>
        <w:jc w:val="left"/>
        <w:rPr>
          <w:rFonts w:ascii="Aptos" w:hAnsi="Aptos" w:cs="Aptos" w:eastAsia="Aptos"/>
          <w:b/>
          <w:color w:val="auto"/>
          <w:spacing w:val="0"/>
          <w:position w:val="0"/>
          <w:sz w:val="24"/>
          <w:shd w:fill="auto" w:val="clear"/>
        </w:rPr>
      </w:pPr>
    </w:p>
    <w:p>
      <w:pPr>
        <w:spacing w:before="0" w:after="160" w:line="279"/>
        <w:ind w:right="0" w:left="0" w:firstLine="0"/>
        <w:jc w:val="left"/>
        <w:rPr>
          <w:rFonts w:ascii="Aptos" w:hAnsi="Aptos" w:cs="Aptos" w:eastAsia="Aptos"/>
          <w:b/>
          <w:color w:val="auto"/>
          <w:spacing w:val="0"/>
          <w:position w:val="0"/>
          <w:sz w:val="24"/>
          <w:shd w:fill="auto" w:val="clear"/>
        </w:rPr>
      </w:pPr>
      <w:r>
        <w:object w:dxaOrig="8664" w:dyaOrig="6553">
          <v:rect xmlns:o="urn:schemas-microsoft-com:office:office" xmlns:v="urn:schemas-microsoft-com:vml" id="rectole0000000001" style="width:433.200000pt;height:327.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 </w:t>
      </w:r>
    </w:p>
    <w:p>
      <w:pPr>
        <w:spacing w:before="0" w:after="160" w:line="279"/>
        <w:ind w:right="0" w:left="0" w:firstLine="0"/>
        <w:jc w:val="left"/>
        <w:rPr>
          <w:rFonts w:ascii="Aptos" w:hAnsi="Aptos" w:cs="Aptos" w:eastAsia="Aptos"/>
          <w:b/>
          <w:color w:val="auto"/>
          <w:spacing w:val="0"/>
          <w:position w:val="0"/>
          <w:sz w:val="24"/>
          <w:shd w:fill="auto" w:val="clear"/>
        </w:rPr>
      </w:pPr>
    </w:p>
    <w:p>
      <w:pPr>
        <w:spacing w:before="0" w:after="160" w:line="279"/>
        <w:ind w:right="0" w:left="0" w:firstLine="0"/>
        <w:jc w:val="left"/>
        <w:rPr>
          <w:rFonts w:ascii="Aptos" w:hAnsi="Aptos" w:cs="Aptos" w:eastAsia="Aptos"/>
          <w:b/>
          <w:color w:val="auto"/>
          <w:spacing w:val="0"/>
          <w:position w:val="0"/>
          <w:sz w:val="28"/>
          <w:shd w:fill="auto" w:val="clear"/>
        </w:rPr>
      </w:pPr>
      <w:r>
        <w:rPr>
          <w:rFonts w:ascii="Aptos" w:hAnsi="Aptos" w:cs="Aptos" w:eastAsia="Aptos"/>
          <w:b/>
          <w:color w:val="auto"/>
          <w:spacing w:val="0"/>
          <w:position w:val="0"/>
          <w:sz w:val="24"/>
          <w:shd w:fill="auto" w:val="clear"/>
        </w:rPr>
        <w:t xml:space="preserve">Managing Behaviour and Supporting Learner Engagement. Reflective report</w:t>
      </w:r>
      <w:r>
        <w:rPr>
          <w:rFonts w:ascii="Aptos" w:hAnsi="Aptos" w:cs="Aptos" w:eastAsia="Aptos"/>
          <w:b/>
          <w:color w:val="auto"/>
          <w:spacing w:val="0"/>
          <w:position w:val="0"/>
          <w:sz w:val="28"/>
          <w:shd w:fill="auto" w:val="clear"/>
        </w:rPr>
        <w:t xml:space="preserve">.</w:t>
      </w:r>
    </w:p>
    <w:p>
      <w:pPr>
        <w:spacing w:before="0" w:after="160" w:line="279"/>
        <w:ind w:right="0" w:left="0" w:firstLine="0"/>
        <w:jc w:val="left"/>
        <w:rPr>
          <w:rFonts w:ascii="Aptos" w:hAnsi="Aptos" w:cs="Aptos" w:eastAsia="Aptos"/>
          <w:b/>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8"/>
          <w:shd w:fill="auto" w:val="clear"/>
        </w:rPr>
      </w:pPr>
      <w:r>
        <w:rPr>
          <w:rFonts w:ascii="Aptos" w:hAnsi="Aptos" w:cs="Aptos" w:eastAsia="Aptos"/>
          <w:b/>
          <w:color w:val="auto"/>
          <w:spacing w:val="0"/>
          <w:position w:val="0"/>
          <w:sz w:val="24"/>
          <w:shd w:fill="auto" w:val="clear"/>
        </w:rPr>
        <w:t xml:space="preserve">Part 1 Essay.</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Effective behaviour management is an important aspect of teaching within post-compulsory education. It has been shown that positive learning environments can improve learner engagement, achievement and wellbeing, while poor behaviour management may create barriers to learning. Current educational thinking increasingly supports inclusive and learner-centred approaches rather than corrective discipline methods. This essay will look at current approaches to behaviour management and learner engagement, whilst taking into account, educational theory, legislation and the Professional Standards for Teachers in the post 16 sector.</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Behaviour management within post-compulsory education has developed significantly in recent years. Traditional approaches are slowly but surely being replaced by more inclusive and learner-centred teaching that focuses on respect, communication and building positive relationships. Current educational thinking suggests that learners are more likely to engage positively when they feel supported, valued and seen within the learning environment. Effective behaviour management is therefore closely connected to learner engagement and the ability of teachers to create safe and inclusive classrooms.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American educator Harry Wong argues that successful behaviour management is strongly linked to classroom procedures, organisation and clear expectations rather than punishment. Wong and Wong, 2009 (pg.19) suggest that effective teachers establish routines early and create consistent boundaries that help learners understand what is expected of them. This approach may prove very effective within post-compulsory education, where learners often come from diverse educational and social backgrounds and may require more structure and trust to feel confident within the classroom environment.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Current behaviour management approaches also emphasise the importance of positive teacher-learner relationships. Contemporary theory about behaviour management suggests that when learners feel respected and involved within lessons, they may be less likely to display disruptive or disengaged behaviour. Wong and Wong 2009 (pg165) argue that “the number one problem in the classroom is not discipline; it is the lack of procedures and routines.” This suggests that structured, supportive and well-organised learning environments may improve learner participation and reduce behavioural disruption. This reflects the Professional Standards, which encourage teachers to ‘create inclusive learning environments that value diversity and promote mutual respect.’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Consistency is another important aspect of effective behaviour management. Wong’s theory highlights that learners benefit from predictable routines and fair boundaries. Wong states “Students want a safe predictable, nurturing environment, one that is consistent. Students like well managed classes because no one yells at them and learning takes place. Effective teachers spend the first two weeks showing students how to be in control of their own actions in a consistent classroom environment.” Wong 2009 (pg,18) Which may suggest that In post-compulsory education, inconsistent class routines may lead to confusion, disengagement and low-level disruption and indicates that clear classroom expectations and routines support both behaviour management and learner wellbeing. This links closely to professional standards relating to “maintaining safe and supportive learning environments for all learners.”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Wong also states ” The effective teacher will establish  good control of the in the very first week of school Control does not involve threats or intimidation, control means (1) you know what you are doing (2)your classroom procedures and (3) your professional responsibilities. It is very reassuring to your students that you know what you are doing.” Wong 2009(pg,10)</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There are challenges when applying behaviour management strategies within further education settings. Post-compulsory learners may be experiencing external pressures such as employment, financial difficulties or mental health issues, which can affect behaviour and engagement. As a result, teachers must learn to balance professional boundaries with empathy and support. Behaviour management approaches that are overly rigid may negatively affect learner confidence and participation, particularly for less robust learners or learners with previous negative experiences in education.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Legislation such as the Equality Act 2010 also highlights the importance of fair and inclusive practice within education. “The responsible body of such a school must not discriminate against a pupil.” Equality Act 2010.This means that by law teachers have a responsibility to ensure behaviour management approaches do not discriminate against learners with additional support needs.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an article by Preece, Mary Ann 2023 (pg,34) discusses emotionally supportive teaching practices in post-compulsory education and states “When greeting and welcoming learners to the classroom teachers should be aware of their tone of voice, body language and facial expressions as they project more meaning than the spoken word. Their tone of voice should be upbeat, with their facial expressions being smiley and their body language being open and welcoming. This is equally important for the teacher when picking up on positives during a lesson rather than focusing on negatives.”</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The article goes on to conclude from it’s in depth University study that “The following teaching practices have been identified and evaluated as having the potential to be conducive to supporting positive emotion in learners: </w:t>
      </w: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Greeting learners as they enter the classroom </w:t>
      </w:r>
      <w:r>
        <w:rPr>
          <w:rFonts w:ascii="Calibri" w:hAnsi="Calibri" w:cs="Calibri" w:eastAsia="Calibri"/>
          <w:color w:val="auto"/>
          <w:spacing w:val="0"/>
          <w:position w:val="0"/>
          <w:sz w:val="24"/>
          <w:shd w:fill="auto" w:val="clear"/>
        </w:rPr>
        <w:t xml:space="preserve">• The teacher picks up on positives rather than negatives • The teacher stands and moves around the classroom to teach • The teacher provides positive descriptive verbal praise • Ending lessons on a positive and regarding learners as they leave the class” Preece 2023(pg,34) which strongly suggests that supportive teaching practices, inclusive environments and positive relationships improve learner wellbeing and engagement in post-compulsory education.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research by Preece supports the understanding that Inclusive behaviour strategies, alongside clear communication and structured teaching, and suggests that is a dominant factor in promoting equality, engagement and achievement within post-compulsory education.</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Current educational theory suggests that learner engagement is closely connected to behaviour management within post-compulsory education. Contemporary educational theory suggest that learners are more likely to participate positively when teaching is interactive, supportive and relevant to their individual needs. Disengagement can often lead to low-level disruption, poor attendance and low grades. For this reason, many educators now focus on creating inclusive learning environments that encourage participation, communication and collaboration rather than relying solely on sanctions or discipline procedures as educators had been used to doing in the past.</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Lev Vygotsky argued that learning is socially constructed and develops through interaction with others. He stated, “What a child can do with assistance today she will be able to do by herself tomorrow.” Vygotsky (1978, p.87)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His theory of the Zone of Proximal Development suggests that learners can achieve more with guidance and support than they can independently. Vygotsky argued that “the zone of proximal development defines those functions that have not yet matured but are in the process of maturation” (1978, p.86), suggesting that learners benefit from structured support and guidance during the learning process. It also supports the thinking that teachers play a major part in how a learner's behaviour and attitudes towards learning are actually formed.</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Within post-compulsory education, such learner positive environments could be achieved through discussion, peer learning and scaffolded teaching approaches, which help create an inclusive, safe yet focused environment where learners feel seen and are therefore more likely to engage, regardless of their academic record thus far. Vygotsky’s theory supports the idea that collaborative learning environments can improve confidence, engagement and classroom behaviour by helping learners feel supported throughout the learning process.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Contemporary lesson planning theory also supports the importance of structured and inclusive teaching. Thompson et al. (2024, p.5) state that “great lesson plans have built-in flexibility” Such thinking appears to be in direct contrast to the theories of Harry Wong, who seemed to champion the idea of rigorous structure and routine that doesn’t change. However, with the ever-increasing numbers of learners with ALN’s which can lead to disruptive or even anti-social behaviour in the classroom, flexibility is a skill and strategy that every contemporary educator may be wise to keep in their teacher's toolkit.</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Teachers are expected to use appropriate teaching and behaviour management strategies that encourage respect and engagement within the classroom. Legislation and Educational Professional Standards also emphasise the importance of promoting equality, maintaining positive learning environments and supporting learner participation. However, behaviour management within further education can still present challenges. Learners may come to experience a variety of difficulties which can affect behaviour and participation and for this reason, it seems that a blend of approaches may work best, that behaviour management strategies may actually be most effective when they combine clear expectations with supportive and inclusive teaching approaches.</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Part 2 Reflective account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This reflective account looks at two observations of experienced teaching professionals, focusing on how learner engagement and behaviour were managed in different learning environments. The first observation took place in a post-16 art college with learners aged 16</w:t>
      </w:r>
      <w:r>
        <w:rPr>
          <w:rFonts w:ascii="Calibri" w:hAnsi="Calibri" w:cs="Calibri" w:eastAsia="Calibri"/>
          <w:color w:val="auto"/>
          <w:spacing w:val="0"/>
          <w:position w:val="0"/>
          <w:sz w:val="24"/>
          <w:shd w:fill="auto" w:val="clear"/>
        </w:rPr>
        <w:t xml:space="preserve">–19, while the second was in an adult woodworking workshop. Observing these different settings allowed me to explore a range of teaching strategies used to encourage participation, build positive relationships and support different ways of learning. This report also reflects on my own teaching experience during a digital applications class taught within at Llwyn-Y-Bryn Art College. Through reflecting on both the observations and my own practice, I have been able to identify effective approaches to managing learner engagement and consider how these strategies may influence and improve my future teaching practice.</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Observation 1.</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first observation (class A) took place during a Level 2 Drawing and Painting workshop within a post-16 art college. The lesson theme was identity.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class appeared relaxed and engaged overall, although two learners remained quiet and disengaged throughout. Prior to the lesson, the lecturer explained that nineteen out of twenty learners had additional learning needs (ALN), which highlighted the importance of differentiated and sensitive approaches to learner engagement.</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A major strength of the session was the lecturer’s strong rapport with the learners. She clearly understood individual personalities, preferences and triggers, supported by detailed learner information sheets, she knew her learners. This reflected the following Professional Standards </w:t>
      </w: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To demonstrate commitment to learners, their learning, safety and well-being </w:t>
      </w:r>
      <w:r>
        <w:rPr>
          <w:rFonts w:ascii="Calibri" w:hAnsi="Calibri" w:cs="Calibri" w:eastAsia="Calibri"/>
          <w:color w:val="auto"/>
          <w:spacing w:val="0"/>
          <w:position w:val="0"/>
          <w:sz w:val="24"/>
          <w:shd w:fill="auto" w:val="clear"/>
        </w:rPr>
        <w:t xml:space="preserve">• inspiring, supporting and stretching learners, taking account of their starting points and progression options • working with others to ensure learners are fully supported • ensuring safe and inclusive learning environments particularly the importance of developing positive and collaborative learning relationships.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lecturer used humour, informal conversation and music within the classroom to create a calm and welcoming atmosphere. This appeared to reduce anxiety and encourage participation, particularly within a creative subject area.</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lecturer also demonstrated effective scaffolding strategies through whole-class demonstrations alongside individual support. This links to Lev Vygotsky’s theory of the Zone of Proximal Development, where learners benefit from guidance to build confidence and understanding. Rather than challenging the disengaged learners directly, she used a gradual and patient approach, quietly checking in with them throughout the session. Although the learners did not fully engage, this strategy avoided confrontation and maintained a positive classroom environment. Observing this reinforced for me the importance of trust, patience and learner-centred approaches or require additional emotional support. within behaviour management, particularly when working with learners who may lack confidence or require additional emotional support.</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Observation 2.</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second observation took place within an adult woodworking workshop in a public community setting, with learners ranging from approximately 19 to 60 years old. The original task was a simple wood carving exercise; however the learners persuaded the teacher to allow them to attempt a more advanced Christmas decoration project. Although the teacher appeared unsure whether the group could complete the task within the session time, he adapted the lesson to support learner interest and motivation.</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The atmosphere initially appeared relaxed and positive, the teacher said go ’Bore Da’ as well as good morning which seemed appreciated by the students. It also aligns with the following professional standards - Understand the importance of the Welsh culture and language as a bilingual nation </w:t>
      </w: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taking opportunities to celebrate the diverse culture of Wales and its place in the world </w:t>
      </w:r>
      <w:r>
        <w:rPr>
          <w:rFonts w:ascii="Calibri" w:hAnsi="Calibri" w:cs="Calibri" w:eastAsia="Calibri"/>
          <w:color w:val="auto"/>
          <w:spacing w:val="0"/>
          <w:position w:val="0"/>
          <w:sz w:val="24"/>
          <w:shd w:fill="auto" w:val="clear"/>
        </w:rPr>
        <w:t xml:space="preserve">• pursuing opportunities for my own Welsh language development and promoting its importance to others.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The teachers intro to class was humorous and friendly, music was playing quietly and the teacher’s familiarity with the learners was evident. Clear safety instructions and demonstrations were given before learners began practical work, the learners seemed fascinated and engaged whilst watching the demonstration. This reflected Lev Vygotsky’s theory that learners benefit from guidance and modelling before working independently. “The distance between the actual developmental level as determined by independent problem solving and the level of potential development as determined through problem solving under adult guidance, or in collaboration with more capable peers” Vygotsky, 1978 (pg 86).</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Most learners appeared motivated by the challenge and engaged positively with the activity. However, one learner repeatedly interrupted the session by answering questions unnecessarily and criticising the tools and brief. At first the teacher ignored the behaviour, but as the interruptions continued, he became more verbally assertive and reminded the learner about time limitations. Although this seemed to avoid direct confrontation, the learner appeared a little embarrassed and became increasingly negative throughout the session. I felt this created tension within the workshop and distracted other learners during a task requiring concentration and safe tool use.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During the session, one learner accidentally cut herself while carving. Although the injury was minor and the teacher responded quickly and professionally using the first aid kit, the incident highlighted the importance of maintaining focus and managing disruption effectively within practical learning environments. In the woodworking workshop, the teacher’s management of behaviour relied heavily on rapport and informal relationships with learners. This was evident in the teacher’s calm response to disruption and his efforts to maintain a positive learning environment despite increasing tension within the group. Reflecting on this observation, I felt the teacher remained calm and professional under pressure</w:t>
      </w:r>
      <w:r>
        <w:rPr>
          <w:rFonts w:ascii="Aptos" w:hAnsi="Aptos" w:cs="Aptos" w:eastAsia="Aptos"/>
          <w:color w:val="222222"/>
          <w:spacing w:val="0"/>
          <w:position w:val="0"/>
          <w:sz w:val="24"/>
          <w:shd w:fill="auto" w:val="clear"/>
        </w:rPr>
        <w:t xml:space="preserve"> “In order to understand students’ emotional states during class, it is important to identify every individual reaction to a change of didactical setting or an interaction with others. Thus, a measurement is needed which is able to cover the volatility and that, at the same time, creates only minimal interruptions to the lesson</w:t>
      </w:r>
      <w:r>
        <w:rPr>
          <w:rFonts w:ascii="Merriweather" w:hAnsi="Merriweather" w:cs="Merriweather" w:eastAsia="Merriweather"/>
          <w:color w:val="222222"/>
          <w:spacing w:val="0"/>
          <w:position w:val="0"/>
          <w:sz w:val="27"/>
          <w:shd w:fill="auto" w:val="clear"/>
        </w:rPr>
        <w:t xml:space="preserve">.</w:t>
      </w:r>
      <w:r>
        <w:rPr>
          <w:rFonts w:ascii="Merriweather" w:hAnsi="Merriweather" w:cs="Merriweather" w:eastAsia="Merriweather"/>
          <w:color w:val="222222"/>
          <w:spacing w:val="0"/>
          <w:position w:val="0"/>
          <w:sz w:val="24"/>
          <w:shd w:fill="auto" w:val="clear"/>
        </w:rPr>
        <w:t xml:space="preserve">”</w:t>
      </w:r>
      <w:r>
        <w:rPr>
          <w:rFonts w:ascii="Merriweather" w:hAnsi="Merriweather" w:cs="Merriweather" w:eastAsia="Merriweather"/>
          <w:color w:val="auto"/>
          <w:spacing w:val="0"/>
          <w:position w:val="0"/>
          <w:sz w:val="24"/>
          <w:shd w:fill="auto" w:val="clear"/>
        </w:rPr>
        <w:t xml:space="preserve"> </w:t>
      </w:r>
      <w:r>
        <w:rPr>
          <w:rFonts w:ascii="Aptos" w:hAnsi="Aptos" w:cs="Aptos" w:eastAsia="Aptos"/>
          <w:color w:val="auto"/>
          <w:spacing w:val="0"/>
          <w:position w:val="0"/>
          <w:sz w:val="24"/>
          <w:shd w:fill="auto" w:val="clear"/>
        </w:rPr>
        <w:t xml:space="preserve">(Kärner &amp; Kögler, 2016) which suggests it is quite a balance of subtle skills and healthy emotional regulation required by teachers to maintain structure in a class whilst at the same time allowing for all types of personalities to flow together without disruption.  However, I also felt that in this scenario setting firmer boundaries earlier, or speaking privately with the disruptive learner, may have helped maintain a safer and more focused learning environment for these learners.</w:t>
      </w: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Reflection on my own teaching practice.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digital applications lesson was delivered to a Level 2 Art and Design group at Llwyn y Bryn College, focusing on the theme of happiness within their current project work. The session introduced the use of the Padlet application as a tool to support visual analysis and class discussion. Initially, the learners appeared quiet and reserved; however, engagement increased noticeably once the digital app was introduced, suggesting that technology can be an effective hook for motivation and participation in post-16 art education.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Using Padlet, I displayed a series of artworks on screen and invited learners to respond in real time. This encouraged immediate interaction and created a shared visual space where responses could be viewed by the whole group. The activity generated a fair bit of discussion and peer interaction, as learners reacted to each other’s interpretations. This reflects the idea that learning is socially constructed through interaction and dialogue, which is highlighted in learning approaches (Kärner and Kögler, 2016), where engagement is influenced by the learning environment and teacher facilitation.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However, two quieter learners were reluctant to contribute beyond minimal responses, despite gentle encouragement. While their participation did increase slightly, it remained limited to one-word answers via the app. This highlighted to me the challenge of ensuring equal engagement within digitally driven activities, where more confident learners can dominate discussion. The fun nature of the app encouraged the more animated members of the group to become a little dominating at times perhaps. This links to my observation in earlier teaching contexts, where learner familiarity and confidence seem to strongly influence participation.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Although the session was largely successful in generating discussion and energy within the group, I also reflected on the need to balance engagement with depth of critical thinking. At times, the informal nature of the digital platform appeared to encourage humour and surface-level responses rather than deeper analysis of the artwork. In future practice, I would consider integrating structured questioning, temporary pauses in digital activity, or supporting worksheets to refocus learners and ensure quieter students are more actively included. This observation has made me consider the importance of careful planning when using technology, whilst planning a class that caters to all of the different personas within my class.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b/>
          <w:color w:val="auto"/>
          <w:spacing w:val="0"/>
          <w:position w:val="0"/>
          <w:sz w:val="24"/>
          <w:shd w:fill="auto" w:val="clear"/>
        </w:rPr>
      </w:pPr>
    </w:p>
    <w:p>
      <w:pPr>
        <w:spacing w:before="240" w:after="240" w:line="279"/>
        <w:ind w:right="0" w:left="0" w:firstLine="0"/>
        <w:jc w:val="left"/>
        <w:rPr>
          <w:rFonts w:ascii="Aptos" w:hAnsi="Aptos" w:cs="Aptos" w:eastAsia="Aptos"/>
          <w:b/>
          <w:color w:val="auto"/>
          <w:spacing w:val="0"/>
          <w:position w:val="0"/>
          <w:sz w:val="24"/>
          <w:shd w:fill="auto" w:val="clear"/>
        </w:rPr>
      </w:pP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Conclusion.</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Overall, the two observations and my own teaching experience highlighted the importance of effective learner engagement and behaviour management across different post-16 learning environments. In both settings, positive relationships, clear expectations and consistent approaches to managing behaviour seemed to have a significant impact on participation, safety and learning outcomes. The observations demonstrated to me that while humour, familiarity and humorous interactions can encourage engagement, they must be balanced with clear boundaries, particularly where disruption or risk is present in practical sessions. My own teaching experience reinforced the importance of inclusive strategies to engage all learners while maintaining focus and control of the group. Moving forward, I will aim to develop more confident and proactive behaviour management strategies to ensure all learners are supported, engaged and able to progress effectively within a positive learning environment.</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References.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Wong, H. and Wong, R. (2009) </w:t>
      </w:r>
      <w:r>
        <w:rPr>
          <w:rFonts w:ascii="Aptos" w:hAnsi="Aptos" w:cs="Aptos" w:eastAsia="Aptos"/>
          <w:i/>
          <w:color w:val="auto"/>
          <w:spacing w:val="0"/>
          <w:position w:val="0"/>
          <w:sz w:val="24"/>
          <w:shd w:fill="auto" w:val="clear"/>
        </w:rPr>
        <w:t xml:space="preserve">The First Days of School: How to Be an Effective Teacher</w:t>
      </w:r>
      <w:r>
        <w:rPr>
          <w:rFonts w:ascii="Aptos" w:hAnsi="Aptos" w:cs="Aptos" w:eastAsia="Aptos"/>
          <w:color w:val="auto"/>
          <w:spacing w:val="0"/>
          <w:position w:val="0"/>
          <w:sz w:val="24"/>
          <w:shd w:fill="auto" w:val="clear"/>
        </w:rPr>
        <w:t xml:space="preserve">. California: Harry K. Wong Publications. </w:t>
      </w:r>
      <w:hyperlink xmlns:r="http://schemas.openxmlformats.org/officeDocument/2006/relationships" r:id="docRId4">
        <w:r>
          <w:rPr>
            <w:rFonts w:ascii="Aptos" w:hAnsi="Aptos" w:cs="Aptos" w:eastAsia="Aptos"/>
            <w:color w:val="0000FF"/>
            <w:spacing w:val="0"/>
            <w:position w:val="0"/>
            <w:sz w:val="24"/>
            <w:u w:val="single"/>
            <w:shd w:fill="auto" w:val="clear"/>
          </w:rPr>
          <w:t xml:space="preserve">https://fliphtml5.com/gtian/kosx/basic</w:t>
        </w:r>
      </w:hyperlink>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Equality Act 2010, Section 85(2) </w:t>
      </w:r>
      <w:hyperlink xmlns:r="http://schemas.openxmlformats.org/officeDocument/2006/relationships" r:id="docRId5">
        <w:r>
          <w:rPr>
            <w:rFonts w:ascii="Aptos" w:hAnsi="Aptos" w:cs="Aptos" w:eastAsia="Aptos"/>
            <w:color w:val="0000FF"/>
            <w:spacing w:val="0"/>
            <w:position w:val="0"/>
            <w:sz w:val="24"/>
            <w:u w:val="single"/>
            <w:shd w:fill="auto" w:val="clear"/>
          </w:rPr>
          <w:t xml:space="preserve">https://www.legislation.gov.uk/ukpga/2010/15/contents</w:t>
        </w:r>
      </w:hyperlink>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Preece, Mary-Ann (2023) Teaching practices that are conducive to supporting the positive emotional well-being of learners in post-compulsory education. </w:t>
      </w:r>
      <w:hyperlink xmlns:r="http://schemas.openxmlformats.org/officeDocument/2006/relationships" r:id="docRId6">
        <w:r>
          <w:rPr>
            <w:rFonts w:ascii="Aptos" w:hAnsi="Aptos" w:cs="Aptos" w:eastAsia="Aptos"/>
            <w:color w:val="0000FF"/>
            <w:spacing w:val="0"/>
            <w:position w:val="0"/>
            <w:sz w:val="24"/>
            <w:u w:val="single"/>
            <w:shd w:fill="auto" w:val="clear"/>
          </w:rPr>
          <w:t xml:space="preserve">https://eprints.worc.ac.uk/13647/1/preece.pdf</w:t>
        </w:r>
      </w:hyperlink>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i/>
          <w:color w:val="auto"/>
          <w:spacing w:val="0"/>
          <w:position w:val="0"/>
          <w:sz w:val="24"/>
          <w:shd w:fill="auto" w:val="clear"/>
        </w:rPr>
      </w:pPr>
      <w:r>
        <w:rPr>
          <w:rFonts w:ascii="Aptos" w:hAnsi="Aptos" w:cs="Aptos" w:eastAsia="Aptos"/>
          <w:color w:val="auto"/>
          <w:spacing w:val="0"/>
          <w:position w:val="0"/>
          <w:sz w:val="24"/>
          <w:shd w:fill="auto" w:val="clear"/>
        </w:rPr>
        <w:t xml:space="preserve">Vygotsky, L.S. (1978) </w:t>
      </w:r>
      <w:r>
        <w:rPr>
          <w:rFonts w:ascii="Aptos" w:hAnsi="Aptos" w:cs="Aptos" w:eastAsia="Aptos"/>
          <w:i/>
          <w:color w:val="auto"/>
          <w:spacing w:val="0"/>
          <w:position w:val="0"/>
          <w:sz w:val="24"/>
          <w:shd w:fill="auto" w:val="clear"/>
        </w:rPr>
        <w:t xml:space="preserve">Mind in Society: The Development of Higher Psychological Processes</w:t>
      </w:r>
      <w:r>
        <w:rPr>
          <w:rFonts w:ascii="Aptos" w:hAnsi="Aptos" w:cs="Aptos" w:eastAsia="Aptos"/>
          <w:color w:val="auto"/>
          <w:spacing w:val="0"/>
          <w:position w:val="0"/>
          <w:sz w:val="24"/>
          <w:shd w:fill="auto" w:val="clear"/>
        </w:rPr>
        <w:t xml:space="preserve">. Cambridge, MA: Harvard University Press. </w:t>
      </w:r>
      <w:hyperlink xmlns:r="http://schemas.openxmlformats.org/officeDocument/2006/relationships" r:id="docRId7">
        <w:r>
          <w:rPr>
            <w:rFonts w:ascii="Aptos" w:hAnsi="Aptos" w:cs="Aptos" w:eastAsia="Aptos"/>
            <w:color w:val="0000FF"/>
            <w:spacing w:val="0"/>
            <w:position w:val="0"/>
            <w:sz w:val="24"/>
            <w:u w:val="single"/>
            <w:shd w:fill="auto" w:val="clear"/>
          </w:rPr>
          <w:t xml:space="preserve">https://home.fau.edu/musgrove/web/vygotsky1978.pdf</w:t>
        </w:r>
      </w:hyperlink>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Thompson, C., Spenceley, L., Tinney, M., Battams, E. and Solomon, A. (2024) </w:t>
      </w:r>
      <w:r>
        <w:rPr>
          <w:rFonts w:ascii="Aptos" w:hAnsi="Aptos" w:cs="Aptos" w:eastAsia="Aptos"/>
          <w:i/>
          <w:color w:val="auto"/>
          <w:spacing w:val="0"/>
          <w:position w:val="0"/>
          <w:sz w:val="24"/>
          <w:shd w:fill="auto" w:val="clear"/>
        </w:rPr>
        <w:t xml:space="preserve">The Ultimate Guide to Lesson Planning: Practical Planning for Everyday Teaching</w:t>
      </w:r>
      <w:r>
        <w:rPr>
          <w:rFonts w:ascii="Aptos" w:hAnsi="Aptos" w:cs="Aptos" w:eastAsia="Aptos"/>
          <w:color w:val="auto"/>
          <w:spacing w:val="0"/>
          <w:position w:val="0"/>
          <w:sz w:val="24"/>
          <w:shd w:fill="auto" w:val="clear"/>
        </w:rPr>
        <w:t xml:space="preserve">. London: Routledge.</w:t>
      </w:r>
    </w:p>
    <w:p>
      <w:pPr>
        <w:spacing w:before="0" w:after="160" w:line="279"/>
        <w:ind w:right="0" w:left="0" w:firstLine="0"/>
        <w:jc w:val="left"/>
        <w:rPr>
          <w:rFonts w:ascii="Aptos" w:hAnsi="Aptos" w:cs="Aptos" w:eastAsia="Aptos"/>
          <w:color w:val="auto"/>
          <w:spacing w:val="0"/>
          <w:position w:val="0"/>
          <w:sz w:val="24"/>
          <w:shd w:fill="auto" w:val="clear"/>
        </w:rPr>
      </w:pPr>
      <w:hyperlink xmlns:r="http://schemas.openxmlformats.org/officeDocument/2006/relationships" r:id="docRId8">
        <w:r>
          <w:rPr>
            <w:rFonts w:ascii="Aptos" w:hAnsi="Aptos" w:cs="Aptos" w:eastAsia="Aptos"/>
            <w:color w:val="467886"/>
            <w:spacing w:val="0"/>
            <w:position w:val="0"/>
            <w:sz w:val="24"/>
            <w:u w:val="single"/>
            <w:shd w:fill="auto" w:val="clear"/>
          </w:rPr>
          <w:t xml:space="preserve">https://www.taylorfrancis.com/reader/read-online/17e655f9-a1f4-41eb-b031-7171911c7010/book/epub?context=ubx</w:t>
        </w:r>
        <w:r>
          <w:rPr>
            <w:rFonts w:ascii="Aptos" w:hAnsi="Aptos" w:cs="Aptos" w:eastAsia="Aptos"/>
            <w:color w:val="467886"/>
            <w:spacing w:val="0"/>
            <w:position w:val="0"/>
            <w:sz w:val="24"/>
            <w:u w:val="single"/>
            <w:shd w:fill="auto" w:val="clear"/>
          </w:rPr>
          <w:t xml:space="preserve"> HYPERLINK "https://www.taylorfrancis.com/reader/read-online/17e655f9-a1f4-41eb-b031-7171911c7010/book/epub?context=ubxKärner"</w:t>
        </w:r>
        <w:r>
          <w:rPr>
            <w:rFonts w:ascii="Aptos" w:hAnsi="Aptos" w:cs="Aptos" w:eastAsia="Aptos"/>
            <w:color w:val="467886"/>
            <w:spacing w:val="0"/>
            <w:position w:val="0"/>
            <w:sz w:val="24"/>
            <w:u w:val="single"/>
            <w:shd w:fill="auto" w:val="clear"/>
          </w:rPr>
          <w:t xml:space="preserve">Kärner</w:t>
        </w:r>
      </w:hyperlink>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222222"/>
          <w:spacing w:val="0"/>
          <w:position w:val="0"/>
          <w:sz w:val="24"/>
          <w:shd w:fill="auto" w:val="clear"/>
        </w:rPr>
        <w:t xml:space="preserve">Kärner, T., Kögler, K. Emotional states during learning situations and students’ self-regulation: process-oriented analysis of person-situation interactions in the  </w:t>
      </w:r>
      <w:r>
        <w:rPr>
          <w:rFonts w:ascii="Aptos" w:hAnsi="Aptos" w:cs="Aptos" w:eastAsia="Aptos"/>
          <w:b/>
          <w:color w:val="222222"/>
          <w:spacing w:val="0"/>
          <w:position w:val="0"/>
          <w:sz w:val="24"/>
          <w:shd w:fill="auto" w:val="clear"/>
        </w:rPr>
        <w:t xml:space="preserve">8</w:t>
      </w:r>
      <w:r>
        <w:rPr>
          <w:rFonts w:ascii="Aptos" w:hAnsi="Aptos" w:cs="Aptos" w:eastAsia="Aptos"/>
          <w:color w:val="222222"/>
          <w:spacing w:val="0"/>
          <w:position w:val="0"/>
          <w:sz w:val="24"/>
          <w:shd w:fill="auto" w:val="clear"/>
        </w:rPr>
        <w:t xml:space="preserve">, 12 (2016) vocational classroom. </w:t>
      </w:r>
      <w:r>
        <w:rPr>
          <w:rFonts w:ascii="Aptos" w:hAnsi="Aptos" w:cs="Aptos" w:eastAsia="Aptos"/>
          <w:i/>
          <w:color w:val="222222"/>
          <w:spacing w:val="0"/>
          <w:position w:val="0"/>
          <w:sz w:val="24"/>
          <w:shd w:fill="auto" w:val="clear"/>
        </w:rPr>
        <w:t xml:space="preserve">Empirical Res Voc Ed Train</w:t>
      </w:r>
      <w:r>
        <w:rPr>
          <w:rFonts w:ascii="Merriweather Sans" w:hAnsi="Merriweather Sans" w:cs="Merriweather Sans" w:eastAsia="Merriweather Sans"/>
          <w:color w:val="222222"/>
          <w:spacing w:val="0"/>
          <w:position w:val="0"/>
          <w:sz w:val="24"/>
          <w:shd w:fill="auto" w:val="clear"/>
        </w:rPr>
        <w:t xml:space="preserve"> </w:t>
      </w:r>
      <w:hyperlink xmlns:r="http://schemas.openxmlformats.org/officeDocument/2006/relationships" r:id="docRId9">
        <w:r>
          <w:rPr>
            <w:rFonts w:ascii="Aptos" w:hAnsi="Aptos" w:cs="Aptos" w:eastAsia="Aptos"/>
            <w:color w:val="0000FF"/>
            <w:spacing w:val="0"/>
            <w:position w:val="0"/>
            <w:sz w:val="24"/>
            <w:u w:val="single"/>
            <w:shd w:fill="auto" w:val="clear"/>
          </w:rPr>
          <w:t xml:space="preserve">https://doi.org/10.1186/s40461-016-0038-8</w:t>
        </w:r>
      </w:hyperlink>
      <w:r>
        <w:rPr>
          <w:rFonts w:ascii="Merriweather Sans" w:hAnsi="Merriweather Sans" w:cs="Merriweather Sans" w:eastAsia="Merriweather Sans"/>
          <w:color w:val="222222"/>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Appendices - </w:t>
      </w:r>
    </w:p>
    <w:p>
      <w:pPr>
        <w:spacing w:before="0" w:after="160" w:line="279"/>
        <w:ind w:right="0" w:left="0" w:firstLine="0"/>
        <w:jc w:val="left"/>
        <w:rPr>
          <w:rFonts w:ascii="Aptos" w:hAnsi="Aptos" w:cs="Aptos" w:eastAsia="Aptos"/>
          <w:b/>
          <w:color w:val="auto"/>
          <w:spacing w:val="0"/>
          <w:position w:val="0"/>
          <w:sz w:val="24"/>
          <w:shd w:fill="auto" w:val="clear"/>
        </w:rPr>
      </w:pP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S.M.A.R.T Action Plan:</w:t>
      </w: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Action No.</w:t>
      </w:r>
      <w:r>
        <w:rPr>
          <w:rFonts w:ascii="Aptos" w:hAnsi="Aptos" w:cs="Aptos" w:eastAsia="Aptos"/>
          <w:color w:val="auto"/>
          <w:spacing w:val="0"/>
          <w:position w:val="0"/>
          <w:sz w:val="24"/>
          <w:shd w:fill="auto" w:val="clear"/>
        </w:rPr>
        <w:tab/>
      </w:r>
      <w:r>
        <w:rPr>
          <w:rFonts w:ascii="Aptos" w:hAnsi="Aptos" w:cs="Aptos" w:eastAsia="Aptos"/>
          <w:b/>
          <w:color w:val="auto"/>
          <w:spacing w:val="0"/>
          <w:position w:val="0"/>
          <w:sz w:val="24"/>
          <w:shd w:fill="auto" w:val="clear"/>
        </w:rPr>
        <w:t xml:space="preserve">Target/Goal</w:t>
      </w:r>
      <w:r>
        <w:rPr>
          <w:rFonts w:ascii="Aptos" w:hAnsi="Aptos" w:cs="Aptos" w:eastAsia="Aptos"/>
          <w:color w:val="auto"/>
          <w:spacing w:val="0"/>
          <w:position w:val="0"/>
          <w:sz w:val="24"/>
          <w:shd w:fill="auto" w:val="clear"/>
        </w:rPr>
        <w:tab/>
      </w:r>
      <w:r>
        <w:rPr>
          <w:rFonts w:ascii="Aptos" w:hAnsi="Aptos" w:cs="Aptos" w:eastAsia="Aptos"/>
          <w:b/>
          <w:color w:val="auto"/>
          <w:spacing w:val="0"/>
          <w:position w:val="0"/>
          <w:sz w:val="24"/>
          <w:shd w:fill="auto" w:val="clear"/>
        </w:rPr>
        <w:t xml:space="preserve">Action Steps</w:t>
      </w:r>
      <w:r>
        <w:rPr>
          <w:rFonts w:ascii="Aptos" w:hAnsi="Aptos" w:cs="Aptos" w:eastAsia="Aptos"/>
          <w:color w:val="auto"/>
          <w:spacing w:val="0"/>
          <w:position w:val="0"/>
          <w:sz w:val="24"/>
          <w:shd w:fill="auto" w:val="clear"/>
        </w:rPr>
        <w:tab/>
      </w:r>
      <w:r>
        <w:rPr>
          <w:rFonts w:ascii="Aptos" w:hAnsi="Aptos" w:cs="Aptos" w:eastAsia="Aptos"/>
          <w:b/>
          <w:color w:val="auto"/>
          <w:spacing w:val="0"/>
          <w:position w:val="0"/>
          <w:sz w:val="24"/>
          <w:shd w:fill="auto" w:val="clear"/>
        </w:rPr>
        <w:t xml:space="preserve">Links to Professional Standards</w:t>
      </w:r>
      <w:r>
        <w:rPr>
          <w:rFonts w:ascii="Aptos" w:hAnsi="Aptos" w:cs="Aptos" w:eastAsia="Aptos"/>
          <w:color w:val="auto"/>
          <w:spacing w:val="0"/>
          <w:position w:val="0"/>
          <w:sz w:val="24"/>
          <w:shd w:fill="auto" w:val="clear"/>
        </w:rPr>
        <w:tab/>
      </w:r>
      <w:r>
        <w:rPr>
          <w:rFonts w:ascii="Aptos" w:hAnsi="Aptos" w:cs="Aptos" w:eastAsia="Aptos"/>
          <w:b/>
          <w:color w:val="auto"/>
          <w:spacing w:val="0"/>
          <w:position w:val="0"/>
          <w:sz w:val="24"/>
          <w:shd w:fill="auto" w:val="clear"/>
        </w:rPr>
        <w:t xml:space="preserve">Resources</w:t>
      </w:r>
      <w:r>
        <w:rPr>
          <w:rFonts w:ascii="Aptos" w:hAnsi="Aptos" w:cs="Aptos" w:eastAsia="Aptos"/>
          <w:color w:val="auto"/>
          <w:spacing w:val="0"/>
          <w:position w:val="0"/>
          <w:sz w:val="24"/>
          <w:shd w:fill="auto" w:val="clear"/>
        </w:rPr>
        <w:tab/>
      </w:r>
      <w:r>
        <w:rPr>
          <w:rFonts w:ascii="Aptos" w:hAnsi="Aptos" w:cs="Aptos" w:eastAsia="Aptos"/>
          <w:b/>
          <w:color w:val="auto"/>
          <w:spacing w:val="0"/>
          <w:position w:val="0"/>
          <w:sz w:val="24"/>
          <w:shd w:fill="auto" w:val="clear"/>
        </w:rPr>
        <w:t xml:space="preserve">Target Date for Completion</w:t>
      </w:r>
      <w:r>
        <w:rPr>
          <w:rFonts w:ascii="Aptos" w:hAnsi="Aptos" w:cs="Aptos" w:eastAsia="Aptos"/>
          <w:color w:val="auto"/>
          <w:spacing w:val="0"/>
          <w:position w:val="0"/>
          <w:sz w:val="24"/>
          <w:shd w:fill="auto" w:val="clear"/>
        </w:rPr>
        <w:tab/>
      </w:r>
      <w:r>
        <w:rPr>
          <w:rFonts w:ascii="Aptos" w:hAnsi="Aptos" w:cs="Aptos" w:eastAsia="Aptos"/>
          <w:b/>
          <w:color w:val="auto"/>
          <w:spacing w:val="0"/>
          <w:position w:val="0"/>
          <w:sz w:val="24"/>
          <w:shd w:fill="auto" w:val="clear"/>
        </w:rPr>
        <w:t xml:space="preserve">Comments/Progress</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Improve behaviour management and learner engagement in post-16 sessions.</w:t>
        <w:tab/>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shall observe experienced teachers and how they manage behaviour in their class.. I will try out direct but gentle questioning to include quieter learners. I'll use clear expectations at the start of my lessons. I'll aim to apply gently assertive and consistent responses to low-level disruption such as, non-verbal cues, verbal reminders, private conversations if needed. I'll make sure I insert in lesson checkpoints throughout class to refocus learners. Reflect after each session.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Links to Professional Standards.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Demonstrate commitment to learners, their learning, safety and well-being</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inspiring, supporting and stretching learners, taking account of their starting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points and progression options</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working with others to ensure learners are fully supported</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ensuring safe and inclusive learning environments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Demonstrate dignity, courtesy and respect towards others.</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listening to and respecting other peoples’ views, opinions and ideas</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acting as a role model for fair, courteous and respectful behaviours</w:t>
      </w: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Plan and deliver effective learning, teaching and assessment</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identifying, preparing, delivering and assessing learning programmes</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using a range of media, including digital, effectively to enhance the learning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Process. Lesson observation feedback, mentor support, reflective journal, teaching resources, classroom behaviour strategies.</w:t>
        <w:tab/>
        <w:tab/>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Time Frame -</w:t>
      </w:r>
      <w:r>
        <w:rPr>
          <w:rFonts w:ascii="Aptos" w:hAnsi="Aptos" w:cs="Aptos" w:eastAsia="Aptos"/>
          <w:color w:val="auto"/>
          <w:spacing w:val="0"/>
          <w:position w:val="0"/>
          <w:sz w:val="24"/>
          <w:shd w:fill="auto" w:val="clear"/>
        </w:rPr>
        <w:t xml:space="preserve"> Within 6 teaching sessions (approx. 4</w:t>
      </w: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6 weeks)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Comments/Progress -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aim to complete this during my teaching practice. My progress will be reviewed weekly with my mentor and I'll adjust based on learner engagement and behaviour outcomes.</w:t>
        <w:tab/>
      </w:r>
      <w:r>
        <w:object w:dxaOrig="8664" w:dyaOrig="10585">
          <v:rect xmlns:o="urn:schemas-microsoft-com:office:office" xmlns:v="urn:schemas-microsoft-com:vml" id="rectole0000000002" style="width:433.200000pt;height:529.2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2" ShapeID="rectole0000000002" r:id="docRId10"/>
        </w:object>
      </w:r>
      <w:r>
        <w:object w:dxaOrig="8664" w:dyaOrig="6783">
          <v:rect xmlns:o="urn:schemas-microsoft-com:office:office" xmlns:v="urn:schemas-microsoft-com:vml" id="rectole0000000003" style="width:433.200000pt;height:339.1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3" ShapeID="rectole0000000003" r:id="docRId12"/>
        </w:objec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1593">
          <v:rect xmlns:o="urn:schemas-microsoft-com:office:office" xmlns:v="urn:schemas-microsoft-com:vml" id="rectole0000000004" style="width:433.200000pt;height:579.6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4" ShapeID="rectole0000000004" r:id="docRId14"/>
        </w:objec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object w:dxaOrig="8664" w:dyaOrig="11933">
          <v:rect xmlns:o="urn:schemas-microsoft-com:office:office" xmlns:v="urn:schemas-microsoft-com:vml" id="rectole0000000005" style="width:433.200000pt;height:596.6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5" ShapeID="rectole0000000005" r:id="docRId16"/>
        </w:object>
      </w: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8223">
          <v:rect xmlns:o="urn:schemas-microsoft-com:office:office" xmlns:v="urn:schemas-microsoft-com:vml" id="rectole0000000006" style="width:433.200000pt;height:411.1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6" ShapeID="rectole0000000006" r:id="docRId18"/>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Teaching Observation form 2</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object w:dxaOrig="8664" w:dyaOrig="9901">
          <v:rect xmlns:o="urn:schemas-microsoft-com:office:office" xmlns:v="urn:schemas-microsoft-com:vml" id="rectole0000000007" style="width:433.200000pt;height:495.05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07" ShapeID="rectole0000000007" r:id="docRId20"/>
        </w:objec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object w:dxaOrig="8664" w:dyaOrig="10264">
          <v:rect xmlns:o="urn:schemas-microsoft-com:office:office" xmlns:v="urn:schemas-microsoft-com:vml" id="rectole0000000008" style="width:433.200000pt;height:513.2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08" ShapeID="rectole0000000008" r:id="docRId22"/>
        </w:object>
      </w: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1751">
          <v:rect xmlns:o="urn:schemas-microsoft-com:office:office" xmlns:v="urn:schemas-microsoft-com:vml" id="rectole0000000009" style="width:433.200000pt;height:587.5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09" ShapeID="rectole0000000009" r:id="docRId24"/>
        </w:object>
      </w:r>
      <w:r>
        <w:object w:dxaOrig="8664" w:dyaOrig="11567">
          <v:rect xmlns:o="urn:schemas-microsoft-com:office:office" xmlns:v="urn:schemas-microsoft-com:vml" id="rectole0000000010" style="width:433.200000pt;height:578.3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0" ShapeID="rectole0000000010" r:id="docRId26"/>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object w:dxaOrig="8664" w:dyaOrig="2593">
          <v:rect xmlns:o="urn:schemas-microsoft-com:office:office" xmlns:v="urn:schemas-microsoft-com:vml" id="rectole0000000011" style="width:433.200000pt;height:129.65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1" ShapeID="rectole0000000011" r:id="docRId28"/>
        </w:object>
      </w: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6125">
          <v:rect xmlns:o="urn:schemas-microsoft-com:office:office" xmlns:v="urn:schemas-microsoft-com:vml" id="rectole0000000012" style="width:433.200000pt;height:306.25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2" ShapeID="rectole0000000012" r:id="docRId30"/>
        </w:object>
      </w:r>
      <w:r>
        <w:object w:dxaOrig="8664" w:dyaOrig="11751">
          <v:rect xmlns:o="urn:schemas-microsoft-com:office:office" xmlns:v="urn:schemas-microsoft-com:vml" id="rectole0000000013" style="width:433.200000pt;height:587.55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3" ShapeID="rectole0000000013" r:id="docRId32"/>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1751">
          <v:rect xmlns:o="urn:schemas-microsoft-com:office:office" xmlns:v="urn:schemas-microsoft-com:vml" id="rectole0000000014" style="width:433.200000pt;height:587.550000pt" o:preferrelative="t" o:ole="">
            <o:lock v:ext="edit"/>
            <v:imagedata xmlns:r="http://schemas.openxmlformats.org/officeDocument/2006/relationships" r:id="docRId35" o:title=""/>
          </v:rect>
          <o:OLEObject xmlns:r="http://schemas.openxmlformats.org/officeDocument/2006/relationships" xmlns:o="urn:schemas-microsoft-com:office:office" Type="Embed" ProgID="StaticMetafile" DrawAspect="Content" ObjectID="0000000014" ShapeID="rectole0000000014" r:id="docRId34"/>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1751">
          <v:rect xmlns:o="urn:schemas-microsoft-com:office:office" xmlns:v="urn:schemas-microsoft-com:vml" id="rectole0000000015" style="width:433.200000pt;height:587.550000pt" o:preferrelative="t" o:ole="">
            <o:lock v:ext="edit"/>
            <v:imagedata xmlns:r="http://schemas.openxmlformats.org/officeDocument/2006/relationships" r:id="docRId37" o:title=""/>
          </v:rect>
          <o:OLEObject xmlns:r="http://schemas.openxmlformats.org/officeDocument/2006/relationships" xmlns:o="urn:schemas-microsoft-com:office:office" Type="Embed" ProgID="StaticMetafile" DrawAspect="Content" ObjectID="0000000015" ShapeID="rectole0000000015" r:id="docRId36"/>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0355">
          <v:rect xmlns:o="urn:schemas-microsoft-com:office:office" xmlns:v="urn:schemas-microsoft-com:vml" id="rectole0000000016" style="width:433.200000pt;height:517.750000pt" o:preferrelative="t" o:ole="">
            <o:lock v:ext="edit"/>
            <v:imagedata xmlns:r="http://schemas.openxmlformats.org/officeDocument/2006/relationships" r:id="docRId39" o:title=""/>
          </v:rect>
          <o:OLEObject xmlns:r="http://schemas.openxmlformats.org/officeDocument/2006/relationships" xmlns:o="urn:schemas-microsoft-com:office:office" Type="Embed" ProgID="StaticMetafile" DrawAspect="Content" ObjectID="0000000016" ShapeID="rectole0000000016" r:id="docRId38"/>
        </w:object>
      </w:r>
      <w:r>
        <w:object w:dxaOrig="8664" w:dyaOrig="6125">
          <v:rect xmlns:o="urn:schemas-microsoft-com:office:office" xmlns:v="urn:schemas-microsoft-com:vml" id="rectole0000000017" style="width:433.200000pt;height:306.250000pt" o:preferrelative="t" o:ole="">
            <o:lock v:ext="edit"/>
            <v:imagedata xmlns:r="http://schemas.openxmlformats.org/officeDocument/2006/relationships" r:id="docRId41" o:title=""/>
          </v:rect>
          <o:OLEObject xmlns:r="http://schemas.openxmlformats.org/officeDocument/2006/relationships" xmlns:o="urn:schemas-microsoft-com:office:office" Type="Embed" ProgID="StaticMetafile" DrawAspect="Content" ObjectID="0000000017" ShapeID="rectole0000000017" r:id="docRId40"/>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object w:dxaOrig="8664" w:dyaOrig="5409">
          <v:rect xmlns:o="urn:schemas-microsoft-com:office:office" xmlns:v="urn:schemas-microsoft-com:vml" id="rectole0000000018" style="width:433.200000pt;height:270.450000pt" o:preferrelative="t" o:ole="">
            <o:lock v:ext="edit"/>
            <v:imagedata xmlns:r="http://schemas.openxmlformats.org/officeDocument/2006/relationships" r:id="docRId43" o:title=""/>
          </v:rect>
          <o:OLEObject xmlns:r="http://schemas.openxmlformats.org/officeDocument/2006/relationships" xmlns:o="urn:schemas-microsoft-com:office:office" Type="Embed" ProgID="StaticMetafile" DrawAspect="Content" ObjectID="0000000018" ShapeID="rectole0000000018" r:id="docRId42"/>
        </w:object>
      </w: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1277">
          <v:rect xmlns:o="urn:schemas-microsoft-com:office:office" xmlns:v="urn:schemas-microsoft-com:vml" id="rectole0000000019" style="width:433.200000pt;height:563.850000pt" o:preferrelative="t" o:ole="">
            <o:lock v:ext="edit"/>
            <v:imagedata xmlns:r="http://schemas.openxmlformats.org/officeDocument/2006/relationships" r:id="docRId45" o:title=""/>
          </v:rect>
          <o:OLEObject xmlns:r="http://schemas.openxmlformats.org/officeDocument/2006/relationships" xmlns:o="urn:schemas-microsoft-com:office:office" Type="Embed" ProgID="StaticMetafile" DrawAspect="Content" ObjectID="0000000019" ShapeID="rectole0000000019" r:id="docRId44"/>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5438">
          <v:rect xmlns:o="urn:schemas-microsoft-com:office:office" xmlns:v="urn:schemas-microsoft-com:vml" id="rectole0000000020" style="width:433.200000pt;height:271.900000pt" o:preferrelative="t" o:ole="">
            <o:lock v:ext="edit"/>
            <v:imagedata xmlns:r="http://schemas.openxmlformats.org/officeDocument/2006/relationships" r:id="docRId47" o:title=""/>
          </v:rect>
          <o:OLEObject xmlns:r="http://schemas.openxmlformats.org/officeDocument/2006/relationships" xmlns:o="urn:schemas-microsoft-com:office:office" Type="Embed" ProgID="StaticMetafile" DrawAspect="Content" ObjectID="0000000020" ShapeID="rectole0000000020" r:id="docRId46"/>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object w:dxaOrig="8664" w:dyaOrig="10995">
          <v:rect xmlns:o="urn:schemas-microsoft-com:office:office" xmlns:v="urn:schemas-microsoft-com:vml" id="rectole0000000021" style="width:433.200000pt;height:549.750000pt" o:preferrelative="t" o:ole="">
            <o:lock v:ext="edit"/>
            <v:imagedata xmlns:r="http://schemas.openxmlformats.org/officeDocument/2006/relationships" r:id="docRId49" o:title=""/>
          </v:rect>
          <o:OLEObject xmlns:r="http://schemas.openxmlformats.org/officeDocument/2006/relationships" xmlns:o="urn:schemas-microsoft-com:office:office" Type="Embed" ProgID="StaticMetafile" DrawAspect="Content" ObjectID="0000000021" ShapeID="rectole0000000021" r:id="docRId48"/>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home.fau.edu/musgrove/web/vygotsky1978.pdf" Id="docRId7" Type="http://schemas.openxmlformats.org/officeDocument/2006/relationships/hyperlink" /><Relationship Target="embeddings/oleObject4.bin" Id="docRId14" Type="http://schemas.openxmlformats.org/officeDocument/2006/relationships/oleObject" /><Relationship Target="embeddings/oleObject14.bin" Id="docRId34" Type="http://schemas.openxmlformats.org/officeDocument/2006/relationships/oleObject" /><Relationship Target="media/image20.wmf" Id="docRId47" Type="http://schemas.openxmlformats.org/officeDocument/2006/relationships/image" /><Relationship Target="embeddings/oleObject8.bin" Id="docRId22" Type="http://schemas.openxmlformats.org/officeDocument/2006/relationships/oleObject" /><Relationship TargetMode="External" Target="https://doi.org/10.1186/s40461-016-0038-8" Id="docRId9" Type="http://schemas.openxmlformats.org/officeDocument/2006/relationships/hyperlink" /><Relationship Target="embeddings/oleObject0.bin" Id="docRId0" Type="http://schemas.openxmlformats.org/officeDocument/2006/relationships/oleObject" /><Relationship Target="media/image11.wmf" Id="docRId29" Type="http://schemas.openxmlformats.org/officeDocument/2006/relationships/image" /><Relationship Target="embeddings/oleObject15.bin" Id="docRId36" Type="http://schemas.openxmlformats.org/officeDocument/2006/relationships/oleObject" /><Relationship Target="media/image21.wmf" Id="docRId49" Type="http://schemas.openxmlformats.org/officeDocument/2006/relationships/image" /><Relationship Target="media/image3.wmf" Id="docRId13" Type="http://schemas.openxmlformats.org/officeDocument/2006/relationships/image" /><Relationship Target="embeddings/oleObject7.bin" Id="docRId20" Type="http://schemas.openxmlformats.org/officeDocument/2006/relationships/oleObject" /><Relationship Target="embeddings/oleObject17.bin" Id="docRId40" Type="http://schemas.openxmlformats.org/officeDocument/2006/relationships/oleObject" /><Relationship Target="embeddings/oleObject2.bin" Id="docRId10" Type="http://schemas.openxmlformats.org/officeDocument/2006/relationships/oleObject" /><Relationship Target="embeddings/oleObject6.bin" Id="docRId18" Type="http://schemas.openxmlformats.org/officeDocument/2006/relationships/oleObject" /><Relationship Target="embeddings/oleObject1.bin" Id="docRId2" Type="http://schemas.openxmlformats.org/officeDocument/2006/relationships/oleObject" /><Relationship Target="media/image10.wmf" Id="docRId27" Type="http://schemas.openxmlformats.org/officeDocument/2006/relationships/image" /><Relationship Target="embeddings/oleObject12.bin" Id="docRId30" Type="http://schemas.openxmlformats.org/officeDocument/2006/relationships/oleObject" /><Relationship Target="embeddings/oleObject16.bin" Id="docRId38" Type="http://schemas.openxmlformats.org/officeDocument/2006/relationships/oleObject" /><Relationship Target="media/image18.wmf" Id="docRId43" Type="http://schemas.openxmlformats.org/officeDocument/2006/relationships/image" /><Relationship Target="styles.xml" Id="docRId51" Type="http://schemas.openxmlformats.org/officeDocument/2006/relationships/styles" /><Relationship Target="media/image2.wmf" Id="docRId11" Type="http://schemas.openxmlformats.org/officeDocument/2006/relationships/image" /><Relationship Target="media/image6.wmf" Id="docRId19" Type="http://schemas.openxmlformats.org/officeDocument/2006/relationships/image" /><Relationship Target="embeddings/oleObject10.bin" Id="docRId26" Type="http://schemas.openxmlformats.org/officeDocument/2006/relationships/oleObject" /><Relationship Target="media/image12.wmf" Id="docRId31" Type="http://schemas.openxmlformats.org/officeDocument/2006/relationships/image" /><Relationship Target="media/image16.wmf" Id="docRId39" Type="http://schemas.openxmlformats.org/officeDocument/2006/relationships/image" /><Relationship Target="embeddings/oleObject18.bin" Id="docRId42" Type="http://schemas.openxmlformats.org/officeDocument/2006/relationships/oleObject" /><Relationship TargetMode="External" Target="https://www.legislation.gov.uk/ukpga/2010/15/contents" Id="docRId5" Type="http://schemas.openxmlformats.org/officeDocument/2006/relationships/hyperlink" /><Relationship Target="embeddings/oleObject5.bin" Id="docRId16" Type="http://schemas.openxmlformats.org/officeDocument/2006/relationships/oleObject" /><Relationship Target="media/image9.wmf" Id="docRId25" Type="http://schemas.openxmlformats.org/officeDocument/2006/relationships/image" /><Relationship Target="embeddings/oleObject13.bin" Id="docRId32" Type="http://schemas.openxmlformats.org/officeDocument/2006/relationships/oleObject" /><Relationship TargetMode="External" Target="https://fliphtml5.com/gtian/kosx/basic" Id="docRId4" Type="http://schemas.openxmlformats.org/officeDocument/2006/relationships/hyperlink" /><Relationship Target="media/image19.wmf" Id="docRId45" Type="http://schemas.openxmlformats.org/officeDocument/2006/relationships/image" /><Relationship Target="media/image5.wmf" Id="docRId17" Type="http://schemas.openxmlformats.org/officeDocument/2006/relationships/image" /><Relationship Target="embeddings/oleObject9.bin" Id="docRId24" Type="http://schemas.openxmlformats.org/officeDocument/2006/relationships/oleObject" /><Relationship Target="media/image13.wmf" Id="docRId33" Type="http://schemas.openxmlformats.org/officeDocument/2006/relationships/image" /><Relationship Target="embeddings/oleObject19.bin" Id="docRId44" Type="http://schemas.openxmlformats.org/officeDocument/2006/relationships/oleObject" /><Relationship Target="media/image8.wmf" Id="docRId23" Type="http://schemas.openxmlformats.org/officeDocument/2006/relationships/image" /><Relationship TargetMode="External" Target="https://eprints.worc.ac.uk/13647/1/preece.pdf" Id="docRId6" Type="http://schemas.openxmlformats.org/officeDocument/2006/relationships/hyperlink" /><Relationship Target="media/image0.wmf" Id="docRId1" Type="http://schemas.openxmlformats.org/officeDocument/2006/relationships/image" /><Relationship Target="media/image4.wmf" Id="docRId15" Type="http://schemas.openxmlformats.org/officeDocument/2006/relationships/image" /><Relationship Target="media/image14.wmf" Id="docRId35" Type="http://schemas.openxmlformats.org/officeDocument/2006/relationships/image" /><Relationship Target="embeddings/oleObject20.bin" Id="docRId46" Type="http://schemas.openxmlformats.org/officeDocument/2006/relationships/oleObject" /><Relationship Target="embeddings/oleObject3.bin" Id="docRId12" Type="http://schemas.openxmlformats.org/officeDocument/2006/relationships/oleObject" /><Relationship Target="media/image7.wmf" Id="docRId21" Type="http://schemas.openxmlformats.org/officeDocument/2006/relationships/image" /><Relationship Target="media/image17.wmf" Id="docRId41" Type="http://schemas.openxmlformats.org/officeDocument/2006/relationships/image" /><Relationship TargetMode="External" Target="https://www.taylorfrancis.com/reader/read-online/17e655f9-a1f4-41eb-b031-7171911c7010/book/epub?context=ubxK&#228;rner" Id="docRId8" Type="http://schemas.openxmlformats.org/officeDocument/2006/relationships/hyperlink" /><Relationship Target="embeddings/oleObject11.bin" Id="docRId28" Type="http://schemas.openxmlformats.org/officeDocument/2006/relationships/oleObject" /><Relationship Target="media/image1.wmf" Id="docRId3" Type="http://schemas.openxmlformats.org/officeDocument/2006/relationships/image" /><Relationship Target="media/image15.wmf" Id="docRId37" Type="http://schemas.openxmlformats.org/officeDocument/2006/relationships/image" /><Relationship Target="embeddings/oleObject21.bin" Id="docRId48" Type="http://schemas.openxmlformats.org/officeDocument/2006/relationships/oleObject" /><Relationship Target="numbering.xml" Id="docRId50" Type="http://schemas.openxmlformats.org/officeDocument/2006/relationships/numbering" /></Relationships>
</file>