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4EF6424" w14:textId="77777777" w:rsidR="005336B9" w:rsidRDefault="005336B9" w:rsidP="005336B9">
      <w:pPr>
        <w:jc w:val="both"/>
        <w:rPr>
          <w:rFonts w:ascii="Arial" w:hAnsi="Arial" w:cs="Arial"/>
          <w:sz w:val="24"/>
        </w:rPr>
      </w:pPr>
    </w:p>
    <w:p w14:paraId="72C79F88" w14:textId="77777777" w:rsidR="00471343" w:rsidRPr="00E33134" w:rsidRDefault="00471343" w:rsidP="00E414AF">
      <w:pPr>
        <w:pStyle w:val="Title"/>
        <w:jc w:val="center"/>
      </w:pPr>
      <w:r w:rsidRPr="00E33134">
        <w:t>University of Wales Trinity Saint David</w:t>
      </w:r>
    </w:p>
    <w:p w14:paraId="6F40279A" w14:textId="77777777" w:rsidR="00471343" w:rsidRDefault="00471343" w:rsidP="00E414AF">
      <w:pPr>
        <w:pStyle w:val="Title"/>
        <w:jc w:val="center"/>
      </w:pPr>
      <w:r w:rsidRPr="00E33134">
        <w:t>School of Engineering</w:t>
      </w:r>
    </w:p>
    <w:p w14:paraId="66A8BF64" w14:textId="77777777" w:rsidR="00471343" w:rsidRPr="00E33134" w:rsidRDefault="00471343" w:rsidP="00E414AF">
      <w:pPr>
        <w:pStyle w:val="Title"/>
        <w:jc w:val="center"/>
      </w:pPr>
    </w:p>
    <w:p w14:paraId="4C6A2BB5" w14:textId="73315343" w:rsidR="00471343" w:rsidRDefault="00471343" w:rsidP="00E414AF">
      <w:pPr>
        <w:pStyle w:val="Title"/>
        <w:jc w:val="center"/>
      </w:pPr>
      <w:r w:rsidRPr="00471343">
        <w:t xml:space="preserve">Evaluating the Effectiveness of </w:t>
      </w:r>
      <w:r w:rsidR="003B3E3F">
        <w:t>Preventive</w:t>
      </w:r>
      <w:r w:rsidRPr="00471343">
        <w:t xml:space="preserve"> Maintenance Strategies for</w:t>
      </w:r>
      <w:r w:rsidR="003B3E3F">
        <w:t xml:space="preserve"> Plasma Spray Booth</w:t>
      </w:r>
      <w:r w:rsidRPr="00471343">
        <w:t xml:space="preserve"> </w:t>
      </w:r>
      <w:r w:rsidR="003B3E3F">
        <w:t>Extraction System</w:t>
      </w:r>
    </w:p>
    <w:p w14:paraId="4B2C41FA" w14:textId="77777777" w:rsidR="00471343" w:rsidRDefault="00471343" w:rsidP="00E414AF">
      <w:pPr>
        <w:pStyle w:val="Title"/>
        <w:jc w:val="center"/>
      </w:pPr>
    </w:p>
    <w:p w14:paraId="219FE2EF" w14:textId="57D974FE" w:rsidR="00471343" w:rsidRPr="00E33134" w:rsidRDefault="00471343" w:rsidP="00E414AF">
      <w:pPr>
        <w:pStyle w:val="Title"/>
        <w:jc w:val="center"/>
      </w:pPr>
      <w:r w:rsidRPr="00E33134">
        <w:t xml:space="preserve">Viktoria </w:t>
      </w:r>
      <w:proofErr w:type="spellStart"/>
      <w:r w:rsidRPr="00E33134">
        <w:t>Berces</w:t>
      </w:r>
      <w:proofErr w:type="spellEnd"/>
    </w:p>
    <w:p w14:paraId="0DD1A486" w14:textId="77777777" w:rsidR="00471343" w:rsidRDefault="00471343" w:rsidP="00E414AF">
      <w:pPr>
        <w:pStyle w:val="Title"/>
        <w:jc w:val="center"/>
      </w:pPr>
      <w:r w:rsidRPr="00E33134">
        <w:t>1908705</w:t>
      </w:r>
    </w:p>
    <w:p w14:paraId="24514658" w14:textId="77777777" w:rsidR="00471343" w:rsidRPr="00E33134" w:rsidRDefault="00471343" w:rsidP="00E414AF">
      <w:pPr>
        <w:pStyle w:val="Title"/>
        <w:jc w:val="center"/>
      </w:pPr>
    </w:p>
    <w:p w14:paraId="3EA156E9" w14:textId="77777777" w:rsidR="00471343" w:rsidRDefault="00471343" w:rsidP="00E414AF">
      <w:pPr>
        <w:pStyle w:val="Title"/>
        <w:jc w:val="center"/>
      </w:pPr>
      <w:r w:rsidRPr="00E33134">
        <w:t>BEng (Hons) Mechanical and manufacturing Engineering</w:t>
      </w:r>
    </w:p>
    <w:p w14:paraId="0EB19AAB" w14:textId="77777777" w:rsidR="00471343" w:rsidRPr="00E33134" w:rsidRDefault="00471343" w:rsidP="00E414AF">
      <w:pPr>
        <w:pStyle w:val="Title"/>
        <w:jc w:val="center"/>
      </w:pPr>
    </w:p>
    <w:p w14:paraId="4E900541" w14:textId="2106EBBF" w:rsidR="00471343" w:rsidRDefault="00340F23" w:rsidP="00E414AF">
      <w:pPr>
        <w:pStyle w:val="Title"/>
        <w:jc w:val="center"/>
      </w:pPr>
      <w:r>
        <w:t>07</w:t>
      </w:r>
      <w:r w:rsidR="00471343" w:rsidRPr="00E33134">
        <w:t>/0</w:t>
      </w:r>
      <w:r>
        <w:t>4</w:t>
      </w:r>
      <w:r w:rsidR="00471343" w:rsidRPr="00E33134">
        <w:t>/202</w:t>
      </w:r>
      <w:r w:rsidR="00471343">
        <w:t>4</w:t>
      </w:r>
    </w:p>
    <w:p w14:paraId="3834FCDB" w14:textId="77777777" w:rsidR="00471343" w:rsidRPr="00E33134" w:rsidRDefault="00471343" w:rsidP="00E414AF">
      <w:pPr>
        <w:pStyle w:val="Title"/>
        <w:jc w:val="center"/>
      </w:pPr>
    </w:p>
    <w:p w14:paraId="06267BF0" w14:textId="36A98333" w:rsidR="00471343" w:rsidRPr="00E33134" w:rsidRDefault="00471343" w:rsidP="00E414AF">
      <w:pPr>
        <w:pStyle w:val="Title"/>
        <w:jc w:val="center"/>
      </w:pPr>
      <w:r>
        <w:t>Plant and Asset Engineering</w:t>
      </w:r>
    </w:p>
    <w:p w14:paraId="0D6D5A31" w14:textId="7F7CBF7F" w:rsidR="00471343" w:rsidRPr="00E33134" w:rsidRDefault="00471343" w:rsidP="00E414AF">
      <w:pPr>
        <w:pStyle w:val="Title"/>
        <w:jc w:val="center"/>
      </w:pPr>
      <w:r w:rsidRPr="00E33134">
        <w:t xml:space="preserve">ACMA </w:t>
      </w:r>
      <w:r>
        <w:t>6007</w:t>
      </w:r>
    </w:p>
    <w:p w14:paraId="2EE199F6" w14:textId="3739F1A4" w:rsidR="005336B9" w:rsidRDefault="005336B9" w:rsidP="00471343">
      <w:pPr>
        <w:jc w:val="both"/>
        <w:rPr>
          <w:rFonts w:ascii="Arial" w:hAnsi="Arial" w:cs="Arial"/>
          <w:sz w:val="24"/>
        </w:rPr>
      </w:pPr>
    </w:p>
    <w:p w14:paraId="6B79E266" w14:textId="77777777" w:rsidR="005336B9" w:rsidRDefault="005336B9" w:rsidP="005336B9">
      <w:pPr>
        <w:ind w:left="1080"/>
        <w:jc w:val="both"/>
        <w:rPr>
          <w:rFonts w:ascii="Arial" w:hAnsi="Arial" w:cs="Arial"/>
          <w:sz w:val="24"/>
        </w:rPr>
      </w:pPr>
    </w:p>
    <w:p w14:paraId="1FDC46E3" w14:textId="7C59EEEE" w:rsidR="005336B9" w:rsidRPr="00E414AF" w:rsidRDefault="005336B9" w:rsidP="00E414AF">
      <w:pPr>
        <w:spacing w:after="160" w:line="278" w:lineRule="auto"/>
        <w:rPr>
          <w:rFonts w:ascii="Arial" w:hAnsi="Arial" w:cs="Arial"/>
          <w:sz w:val="24"/>
        </w:rPr>
      </w:pPr>
      <w:r>
        <w:rPr>
          <w:rFonts w:ascii="Arial" w:hAnsi="Arial" w:cs="Arial"/>
          <w:sz w:val="24"/>
        </w:rPr>
        <w:br w:type="page"/>
      </w:r>
    </w:p>
    <w:p w14:paraId="27445D24" w14:textId="77777777" w:rsidR="00E414AF" w:rsidRDefault="00E414AF" w:rsidP="00E414AF"/>
    <w:sdt>
      <w:sdtPr>
        <w:rPr>
          <w:rFonts w:ascii="Times New Roman" w:eastAsia="Times New Roman" w:hAnsi="Times New Roman" w:cs="Times New Roman"/>
          <w:color w:val="auto"/>
          <w:sz w:val="20"/>
          <w:szCs w:val="20"/>
          <w:lang w:val="en-GB" w:eastAsia="en-GB"/>
        </w:rPr>
        <w:id w:val="-2055988382"/>
        <w:docPartObj>
          <w:docPartGallery w:val="Table of Contents"/>
          <w:docPartUnique/>
        </w:docPartObj>
      </w:sdtPr>
      <w:sdtEndPr>
        <w:rPr>
          <w:b/>
          <w:bCs/>
          <w:noProof/>
        </w:rPr>
      </w:sdtEndPr>
      <w:sdtContent>
        <w:p w14:paraId="5322BF71" w14:textId="097E2A11" w:rsidR="00E414AF" w:rsidRPr="00845559" w:rsidRDefault="00E414AF">
          <w:pPr>
            <w:pStyle w:val="TOCHeading"/>
            <w:rPr>
              <w:sz w:val="40"/>
              <w:szCs w:val="40"/>
            </w:rPr>
          </w:pPr>
          <w:r w:rsidRPr="00845559">
            <w:rPr>
              <w:sz w:val="40"/>
              <w:szCs w:val="40"/>
            </w:rPr>
            <w:t>Contents</w:t>
          </w:r>
        </w:p>
        <w:p w14:paraId="7F15B712" w14:textId="77777777" w:rsidR="00E414AF" w:rsidRPr="00E414AF" w:rsidRDefault="00E414AF" w:rsidP="00E414AF">
          <w:pPr>
            <w:rPr>
              <w:lang w:val="en-US" w:eastAsia="en-US"/>
            </w:rPr>
          </w:pPr>
        </w:p>
        <w:p w14:paraId="1F7DD1E7" w14:textId="4FCC9D2C" w:rsidR="00A22F97" w:rsidRDefault="00E414AF">
          <w:pPr>
            <w:pStyle w:val="TOC1"/>
            <w:rPr>
              <w:rFonts w:asciiTheme="minorHAnsi" w:eastAsiaTheme="minorEastAsia" w:hAnsiTheme="minorHAnsi" w:cstheme="minorBidi"/>
              <w:noProof/>
              <w:kern w:val="2"/>
              <w14:ligatures w14:val="standardContextual"/>
            </w:rPr>
          </w:pPr>
          <w:r w:rsidRPr="0036537D">
            <w:fldChar w:fldCharType="begin"/>
          </w:r>
          <w:r w:rsidRPr="0036537D">
            <w:instrText xml:space="preserve"> TOC \o "1-3" \h \z \u </w:instrText>
          </w:r>
          <w:r w:rsidRPr="0036537D">
            <w:fldChar w:fldCharType="separate"/>
          </w:r>
          <w:hyperlink w:anchor="_Toc163379049" w:history="1">
            <w:r w:rsidR="00A22F97" w:rsidRPr="00A914E8">
              <w:rPr>
                <w:rStyle w:val="Hyperlink"/>
                <w:noProof/>
              </w:rPr>
              <w:t>List of illustrations/Tables</w:t>
            </w:r>
            <w:r w:rsidR="00A22F97">
              <w:rPr>
                <w:noProof/>
                <w:webHidden/>
              </w:rPr>
              <w:tab/>
            </w:r>
            <w:r w:rsidR="00A22F97">
              <w:rPr>
                <w:noProof/>
                <w:webHidden/>
              </w:rPr>
              <w:fldChar w:fldCharType="begin"/>
            </w:r>
            <w:r w:rsidR="00A22F97">
              <w:rPr>
                <w:noProof/>
                <w:webHidden/>
              </w:rPr>
              <w:instrText xml:space="preserve"> PAGEREF _Toc163379049 \h </w:instrText>
            </w:r>
            <w:r w:rsidR="00A22F97">
              <w:rPr>
                <w:noProof/>
                <w:webHidden/>
              </w:rPr>
            </w:r>
            <w:r w:rsidR="00A22F97">
              <w:rPr>
                <w:noProof/>
                <w:webHidden/>
              </w:rPr>
              <w:fldChar w:fldCharType="separate"/>
            </w:r>
            <w:r w:rsidR="00A22F97">
              <w:rPr>
                <w:noProof/>
                <w:webHidden/>
              </w:rPr>
              <w:t>3</w:t>
            </w:r>
            <w:r w:rsidR="00A22F97">
              <w:rPr>
                <w:noProof/>
                <w:webHidden/>
              </w:rPr>
              <w:fldChar w:fldCharType="end"/>
            </w:r>
          </w:hyperlink>
        </w:p>
        <w:p w14:paraId="38EA4F8E" w14:textId="6EDB27A1" w:rsidR="00A22F97" w:rsidRDefault="00A22F97">
          <w:pPr>
            <w:pStyle w:val="TOC1"/>
            <w:rPr>
              <w:rFonts w:asciiTheme="minorHAnsi" w:eastAsiaTheme="minorEastAsia" w:hAnsiTheme="minorHAnsi" w:cstheme="minorBidi"/>
              <w:noProof/>
              <w:kern w:val="2"/>
              <w14:ligatures w14:val="standardContextual"/>
            </w:rPr>
          </w:pPr>
          <w:hyperlink w:anchor="_Toc163379050" w:history="1">
            <w:r w:rsidRPr="00A914E8">
              <w:rPr>
                <w:rStyle w:val="Hyperlink"/>
                <w:bCs/>
                <w:noProof/>
              </w:rPr>
              <w:t>Introduction</w:t>
            </w:r>
            <w:r>
              <w:rPr>
                <w:noProof/>
                <w:webHidden/>
              </w:rPr>
              <w:tab/>
            </w:r>
            <w:r>
              <w:rPr>
                <w:noProof/>
                <w:webHidden/>
              </w:rPr>
              <w:fldChar w:fldCharType="begin"/>
            </w:r>
            <w:r>
              <w:rPr>
                <w:noProof/>
                <w:webHidden/>
              </w:rPr>
              <w:instrText xml:space="preserve"> PAGEREF _Toc163379050 \h </w:instrText>
            </w:r>
            <w:r>
              <w:rPr>
                <w:noProof/>
                <w:webHidden/>
              </w:rPr>
            </w:r>
            <w:r>
              <w:rPr>
                <w:noProof/>
                <w:webHidden/>
              </w:rPr>
              <w:fldChar w:fldCharType="separate"/>
            </w:r>
            <w:r>
              <w:rPr>
                <w:noProof/>
                <w:webHidden/>
              </w:rPr>
              <w:t>4</w:t>
            </w:r>
            <w:r>
              <w:rPr>
                <w:noProof/>
                <w:webHidden/>
              </w:rPr>
              <w:fldChar w:fldCharType="end"/>
            </w:r>
          </w:hyperlink>
        </w:p>
        <w:p w14:paraId="0FFABCC0" w14:textId="545F0702" w:rsidR="00A22F97" w:rsidRDefault="00A22F97">
          <w:pPr>
            <w:pStyle w:val="TOC1"/>
            <w:rPr>
              <w:rFonts w:asciiTheme="minorHAnsi" w:eastAsiaTheme="minorEastAsia" w:hAnsiTheme="minorHAnsi" w:cstheme="minorBidi"/>
              <w:noProof/>
              <w:kern w:val="2"/>
              <w14:ligatures w14:val="standardContextual"/>
            </w:rPr>
          </w:pPr>
          <w:hyperlink w:anchor="_Toc163379051" w:history="1">
            <w:r w:rsidRPr="00A914E8">
              <w:rPr>
                <w:rStyle w:val="Hyperlink"/>
                <w:noProof/>
              </w:rPr>
              <w:t>Review of current maintenance practices</w:t>
            </w:r>
            <w:r>
              <w:rPr>
                <w:noProof/>
                <w:webHidden/>
              </w:rPr>
              <w:tab/>
            </w:r>
            <w:r>
              <w:rPr>
                <w:noProof/>
                <w:webHidden/>
              </w:rPr>
              <w:fldChar w:fldCharType="begin"/>
            </w:r>
            <w:r>
              <w:rPr>
                <w:noProof/>
                <w:webHidden/>
              </w:rPr>
              <w:instrText xml:space="preserve"> PAGEREF _Toc163379051 \h </w:instrText>
            </w:r>
            <w:r>
              <w:rPr>
                <w:noProof/>
                <w:webHidden/>
              </w:rPr>
            </w:r>
            <w:r>
              <w:rPr>
                <w:noProof/>
                <w:webHidden/>
              </w:rPr>
              <w:fldChar w:fldCharType="separate"/>
            </w:r>
            <w:r>
              <w:rPr>
                <w:noProof/>
                <w:webHidden/>
              </w:rPr>
              <w:t>5</w:t>
            </w:r>
            <w:r>
              <w:rPr>
                <w:noProof/>
                <w:webHidden/>
              </w:rPr>
              <w:fldChar w:fldCharType="end"/>
            </w:r>
          </w:hyperlink>
        </w:p>
        <w:p w14:paraId="2127D424" w14:textId="72324CD2" w:rsidR="00A22F97" w:rsidRDefault="00A22F97">
          <w:pPr>
            <w:pStyle w:val="TOC1"/>
            <w:rPr>
              <w:rFonts w:asciiTheme="minorHAnsi" w:eastAsiaTheme="minorEastAsia" w:hAnsiTheme="minorHAnsi" w:cstheme="minorBidi"/>
              <w:noProof/>
              <w:kern w:val="2"/>
              <w14:ligatures w14:val="standardContextual"/>
            </w:rPr>
          </w:pPr>
          <w:hyperlink w:anchor="_Toc163379052" w:history="1">
            <w:r w:rsidRPr="00A914E8">
              <w:rPr>
                <w:rStyle w:val="Hyperlink"/>
                <w:noProof/>
              </w:rPr>
              <w:t>Improvement of maintenance approaches</w:t>
            </w:r>
            <w:r>
              <w:rPr>
                <w:noProof/>
                <w:webHidden/>
              </w:rPr>
              <w:tab/>
            </w:r>
            <w:r>
              <w:rPr>
                <w:noProof/>
                <w:webHidden/>
              </w:rPr>
              <w:fldChar w:fldCharType="begin"/>
            </w:r>
            <w:r>
              <w:rPr>
                <w:noProof/>
                <w:webHidden/>
              </w:rPr>
              <w:instrText xml:space="preserve"> PAGEREF _Toc163379052 \h </w:instrText>
            </w:r>
            <w:r>
              <w:rPr>
                <w:noProof/>
                <w:webHidden/>
              </w:rPr>
            </w:r>
            <w:r>
              <w:rPr>
                <w:noProof/>
                <w:webHidden/>
              </w:rPr>
              <w:fldChar w:fldCharType="separate"/>
            </w:r>
            <w:r>
              <w:rPr>
                <w:noProof/>
                <w:webHidden/>
              </w:rPr>
              <w:t>8</w:t>
            </w:r>
            <w:r>
              <w:rPr>
                <w:noProof/>
                <w:webHidden/>
              </w:rPr>
              <w:fldChar w:fldCharType="end"/>
            </w:r>
          </w:hyperlink>
        </w:p>
        <w:p w14:paraId="10021A02" w14:textId="271A24F5" w:rsidR="00A22F97" w:rsidRDefault="00A22F97">
          <w:pPr>
            <w:pStyle w:val="TOC1"/>
            <w:rPr>
              <w:rFonts w:asciiTheme="minorHAnsi" w:eastAsiaTheme="minorEastAsia" w:hAnsiTheme="minorHAnsi" w:cstheme="minorBidi"/>
              <w:noProof/>
              <w:kern w:val="2"/>
              <w14:ligatures w14:val="standardContextual"/>
            </w:rPr>
          </w:pPr>
          <w:hyperlink w:anchor="_Toc163379053" w:history="1">
            <w:r w:rsidRPr="00A914E8">
              <w:rPr>
                <w:rStyle w:val="Hyperlink"/>
                <w:noProof/>
              </w:rPr>
              <w:t>Assessment of the costs and resources needed for the proposed changes</w:t>
            </w:r>
            <w:r>
              <w:rPr>
                <w:noProof/>
                <w:webHidden/>
              </w:rPr>
              <w:tab/>
            </w:r>
            <w:r>
              <w:rPr>
                <w:noProof/>
                <w:webHidden/>
              </w:rPr>
              <w:fldChar w:fldCharType="begin"/>
            </w:r>
            <w:r>
              <w:rPr>
                <w:noProof/>
                <w:webHidden/>
              </w:rPr>
              <w:instrText xml:space="preserve"> PAGEREF _Toc163379053 \h </w:instrText>
            </w:r>
            <w:r>
              <w:rPr>
                <w:noProof/>
                <w:webHidden/>
              </w:rPr>
            </w:r>
            <w:r>
              <w:rPr>
                <w:noProof/>
                <w:webHidden/>
              </w:rPr>
              <w:fldChar w:fldCharType="separate"/>
            </w:r>
            <w:r>
              <w:rPr>
                <w:noProof/>
                <w:webHidden/>
              </w:rPr>
              <w:t>12</w:t>
            </w:r>
            <w:r>
              <w:rPr>
                <w:noProof/>
                <w:webHidden/>
              </w:rPr>
              <w:fldChar w:fldCharType="end"/>
            </w:r>
          </w:hyperlink>
        </w:p>
        <w:p w14:paraId="3BAC89A8" w14:textId="0C1ED690" w:rsidR="00A22F97" w:rsidRDefault="00A22F97">
          <w:pPr>
            <w:pStyle w:val="TOC1"/>
            <w:rPr>
              <w:rFonts w:asciiTheme="minorHAnsi" w:eastAsiaTheme="minorEastAsia" w:hAnsiTheme="minorHAnsi" w:cstheme="minorBidi"/>
              <w:noProof/>
              <w:kern w:val="2"/>
              <w14:ligatures w14:val="standardContextual"/>
            </w:rPr>
          </w:pPr>
          <w:hyperlink w:anchor="_Toc163379054" w:history="1">
            <w:r w:rsidRPr="00A914E8">
              <w:rPr>
                <w:rStyle w:val="Hyperlink"/>
                <w:noProof/>
              </w:rPr>
              <w:t>Conclusions and recommendations</w:t>
            </w:r>
            <w:r>
              <w:rPr>
                <w:noProof/>
                <w:webHidden/>
              </w:rPr>
              <w:tab/>
            </w:r>
            <w:r>
              <w:rPr>
                <w:noProof/>
                <w:webHidden/>
              </w:rPr>
              <w:fldChar w:fldCharType="begin"/>
            </w:r>
            <w:r>
              <w:rPr>
                <w:noProof/>
                <w:webHidden/>
              </w:rPr>
              <w:instrText xml:space="preserve"> PAGEREF _Toc163379054 \h </w:instrText>
            </w:r>
            <w:r>
              <w:rPr>
                <w:noProof/>
                <w:webHidden/>
              </w:rPr>
            </w:r>
            <w:r>
              <w:rPr>
                <w:noProof/>
                <w:webHidden/>
              </w:rPr>
              <w:fldChar w:fldCharType="separate"/>
            </w:r>
            <w:r>
              <w:rPr>
                <w:noProof/>
                <w:webHidden/>
              </w:rPr>
              <w:t>16</w:t>
            </w:r>
            <w:r>
              <w:rPr>
                <w:noProof/>
                <w:webHidden/>
              </w:rPr>
              <w:fldChar w:fldCharType="end"/>
            </w:r>
          </w:hyperlink>
        </w:p>
        <w:p w14:paraId="6529BE15" w14:textId="10ABD9E6" w:rsidR="00A22F97" w:rsidRDefault="00A22F97">
          <w:pPr>
            <w:pStyle w:val="TOC1"/>
            <w:rPr>
              <w:rFonts w:asciiTheme="minorHAnsi" w:eastAsiaTheme="minorEastAsia" w:hAnsiTheme="minorHAnsi" w:cstheme="minorBidi"/>
              <w:noProof/>
              <w:kern w:val="2"/>
              <w14:ligatures w14:val="standardContextual"/>
            </w:rPr>
          </w:pPr>
          <w:hyperlink w:anchor="_Toc163379055" w:history="1">
            <w:r w:rsidRPr="00A914E8">
              <w:rPr>
                <w:rStyle w:val="Hyperlink"/>
                <w:noProof/>
              </w:rPr>
              <w:t>References</w:t>
            </w:r>
            <w:r>
              <w:rPr>
                <w:noProof/>
                <w:webHidden/>
              </w:rPr>
              <w:tab/>
            </w:r>
            <w:r>
              <w:rPr>
                <w:noProof/>
                <w:webHidden/>
              </w:rPr>
              <w:fldChar w:fldCharType="begin"/>
            </w:r>
            <w:r>
              <w:rPr>
                <w:noProof/>
                <w:webHidden/>
              </w:rPr>
              <w:instrText xml:space="preserve"> PAGEREF _Toc163379055 \h </w:instrText>
            </w:r>
            <w:r>
              <w:rPr>
                <w:noProof/>
                <w:webHidden/>
              </w:rPr>
            </w:r>
            <w:r>
              <w:rPr>
                <w:noProof/>
                <w:webHidden/>
              </w:rPr>
              <w:fldChar w:fldCharType="separate"/>
            </w:r>
            <w:r>
              <w:rPr>
                <w:noProof/>
                <w:webHidden/>
              </w:rPr>
              <w:t>17</w:t>
            </w:r>
            <w:r>
              <w:rPr>
                <w:noProof/>
                <w:webHidden/>
              </w:rPr>
              <w:fldChar w:fldCharType="end"/>
            </w:r>
          </w:hyperlink>
        </w:p>
        <w:p w14:paraId="77173E52" w14:textId="0D6E137C" w:rsidR="00E414AF" w:rsidRDefault="00E414AF">
          <w:r w:rsidRPr="0036537D">
            <w:rPr>
              <w:rFonts w:ascii="Calibri" w:hAnsi="Calibri" w:cs="Calibri"/>
              <w:noProof/>
            </w:rPr>
            <w:fldChar w:fldCharType="end"/>
          </w:r>
        </w:p>
      </w:sdtContent>
    </w:sdt>
    <w:p w14:paraId="5518A287" w14:textId="77777777" w:rsidR="00E414AF" w:rsidRPr="00E414AF" w:rsidRDefault="00E414AF" w:rsidP="00E414AF"/>
    <w:p w14:paraId="3D7A9776" w14:textId="77777777" w:rsidR="005336B9" w:rsidRDefault="005336B9" w:rsidP="005336B9">
      <w:pPr>
        <w:jc w:val="both"/>
        <w:rPr>
          <w:rFonts w:ascii="Arial" w:hAnsi="Arial" w:cs="Arial"/>
          <w:sz w:val="24"/>
        </w:rPr>
      </w:pPr>
    </w:p>
    <w:p w14:paraId="6C227452" w14:textId="77777777" w:rsidR="005336B9" w:rsidRDefault="005336B9" w:rsidP="005336B9">
      <w:pPr>
        <w:jc w:val="both"/>
        <w:rPr>
          <w:rFonts w:ascii="Arial" w:hAnsi="Arial" w:cs="Arial"/>
          <w:sz w:val="24"/>
        </w:rPr>
      </w:pPr>
    </w:p>
    <w:p w14:paraId="3D3A9992" w14:textId="5E81196F" w:rsidR="005336B9" w:rsidRDefault="005336B9" w:rsidP="00845559">
      <w:pPr>
        <w:spacing w:after="160" w:line="278" w:lineRule="auto"/>
        <w:rPr>
          <w:rFonts w:ascii="Arial" w:hAnsi="Arial" w:cs="Arial"/>
          <w:sz w:val="24"/>
        </w:rPr>
      </w:pPr>
      <w:r>
        <w:rPr>
          <w:rFonts w:ascii="Arial" w:hAnsi="Arial" w:cs="Arial"/>
          <w:sz w:val="24"/>
        </w:rPr>
        <w:br w:type="page"/>
      </w:r>
    </w:p>
    <w:p w14:paraId="6098481B" w14:textId="6341FFB5" w:rsidR="005336B9" w:rsidRDefault="005336B9" w:rsidP="00E414AF">
      <w:pPr>
        <w:pStyle w:val="Heading1"/>
      </w:pPr>
      <w:bookmarkStart w:id="0" w:name="_Toc163379049"/>
      <w:r>
        <w:lastRenderedPageBreak/>
        <w:t>List of illustrations/Tables</w:t>
      </w:r>
      <w:bookmarkEnd w:id="0"/>
    </w:p>
    <w:p w14:paraId="1BD966E1" w14:textId="77777777" w:rsidR="005336B9" w:rsidRPr="00FE30E4" w:rsidRDefault="005336B9" w:rsidP="005336B9">
      <w:pPr>
        <w:jc w:val="both"/>
        <w:rPr>
          <w:rFonts w:ascii="Calibri" w:hAnsi="Calibri" w:cs="Calibri"/>
          <w:sz w:val="24"/>
          <w:szCs w:val="24"/>
        </w:rPr>
      </w:pPr>
    </w:p>
    <w:p w14:paraId="3F5BB1A7" w14:textId="2A1483F1" w:rsidR="00FE30E4" w:rsidRPr="00A22F97" w:rsidRDefault="001A0946" w:rsidP="00A22F97">
      <w:pPr>
        <w:pStyle w:val="TableofFigures"/>
        <w:tabs>
          <w:tab w:val="right" w:leader="dot" w:pos="9016"/>
        </w:tabs>
        <w:spacing w:line="360" w:lineRule="auto"/>
        <w:rPr>
          <w:rFonts w:ascii="Calibri" w:eastAsiaTheme="minorEastAsia" w:hAnsi="Calibri" w:cs="Calibri"/>
          <w:noProof/>
          <w:kern w:val="2"/>
          <w:sz w:val="24"/>
          <w:szCs w:val="24"/>
          <w14:ligatures w14:val="standardContextual"/>
        </w:rPr>
      </w:pPr>
      <w:r w:rsidRPr="00FE30E4">
        <w:rPr>
          <w:rFonts w:ascii="Calibri" w:hAnsi="Calibri" w:cs="Calibri"/>
          <w:sz w:val="24"/>
          <w:szCs w:val="24"/>
        </w:rPr>
        <w:fldChar w:fldCharType="begin"/>
      </w:r>
      <w:r w:rsidRPr="00FE30E4">
        <w:rPr>
          <w:rFonts w:ascii="Calibri" w:hAnsi="Calibri" w:cs="Calibri"/>
          <w:sz w:val="24"/>
          <w:szCs w:val="24"/>
        </w:rPr>
        <w:instrText xml:space="preserve"> TOC \h \z \c "Figure" </w:instrText>
      </w:r>
      <w:r w:rsidRPr="00FE30E4">
        <w:rPr>
          <w:rFonts w:ascii="Calibri" w:hAnsi="Calibri" w:cs="Calibri"/>
          <w:sz w:val="24"/>
          <w:szCs w:val="24"/>
        </w:rPr>
        <w:fldChar w:fldCharType="separate"/>
      </w:r>
      <w:hyperlink w:anchor="_Toc162600924" w:history="1">
        <w:r w:rsidR="00FE30E4" w:rsidRPr="00A22F97">
          <w:rPr>
            <w:rStyle w:val="Hyperlink"/>
            <w:rFonts w:ascii="Calibri" w:eastAsiaTheme="majorEastAsia" w:hAnsi="Calibri" w:cs="Calibri"/>
            <w:noProof/>
            <w:sz w:val="24"/>
            <w:szCs w:val="24"/>
          </w:rPr>
          <w:t>Figure 1- PF curve</w:t>
        </w:r>
        <w:r w:rsidR="00FE30E4" w:rsidRPr="00A22F97">
          <w:rPr>
            <w:rFonts w:ascii="Calibri" w:hAnsi="Calibri" w:cs="Calibri"/>
            <w:noProof/>
            <w:webHidden/>
            <w:sz w:val="24"/>
            <w:szCs w:val="24"/>
          </w:rPr>
          <w:tab/>
        </w:r>
        <w:r w:rsidR="00FE30E4" w:rsidRPr="00A22F97">
          <w:rPr>
            <w:rFonts w:ascii="Calibri" w:hAnsi="Calibri" w:cs="Calibri"/>
            <w:noProof/>
            <w:webHidden/>
            <w:sz w:val="24"/>
            <w:szCs w:val="24"/>
          </w:rPr>
          <w:fldChar w:fldCharType="begin"/>
        </w:r>
        <w:r w:rsidR="00FE30E4" w:rsidRPr="00A22F97">
          <w:rPr>
            <w:rFonts w:ascii="Calibri" w:hAnsi="Calibri" w:cs="Calibri"/>
            <w:noProof/>
            <w:webHidden/>
            <w:sz w:val="24"/>
            <w:szCs w:val="24"/>
          </w:rPr>
          <w:instrText xml:space="preserve"> PAGEREF _Toc162600924 \h </w:instrText>
        </w:r>
        <w:r w:rsidR="00FE30E4" w:rsidRPr="00A22F97">
          <w:rPr>
            <w:rFonts w:ascii="Calibri" w:hAnsi="Calibri" w:cs="Calibri"/>
            <w:noProof/>
            <w:webHidden/>
            <w:sz w:val="24"/>
            <w:szCs w:val="24"/>
          </w:rPr>
        </w:r>
        <w:r w:rsidR="00FE30E4" w:rsidRPr="00A22F97">
          <w:rPr>
            <w:rFonts w:ascii="Calibri" w:hAnsi="Calibri" w:cs="Calibri"/>
            <w:noProof/>
            <w:webHidden/>
            <w:sz w:val="24"/>
            <w:szCs w:val="24"/>
          </w:rPr>
          <w:fldChar w:fldCharType="separate"/>
        </w:r>
        <w:r w:rsidR="00FE30E4" w:rsidRPr="00A22F97">
          <w:rPr>
            <w:rFonts w:ascii="Calibri" w:hAnsi="Calibri" w:cs="Calibri"/>
            <w:noProof/>
            <w:webHidden/>
            <w:sz w:val="24"/>
            <w:szCs w:val="24"/>
          </w:rPr>
          <w:t>9</w:t>
        </w:r>
        <w:r w:rsidR="00FE30E4" w:rsidRPr="00A22F97">
          <w:rPr>
            <w:rFonts w:ascii="Calibri" w:hAnsi="Calibri" w:cs="Calibri"/>
            <w:noProof/>
            <w:webHidden/>
            <w:sz w:val="24"/>
            <w:szCs w:val="24"/>
          </w:rPr>
          <w:fldChar w:fldCharType="end"/>
        </w:r>
      </w:hyperlink>
    </w:p>
    <w:p w14:paraId="3BBB1EAC" w14:textId="4AFEAC52" w:rsidR="00FE30E4" w:rsidRPr="00FE30E4" w:rsidRDefault="00000000" w:rsidP="00A22F97">
      <w:pPr>
        <w:pStyle w:val="TableofFigures"/>
        <w:tabs>
          <w:tab w:val="right" w:leader="dot" w:pos="9016"/>
        </w:tabs>
        <w:spacing w:line="360" w:lineRule="auto"/>
        <w:rPr>
          <w:rFonts w:ascii="Calibri" w:eastAsiaTheme="minorEastAsia" w:hAnsi="Calibri" w:cs="Calibri"/>
          <w:noProof/>
          <w:kern w:val="2"/>
          <w:sz w:val="24"/>
          <w:szCs w:val="24"/>
          <w14:ligatures w14:val="standardContextual"/>
        </w:rPr>
      </w:pPr>
      <w:hyperlink w:anchor="_Toc162600925" w:history="1">
        <w:r w:rsidR="00FE30E4" w:rsidRPr="00A22F97">
          <w:rPr>
            <w:rStyle w:val="Hyperlink"/>
            <w:rFonts w:ascii="Calibri" w:eastAsiaTheme="majorEastAsia" w:hAnsi="Calibri" w:cs="Calibri"/>
            <w:noProof/>
            <w:sz w:val="24"/>
            <w:szCs w:val="24"/>
          </w:rPr>
          <w:t>Figure 2- Pillars of TPM</w:t>
        </w:r>
        <w:r w:rsidR="00FE30E4" w:rsidRPr="00A22F97">
          <w:rPr>
            <w:rFonts w:ascii="Calibri" w:hAnsi="Calibri" w:cs="Calibri"/>
            <w:noProof/>
            <w:webHidden/>
            <w:sz w:val="24"/>
            <w:szCs w:val="24"/>
          </w:rPr>
          <w:tab/>
        </w:r>
        <w:r w:rsidR="00FE30E4" w:rsidRPr="00A22F97">
          <w:rPr>
            <w:rFonts w:ascii="Calibri" w:hAnsi="Calibri" w:cs="Calibri"/>
            <w:noProof/>
            <w:webHidden/>
            <w:sz w:val="24"/>
            <w:szCs w:val="24"/>
          </w:rPr>
          <w:fldChar w:fldCharType="begin"/>
        </w:r>
        <w:r w:rsidR="00FE30E4" w:rsidRPr="00A22F97">
          <w:rPr>
            <w:rFonts w:ascii="Calibri" w:hAnsi="Calibri" w:cs="Calibri"/>
            <w:noProof/>
            <w:webHidden/>
            <w:sz w:val="24"/>
            <w:szCs w:val="24"/>
          </w:rPr>
          <w:instrText xml:space="preserve"> PAGEREF _Toc162600925 \h </w:instrText>
        </w:r>
        <w:r w:rsidR="00FE30E4" w:rsidRPr="00A22F97">
          <w:rPr>
            <w:rFonts w:ascii="Calibri" w:hAnsi="Calibri" w:cs="Calibri"/>
            <w:noProof/>
            <w:webHidden/>
            <w:sz w:val="24"/>
            <w:szCs w:val="24"/>
          </w:rPr>
        </w:r>
        <w:r w:rsidR="00FE30E4" w:rsidRPr="00A22F97">
          <w:rPr>
            <w:rFonts w:ascii="Calibri" w:hAnsi="Calibri" w:cs="Calibri"/>
            <w:noProof/>
            <w:webHidden/>
            <w:sz w:val="24"/>
            <w:szCs w:val="24"/>
          </w:rPr>
          <w:fldChar w:fldCharType="separate"/>
        </w:r>
        <w:r w:rsidR="00FE30E4" w:rsidRPr="00A22F97">
          <w:rPr>
            <w:rFonts w:ascii="Calibri" w:hAnsi="Calibri" w:cs="Calibri"/>
            <w:noProof/>
            <w:webHidden/>
            <w:sz w:val="24"/>
            <w:szCs w:val="24"/>
          </w:rPr>
          <w:t>10</w:t>
        </w:r>
        <w:r w:rsidR="00FE30E4" w:rsidRPr="00A22F97">
          <w:rPr>
            <w:rFonts w:ascii="Calibri" w:hAnsi="Calibri" w:cs="Calibri"/>
            <w:noProof/>
            <w:webHidden/>
            <w:sz w:val="24"/>
            <w:szCs w:val="24"/>
          </w:rPr>
          <w:fldChar w:fldCharType="end"/>
        </w:r>
      </w:hyperlink>
    </w:p>
    <w:p w14:paraId="09605C49" w14:textId="77777777" w:rsidR="00A22F97" w:rsidRDefault="001A0946" w:rsidP="005336B9">
      <w:pPr>
        <w:jc w:val="both"/>
        <w:rPr>
          <w:noProof/>
        </w:rPr>
      </w:pPr>
      <w:r w:rsidRPr="00FE30E4">
        <w:rPr>
          <w:rFonts w:ascii="Calibri" w:hAnsi="Calibri" w:cs="Calibri"/>
          <w:sz w:val="24"/>
          <w:szCs w:val="24"/>
        </w:rPr>
        <w:fldChar w:fldCharType="end"/>
      </w:r>
      <w:r w:rsidR="00FE30E4" w:rsidRPr="00FE30E4">
        <w:rPr>
          <w:rFonts w:ascii="Calibri" w:hAnsi="Calibri" w:cs="Calibri"/>
          <w:sz w:val="24"/>
          <w:szCs w:val="24"/>
        </w:rPr>
        <w:fldChar w:fldCharType="begin"/>
      </w:r>
      <w:r w:rsidR="00FE30E4" w:rsidRPr="00FE30E4">
        <w:rPr>
          <w:rFonts w:ascii="Calibri" w:hAnsi="Calibri" w:cs="Calibri"/>
          <w:sz w:val="24"/>
          <w:szCs w:val="24"/>
        </w:rPr>
        <w:instrText xml:space="preserve"> TOC \h \z \c "Table" </w:instrText>
      </w:r>
      <w:r w:rsidR="00FE30E4" w:rsidRPr="00FE30E4">
        <w:rPr>
          <w:rFonts w:ascii="Calibri" w:hAnsi="Calibri" w:cs="Calibri"/>
          <w:sz w:val="24"/>
          <w:szCs w:val="24"/>
        </w:rPr>
        <w:fldChar w:fldCharType="separate"/>
      </w:r>
    </w:p>
    <w:p w14:paraId="50C1092D" w14:textId="0EFB2EF8" w:rsidR="00A22F97" w:rsidRPr="00A22F97" w:rsidRDefault="00A22F97" w:rsidP="00A22F97">
      <w:pPr>
        <w:pStyle w:val="TableofFigures"/>
        <w:tabs>
          <w:tab w:val="right" w:leader="dot" w:pos="9016"/>
        </w:tabs>
        <w:spacing w:line="360" w:lineRule="auto"/>
        <w:rPr>
          <w:rFonts w:ascii="Calibri" w:eastAsiaTheme="minorEastAsia" w:hAnsi="Calibri" w:cs="Calibri"/>
          <w:noProof/>
          <w:kern w:val="2"/>
          <w:sz w:val="32"/>
          <w:szCs w:val="32"/>
          <w14:ligatures w14:val="standardContextual"/>
        </w:rPr>
      </w:pPr>
      <w:hyperlink w:anchor="_Toc163379088" w:history="1">
        <w:r w:rsidRPr="00A22F97">
          <w:rPr>
            <w:rStyle w:val="Hyperlink"/>
            <w:rFonts w:ascii="Calibri" w:eastAsiaTheme="majorEastAsia" w:hAnsi="Calibri" w:cs="Calibri"/>
            <w:noProof/>
            <w:sz w:val="24"/>
            <w:szCs w:val="24"/>
          </w:rPr>
          <w:t>Table 1 – Detailed cost and benefit analysis ‘A’</w:t>
        </w:r>
        <w:r w:rsidRPr="00A22F97">
          <w:rPr>
            <w:rFonts w:ascii="Calibri" w:hAnsi="Calibri" w:cs="Calibri"/>
            <w:noProof/>
            <w:webHidden/>
            <w:sz w:val="24"/>
            <w:szCs w:val="24"/>
          </w:rPr>
          <w:tab/>
        </w:r>
        <w:r w:rsidRPr="00A22F97">
          <w:rPr>
            <w:rFonts w:ascii="Calibri" w:hAnsi="Calibri" w:cs="Calibri"/>
            <w:noProof/>
            <w:webHidden/>
            <w:sz w:val="24"/>
            <w:szCs w:val="24"/>
          </w:rPr>
          <w:fldChar w:fldCharType="begin"/>
        </w:r>
        <w:r w:rsidRPr="00A22F97">
          <w:rPr>
            <w:rFonts w:ascii="Calibri" w:hAnsi="Calibri" w:cs="Calibri"/>
            <w:noProof/>
            <w:webHidden/>
            <w:sz w:val="24"/>
            <w:szCs w:val="24"/>
          </w:rPr>
          <w:instrText xml:space="preserve"> PAGEREF _Toc163379088 \h </w:instrText>
        </w:r>
        <w:r w:rsidRPr="00A22F97">
          <w:rPr>
            <w:rFonts w:ascii="Calibri" w:hAnsi="Calibri" w:cs="Calibri"/>
            <w:noProof/>
            <w:webHidden/>
            <w:sz w:val="24"/>
            <w:szCs w:val="24"/>
          </w:rPr>
        </w:r>
        <w:r w:rsidRPr="00A22F97">
          <w:rPr>
            <w:rFonts w:ascii="Calibri" w:hAnsi="Calibri" w:cs="Calibri"/>
            <w:noProof/>
            <w:webHidden/>
            <w:sz w:val="24"/>
            <w:szCs w:val="24"/>
          </w:rPr>
          <w:fldChar w:fldCharType="separate"/>
        </w:r>
        <w:r w:rsidRPr="00A22F97">
          <w:rPr>
            <w:rFonts w:ascii="Calibri" w:hAnsi="Calibri" w:cs="Calibri"/>
            <w:noProof/>
            <w:webHidden/>
            <w:sz w:val="24"/>
            <w:szCs w:val="24"/>
          </w:rPr>
          <w:t>13</w:t>
        </w:r>
        <w:r w:rsidRPr="00A22F97">
          <w:rPr>
            <w:rFonts w:ascii="Calibri" w:hAnsi="Calibri" w:cs="Calibri"/>
            <w:noProof/>
            <w:webHidden/>
            <w:sz w:val="24"/>
            <w:szCs w:val="24"/>
          </w:rPr>
          <w:fldChar w:fldCharType="end"/>
        </w:r>
      </w:hyperlink>
    </w:p>
    <w:p w14:paraId="1889E714" w14:textId="34CA77FB" w:rsidR="00A22F97" w:rsidRPr="00A22F97" w:rsidRDefault="00A22F97" w:rsidP="00A22F97">
      <w:pPr>
        <w:pStyle w:val="TableofFigures"/>
        <w:tabs>
          <w:tab w:val="right" w:leader="dot" w:pos="9016"/>
        </w:tabs>
        <w:spacing w:line="360" w:lineRule="auto"/>
        <w:rPr>
          <w:rFonts w:ascii="Calibri" w:eastAsiaTheme="minorEastAsia" w:hAnsi="Calibri" w:cs="Calibri"/>
          <w:noProof/>
          <w:kern w:val="2"/>
          <w:sz w:val="32"/>
          <w:szCs w:val="32"/>
          <w14:ligatures w14:val="standardContextual"/>
        </w:rPr>
      </w:pPr>
      <w:hyperlink w:anchor="_Toc163379089" w:history="1">
        <w:r w:rsidRPr="00A22F97">
          <w:rPr>
            <w:rStyle w:val="Hyperlink"/>
            <w:rFonts w:ascii="Calibri" w:eastAsiaTheme="majorEastAsia" w:hAnsi="Calibri" w:cs="Calibri"/>
            <w:noProof/>
            <w:sz w:val="24"/>
            <w:szCs w:val="24"/>
          </w:rPr>
          <w:t>Table 2 - Summary of Cost and Benefit analysis ‘A’</w:t>
        </w:r>
        <w:r w:rsidRPr="00A22F97">
          <w:rPr>
            <w:rFonts w:ascii="Calibri" w:hAnsi="Calibri" w:cs="Calibri"/>
            <w:noProof/>
            <w:webHidden/>
            <w:sz w:val="24"/>
            <w:szCs w:val="24"/>
          </w:rPr>
          <w:tab/>
        </w:r>
        <w:r w:rsidRPr="00A22F97">
          <w:rPr>
            <w:rFonts w:ascii="Calibri" w:hAnsi="Calibri" w:cs="Calibri"/>
            <w:noProof/>
            <w:webHidden/>
            <w:sz w:val="24"/>
            <w:szCs w:val="24"/>
          </w:rPr>
          <w:fldChar w:fldCharType="begin"/>
        </w:r>
        <w:r w:rsidRPr="00A22F97">
          <w:rPr>
            <w:rFonts w:ascii="Calibri" w:hAnsi="Calibri" w:cs="Calibri"/>
            <w:noProof/>
            <w:webHidden/>
            <w:sz w:val="24"/>
            <w:szCs w:val="24"/>
          </w:rPr>
          <w:instrText xml:space="preserve"> PAGEREF _Toc163379089 \h </w:instrText>
        </w:r>
        <w:r w:rsidRPr="00A22F97">
          <w:rPr>
            <w:rFonts w:ascii="Calibri" w:hAnsi="Calibri" w:cs="Calibri"/>
            <w:noProof/>
            <w:webHidden/>
            <w:sz w:val="24"/>
            <w:szCs w:val="24"/>
          </w:rPr>
        </w:r>
        <w:r w:rsidRPr="00A22F97">
          <w:rPr>
            <w:rFonts w:ascii="Calibri" w:hAnsi="Calibri" w:cs="Calibri"/>
            <w:noProof/>
            <w:webHidden/>
            <w:sz w:val="24"/>
            <w:szCs w:val="24"/>
          </w:rPr>
          <w:fldChar w:fldCharType="separate"/>
        </w:r>
        <w:r w:rsidRPr="00A22F97">
          <w:rPr>
            <w:rFonts w:ascii="Calibri" w:hAnsi="Calibri" w:cs="Calibri"/>
            <w:noProof/>
            <w:webHidden/>
            <w:sz w:val="24"/>
            <w:szCs w:val="24"/>
          </w:rPr>
          <w:t>14</w:t>
        </w:r>
        <w:r w:rsidRPr="00A22F97">
          <w:rPr>
            <w:rFonts w:ascii="Calibri" w:hAnsi="Calibri" w:cs="Calibri"/>
            <w:noProof/>
            <w:webHidden/>
            <w:sz w:val="24"/>
            <w:szCs w:val="24"/>
          </w:rPr>
          <w:fldChar w:fldCharType="end"/>
        </w:r>
      </w:hyperlink>
    </w:p>
    <w:p w14:paraId="7D72BB09" w14:textId="55892DDF" w:rsidR="00A22F97" w:rsidRPr="00A22F97" w:rsidRDefault="00A22F97" w:rsidP="00A22F97">
      <w:pPr>
        <w:pStyle w:val="TableofFigures"/>
        <w:tabs>
          <w:tab w:val="right" w:leader="dot" w:pos="9016"/>
        </w:tabs>
        <w:spacing w:line="360" w:lineRule="auto"/>
        <w:rPr>
          <w:rFonts w:ascii="Calibri" w:eastAsiaTheme="minorEastAsia" w:hAnsi="Calibri" w:cs="Calibri"/>
          <w:noProof/>
          <w:kern w:val="2"/>
          <w:sz w:val="32"/>
          <w:szCs w:val="32"/>
          <w14:ligatures w14:val="standardContextual"/>
        </w:rPr>
      </w:pPr>
      <w:hyperlink w:anchor="_Toc163379090" w:history="1">
        <w:r w:rsidRPr="00A22F97">
          <w:rPr>
            <w:rStyle w:val="Hyperlink"/>
            <w:rFonts w:ascii="Calibri" w:eastAsiaTheme="majorEastAsia" w:hAnsi="Calibri" w:cs="Calibri"/>
            <w:noProof/>
            <w:sz w:val="24"/>
            <w:szCs w:val="24"/>
          </w:rPr>
          <w:t>Table 3 - Detailed cost and benefit analysis ‘B’</w:t>
        </w:r>
        <w:r w:rsidRPr="00A22F97">
          <w:rPr>
            <w:rFonts w:ascii="Calibri" w:hAnsi="Calibri" w:cs="Calibri"/>
            <w:noProof/>
            <w:webHidden/>
            <w:sz w:val="24"/>
            <w:szCs w:val="24"/>
          </w:rPr>
          <w:tab/>
        </w:r>
        <w:r w:rsidRPr="00A22F97">
          <w:rPr>
            <w:rFonts w:ascii="Calibri" w:hAnsi="Calibri" w:cs="Calibri"/>
            <w:noProof/>
            <w:webHidden/>
            <w:sz w:val="24"/>
            <w:szCs w:val="24"/>
          </w:rPr>
          <w:fldChar w:fldCharType="begin"/>
        </w:r>
        <w:r w:rsidRPr="00A22F97">
          <w:rPr>
            <w:rFonts w:ascii="Calibri" w:hAnsi="Calibri" w:cs="Calibri"/>
            <w:noProof/>
            <w:webHidden/>
            <w:sz w:val="24"/>
            <w:szCs w:val="24"/>
          </w:rPr>
          <w:instrText xml:space="preserve"> PAGEREF _Toc163379090 \h </w:instrText>
        </w:r>
        <w:r w:rsidRPr="00A22F97">
          <w:rPr>
            <w:rFonts w:ascii="Calibri" w:hAnsi="Calibri" w:cs="Calibri"/>
            <w:noProof/>
            <w:webHidden/>
            <w:sz w:val="24"/>
            <w:szCs w:val="24"/>
          </w:rPr>
        </w:r>
        <w:r w:rsidRPr="00A22F97">
          <w:rPr>
            <w:rFonts w:ascii="Calibri" w:hAnsi="Calibri" w:cs="Calibri"/>
            <w:noProof/>
            <w:webHidden/>
            <w:sz w:val="24"/>
            <w:szCs w:val="24"/>
          </w:rPr>
          <w:fldChar w:fldCharType="separate"/>
        </w:r>
        <w:r w:rsidRPr="00A22F97">
          <w:rPr>
            <w:rFonts w:ascii="Calibri" w:hAnsi="Calibri" w:cs="Calibri"/>
            <w:noProof/>
            <w:webHidden/>
            <w:sz w:val="24"/>
            <w:szCs w:val="24"/>
          </w:rPr>
          <w:t>15</w:t>
        </w:r>
        <w:r w:rsidRPr="00A22F97">
          <w:rPr>
            <w:rFonts w:ascii="Calibri" w:hAnsi="Calibri" w:cs="Calibri"/>
            <w:noProof/>
            <w:webHidden/>
            <w:sz w:val="24"/>
            <w:szCs w:val="24"/>
          </w:rPr>
          <w:fldChar w:fldCharType="end"/>
        </w:r>
      </w:hyperlink>
    </w:p>
    <w:p w14:paraId="357E4121" w14:textId="2B5FC77A" w:rsidR="00A22F97" w:rsidRPr="00A22F97" w:rsidRDefault="00A22F97" w:rsidP="00A22F97">
      <w:pPr>
        <w:pStyle w:val="TableofFigures"/>
        <w:tabs>
          <w:tab w:val="right" w:leader="dot" w:pos="9016"/>
        </w:tabs>
        <w:spacing w:line="360" w:lineRule="auto"/>
        <w:rPr>
          <w:rFonts w:ascii="Calibri" w:eastAsiaTheme="minorEastAsia" w:hAnsi="Calibri" w:cs="Calibri"/>
          <w:noProof/>
          <w:kern w:val="2"/>
          <w:sz w:val="32"/>
          <w:szCs w:val="32"/>
          <w14:ligatures w14:val="standardContextual"/>
        </w:rPr>
      </w:pPr>
      <w:hyperlink w:anchor="_Toc163379091" w:history="1">
        <w:r w:rsidRPr="00A22F97">
          <w:rPr>
            <w:rStyle w:val="Hyperlink"/>
            <w:rFonts w:ascii="Calibri" w:eastAsiaTheme="majorEastAsia" w:hAnsi="Calibri" w:cs="Calibri"/>
            <w:noProof/>
            <w:sz w:val="24"/>
            <w:szCs w:val="24"/>
          </w:rPr>
          <w:t>Table 4 - Summary of Cost and Benefit analysis ‘B’</w:t>
        </w:r>
        <w:r w:rsidRPr="00A22F97">
          <w:rPr>
            <w:rFonts w:ascii="Calibri" w:hAnsi="Calibri" w:cs="Calibri"/>
            <w:noProof/>
            <w:webHidden/>
            <w:sz w:val="24"/>
            <w:szCs w:val="24"/>
          </w:rPr>
          <w:tab/>
        </w:r>
        <w:r w:rsidRPr="00A22F97">
          <w:rPr>
            <w:rFonts w:ascii="Calibri" w:hAnsi="Calibri" w:cs="Calibri"/>
            <w:noProof/>
            <w:webHidden/>
            <w:sz w:val="24"/>
            <w:szCs w:val="24"/>
          </w:rPr>
          <w:fldChar w:fldCharType="begin"/>
        </w:r>
        <w:r w:rsidRPr="00A22F97">
          <w:rPr>
            <w:rFonts w:ascii="Calibri" w:hAnsi="Calibri" w:cs="Calibri"/>
            <w:noProof/>
            <w:webHidden/>
            <w:sz w:val="24"/>
            <w:szCs w:val="24"/>
          </w:rPr>
          <w:instrText xml:space="preserve"> PAGEREF _Toc163379091 \h </w:instrText>
        </w:r>
        <w:r w:rsidRPr="00A22F97">
          <w:rPr>
            <w:rFonts w:ascii="Calibri" w:hAnsi="Calibri" w:cs="Calibri"/>
            <w:noProof/>
            <w:webHidden/>
            <w:sz w:val="24"/>
            <w:szCs w:val="24"/>
          </w:rPr>
        </w:r>
        <w:r w:rsidRPr="00A22F97">
          <w:rPr>
            <w:rFonts w:ascii="Calibri" w:hAnsi="Calibri" w:cs="Calibri"/>
            <w:noProof/>
            <w:webHidden/>
            <w:sz w:val="24"/>
            <w:szCs w:val="24"/>
          </w:rPr>
          <w:fldChar w:fldCharType="separate"/>
        </w:r>
        <w:r w:rsidRPr="00A22F97">
          <w:rPr>
            <w:rFonts w:ascii="Calibri" w:hAnsi="Calibri" w:cs="Calibri"/>
            <w:noProof/>
            <w:webHidden/>
            <w:sz w:val="24"/>
            <w:szCs w:val="24"/>
          </w:rPr>
          <w:t>15</w:t>
        </w:r>
        <w:r w:rsidRPr="00A22F97">
          <w:rPr>
            <w:rFonts w:ascii="Calibri" w:hAnsi="Calibri" w:cs="Calibri"/>
            <w:noProof/>
            <w:webHidden/>
            <w:sz w:val="24"/>
            <w:szCs w:val="24"/>
          </w:rPr>
          <w:fldChar w:fldCharType="end"/>
        </w:r>
      </w:hyperlink>
    </w:p>
    <w:p w14:paraId="6C8E8A68" w14:textId="1371A028" w:rsidR="001A0946" w:rsidRDefault="00FE30E4" w:rsidP="005336B9">
      <w:pPr>
        <w:jc w:val="both"/>
        <w:rPr>
          <w:rFonts w:ascii="Arial" w:hAnsi="Arial" w:cs="Arial"/>
          <w:sz w:val="24"/>
        </w:rPr>
      </w:pPr>
      <w:r w:rsidRPr="00FE30E4">
        <w:rPr>
          <w:rFonts w:ascii="Calibri" w:hAnsi="Calibri" w:cs="Calibri"/>
          <w:sz w:val="24"/>
          <w:szCs w:val="24"/>
        </w:rPr>
        <w:fldChar w:fldCharType="end"/>
      </w:r>
    </w:p>
    <w:p w14:paraId="3960D425" w14:textId="7D847B74" w:rsidR="005336B9" w:rsidRDefault="005336B9" w:rsidP="00845559">
      <w:pPr>
        <w:spacing w:after="160" w:line="278" w:lineRule="auto"/>
        <w:rPr>
          <w:rFonts w:ascii="Arial" w:hAnsi="Arial" w:cs="Arial"/>
          <w:sz w:val="24"/>
        </w:rPr>
      </w:pPr>
      <w:r>
        <w:rPr>
          <w:rFonts w:ascii="Arial" w:hAnsi="Arial" w:cs="Arial"/>
          <w:sz w:val="24"/>
        </w:rPr>
        <w:br w:type="page"/>
      </w:r>
    </w:p>
    <w:p w14:paraId="4D132540" w14:textId="1CB3F1D7" w:rsidR="005336B9" w:rsidRDefault="005336B9" w:rsidP="00E414AF">
      <w:pPr>
        <w:pStyle w:val="Heading1"/>
      </w:pPr>
      <w:bookmarkStart w:id="1" w:name="_Toc163379050"/>
      <w:r w:rsidRPr="00E414AF">
        <w:rPr>
          <w:bCs/>
        </w:rPr>
        <w:lastRenderedPageBreak/>
        <w:t>Introduction</w:t>
      </w:r>
      <w:bookmarkEnd w:id="1"/>
    </w:p>
    <w:p w14:paraId="5FF152D7" w14:textId="77777777" w:rsidR="00890B3A" w:rsidRDefault="00890B3A" w:rsidP="00890B3A"/>
    <w:p w14:paraId="02732414" w14:textId="7241DBA7" w:rsidR="006C7A18" w:rsidRPr="006C7A18" w:rsidRDefault="006C7A18" w:rsidP="006C7A18">
      <w:pPr>
        <w:spacing w:line="360" w:lineRule="auto"/>
        <w:jc w:val="both"/>
        <w:rPr>
          <w:rFonts w:ascii="Calibri" w:hAnsi="Calibri" w:cs="Calibri"/>
          <w:sz w:val="24"/>
          <w:szCs w:val="24"/>
        </w:rPr>
      </w:pPr>
      <w:r w:rsidRPr="006C7A18">
        <w:rPr>
          <w:rFonts w:ascii="Calibri" w:hAnsi="Calibri" w:cs="Calibri"/>
          <w:sz w:val="24"/>
          <w:szCs w:val="24"/>
        </w:rPr>
        <w:t xml:space="preserve">Surface coating has become a key element of modern manufacturing processes, providing protection against various environmental factors, and increasing the service life of coated materials. Among the various surface coating techniques, plasma spraying is of great importance due to its versatility and efficiency. Bodycote, Newport, specializes in the supply of surface technology coating solutions, including techniques such as </w:t>
      </w:r>
      <w:r w:rsidR="00795FF0">
        <w:rPr>
          <w:rFonts w:ascii="Calibri" w:hAnsi="Calibri" w:cs="Calibri"/>
          <w:sz w:val="24"/>
          <w:szCs w:val="24"/>
        </w:rPr>
        <w:t>high velocity oxygen fuel</w:t>
      </w:r>
      <w:r w:rsidRPr="006C7A18">
        <w:rPr>
          <w:rFonts w:ascii="Calibri" w:hAnsi="Calibri" w:cs="Calibri"/>
          <w:sz w:val="24"/>
          <w:szCs w:val="24"/>
        </w:rPr>
        <w:t xml:space="preserve"> and plasma spraying.</w:t>
      </w:r>
    </w:p>
    <w:p w14:paraId="163BCDA3" w14:textId="77777777" w:rsidR="006C7A18" w:rsidRPr="006C7A18" w:rsidRDefault="006C7A18" w:rsidP="006C7A18">
      <w:pPr>
        <w:spacing w:line="360" w:lineRule="auto"/>
        <w:jc w:val="both"/>
        <w:rPr>
          <w:rFonts w:ascii="Calibri" w:hAnsi="Calibri" w:cs="Calibri"/>
          <w:sz w:val="24"/>
          <w:szCs w:val="24"/>
        </w:rPr>
      </w:pPr>
      <w:r w:rsidRPr="006C7A18">
        <w:rPr>
          <w:rFonts w:ascii="Calibri" w:hAnsi="Calibri" w:cs="Calibri"/>
          <w:sz w:val="24"/>
          <w:szCs w:val="24"/>
        </w:rPr>
        <w:t>In the plasma spraying process, a high-temperature plasma flame is used to coat materials.</w:t>
      </w:r>
    </w:p>
    <w:p w14:paraId="0F4CACCE" w14:textId="77777777" w:rsidR="006C7A18" w:rsidRPr="006C7A18" w:rsidRDefault="006C7A18" w:rsidP="006C7A18">
      <w:pPr>
        <w:spacing w:line="360" w:lineRule="auto"/>
        <w:jc w:val="both"/>
        <w:rPr>
          <w:rFonts w:ascii="Calibri" w:hAnsi="Calibri" w:cs="Calibri"/>
          <w:sz w:val="24"/>
          <w:szCs w:val="24"/>
        </w:rPr>
      </w:pPr>
      <w:r w:rsidRPr="006C7A18">
        <w:rPr>
          <w:rFonts w:ascii="Calibri" w:hAnsi="Calibri" w:cs="Calibri"/>
          <w:sz w:val="24"/>
          <w:szCs w:val="24"/>
        </w:rPr>
        <w:t>In order to ensure the efficiency and reliability of plasma spraying operations, proper maintenance practices are necessary, with particular regard to the extraction systems used during the procedure.</w:t>
      </w:r>
    </w:p>
    <w:p w14:paraId="0B8E0300" w14:textId="77777777" w:rsidR="006C7A18" w:rsidRPr="006C7A18" w:rsidRDefault="006C7A18" w:rsidP="006C7A18">
      <w:pPr>
        <w:spacing w:line="360" w:lineRule="auto"/>
        <w:jc w:val="both"/>
        <w:rPr>
          <w:rFonts w:ascii="Calibri" w:hAnsi="Calibri" w:cs="Calibri"/>
          <w:sz w:val="24"/>
          <w:szCs w:val="24"/>
        </w:rPr>
      </w:pPr>
    </w:p>
    <w:p w14:paraId="5880F46B" w14:textId="6215D843" w:rsidR="00890B3A" w:rsidRPr="006C7A18" w:rsidRDefault="006C7A18" w:rsidP="006C7A18">
      <w:pPr>
        <w:spacing w:line="360" w:lineRule="auto"/>
        <w:jc w:val="both"/>
        <w:rPr>
          <w:rFonts w:ascii="Calibri" w:hAnsi="Calibri" w:cs="Calibri"/>
          <w:sz w:val="24"/>
          <w:szCs w:val="24"/>
        </w:rPr>
      </w:pPr>
      <w:r w:rsidRPr="006C7A18">
        <w:rPr>
          <w:rFonts w:ascii="Calibri" w:hAnsi="Calibri" w:cs="Calibri"/>
          <w:sz w:val="24"/>
          <w:szCs w:val="24"/>
        </w:rPr>
        <w:t>The purpose of this report is to critically review the current maintenance practices at Bodycote, Newport, focusing on the extraction systems of the plasma spray booths, and subsequently make recommendations to improve operational efficiency and reduce potential risks.</w:t>
      </w:r>
    </w:p>
    <w:p w14:paraId="6176FF04" w14:textId="77777777" w:rsidR="005336B9" w:rsidRDefault="005336B9" w:rsidP="005336B9">
      <w:pPr>
        <w:jc w:val="both"/>
        <w:rPr>
          <w:rFonts w:ascii="Arial" w:hAnsi="Arial" w:cs="Arial"/>
          <w:b/>
          <w:sz w:val="24"/>
        </w:rPr>
      </w:pPr>
    </w:p>
    <w:p w14:paraId="6F00F559" w14:textId="74445BD9" w:rsidR="005336B9" w:rsidRPr="00031823" w:rsidRDefault="005336B9" w:rsidP="00845559">
      <w:pPr>
        <w:spacing w:after="160" w:line="278" w:lineRule="auto"/>
        <w:rPr>
          <w:rFonts w:ascii="Arial" w:hAnsi="Arial" w:cs="Arial"/>
          <w:b/>
          <w:sz w:val="24"/>
        </w:rPr>
      </w:pPr>
      <w:r>
        <w:rPr>
          <w:rFonts w:ascii="Arial" w:hAnsi="Arial" w:cs="Arial"/>
          <w:b/>
          <w:sz w:val="24"/>
        </w:rPr>
        <w:br w:type="page"/>
      </w:r>
    </w:p>
    <w:p w14:paraId="03547D51" w14:textId="02EEC69F" w:rsidR="005336B9" w:rsidRPr="005D3654" w:rsidRDefault="00890B3A" w:rsidP="005D3654">
      <w:pPr>
        <w:pStyle w:val="Heading1"/>
      </w:pPr>
      <w:bookmarkStart w:id="2" w:name="_Toc163379051"/>
      <w:r>
        <w:lastRenderedPageBreak/>
        <w:t>R</w:t>
      </w:r>
      <w:r w:rsidR="005336B9">
        <w:t>eview of current maintenance practices</w:t>
      </w:r>
      <w:bookmarkEnd w:id="2"/>
    </w:p>
    <w:p w14:paraId="712C1FB0" w14:textId="77777777" w:rsidR="00A51543" w:rsidRPr="00A51543" w:rsidRDefault="00A51543" w:rsidP="005336B9">
      <w:pPr>
        <w:jc w:val="both"/>
        <w:rPr>
          <w:rFonts w:ascii="Calibri" w:hAnsi="Calibri" w:cs="Calibri"/>
          <w:bCs/>
          <w:sz w:val="24"/>
          <w:szCs w:val="24"/>
        </w:rPr>
      </w:pPr>
    </w:p>
    <w:p w14:paraId="68C4B13E" w14:textId="77777777" w:rsidR="00A51543" w:rsidRPr="00A51543" w:rsidRDefault="00A51543" w:rsidP="0034146A">
      <w:pPr>
        <w:spacing w:line="360" w:lineRule="auto"/>
        <w:jc w:val="both"/>
        <w:rPr>
          <w:rFonts w:ascii="Calibri" w:hAnsi="Calibri" w:cs="Calibri"/>
          <w:bCs/>
          <w:sz w:val="24"/>
          <w:szCs w:val="24"/>
        </w:rPr>
      </w:pPr>
      <w:r w:rsidRPr="00A51543">
        <w:rPr>
          <w:rFonts w:ascii="Calibri" w:hAnsi="Calibri" w:cs="Calibri"/>
          <w:bCs/>
          <w:sz w:val="24"/>
          <w:szCs w:val="24"/>
        </w:rPr>
        <w:t>Surface coating has become increasingly prevalent as it offers protection against various environmental factors, enhancing the durability of coated materials.</w:t>
      </w:r>
    </w:p>
    <w:p w14:paraId="5CD082E5" w14:textId="77777777" w:rsidR="00A51543" w:rsidRPr="00A51543" w:rsidRDefault="00A51543" w:rsidP="0034146A">
      <w:pPr>
        <w:spacing w:line="360" w:lineRule="auto"/>
        <w:jc w:val="both"/>
        <w:rPr>
          <w:rFonts w:ascii="Calibri" w:hAnsi="Calibri" w:cs="Calibri"/>
          <w:bCs/>
          <w:sz w:val="24"/>
          <w:szCs w:val="24"/>
        </w:rPr>
      </w:pPr>
    </w:p>
    <w:p w14:paraId="463A7032" w14:textId="77777777" w:rsidR="00A51543" w:rsidRPr="00A51543" w:rsidRDefault="00A51543" w:rsidP="0034146A">
      <w:pPr>
        <w:spacing w:line="360" w:lineRule="auto"/>
        <w:jc w:val="both"/>
        <w:rPr>
          <w:rFonts w:ascii="Calibri" w:hAnsi="Calibri" w:cs="Calibri"/>
          <w:bCs/>
          <w:sz w:val="24"/>
          <w:szCs w:val="24"/>
        </w:rPr>
      </w:pPr>
      <w:r w:rsidRPr="00A51543">
        <w:rPr>
          <w:rFonts w:ascii="Calibri" w:hAnsi="Calibri" w:cs="Calibri"/>
          <w:bCs/>
          <w:sz w:val="24"/>
          <w:szCs w:val="24"/>
        </w:rPr>
        <w:t>Bodycote, Newport specializes in delivering surface technology coating solutions, including HVOF and plasma spraying.</w:t>
      </w:r>
    </w:p>
    <w:p w14:paraId="4AEF024F" w14:textId="77777777" w:rsidR="00A51543" w:rsidRPr="00A51543" w:rsidRDefault="00A51543" w:rsidP="0034146A">
      <w:pPr>
        <w:spacing w:line="360" w:lineRule="auto"/>
        <w:jc w:val="both"/>
        <w:rPr>
          <w:rFonts w:ascii="Calibri" w:hAnsi="Calibri" w:cs="Calibri"/>
          <w:bCs/>
          <w:sz w:val="24"/>
          <w:szCs w:val="24"/>
        </w:rPr>
      </w:pPr>
    </w:p>
    <w:p w14:paraId="4E3869DD" w14:textId="00EA73C9" w:rsidR="00A51543" w:rsidRPr="00A51543" w:rsidRDefault="00934B1F" w:rsidP="0034146A">
      <w:pPr>
        <w:spacing w:line="360" w:lineRule="auto"/>
        <w:jc w:val="both"/>
        <w:rPr>
          <w:rFonts w:ascii="Calibri" w:hAnsi="Calibri" w:cs="Calibri"/>
          <w:bCs/>
          <w:sz w:val="24"/>
          <w:szCs w:val="24"/>
        </w:rPr>
      </w:pPr>
      <w:r>
        <w:rPr>
          <w:rFonts w:ascii="Calibri" w:hAnsi="Calibri" w:cs="Calibri"/>
          <w:bCs/>
          <w:sz w:val="24"/>
          <w:szCs w:val="24"/>
        </w:rPr>
        <w:t xml:space="preserve">According to Antonini </w:t>
      </w:r>
      <w:r w:rsidRPr="00934B1F">
        <w:rPr>
          <w:rFonts w:ascii="Calibri" w:hAnsi="Calibri" w:cs="Calibri"/>
          <w:bCs/>
          <w:i/>
          <w:iCs/>
          <w:sz w:val="24"/>
          <w:szCs w:val="24"/>
        </w:rPr>
        <w:t>et al</w:t>
      </w:r>
      <w:r>
        <w:rPr>
          <w:rFonts w:ascii="Calibri" w:hAnsi="Calibri" w:cs="Calibri"/>
          <w:bCs/>
          <w:sz w:val="24"/>
          <w:szCs w:val="24"/>
        </w:rPr>
        <w:t xml:space="preserve"> (2020) </w:t>
      </w:r>
      <w:r w:rsidRPr="00A51543">
        <w:rPr>
          <w:rFonts w:ascii="Calibri" w:hAnsi="Calibri" w:cs="Calibri"/>
          <w:bCs/>
          <w:sz w:val="24"/>
          <w:szCs w:val="24"/>
        </w:rPr>
        <w:t xml:space="preserve">the plasma spraying process, powder is introduced externally into a high-temperature plasma flame, which can reach temperatures of up to 16000 </w:t>
      </w:r>
      <w:r>
        <w:rPr>
          <w:rFonts w:ascii="Calibri" w:hAnsi="Calibri" w:cs="Calibri"/>
          <w:bCs/>
          <w:sz w:val="24"/>
          <w:szCs w:val="24"/>
        </w:rPr>
        <w:t xml:space="preserve">Celsius. </w:t>
      </w:r>
      <w:r w:rsidR="00A51543" w:rsidRPr="00A51543">
        <w:rPr>
          <w:rFonts w:ascii="Calibri" w:hAnsi="Calibri" w:cs="Calibri"/>
          <w:bCs/>
          <w:sz w:val="24"/>
          <w:szCs w:val="24"/>
        </w:rPr>
        <w:t>Within this intense flame, powder particles undergo partial melting, forming a coating on the target surface. Prior to commencing the spraying cycle, substrate preheating is necessary, followed by the application of multiple coating layers to achieve the desired thickness. Cooling intervals between spraying cycles are essential to prevent material overheating, ensuring it remains above a certain temperature threshold.</w:t>
      </w:r>
    </w:p>
    <w:p w14:paraId="654222F7" w14:textId="77777777" w:rsidR="00A51543" w:rsidRPr="00A51543" w:rsidRDefault="00A51543" w:rsidP="0034146A">
      <w:pPr>
        <w:spacing w:line="360" w:lineRule="auto"/>
        <w:jc w:val="both"/>
        <w:rPr>
          <w:rFonts w:ascii="Calibri" w:hAnsi="Calibri" w:cs="Calibri"/>
          <w:bCs/>
          <w:sz w:val="24"/>
          <w:szCs w:val="24"/>
        </w:rPr>
      </w:pPr>
    </w:p>
    <w:p w14:paraId="35445C36" w14:textId="77777777" w:rsidR="00A51543" w:rsidRPr="00A51543" w:rsidRDefault="00A51543" w:rsidP="0034146A">
      <w:pPr>
        <w:spacing w:line="360" w:lineRule="auto"/>
        <w:jc w:val="both"/>
        <w:rPr>
          <w:rFonts w:ascii="Calibri" w:hAnsi="Calibri" w:cs="Calibri"/>
          <w:bCs/>
          <w:sz w:val="24"/>
          <w:szCs w:val="24"/>
        </w:rPr>
      </w:pPr>
      <w:r w:rsidRPr="00A51543">
        <w:rPr>
          <w:rFonts w:ascii="Calibri" w:hAnsi="Calibri" w:cs="Calibri"/>
          <w:bCs/>
          <w:sz w:val="24"/>
          <w:szCs w:val="24"/>
        </w:rPr>
        <w:t>The type and thickness of the coating are tailored to meet the specific requirements of customers.</w:t>
      </w:r>
    </w:p>
    <w:p w14:paraId="1A924E79" w14:textId="77777777" w:rsidR="00A51543" w:rsidRPr="00A51543" w:rsidRDefault="00A51543" w:rsidP="0034146A">
      <w:pPr>
        <w:spacing w:line="360" w:lineRule="auto"/>
        <w:jc w:val="both"/>
        <w:rPr>
          <w:rFonts w:ascii="Calibri" w:hAnsi="Calibri" w:cs="Calibri"/>
          <w:bCs/>
          <w:sz w:val="24"/>
          <w:szCs w:val="24"/>
        </w:rPr>
      </w:pPr>
    </w:p>
    <w:p w14:paraId="79D93D0A" w14:textId="37796E26" w:rsidR="00A51543" w:rsidRPr="00A51543" w:rsidRDefault="00A51543" w:rsidP="0034146A">
      <w:pPr>
        <w:spacing w:line="360" w:lineRule="auto"/>
        <w:jc w:val="both"/>
        <w:rPr>
          <w:rFonts w:ascii="Calibri" w:hAnsi="Calibri" w:cs="Calibri"/>
          <w:bCs/>
          <w:sz w:val="24"/>
          <w:szCs w:val="24"/>
        </w:rPr>
      </w:pPr>
      <w:r w:rsidRPr="00A51543">
        <w:rPr>
          <w:rFonts w:ascii="Calibri" w:hAnsi="Calibri" w:cs="Calibri"/>
          <w:bCs/>
          <w:sz w:val="24"/>
          <w:szCs w:val="24"/>
        </w:rPr>
        <w:t xml:space="preserve">In the context of spraying booths, the implementation of an appropriate extraction system is paramount. As highlighted by Antonini </w:t>
      </w:r>
      <w:r w:rsidRPr="00C76AF6">
        <w:rPr>
          <w:rFonts w:ascii="Calibri" w:hAnsi="Calibri" w:cs="Calibri"/>
          <w:bCs/>
          <w:i/>
          <w:iCs/>
          <w:sz w:val="24"/>
          <w:szCs w:val="24"/>
        </w:rPr>
        <w:t>et al</w:t>
      </w:r>
      <w:r w:rsidRPr="00A51543">
        <w:rPr>
          <w:rFonts w:ascii="Calibri" w:hAnsi="Calibri" w:cs="Calibri"/>
          <w:bCs/>
          <w:sz w:val="24"/>
          <w:szCs w:val="24"/>
        </w:rPr>
        <w:t xml:space="preserve"> (2020), gases such as argon, nitrogen, hydrogen, and helium are utilized in plasma spraying. Aerosols comprising fine and ultrafine particles generated during the thermal spray process pose potential risks</w:t>
      </w:r>
      <w:r w:rsidR="000E42AA">
        <w:rPr>
          <w:rFonts w:ascii="Calibri" w:hAnsi="Calibri" w:cs="Calibri"/>
          <w:bCs/>
          <w:sz w:val="24"/>
          <w:szCs w:val="24"/>
        </w:rPr>
        <w:t xml:space="preserve"> to the operator</w:t>
      </w:r>
      <w:r w:rsidRPr="00A51543">
        <w:rPr>
          <w:rFonts w:ascii="Calibri" w:hAnsi="Calibri" w:cs="Calibri"/>
          <w:bCs/>
          <w:sz w:val="24"/>
          <w:szCs w:val="24"/>
        </w:rPr>
        <w:t>. These thermal coating particles may contain toxic metals like cobalt, nickel, chromium, etc. Comprehensive information regarding the physical and chemical properties of aerosols produced during spraying processes is lacking. Moreover, the adverse health effects of these aerosols remain inadequately understood.</w:t>
      </w:r>
    </w:p>
    <w:p w14:paraId="1E07949B" w14:textId="77777777" w:rsidR="00A51543" w:rsidRPr="00A51543" w:rsidRDefault="00A51543" w:rsidP="0034146A">
      <w:pPr>
        <w:spacing w:line="360" w:lineRule="auto"/>
        <w:jc w:val="both"/>
        <w:rPr>
          <w:rFonts w:ascii="Calibri" w:hAnsi="Calibri" w:cs="Calibri"/>
          <w:bCs/>
          <w:sz w:val="24"/>
          <w:szCs w:val="24"/>
        </w:rPr>
      </w:pPr>
    </w:p>
    <w:p w14:paraId="23DCCE69" w14:textId="77777777" w:rsidR="00A51543" w:rsidRPr="00A51543" w:rsidRDefault="00A51543" w:rsidP="0034146A">
      <w:pPr>
        <w:spacing w:line="360" w:lineRule="auto"/>
        <w:jc w:val="both"/>
        <w:rPr>
          <w:rFonts w:ascii="Calibri" w:hAnsi="Calibri" w:cs="Calibri"/>
          <w:bCs/>
          <w:sz w:val="24"/>
          <w:szCs w:val="24"/>
        </w:rPr>
      </w:pPr>
      <w:r w:rsidRPr="00A51543">
        <w:rPr>
          <w:rFonts w:ascii="Calibri" w:hAnsi="Calibri" w:cs="Calibri"/>
          <w:bCs/>
          <w:sz w:val="24"/>
          <w:szCs w:val="24"/>
        </w:rPr>
        <w:t xml:space="preserve">Furthermore, contamination stemming from ultrafine particles produced during the spraying process can compromise coating quality, potentially leading to coating failure. Additionally, such contamination can inflict damage upon spraying equipment. Accumulated debris may </w:t>
      </w:r>
      <w:r w:rsidRPr="00A51543">
        <w:rPr>
          <w:rFonts w:ascii="Calibri" w:hAnsi="Calibri" w:cs="Calibri"/>
          <w:bCs/>
          <w:sz w:val="24"/>
          <w:szCs w:val="24"/>
        </w:rPr>
        <w:lastRenderedPageBreak/>
        <w:t>disrupt the functioning of the spray gun, causing excessive wear and impeding the repeatability of the spraying process.</w:t>
      </w:r>
    </w:p>
    <w:p w14:paraId="68E74C49" w14:textId="77777777" w:rsidR="00A51543" w:rsidRPr="00A51543" w:rsidRDefault="00A51543" w:rsidP="0034146A">
      <w:pPr>
        <w:spacing w:line="360" w:lineRule="auto"/>
        <w:jc w:val="both"/>
        <w:rPr>
          <w:rFonts w:ascii="Calibri" w:hAnsi="Calibri" w:cs="Calibri"/>
          <w:bCs/>
          <w:sz w:val="24"/>
          <w:szCs w:val="24"/>
        </w:rPr>
      </w:pPr>
    </w:p>
    <w:p w14:paraId="5B78C3D4" w14:textId="0C668AED" w:rsidR="00A51543" w:rsidRDefault="00A51543" w:rsidP="0034146A">
      <w:pPr>
        <w:spacing w:line="360" w:lineRule="auto"/>
        <w:jc w:val="both"/>
        <w:rPr>
          <w:rFonts w:ascii="Calibri" w:hAnsi="Calibri" w:cs="Calibri"/>
          <w:bCs/>
          <w:sz w:val="24"/>
          <w:szCs w:val="24"/>
        </w:rPr>
      </w:pPr>
      <w:r w:rsidRPr="00A51543">
        <w:rPr>
          <w:rFonts w:ascii="Calibri" w:hAnsi="Calibri" w:cs="Calibri"/>
          <w:bCs/>
          <w:sz w:val="24"/>
          <w:szCs w:val="24"/>
        </w:rPr>
        <w:t>In conclusion, the proper operation of an extraction system is of utmost importance in mitigating these risks and ensuring the effectiveness of plasma spraying operations.</w:t>
      </w:r>
    </w:p>
    <w:p w14:paraId="7995107F" w14:textId="77777777" w:rsidR="00A51543" w:rsidRDefault="00A51543" w:rsidP="0034146A">
      <w:pPr>
        <w:spacing w:line="360" w:lineRule="auto"/>
        <w:jc w:val="both"/>
        <w:rPr>
          <w:rFonts w:ascii="Calibri" w:hAnsi="Calibri" w:cs="Calibri"/>
          <w:bCs/>
          <w:sz w:val="24"/>
          <w:szCs w:val="24"/>
        </w:rPr>
      </w:pPr>
    </w:p>
    <w:p w14:paraId="330DED26" w14:textId="57C4D357" w:rsidR="001B1E64" w:rsidRPr="001B1E64" w:rsidRDefault="00F81167" w:rsidP="0034146A">
      <w:pPr>
        <w:spacing w:line="360" w:lineRule="auto"/>
        <w:jc w:val="both"/>
        <w:rPr>
          <w:rFonts w:ascii="Calibri" w:hAnsi="Calibri" w:cs="Calibri"/>
          <w:bCs/>
          <w:sz w:val="24"/>
          <w:szCs w:val="24"/>
        </w:rPr>
      </w:pPr>
      <w:r w:rsidRPr="00F81167">
        <w:rPr>
          <w:rFonts w:ascii="Calibri" w:hAnsi="Calibri" w:cs="Calibri"/>
          <w:bCs/>
          <w:sz w:val="24"/>
          <w:szCs w:val="24"/>
        </w:rPr>
        <w:t xml:space="preserve">At the Bodycote site in Newport, there are currently two combustion wire flame booths, one </w:t>
      </w:r>
      <w:r w:rsidR="00BD1AB3">
        <w:rPr>
          <w:rFonts w:ascii="Calibri" w:hAnsi="Calibri" w:cs="Calibri"/>
          <w:bCs/>
          <w:sz w:val="24"/>
          <w:szCs w:val="24"/>
        </w:rPr>
        <w:t>high velocity oxygen fuel</w:t>
      </w:r>
      <w:r w:rsidRPr="00F81167">
        <w:rPr>
          <w:rFonts w:ascii="Calibri" w:hAnsi="Calibri" w:cs="Calibri"/>
          <w:bCs/>
          <w:sz w:val="24"/>
          <w:szCs w:val="24"/>
        </w:rPr>
        <w:t>, and four plasma spray booths in operation.</w:t>
      </w:r>
    </w:p>
    <w:p w14:paraId="384F94E9" w14:textId="77777777" w:rsidR="001B1E64" w:rsidRPr="001B1E64" w:rsidRDefault="001B1E64" w:rsidP="0034146A">
      <w:pPr>
        <w:spacing w:line="360" w:lineRule="auto"/>
        <w:jc w:val="both"/>
        <w:rPr>
          <w:rFonts w:ascii="Calibri" w:hAnsi="Calibri" w:cs="Calibri"/>
          <w:bCs/>
          <w:sz w:val="24"/>
          <w:szCs w:val="24"/>
        </w:rPr>
      </w:pPr>
      <w:r w:rsidRPr="001B1E64">
        <w:rPr>
          <w:rFonts w:ascii="Calibri" w:hAnsi="Calibri" w:cs="Calibri"/>
          <w:bCs/>
          <w:sz w:val="24"/>
          <w:szCs w:val="24"/>
        </w:rPr>
        <w:t>Currently, two plasma booths share a single extraction system, a less than ideal setup. The existing maintenance approach falls under the category of preventive strategy, as both the extractor system and ventilators undergo regular maintenance according to manufacturer's recommendations and at predetermined intervals.</w:t>
      </w:r>
    </w:p>
    <w:p w14:paraId="63C1903D" w14:textId="77777777" w:rsidR="001B1E64" w:rsidRPr="001B1E64" w:rsidRDefault="001B1E64" w:rsidP="0034146A">
      <w:pPr>
        <w:spacing w:line="360" w:lineRule="auto"/>
        <w:jc w:val="both"/>
        <w:rPr>
          <w:rFonts w:ascii="Calibri" w:hAnsi="Calibri" w:cs="Calibri"/>
          <w:bCs/>
          <w:sz w:val="24"/>
          <w:szCs w:val="24"/>
        </w:rPr>
      </w:pPr>
    </w:p>
    <w:p w14:paraId="13C77112" w14:textId="0D843522" w:rsidR="001B1E64" w:rsidRPr="001B1E64" w:rsidRDefault="001B1E64" w:rsidP="0034146A">
      <w:pPr>
        <w:spacing w:line="360" w:lineRule="auto"/>
        <w:jc w:val="both"/>
        <w:rPr>
          <w:rFonts w:ascii="Calibri" w:hAnsi="Calibri" w:cs="Calibri"/>
          <w:bCs/>
          <w:sz w:val="24"/>
          <w:szCs w:val="24"/>
        </w:rPr>
      </w:pPr>
      <w:r w:rsidRPr="001B1E64">
        <w:rPr>
          <w:rFonts w:ascii="Calibri" w:hAnsi="Calibri" w:cs="Calibri"/>
          <w:bCs/>
          <w:sz w:val="24"/>
          <w:szCs w:val="24"/>
        </w:rPr>
        <w:t xml:space="preserve">As cited by </w:t>
      </w:r>
      <w:proofErr w:type="spellStart"/>
      <w:r w:rsidR="00EE43B5" w:rsidRPr="00EE43B5">
        <w:rPr>
          <w:rFonts w:ascii="Calibri" w:hAnsi="Calibri" w:cs="Calibri"/>
          <w:bCs/>
          <w:sz w:val="24"/>
          <w:szCs w:val="24"/>
        </w:rPr>
        <w:t>Hamasha</w:t>
      </w:r>
      <w:proofErr w:type="spellEnd"/>
      <w:r w:rsidR="00EE43B5" w:rsidRPr="00EE43B5">
        <w:rPr>
          <w:rFonts w:ascii="Calibri" w:hAnsi="Calibri" w:cs="Calibri"/>
          <w:bCs/>
          <w:sz w:val="24"/>
          <w:szCs w:val="24"/>
        </w:rPr>
        <w:t xml:space="preserve"> </w:t>
      </w:r>
      <w:r w:rsidR="00EE43B5" w:rsidRPr="00DD6DFD">
        <w:rPr>
          <w:rFonts w:ascii="Calibri" w:hAnsi="Calibri" w:cs="Calibri"/>
          <w:bCs/>
          <w:i/>
          <w:iCs/>
          <w:sz w:val="24"/>
          <w:szCs w:val="24"/>
        </w:rPr>
        <w:t>et al</w:t>
      </w:r>
      <w:r w:rsidR="00EE43B5" w:rsidRPr="00EE43B5">
        <w:rPr>
          <w:rFonts w:ascii="Calibri" w:hAnsi="Calibri" w:cs="Calibri"/>
          <w:bCs/>
          <w:sz w:val="24"/>
          <w:szCs w:val="24"/>
        </w:rPr>
        <w:t xml:space="preserve"> (2023)</w:t>
      </w:r>
      <w:r w:rsidRPr="00EE43B5">
        <w:rPr>
          <w:rFonts w:ascii="Calibri" w:hAnsi="Calibri" w:cs="Calibri"/>
          <w:bCs/>
          <w:sz w:val="24"/>
          <w:szCs w:val="24"/>
        </w:rPr>
        <w:t xml:space="preserve"> </w:t>
      </w:r>
      <w:r w:rsidRPr="001B1E64">
        <w:rPr>
          <w:rFonts w:ascii="Calibri" w:hAnsi="Calibri" w:cs="Calibri"/>
          <w:bCs/>
          <w:sz w:val="24"/>
          <w:szCs w:val="24"/>
        </w:rPr>
        <w:t>in their study, preventive maintenance entails the scheduled maintenance and replacement of parts at specified intervals</w:t>
      </w:r>
      <w:r w:rsidR="00EC67C4">
        <w:rPr>
          <w:rFonts w:ascii="Calibri" w:hAnsi="Calibri" w:cs="Calibri"/>
          <w:bCs/>
          <w:sz w:val="24"/>
          <w:szCs w:val="24"/>
        </w:rPr>
        <w:t xml:space="preserve">. </w:t>
      </w:r>
      <w:r w:rsidRPr="001B1E64">
        <w:rPr>
          <w:rFonts w:ascii="Calibri" w:hAnsi="Calibri" w:cs="Calibri"/>
          <w:bCs/>
          <w:sz w:val="24"/>
          <w:szCs w:val="24"/>
        </w:rPr>
        <w:t>Employing this strategy mitigates the risk of machine downtime due to unexpected failures.</w:t>
      </w:r>
    </w:p>
    <w:p w14:paraId="65496B25" w14:textId="77777777" w:rsidR="001B1E64" w:rsidRPr="001B1E64" w:rsidRDefault="001B1E64" w:rsidP="0034146A">
      <w:pPr>
        <w:spacing w:line="360" w:lineRule="auto"/>
        <w:jc w:val="both"/>
        <w:rPr>
          <w:rFonts w:ascii="Calibri" w:hAnsi="Calibri" w:cs="Calibri"/>
          <w:bCs/>
          <w:sz w:val="24"/>
          <w:szCs w:val="24"/>
        </w:rPr>
      </w:pPr>
    </w:p>
    <w:p w14:paraId="27FA680C" w14:textId="268D779D" w:rsidR="00A51543" w:rsidRPr="00A51543" w:rsidRDefault="001B1E64" w:rsidP="0034146A">
      <w:pPr>
        <w:spacing w:line="360" w:lineRule="auto"/>
        <w:jc w:val="both"/>
        <w:rPr>
          <w:rFonts w:ascii="Calibri" w:hAnsi="Calibri" w:cs="Calibri"/>
          <w:bCs/>
          <w:sz w:val="24"/>
          <w:szCs w:val="24"/>
        </w:rPr>
      </w:pPr>
      <w:r w:rsidRPr="001B1E64">
        <w:rPr>
          <w:rFonts w:ascii="Calibri" w:hAnsi="Calibri" w:cs="Calibri"/>
          <w:bCs/>
          <w:sz w:val="24"/>
          <w:szCs w:val="24"/>
        </w:rPr>
        <w:t xml:space="preserve">Preventive maintenance offers several advantages, including decreased </w:t>
      </w:r>
      <w:r w:rsidR="00407957">
        <w:rPr>
          <w:rFonts w:ascii="Calibri" w:hAnsi="Calibri" w:cs="Calibri"/>
          <w:bCs/>
          <w:sz w:val="24"/>
          <w:szCs w:val="24"/>
        </w:rPr>
        <w:t>maintenance</w:t>
      </w:r>
      <w:r w:rsidRPr="001B1E64">
        <w:rPr>
          <w:rFonts w:ascii="Calibri" w:hAnsi="Calibri" w:cs="Calibri"/>
          <w:bCs/>
          <w:sz w:val="24"/>
          <w:szCs w:val="24"/>
        </w:rPr>
        <w:t xml:space="preserve"> costs by averting malfunctions and associated expenses through periodic system maintenance. Additionally, this approach extends the operational lifespan of the machinery. Moreover, pre-planned maintenance tasks contribute to minimizing downtime, ensuring smoother operation.</w:t>
      </w:r>
    </w:p>
    <w:p w14:paraId="0D52032C" w14:textId="77777777" w:rsidR="004A3422" w:rsidRDefault="004A3422" w:rsidP="0034146A">
      <w:pPr>
        <w:spacing w:line="360" w:lineRule="auto"/>
        <w:jc w:val="both"/>
        <w:rPr>
          <w:rFonts w:ascii="Arial" w:hAnsi="Arial" w:cs="Arial"/>
          <w:b/>
          <w:sz w:val="24"/>
          <w:szCs w:val="24"/>
        </w:rPr>
      </w:pPr>
    </w:p>
    <w:p w14:paraId="53472AB7" w14:textId="673B0CEA" w:rsidR="001B6B84" w:rsidRPr="000D26A0" w:rsidRDefault="004A3422" w:rsidP="0034146A">
      <w:pPr>
        <w:spacing w:line="360" w:lineRule="auto"/>
        <w:jc w:val="both"/>
        <w:rPr>
          <w:rFonts w:ascii="Calibri" w:hAnsi="Calibri" w:cs="Calibri"/>
          <w:bCs/>
          <w:sz w:val="24"/>
          <w:szCs w:val="24"/>
        </w:rPr>
      </w:pPr>
      <w:r w:rsidRPr="004A3422">
        <w:rPr>
          <w:rFonts w:ascii="Calibri" w:hAnsi="Calibri" w:cs="Calibri"/>
          <w:bCs/>
          <w:sz w:val="24"/>
          <w:szCs w:val="24"/>
        </w:rPr>
        <w:t>One of the disadvantages of preventive maintenance may be that parts are replaced more often than necessary, which increases costs and downtime</w:t>
      </w:r>
      <w:r w:rsidR="000D26A0">
        <w:rPr>
          <w:rFonts w:ascii="Calibri" w:hAnsi="Calibri" w:cs="Calibri"/>
          <w:bCs/>
          <w:sz w:val="24"/>
          <w:szCs w:val="24"/>
        </w:rPr>
        <w:t xml:space="preserve">. </w:t>
      </w:r>
      <w:r w:rsidRPr="004A3422">
        <w:rPr>
          <w:rFonts w:ascii="Calibri" w:hAnsi="Calibri" w:cs="Calibri"/>
          <w:bCs/>
          <w:sz w:val="24"/>
          <w:szCs w:val="24"/>
        </w:rPr>
        <w:t>Despite regular maintenance, a sudden failure may occur, for which the company is not necessarily prepared.</w:t>
      </w:r>
      <w:r w:rsidRPr="004A3422">
        <w:rPr>
          <w:rFonts w:ascii="Arial" w:hAnsi="Arial" w:cs="Arial"/>
          <w:b/>
          <w:sz w:val="24"/>
          <w:szCs w:val="24"/>
        </w:rPr>
        <w:t xml:space="preserve"> </w:t>
      </w:r>
    </w:p>
    <w:p w14:paraId="372B7603" w14:textId="77777777" w:rsidR="001B6B84" w:rsidRDefault="001B6B84" w:rsidP="0034146A">
      <w:pPr>
        <w:spacing w:line="360" w:lineRule="auto"/>
        <w:jc w:val="both"/>
        <w:rPr>
          <w:rFonts w:ascii="Arial" w:hAnsi="Arial" w:cs="Arial"/>
          <w:b/>
          <w:sz w:val="24"/>
          <w:szCs w:val="24"/>
        </w:rPr>
      </w:pPr>
    </w:p>
    <w:p w14:paraId="6E073042" w14:textId="77777777" w:rsidR="001B6B84" w:rsidRDefault="001B6B84" w:rsidP="0034146A">
      <w:pPr>
        <w:spacing w:line="360" w:lineRule="auto"/>
        <w:jc w:val="both"/>
        <w:rPr>
          <w:rFonts w:ascii="Calibri" w:hAnsi="Calibri" w:cs="Calibri"/>
          <w:color w:val="0D0D0D"/>
          <w:sz w:val="24"/>
          <w:szCs w:val="24"/>
          <w:shd w:val="clear" w:color="auto" w:fill="FFFFFF"/>
        </w:rPr>
      </w:pPr>
      <w:r w:rsidRPr="001B6B84">
        <w:rPr>
          <w:rFonts w:ascii="Calibri" w:hAnsi="Calibri" w:cs="Calibri"/>
          <w:color w:val="0D0D0D"/>
          <w:sz w:val="24"/>
          <w:szCs w:val="24"/>
          <w:shd w:val="clear" w:color="auto" w:fill="FFFFFF"/>
        </w:rPr>
        <w:t xml:space="preserve">The maintenance department currently utilizes Computerized Maintenance Management Systems (CMMS). According to Meira </w:t>
      </w:r>
      <w:r w:rsidRPr="00DD6DFD">
        <w:rPr>
          <w:rFonts w:ascii="Calibri" w:hAnsi="Calibri" w:cs="Calibri"/>
          <w:i/>
          <w:iCs/>
          <w:color w:val="0D0D0D"/>
          <w:sz w:val="24"/>
          <w:szCs w:val="24"/>
          <w:shd w:val="clear" w:color="auto" w:fill="FFFFFF"/>
        </w:rPr>
        <w:t>et al</w:t>
      </w:r>
      <w:r w:rsidRPr="001B6B84">
        <w:rPr>
          <w:rFonts w:ascii="Calibri" w:hAnsi="Calibri" w:cs="Calibri"/>
          <w:color w:val="0D0D0D"/>
          <w:sz w:val="24"/>
          <w:szCs w:val="24"/>
          <w:shd w:val="clear" w:color="auto" w:fill="FFFFFF"/>
        </w:rPr>
        <w:t xml:space="preserve"> (2020), CMMS facilitates the monitoring and planning of maintenance processes and allows for the storage of related data. Effective planning enabled by CMMS can lead to cost reductions. </w:t>
      </w:r>
    </w:p>
    <w:p w14:paraId="2B5A1E34" w14:textId="77777777" w:rsidR="004140A2" w:rsidRDefault="001B6B84" w:rsidP="0034146A">
      <w:pPr>
        <w:spacing w:line="360" w:lineRule="auto"/>
        <w:jc w:val="both"/>
        <w:rPr>
          <w:rFonts w:ascii="Calibri" w:hAnsi="Calibri" w:cs="Calibri"/>
          <w:bCs/>
          <w:sz w:val="24"/>
          <w:szCs w:val="24"/>
        </w:rPr>
      </w:pPr>
      <w:r w:rsidRPr="001B6B84">
        <w:rPr>
          <w:rFonts w:ascii="Calibri" w:hAnsi="Calibri" w:cs="Calibri"/>
          <w:bCs/>
          <w:sz w:val="24"/>
          <w:szCs w:val="24"/>
        </w:rPr>
        <w:lastRenderedPageBreak/>
        <w:t xml:space="preserve">Additionally, CMMS enables the storage of various technical data related to machines and details of required parts, simplifying the ordering process for maintenance components. </w:t>
      </w:r>
    </w:p>
    <w:p w14:paraId="379F00E7" w14:textId="385DF9FD" w:rsidR="004140A2" w:rsidRDefault="004140A2" w:rsidP="0034146A">
      <w:pPr>
        <w:spacing w:line="360" w:lineRule="auto"/>
        <w:jc w:val="both"/>
        <w:rPr>
          <w:rFonts w:ascii="Calibri" w:hAnsi="Calibri" w:cs="Calibri"/>
          <w:bCs/>
          <w:sz w:val="24"/>
          <w:szCs w:val="24"/>
        </w:rPr>
      </w:pPr>
      <w:r w:rsidRPr="004140A2">
        <w:rPr>
          <w:rFonts w:ascii="Calibri" w:hAnsi="Calibri" w:cs="Calibri"/>
          <w:bCs/>
          <w:sz w:val="24"/>
          <w:szCs w:val="24"/>
        </w:rPr>
        <w:t>Inventory management within CMMS allows for tracking of materials used for maintenance, as well as monitoring remaining stock levels for timely replenishment orders.</w:t>
      </w:r>
    </w:p>
    <w:p w14:paraId="31436B66" w14:textId="77777777" w:rsidR="005D3654" w:rsidRDefault="004140A2" w:rsidP="0034146A">
      <w:pPr>
        <w:spacing w:after="160" w:line="360" w:lineRule="auto"/>
        <w:jc w:val="both"/>
        <w:rPr>
          <w:rFonts w:ascii="Calibri" w:hAnsi="Calibri" w:cs="Calibri"/>
          <w:bCs/>
          <w:sz w:val="24"/>
          <w:szCs w:val="24"/>
        </w:rPr>
      </w:pPr>
      <w:r w:rsidRPr="004140A2">
        <w:rPr>
          <w:rFonts w:ascii="Calibri" w:hAnsi="Calibri" w:cs="Calibri"/>
          <w:bCs/>
          <w:sz w:val="24"/>
          <w:szCs w:val="24"/>
        </w:rPr>
        <w:t>Moreover, operators can now report machine failures directly into the system, which triggers notifications to maintenance engineers. By storing data on servicing and breakdowns, CMMS enables the effective determination of production performance indicators.</w:t>
      </w:r>
    </w:p>
    <w:p w14:paraId="60931561" w14:textId="027BF529" w:rsidR="005336B9" w:rsidRPr="001B6B84" w:rsidRDefault="005336B9" w:rsidP="004A3422">
      <w:pPr>
        <w:spacing w:after="160" w:line="278" w:lineRule="auto"/>
        <w:rPr>
          <w:rFonts w:ascii="Calibri" w:hAnsi="Calibri" w:cs="Calibri"/>
          <w:bCs/>
          <w:sz w:val="24"/>
          <w:szCs w:val="24"/>
        </w:rPr>
      </w:pPr>
      <w:r w:rsidRPr="001B6B84">
        <w:rPr>
          <w:rFonts w:ascii="Calibri" w:hAnsi="Calibri" w:cs="Calibri"/>
          <w:bCs/>
          <w:sz w:val="24"/>
          <w:szCs w:val="24"/>
        </w:rPr>
        <w:br w:type="page"/>
      </w:r>
    </w:p>
    <w:p w14:paraId="40C0D138" w14:textId="04A44775" w:rsidR="00890B3A" w:rsidRDefault="00890B3A" w:rsidP="00E414AF">
      <w:pPr>
        <w:pStyle w:val="Heading1"/>
      </w:pPr>
      <w:bookmarkStart w:id="3" w:name="_Toc163379052"/>
      <w:r w:rsidRPr="00890B3A">
        <w:lastRenderedPageBreak/>
        <w:t xml:space="preserve">Improvement of </w:t>
      </w:r>
      <w:r w:rsidR="00141397">
        <w:t xml:space="preserve">maintenance </w:t>
      </w:r>
      <w:r w:rsidRPr="00890B3A">
        <w:t>approaches</w:t>
      </w:r>
      <w:bookmarkEnd w:id="3"/>
    </w:p>
    <w:p w14:paraId="42A41C91" w14:textId="77777777" w:rsidR="004F40DB" w:rsidRPr="005336B9" w:rsidRDefault="004F40DB" w:rsidP="00CF6AA1">
      <w:pPr>
        <w:ind w:left="1080"/>
        <w:jc w:val="both"/>
        <w:rPr>
          <w:rFonts w:ascii="Arial" w:hAnsi="Arial" w:cs="Arial"/>
          <w:b/>
          <w:sz w:val="24"/>
          <w:szCs w:val="24"/>
        </w:rPr>
      </w:pPr>
    </w:p>
    <w:p w14:paraId="340EA247" w14:textId="77777777" w:rsidR="005336B9" w:rsidRDefault="005336B9" w:rsidP="0034146A">
      <w:pPr>
        <w:jc w:val="both"/>
        <w:rPr>
          <w:rFonts w:ascii="Arial" w:hAnsi="Arial" w:cs="Arial"/>
          <w:b/>
          <w:sz w:val="24"/>
          <w:szCs w:val="24"/>
        </w:rPr>
      </w:pPr>
    </w:p>
    <w:p w14:paraId="2D04BD43" w14:textId="77777777" w:rsidR="004F40DB" w:rsidRPr="004F40DB" w:rsidRDefault="004F40DB" w:rsidP="0034146A">
      <w:pPr>
        <w:spacing w:line="360" w:lineRule="auto"/>
        <w:jc w:val="both"/>
        <w:rPr>
          <w:rFonts w:ascii="Calibri" w:hAnsi="Calibri" w:cs="Calibri"/>
          <w:bCs/>
          <w:sz w:val="24"/>
          <w:szCs w:val="24"/>
        </w:rPr>
      </w:pPr>
      <w:r w:rsidRPr="004F40DB">
        <w:rPr>
          <w:rFonts w:ascii="Calibri" w:hAnsi="Calibri" w:cs="Calibri"/>
          <w:bCs/>
          <w:sz w:val="24"/>
          <w:szCs w:val="24"/>
        </w:rPr>
        <w:t>Adhering to the manufacturer's recommendations, which entail maintenance at specified intervals, proved to be the most suitable approach for maintaining the extractor system. Maintenance activities were scheduled at predetermined times, conducted outside of production hours.</w:t>
      </w:r>
    </w:p>
    <w:p w14:paraId="29DD8AA2" w14:textId="77777777" w:rsidR="004F40DB" w:rsidRPr="004F40DB" w:rsidRDefault="004F40DB" w:rsidP="0034146A">
      <w:pPr>
        <w:spacing w:line="360" w:lineRule="auto"/>
        <w:jc w:val="both"/>
        <w:rPr>
          <w:rFonts w:ascii="Calibri" w:hAnsi="Calibri" w:cs="Calibri"/>
          <w:bCs/>
          <w:sz w:val="24"/>
          <w:szCs w:val="24"/>
        </w:rPr>
      </w:pPr>
    </w:p>
    <w:p w14:paraId="331C33C8" w14:textId="77777777" w:rsidR="004F40DB" w:rsidRPr="004F40DB" w:rsidRDefault="004F40DB" w:rsidP="0034146A">
      <w:pPr>
        <w:spacing w:line="360" w:lineRule="auto"/>
        <w:jc w:val="both"/>
        <w:rPr>
          <w:rFonts w:ascii="Calibri" w:hAnsi="Calibri" w:cs="Calibri"/>
          <w:bCs/>
          <w:sz w:val="24"/>
          <w:szCs w:val="24"/>
        </w:rPr>
      </w:pPr>
      <w:r w:rsidRPr="004F40DB">
        <w:rPr>
          <w:rFonts w:ascii="Calibri" w:hAnsi="Calibri" w:cs="Calibri"/>
          <w:bCs/>
          <w:sz w:val="24"/>
          <w:szCs w:val="24"/>
        </w:rPr>
        <w:t>While this preventive method can be effective, it overlooks the possibility of sudden breakdowns. This omission poses a challenge, particularly when there's a shortage of spare parts, leading to extended lead times and disruptions in production processes.</w:t>
      </w:r>
    </w:p>
    <w:p w14:paraId="5BFB4BB5" w14:textId="77777777" w:rsidR="004F40DB" w:rsidRPr="004F40DB" w:rsidRDefault="004F40DB" w:rsidP="0034146A">
      <w:pPr>
        <w:spacing w:line="360" w:lineRule="auto"/>
        <w:jc w:val="both"/>
        <w:rPr>
          <w:rFonts w:ascii="Calibri" w:hAnsi="Calibri" w:cs="Calibri"/>
          <w:bCs/>
          <w:sz w:val="24"/>
          <w:szCs w:val="24"/>
        </w:rPr>
      </w:pPr>
    </w:p>
    <w:p w14:paraId="7576B8EB" w14:textId="77777777" w:rsidR="004F40DB" w:rsidRDefault="004F40DB" w:rsidP="0034146A">
      <w:pPr>
        <w:spacing w:line="360" w:lineRule="auto"/>
        <w:jc w:val="both"/>
        <w:rPr>
          <w:rFonts w:ascii="Arial" w:hAnsi="Arial" w:cs="Arial"/>
          <w:b/>
          <w:sz w:val="24"/>
          <w:szCs w:val="24"/>
        </w:rPr>
      </w:pPr>
      <w:r w:rsidRPr="004F40DB">
        <w:rPr>
          <w:rFonts w:ascii="Calibri" w:hAnsi="Calibri" w:cs="Calibri"/>
          <w:bCs/>
          <w:sz w:val="24"/>
          <w:szCs w:val="24"/>
        </w:rPr>
        <w:t>A critical component of the extractor system is the fan set, which has a lead time of 2-3 weeks from order to delivery in the event of a sudden breakdown. Given that the extraction system serves two plasma booths, a sudden malfunction would halt the operation of both booths, resulting in significant losses.</w:t>
      </w:r>
      <w:r w:rsidRPr="004F40DB">
        <w:rPr>
          <w:rFonts w:ascii="Arial" w:hAnsi="Arial" w:cs="Arial"/>
          <w:b/>
          <w:sz w:val="24"/>
          <w:szCs w:val="24"/>
        </w:rPr>
        <w:t xml:space="preserve"> </w:t>
      </w:r>
    </w:p>
    <w:p w14:paraId="4BC84D2F" w14:textId="77777777" w:rsidR="004F40DB" w:rsidRPr="00E9037C" w:rsidRDefault="004F40DB" w:rsidP="0034146A">
      <w:pPr>
        <w:spacing w:line="360" w:lineRule="auto"/>
        <w:jc w:val="both"/>
        <w:rPr>
          <w:rFonts w:ascii="Calibri" w:hAnsi="Calibri" w:cs="Calibri"/>
          <w:bCs/>
          <w:sz w:val="24"/>
          <w:szCs w:val="24"/>
        </w:rPr>
      </w:pPr>
    </w:p>
    <w:p w14:paraId="4580ADA5" w14:textId="2C9D960D" w:rsidR="00E9037C" w:rsidRDefault="00E9037C" w:rsidP="0034146A">
      <w:pPr>
        <w:spacing w:line="360" w:lineRule="auto"/>
        <w:jc w:val="both"/>
        <w:rPr>
          <w:rFonts w:ascii="Arial" w:hAnsi="Arial" w:cs="Arial"/>
          <w:b/>
          <w:sz w:val="24"/>
          <w:szCs w:val="24"/>
        </w:rPr>
      </w:pPr>
      <w:r w:rsidRPr="00E9037C">
        <w:rPr>
          <w:rFonts w:ascii="Calibri" w:hAnsi="Calibri" w:cs="Calibri"/>
          <w:bCs/>
          <w:sz w:val="24"/>
          <w:szCs w:val="24"/>
        </w:rPr>
        <w:t>The current maintenance strategy could be further developed with a condition-based maintenance approach. This method involves continuous monitoring of the machine's operating state and data collection.</w:t>
      </w:r>
    </w:p>
    <w:p w14:paraId="1B3BB7D6" w14:textId="77777777" w:rsidR="00E9037C" w:rsidRDefault="00E9037C" w:rsidP="0034146A">
      <w:pPr>
        <w:spacing w:line="360" w:lineRule="auto"/>
        <w:jc w:val="both"/>
        <w:rPr>
          <w:rFonts w:ascii="Calibri" w:hAnsi="Calibri" w:cs="Calibri"/>
          <w:bCs/>
          <w:sz w:val="24"/>
          <w:szCs w:val="24"/>
        </w:rPr>
      </w:pPr>
      <w:r w:rsidRPr="00E9037C">
        <w:rPr>
          <w:rFonts w:ascii="Calibri" w:hAnsi="Calibri" w:cs="Calibri"/>
          <w:bCs/>
          <w:sz w:val="24"/>
          <w:szCs w:val="24"/>
        </w:rPr>
        <w:t xml:space="preserve">The system monitors any deviations that may occur during the operation of the machine and only recommends intervention and maintenance if it is really necessary. </w:t>
      </w:r>
    </w:p>
    <w:p w14:paraId="35D339F3" w14:textId="77777777" w:rsidR="00C643A5" w:rsidRPr="00C643A5" w:rsidRDefault="00C643A5" w:rsidP="0034146A">
      <w:pPr>
        <w:spacing w:line="360" w:lineRule="auto"/>
        <w:jc w:val="both"/>
        <w:rPr>
          <w:rFonts w:ascii="Calibri" w:hAnsi="Calibri" w:cs="Calibri"/>
          <w:bCs/>
          <w:sz w:val="24"/>
          <w:szCs w:val="24"/>
        </w:rPr>
      </w:pPr>
    </w:p>
    <w:p w14:paraId="73384C8E" w14:textId="77777777" w:rsidR="00C643A5" w:rsidRDefault="00C643A5" w:rsidP="0034146A">
      <w:pPr>
        <w:spacing w:line="360" w:lineRule="auto"/>
        <w:jc w:val="both"/>
        <w:rPr>
          <w:rFonts w:ascii="Calibri" w:hAnsi="Calibri" w:cs="Calibri"/>
          <w:bCs/>
          <w:sz w:val="24"/>
          <w:szCs w:val="24"/>
        </w:rPr>
      </w:pPr>
      <w:r w:rsidRPr="00C643A5">
        <w:rPr>
          <w:rFonts w:ascii="Calibri" w:hAnsi="Calibri" w:cs="Calibri"/>
          <w:bCs/>
          <w:sz w:val="24"/>
          <w:szCs w:val="24"/>
        </w:rPr>
        <w:t xml:space="preserve">Diagnostics aims to identify existing errors by examining their signs and manifestations. Through thorough observation and analysis, it seeks to uncover the underlying causes and specific characteristics of the detected issues. </w:t>
      </w:r>
    </w:p>
    <w:p w14:paraId="46B8224E" w14:textId="77777777" w:rsidR="00C643A5" w:rsidRDefault="00C643A5" w:rsidP="0034146A">
      <w:pPr>
        <w:spacing w:line="360" w:lineRule="auto"/>
        <w:jc w:val="both"/>
        <w:rPr>
          <w:rFonts w:ascii="Calibri" w:hAnsi="Calibri" w:cs="Calibri"/>
          <w:bCs/>
          <w:sz w:val="24"/>
          <w:szCs w:val="24"/>
        </w:rPr>
      </w:pPr>
    </w:p>
    <w:p w14:paraId="72C295D8" w14:textId="77777777" w:rsidR="00CF3891" w:rsidRDefault="00C643A5" w:rsidP="0034146A">
      <w:pPr>
        <w:spacing w:line="360" w:lineRule="auto"/>
        <w:jc w:val="both"/>
        <w:rPr>
          <w:rFonts w:ascii="Calibri" w:hAnsi="Calibri" w:cs="Calibri"/>
          <w:bCs/>
          <w:sz w:val="24"/>
          <w:szCs w:val="24"/>
        </w:rPr>
      </w:pPr>
      <w:r>
        <w:rPr>
          <w:rFonts w:ascii="Calibri" w:hAnsi="Calibri" w:cs="Calibri"/>
          <w:bCs/>
          <w:sz w:val="24"/>
          <w:szCs w:val="24"/>
        </w:rPr>
        <w:t>F</w:t>
      </w:r>
      <w:r w:rsidRPr="00C643A5">
        <w:rPr>
          <w:rFonts w:ascii="Calibri" w:hAnsi="Calibri" w:cs="Calibri"/>
          <w:bCs/>
          <w:sz w:val="24"/>
          <w:szCs w:val="24"/>
        </w:rPr>
        <w:t xml:space="preserve">orecasting focuses on predicting potential errors that may arise in the future. This approach involves utilizing available data and patterns to anticipate potential </w:t>
      </w:r>
      <w:r>
        <w:rPr>
          <w:rFonts w:ascii="Calibri" w:hAnsi="Calibri" w:cs="Calibri"/>
          <w:bCs/>
          <w:sz w:val="24"/>
          <w:szCs w:val="24"/>
        </w:rPr>
        <w:t>failures</w:t>
      </w:r>
      <w:r w:rsidRPr="00C643A5">
        <w:rPr>
          <w:rFonts w:ascii="Calibri" w:hAnsi="Calibri" w:cs="Calibri"/>
          <w:bCs/>
          <w:sz w:val="24"/>
          <w:szCs w:val="24"/>
        </w:rPr>
        <w:t xml:space="preserve"> before they</w:t>
      </w:r>
      <w:r>
        <w:rPr>
          <w:rFonts w:ascii="Calibri" w:hAnsi="Calibri" w:cs="Calibri"/>
          <w:bCs/>
          <w:sz w:val="24"/>
          <w:szCs w:val="24"/>
        </w:rPr>
        <w:t xml:space="preserve"> happen</w:t>
      </w:r>
      <w:r w:rsidRPr="00C643A5">
        <w:rPr>
          <w:rFonts w:ascii="Calibri" w:hAnsi="Calibri" w:cs="Calibri"/>
          <w:bCs/>
          <w:sz w:val="24"/>
          <w:szCs w:val="24"/>
        </w:rPr>
        <w:t xml:space="preserve">, thereby minimizing the risk of operational disruptions. </w:t>
      </w:r>
    </w:p>
    <w:p w14:paraId="41B7B410" w14:textId="77777777" w:rsidR="00A66907" w:rsidRDefault="00CF3891" w:rsidP="0034146A">
      <w:pPr>
        <w:spacing w:line="360" w:lineRule="auto"/>
        <w:jc w:val="both"/>
        <w:rPr>
          <w:rFonts w:ascii="Calibri" w:hAnsi="Calibri" w:cs="Calibri"/>
          <w:bCs/>
          <w:sz w:val="24"/>
          <w:szCs w:val="24"/>
        </w:rPr>
      </w:pPr>
      <w:r w:rsidRPr="00CF3891">
        <w:rPr>
          <w:rFonts w:ascii="Calibri" w:hAnsi="Calibri" w:cs="Calibri"/>
          <w:bCs/>
          <w:sz w:val="24"/>
          <w:szCs w:val="24"/>
        </w:rPr>
        <w:t>It is clear that the prognosis is much more effective</w:t>
      </w:r>
      <w:r>
        <w:rPr>
          <w:rFonts w:ascii="Calibri" w:hAnsi="Calibri" w:cs="Calibri"/>
          <w:bCs/>
          <w:sz w:val="24"/>
          <w:szCs w:val="24"/>
        </w:rPr>
        <w:t xml:space="preserve"> in error prevention</w:t>
      </w:r>
      <w:r w:rsidRPr="00CF3891">
        <w:rPr>
          <w:rFonts w:ascii="Calibri" w:hAnsi="Calibri" w:cs="Calibri"/>
          <w:bCs/>
          <w:sz w:val="24"/>
          <w:szCs w:val="24"/>
        </w:rPr>
        <w:t>, however, the diagnosis is necessary</w:t>
      </w:r>
      <w:r>
        <w:rPr>
          <w:rFonts w:ascii="Calibri" w:hAnsi="Calibri" w:cs="Calibri"/>
          <w:bCs/>
          <w:sz w:val="24"/>
          <w:szCs w:val="24"/>
        </w:rPr>
        <w:t xml:space="preserve">. If a forecast fails to predict an error, so the </w:t>
      </w:r>
      <w:r w:rsidRPr="00CF3891">
        <w:rPr>
          <w:rFonts w:ascii="Calibri" w:hAnsi="Calibri" w:cs="Calibri"/>
          <w:bCs/>
          <w:sz w:val="24"/>
          <w:szCs w:val="24"/>
        </w:rPr>
        <w:t xml:space="preserve">prognosis is incorrect, and </w:t>
      </w:r>
      <w:r w:rsidRPr="00CF3891">
        <w:rPr>
          <w:rFonts w:ascii="Calibri" w:hAnsi="Calibri" w:cs="Calibri"/>
          <w:bCs/>
          <w:sz w:val="24"/>
          <w:szCs w:val="24"/>
        </w:rPr>
        <w:lastRenderedPageBreak/>
        <w:t>the error still occurs</w:t>
      </w:r>
      <w:r>
        <w:rPr>
          <w:rFonts w:ascii="Calibri" w:hAnsi="Calibri" w:cs="Calibri"/>
          <w:bCs/>
          <w:sz w:val="24"/>
          <w:szCs w:val="24"/>
        </w:rPr>
        <w:t>, diagnostics</w:t>
      </w:r>
      <w:r w:rsidR="00C42B8B">
        <w:rPr>
          <w:rFonts w:ascii="Calibri" w:hAnsi="Calibri" w:cs="Calibri"/>
          <w:bCs/>
          <w:sz w:val="24"/>
          <w:szCs w:val="24"/>
        </w:rPr>
        <w:t xml:space="preserve"> will analyse the problem and investigate the underlying causes</w:t>
      </w:r>
      <w:r w:rsidR="007615D4">
        <w:rPr>
          <w:rFonts w:ascii="Calibri" w:hAnsi="Calibri" w:cs="Calibri"/>
          <w:bCs/>
          <w:sz w:val="24"/>
          <w:szCs w:val="24"/>
        </w:rPr>
        <w:t>.</w:t>
      </w:r>
    </w:p>
    <w:p w14:paraId="5FFF4BCC" w14:textId="4267311B" w:rsidR="00C501E6" w:rsidRDefault="00C501E6" w:rsidP="0034146A">
      <w:pPr>
        <w:spacing w:line="360" w:lineRule="auto"/>
        <w:jc w:val="both"/>
        <w:rPr>
          <w:rFonts w:ascii="Calibri" w:hAnsi="Calibri" w:cs="Calibri"/>
          <w:bCs/>
          <w:sz w:val="24"/>
          <w:szCs w:val="24"/>
        </w:rPr>
      </w:pPr>
      <w:r w:rsidRPr="00C501E6">
        <w:rPr>
          <w:rFonts w:ascii="Calibri" w:hAnsi="Calibri" w:cs="Calibri"/>
          <w:bCs/>
          <w:sz w:val="24"/>
          <w:szCs w:val="24"/>
        </w:rPr>
        <w:t xml:space="preserve">The </w:t>
      </w:r>
      <w:r>
        <w:rPr>
          <w:rFonts w:ascii="Calibri" w:hAnsi="Calibri" w:cs="Calibri"/>
          <w:bCs/>
          <w:sz w:val="24"/>
          <w:szCs w:val="24"/>
        </w:rPr>
        <w:t>F</w:t>
      </w:r>
      <w:r w:rsidRPr="00C501E6">
        <w:rPr>
          <w:rFonts w:ascii="Calibri" w:hAnsi="Calibri" w:cs="Calibri"/>
          <w:bCs/>
          <w:sz w:val="24"/>
          <w:szCs w:val="24"/>
        </w:rPr>
        <w:t>igure</w:t>
      </w:r>
      <w:r>
        <w:rPr>
          <w:rFonts w:ascii="Calibri" w:hAnsi="Calibri" w:cs="Calibri"/>
          <w:bCs/>
          <w:sz w:val="24"/>
          <w:szCs w:val="24"/>
        </w:rPr>
        <w:t xml:space="preserve"> 1</w:t>
      </w:r>
      <w:r w:rsidRPr="00C501E6">
        <w:rPr>
          <w:rFonts w:ascii="Calibri" w:hAnsi="Calibri" w:cs="Calibri"/>
          <w:bCs/>
          <w:sz w:val="24"/>
          <w:szCs w:val="24"/>
        </w:rPr>
        <w:t xml:space="preserve"> </w:t>
      </w:r>
      <w:r>
        <w:rPr>
          <w:rFonts w:ascii="Calibri" w:hAnsi="Calibri" w:cs="Calibri"/>
          <w:bCs/>
          <w:sz w:val="24"/>
          <w:szCs w:val="24"/>
        </w:rPr>
        <w:t>– PF curve (</w:t>
      </w:r>
      <w:r>
        <w:rPr>
          <w:rFonts w:ascii="Calibri" w:hAnsi="Calibri" w:cs="Calibri"/>
          <w:sz w:val="24"/>
          <w:szCs w:val="24"/>
        </w:rPr>
        <w:t>Teixeira et al, 2020</w:t>
      </w:r>
      <w:r>
        <w:rPr>
          <w:rFonts w:ascii="Calibri" w:hAnsi="Calibri" w:cs="Calibri"/>
          <w:bCs/>
          <w:sz w:val="24"/>
          <w:szCs w:val="24"/>
        </w:rPr>
        <w:t xml:space="preserve">) </w:t>
      </w:r>
      <w:r w:rsidRPr="00C501E6">
        <w:rPr>
          <w:rFonts w:ascii="Calibri" w:hAnsi="Calibri" w:cs="Calibri"/>
          <w:bCs/>
          <w:sz w:val="24"/>
          <w:szCs w:val="24"/>
        </w:rPr>
        <w:t xml:space="preserve">below illustrates the performance of the machine between potential failure and </w:t>
      </w:r>
      <w:r>
        <w:rPr>
          <w:rFonts w:ascii="Calibri" w:hAnsi="Calibri" w:cs="Calibri"/>
          <w:bCs/>
          <w:sz w:val="24"/>
          <w:szCs w:val="24"/>
        </w:rPr>
        <w:t>functional</w:t>
      </w:r>
      <w:r w:rsidRPr="00C501E6">
        <w:rPr>
          <w:rFonts w:ascii="Calibri" w:hAnsi="Calibri" w:cs="Calibri"/>
          <w:bCs/>
          <w:sz w:val="24"/>
          <w:szCs w:val="24"/>
        </w:rPr>
        <w:t xml:space="preserve"> failure.</w:t>
      </w:r>
    </w:p>
    <w:p w14:paraId="7EFDF783" w14:textId="77777777" w:rsidR="008F4AFA" w:rsidRDefault="008F4AFA" w:rsidP="00C643A5">
      <w:pPr>
        <w:spacing w:line="278" w:lineRule="auto"/>
        <w:rPr>
          <w:rFonts w:ascii="Calibri" w:hAnsi="Calibri" w:cs="Calibri"/>
          <w:bCs/>
          <w:sz w:val="24"/>
          <w:szCs w:val="24"/>
        </w:rPr>
      </w:pPr>
    </w:p>
    <w:p w14:paraId="4CECBB36" w14:textId="195F71BC" w:rsidR="008F4AFA" w:rsidRDefault="008F4AFA" w:rsidP="008F4AFA">
      <w:pPr>
        <w:spacing w:line="278" w:lineRule="auto"/>
        <w:jc w:val="center"/>
        <w:rPr>
          <w:rFonts w:ascii="Calibri" w:hAnsi="Calibri" w:cs="Calibri"/>
          <w:bCs/>
          <w:sz w:val="24"/>
          <w:szCs w:val="24"/>
        </w:rPr>
      </w:pPr>
      <w:r>
        <w:rPr>
          <w:noProof/>
          <w14:ligatures w14:val="standardContextual"/>
        </w:rPr>
        <w:drawing>
          <wp:inline distT="0" distB="0" distL="0" distR="0" wp14:anchorId="7D9AF5C3" wp14:editId="78170B73">
            <wp:extent cx="5207635" cy="2956917"/>
            <wp:effectExtent l="0" t="0" r="0" b="0"/>
            <wp:docPr id="1276938585" name="Picture 1" descr="Diagram of a failure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6938585" name="Picture 1" descr="Diagram of a failure diagram&#10;&#10;Description automatically generated"/>
                    <pic:cNvPicPr/>
                  </pic:nvPicPr>
                  <pic:blipFill>
                    <a:blip r:embed="rId8"/>
                    <a:stretch>
                      <a:fillRect/>
                    </a:stretch>
                  </pic:blipFill>
                  <pic:spPr>
                    <a:xfrm>
                      <a:off x="0" y="0"/>
                      <a:ext cx="5213324" cy="2960147"/>
                    </a:xfrm>
                    <a:prstGeom prst="rect">
                      <a:avLst/>
                    </a:prstGeom>
                  </pic:spPr>
                </pic:pic>
              </a:graphicData>
            </a:graphic>
          </wp:inline>
        </w:drawing>
      </w:r>
    </w:p>
    <w:p w14:paraId="713B228D" w14:textId="7B49D7BE" w:rsidR="008F4AFA" w:rsidRDefault="00454557" w:rsidP="00454557">
      <w:pPr>
        <w:pStyle w:val="Caption"/>
        <w:jc w:val="center"/>
        <w:rPr>
          <w:rFonts w:ascii="Calibri" w:hAnsi="Calibri" w:cs="Calibri"/>
          <w:bCs/>
          <w:sz w:val="24"/>
          <w:szCs w:val="24"/>
        </w:rPr>
      </w:pPr>
      <w:bookmarkStart w:id="4" w:name="_Toc162600924"/>
      <w:r>
        <w:t xml:space="preserve">Figure </w:t>
      </w:r>
      <w:r>
        <w:fldChar w:fldCharType="begin"/>
      </w:r>
      <w:r>
        <w:instrText xml:space="preserve"> SEQ Figure \* ARABIC </w:instrText>
      </w:r>
      <w:r>
        <w:fldChar w:fldCharType="separate"/>
      </w:r>
      <w:r w:rsidR="00455F25">
        <w:rPr>
          <w:noProof/>
        </w:rPr>
        <w:t>1</w:t>
      </w:r>
      <w:r>
        <w:fldChar w:fldCharType="end"/>
      </w:r>
      <w:r>
        <w:t>- PF curve</w:t>
      </w:r>
      <w:bookmarkEnd w:id="4"/>
    </w:p>
    <w:p w14:paraId="3C158E06" w14:textId="77777777" w:rsidR="00C67A16" w:rsidRDefault="00C67A16" w:rsidP="00C643A5">
      <w:pPr>
        <w:spacing w:line="278" w:lineRule="auto"/>
        <w:rPr>
          <w:rFonts w:ascii="Calibri" w:hAnsi="Calibri" w:cs="Calibri"/>
          <w:bCs/>
          <w:sz w:val="24"/>
          <w:szCs w:val="24"/>
        </w:rPr>
      </w:pPr>
    </w:p>
    <w:p w14:paraId="029C6C00" w14:textId="046669D4" w:rsidR="00C67A16" w:rsidRDefault="009E15B9" w:rsidP="0034146A">
      <w:pPr>
        <w:spacing w:line="360" w:lineRule="auto"/>
        <w:jc w:val="both"/>
        <w:rPr>
          <w:rFonts w:ascii="Calibri" w:hAnsi="Calibri" w:cs="Calibri"/>
          <w:bCs/>
          <w:sz w:val="24"/>
          <w:szCs w:val="24"/>
        </w:rPr>
      </w:pPr>
      <w:r>
        <w:rPr>
          <w:rFonts w:ascii="Calibri" w:hAnsi="Calibri" w:cs="Calibri"/>
          <w:bCs/>
          <w:sz w:val="24"/>
          <w:szCs w:val="24"/>
        </w:rPr>
        <w:t xml:space="preserve">As Rusinski </w:t>
      </w:r>
      <w:r w:rsidRPr="00791BA2">
        <w:rPr>
          <w:rFonts w:ascii="Calibri" w:hAnsi="Calibri" w:cs="Calibri"/>
          <w:bCs/>
          <w:i/>
          <w:iCs/>
          <w:sz w:val="24"/>
          <w:szCs w:val="24"/>
        </w:rPr>
        <w:t>et al</w:t>
      </w:r>
      <w:r>
        <w:rPr>
          <w:rFonts w:ascii="Calibri" w:hAnsi="Calibri" w:cs="Calibri"/>
          <w:bCs/>
          <w:sz w:val="24"/>
          <w:szCs w:val="24"/>
        </w:rPr>
        <w:t xml:space="preserve"> (2017) states s</w:t>
      </w:r>
      <w:r w:rsidR="00E7145B" w:rsidRPr="00E7145B">
        <w:rPr>
          <w:rFonts w:ascii="Calibri" w:hAnsi="Calibri" w:cs="Calibri"/>
          <w:bCs/>
          <w:sz w:val="24"/>
          <w:szCs w:val="24"/>
        </w:rPr>
        <w:t>ince the flawless operation of the fan is essential for the operation of the extraction system, proper maintenance is necessary. Vibration monitoring is the most effective way to analy</w:t>
      </w:r>
      <w:r w:rsidR="00E7145B">
        <w:rPr>
          <w:rFonts w:ascii="Calibri" w:hAnsi="Calibri" w:cs="Calibri"/>
          <w:bCs/>
          <w:sz w:val="24"/>
          <w:szCs w:val="24"/>
        </w:rPr>
        <w:t>s</w:t>
      </w:r>
      <w:r w:rsidR="00E7145B" w:rsidRPr="00E7145B">
        <w:rPr>
          <w:rFonts w:ascii="Calibri" w:hAnsi="Calibri" w:cs="Calibri"/>
          <w:bCs/>
          <w:sz w:val="24"/>
          <w:szCs w:val="24"/>
        </w:rPr>
        <w:t>e fan operation. The flow phenomena occurring in the fan are quite complicated, but the continuous monitoring of the vibration and the observation and analysis of the changes in it can predict possible failures. Due to the complex flow effects, however, differences in vibration are often not unequivocally identifiable. The vibration can occur when the fan is started or stopped, but it can be caused by the drive motor or inertial parameters.</w:t>
      </w:r>
    </w:p>
    <w:p w14:paraId="6C18AF1D" w14:textId="77777777" w:rsidR="000F68AD" w:rsidRDefault="000F68AD" w:rsidP="0034146A">
      <w:pPr>
        <w:spacing w:line="360" w:lineRule="auto"/>
        <w:jc w:val="both"/>
        <w:rPr>
          <w:rFonts w:ascii="Calibri" w:hAnsi="Calibri" w:cs="Calibri"/>
          <w:bCs/>
          <w:sz w:val="24"/>
          <w:szCs w:val="24"/>
        </w:rPr>
      </w:pPr>
    </w:p>
    <w:p w14:paraId="45AFF93E" w14:textId="0038CCA2" w:rsidR="000F68AD" w:rsidRDefault="000F68AD" w:rsidP="0034146A">
      <w:pPr>
        <w:spacing w:line="360" w:lineRule="auto"/>
        <w:jc w:val="both"/>
        <w:rPr>
          <w:rFonts w:ascii="Calibri" w:hAnsi="Calibri" w:cs="Calibri"/>
          <w:bCs/>
          <w:sz w:val="24"/>
          <w:szCs w:val="24"/>
        </w:rPr>
      </w:pPr>
      <w:r w:rsidRPr="000F68AD">
        <w:rPr>
          <w:rFonts w:ascii="Calibri" w:hAnsi="Calibri" w:cs="Calibri"/>
          <w:bCs/>
          <w:sz w:val="24"/>
          <w:szCs w:val="24"/>
        </w:rPr>
        <w:t>The introduction of vibration monitoring helps to recognize errors related to the operation of the fan before they occur</w:t>
      </w:r>
      <w:r>
        <w:rPr>
          <w:rFonts w:ascii="Calibri" w:hAnsi="Calibri" w:cs="Calibri"/>
          <w:bCs/>
          <w:sz w:val="24"/>
          <w:szCs w:val="24"/>
        </w:rPr>
        <w:t xml:space="preserve">, </w:t>
      </w:r>
      <w:r w:rsidRPr="000F68AD">
        <w:rPr>
          <w:rFonts w:ascii="Calibri" w:hAnsi="Calibri" w:cs="Calibri"/>
          <w:bCs/>
          <w:sz w:val="24"/>
          <w:szCs w:val="24"/>
        </w:rPr>
        <w:t>thereby mitigating downtime and reducing the risk of production, material, and equipment losses.</w:t>
      </w:r>
    </w:p>
    <w:p w14:paraId="440C23DC" w14:textId="3F52C353" w:rsidR="000F68AD" w:rsidRDefault="000F68AD" w:rsidP="0034146A">
      <w:pPr>
        <w:spacing w:line="360" w:lineRule="auto"/>
        <w:jc w:val="both"/>
        <w:rPr>
          <w:rFonts w:ascii="Calibri" w:hAnsi="Calibri" w:cs="Calibri"/>
          <w:bCs/>
          <w:sz w:val="24"/>
          <w:szCs w:val="24"/>
        </w:rPr>
      </w:pPr>
      <w:r w:rsidRPr="000F68AD">
        <w:rPr>
          <w:rFonts w:ascii="Calibri" w:hAnsi="Calibri" w:cs="Calibri"/>
          <w:bCs/>
          <w:sz w:val="24"/>
          <w:szCs w:val="24"/>
        </w:rPr>
        <w:lastRenderedPageBreak/>
        <w:t>However, unforeseen failures may not always be predicted by the system, resulting in challenges such as extended ordering and delivery times. Consequently, prolonged downtime for both plasma booths may occur, leading to production losses.</w:t>
      </w:r>
    </w:p>
    <w:p w14:paraId="065A5E86" w14:textId="4F8B8257" w:rsidR="000F68AD" w:rsidRDefault="000F68AD" w:rsidP="0034146A">
      <w:pPr>
        <w:spacing w:line="360" w:lineRule="auto"/>
        <w:jc w:val="both"/>
        <w:rPr>
          <w:rFonts w:ascii="Calibri" w:hAnsi="Calibri" w:cs="Calibri"/>
          <w:bCs/>
          <w:sz w:val="24"/>
          <w:szCs w:val="24"/>
        </w:rPr>
      </w:pPr>
      <w:r w:rsidRPr="007E7EFC">
        <w:rPr>
          <w:rFonts w:ascii="Calibri" w:hAnsi="Calibri" w:cs="Calibri"/>
          <w:bCs/>
          <w:sz w:val="24"/>
          <w:szCs w:val="24"/>
        </w:rPr>
        <w:t xml:space="preserve">In order to mitigate the risks associated with unforeseen fan failures and to minimize the impact on production, the introduction of a backup extraction system can be </w:t>
      </w:r>
      <w:r w:rsidR="00C919E2" w:rsidRPr="007E7EFC">
        <w:rPr>
          <w:rFonts w:ascii="Calibri" w:hAnsi="Calibri" w:cs="Calibri"/>
          <w:bCs/>
          <w:sz w:val="24"/>
          <w:szCs w:val="24"/>
        </w:rPr>
        <w:t>one of the</w:t>
      </w:r>
      <w:r w:rsidRPr="007E7EFC">
        <w:rPr>
          <w:rFonts w:ascii="Calibri" w:hAnsi="Calibri" w:cs="Calibri"/>
          <w:bCs/>
          <w:sz w:val="24"/>
          <w:szCs w:val="24"/>
        </w:rPr>
        <w:t xml:space="preserve"> solution</w:t>
      </w:r>
      <w:r w:rsidR="00C919E2" w:rsidRPr="007E7EFC">
        <w:rPr>
          <w:rFonts w:ascii="Calibri" w:hAnsi="Calibri" w:cs="Calibri"/>
          <w:bCs/>
          <w:sz w:val="24"/>
          <w:szCs w:val="24"/>
        </w:rPr>
        <w:t>s</w:t>
      </w:r>
      <w:r w:rsidRPr="007E7EFC">
        <w:rPr>
          <w:rFonts w:ascii="Calibri" w:hAnsi="Calibri" w:cs="Calibri"/>
          <w:bCs/>
          <w:sz w:val="24"/>
          <w:szCs w:val="24"/>
        </w:rPr>
        <w:t>.</w:t>
      </w:r>
    </w:p>
    <w:p w14:paraId="23C39EB5" w14:textId="77777777" w:rsidR="007E7EFC" w:rsidRPr="007E7EFC" w:rsidRDefault="007E7EFC" w:rsidP="0034146A">
      <w:pPr>
        <w:spacing w:line="360" w:lineRule="auto"/>
        <w:jc w:val="both"/>
        <w:rPr>
          <w:rFonts w:ascii="Calibri" w:hAnsi="Calibri" w:cs="Calibri"/>
          <w:bCs/>
          <w:sz w:val="24"/>
          <w:szCs w:val="24"/>
        </w:rPr>
      </w:pPr>
    </w:p>
    <w:p w14:paraId="09D6D9CC" w14:textId="77777777" w:rsidR="0034146A" w:rsidRPr="007E7EFC" w:rsidRDefault="000F68AD" w:rsidP="0034146A">
      <w:pPr>
        <w:spacing w:line="360" w:lineRule="auto"/>
        <w:jc w:val="both"/>
        <w:rPr>
          <w:rFonts w:ascii="Calibri" w:hAnsi="Calibri" w:cs="Calibri"/>
          <w:bCs/>
          <w:sz w:val="24"/>
          <w:szCs w:val="24"/>
        </w:rPr>
      </w:pPr>
      <w:r w:rsidRPr="007E7EFC">
        <w:rPr>
          <w:rFonts w:ascii="Calibri" w:hAnsi="Calibri" w:cs="Calibri"/>
          <w:bCs/>
          <w:sz w:val="24"/>
          <w:szCs w:val="24"/>
        </w:rPr>
        <w:t>In the event of a sudden failure of the primary extraction system, both booths can seamlessly transition to the backup system, ensuring continuous operation until the issue is resolved. Utilizing a backup extractor as a proactive measure enhances production flexibility and reduces the risk of production losses.</w:t>
      </w:r>
    </w:p>
    <w:p w14:paraId="7BCD5D0F" w14:textId="1080E369" w:rsidR="00B91AF7" w:rsidRDefault="00BE6D3A" w:rsidP="0034146A">
      <w:pPr>
        <w:spacing w:line="360" w:lineRule="auto"/>
        <w:jc w:val="both"/>
        <w:rPr>
          <w:rFonts w:ascii="Calibri" w:hAnsi="Calibri" w:cs="Calibri"/>
          <w:bCs/>
          <w:sz w:val="24"/>
          <w:szCs w:val="24"/>
        </w:rPr>
      </w:pPr>
      <w:r w:rsidRPr="00BE6D3A">
        <w:rPr>
          <w:rFonts w:ascii="Calibri" w:hAnsi="Calibri" w:cs="Calibri"/>
          <w:bCs/>
          <w:sz w:val="24"/>
          <w:szCs w:val="24"/>
        </w:rPr>
        <w:t xml:space="preserve">Introducing a backup extraction system presents a feasible </w:t>
      </w:r>
      <w:r>
        <w:rPr>
          <w:rFonts w:ascii="Calibri" w:hAnsi="Calibri" w:cs="Calibri"/>
          <w:bCs/>
          <w:sz w:val="24"/>
          <w:szCs w:val="24"/>
        </w:rPr>
        <w:t>solution</w:t>
      </w:r>
      <w:r w:rsidRPr="00BE6D3A">
        <w:rPr>
          <w:rFonts w:ascii="Calibri" w:hAnsi="Calibri" w:cs="Calibri"/>
          <w:bCs/>
          <w:sz w:val="24"/>
          <w:szCs w:val="24"/>
        </w:rPr>
        <w:t xml:space="preserve">, albeit with potentially </w:t>
      </w:r>
      <w:r>
        <w:rPr>
          <w:rFonts w:ascii="Calibri" w:hAnsi="Calibri" w:cs="Calibri"/>
          <w:bCs/>
          <w:sz w:val="24"/>
          <w:szCs w:val="24"/>
        </w:rPr>
        <w:t>high</w:t>
      </w:r>
      <w:r w:rsidRPr="00BE6D3A">
        <w:rPr>
          <w:rFonts w:ascii="Calibri" w:hAnsi="Calibri" w:cs="Calibri"/>
          <w:bCs/>
          <w:sz w:val="24"/>
          <w:szCs w:val="24"/>
        </w:rPr>
        <w:t xml:space="preserve"> initial costs.</w:t>
      </w:r>
      <w:r>
        <w:rPr>
          <w:rFonts w:ascii="Calibri" w:hAnsi="Calibri" w:cs="Calibri"/>
          <w:bCs/>
          <w:sz w:val="24"/>
          <w:szCs w:val="24"/>
        </w:rPr>
        <w:t xml:space="preserve"> </w:t>
      </w:r>
      <w:r w:rsidRPr="00BE6D3A">
        <w:rPr>
          <w:rFonts w:ascii="Calibri" w:hAnsi="Calibri" w:cs="Calibri"/>
          <w:bCs/>
          <w:sz w:val="24"/>
          <w:szCs w:val="24"/>
        </w:rPr>
        <w:t>Alternatively, keeping a spare fan set in inventory could also mitigate the impact of sudden breakdowns.</w:t>
      </w:r>
    </w:p>
    <w:p w14:paraId="5A4970AE" w14:textId="77777777" w:rsidR="00B91AF7" w:rsidRPr="00B91AF7" w:rsidRDefault="00B91AF7" w:rsidP="00B91AF7">
      <w:pPr>
        <w:spacing w:line="360" w:lineRule="auto"/>
        <w:jc w:val="both"/>
        <w:rPr>
          <w:rFonts w:ascii="Calibri" w:hAnsi="Calibri" w:cs="Calibri"/>
          <w:bCs/>
          <w:sz w:val="24"/>
          <w:szCs w:val="24"/>
        </w:rPr>
      </w:pPr>
    </w:p>
    <w:p w14:paraId="65E877E5" w14:textId="4B094BE0" w:rsidR="00B91AF7" w:rsidRDefault="00B91AF7" w:rsidP="00B91AF7">
      <w:pPr>
        <w:spacing w:line="360" w:lineRule="auto"/>
        <w:jc w:val="both"/>
        <w:rPr>
          <w:rFonts w:ascii="Calibri" w:hAnsi="Calibri" w:cs="Calibri"/>
          <w:bCs/>
          <w:sz w:val="24"/>
          <w:szCs w:val="24"/>
        </w:rPr>
      </w:pPr>
      <w:r w:rsidRPr="00B91AF7">
        <w:rPr>
          <w:rFonts w:ascii="Calibri" w:hAnsi="Calibri" w:cs="Calibri"/>
          <w:bCs/>
          <w:sz w:val="24"/>
          <w:szCs w:val="24"/>
        </w:rPr>
        <w:t>Yet, there is room for further enhancement in maintenance practices through the implementation of Total Production Maintenance (TPM). According to Rajput (2012), TPM aims to prevent errors, malfunctions, and breakdowns during production, necessitating collaboration across all organizational departments.</w:t>
      </w:r>
      <w:r>
        <w:rPr>
          <w:rFonts w:ascii="Calibri" w:hAnsi="Calibri" w:cs="Calibri"/>
          <w:bCs/>
          <w:sz w:val="24"/>
          <w:szCs w:val="24"/>
        </w:rPr>
        <w:t xml:space="preserve"> </w:t>
      </w:r>
      <w:r w:rsidRPr="00B91AF7">
        <w:rPr>
          <w:rFonts w:ascii="Calibri" w:hAnsi="Calibri" w:cs="Calibri"/>
          <w:bCs/>
          <w:sz w:val="24"/>
          <w:szCs w:val="24"/>
        </w:rPr>
        <w:t xml:space="preserve">By introducing and using TPM, overall equipment effectiveness (OEE) </w:t>
      </w:r>
      <w:r>
        <w:rPr>
          <w:rFonts w:ascii="Calibri" w:hAnsi="Calibri" w:cs="Calibri"/>
          <w:bCs/>
          <w:sz w:val="24"/>
          <w:szCs w:val="24"/>
        </w:rPr>
        <w:t>and</w:t>
      </w:r>
      <w:r w:rsidRPr="00B91AF7">
        <w:rPr>
          <w:rFonts w:ascii="Calibri" w:hAnsi="Calibri" w:cs="Calibri"/>
          <w:bCs/>
          <w:sz w:val="24"/>
          <w:szCs w:val="24"/>
        </w:rPr>
        <w:t xml:space="preserve"> quality can be improved, and the number of work accidents can also be reduced.</w:t>
      </w:r>
    </w:p>
    <w:p w14:paraId="2A982D5E" w14:textId="208DC2BC" w:rsidR="003A71B6" w:rsidRDefault="003A71B6" w:rsidP="00B91AF7">
      <w:pPr>
        <w:spacing w:line="360" w:lineRule="auto"/>
        <w:jc w:val="both"/>
        <w:rPr>
          <w:rFonts w:ascii="Calibri" w:hAnsi="Calibri" w:cs="Calibri"/>
          <w:bCs/>
          <w:sz w:val="24"/>
          <w:szCs w:val="24"/>
        </w:rPr>
      </w:pPr>
      <w:r>
        <w:rPr>
          <w:rFonts w:ascii="Calibri" w:hAnsi="Calibri" w:cs="Calibri"/>
          <w:bCs/>
          <w:sz w:val="24"/>
          <w:szCs w:val="24"/>
        </w:rPr>
        <w:t>F</w:t>
      </w:r>
      <w:r w:rsidRPr="00C501E6">
        <w:rPr>
          <w:rFonts w:ascii="Calibri" w:hAnsi="Calibri" w:cs="Calibri"/>
          <w:bCs/>
          <w:sz w:val="24"/>
          <w:szCs w:val="24"/>
        </w:rPr>
        <w:t>igure</w:t>
      </w:r>
      <w:r>
        <w:rPr>
          <w:rFonts w:ascii="Calibri" w:hAnsi="Calibri" w:cs="Calibri"/>
          <w:bCs/>
          <w:sz w:val="24"/>
          <w:szCs w:val="24"/>
        </w:rPr>
        <w:t xml:space="preserve"> 2</w:t>
      </w:r>
      <w:r w:rsidRPr="00C501E6">
        <w:rPr>
          <w:rFonts w:ascii="Calibri" w:hAnsi="Calibri" w:cs="Calibri"/>
          <w:bCs/>
          <w:sz w:val="24"/>
          <w:szCs w:val="24"/>
        </w:rPr>
        <w:t xml:space="preserve"> </w:t>
      </w:r>
      <w:r>
        <w:rPr>
          <w:rFonts w:ascii="Calibri" w:hAnsi="Calibri" w:cs="Calibri"/>
          <w:bCs/>
          <w:sz w:val="24"/>
          <w:szCs w:val="24"/>
        </w:rPr>
        <w:t>– Pillars of TPM (</w:t>
      </w:r>
      <w:r>
        <w:rPr>
          <w:rFonts w:ascii="Calibri" w:hAnsi="Calibri" w:cs="Calibri"/>
          <w:sz w:val="24"/>
          <w:szCs w:val="24"/>
        </w:rPr>
        <w:t>Rajput, 2012</w:t>
      </w:r>
      <w:r>
        <w:rPr>
          <w:rFonts w:ascii="Calibri" w:hAnsi="Calibri" w:cs="Calibri"/>
          <w:bCs/>
          <w:sz w:val="24"/>
          <w:szCs w:val="24"/>
        </w:rPr>
        <w:t>) illustrates the basic pillars defining Total Production Maintenance.</w:t>
      </w:r>
    </w:p>
    <w:p w14:paraId="0FDC0F34" w14:textId="77777777" w:rsidR="003A71B6" w:rsidRDefault="003A71B6" w:rsidP="00B91AF7">
      <w:pPr>
        <w:spacing w:line="360" w:lineRule="auto"/>
        <w:jc w:val="both"/>
        <w:rPr>
          <w:rFonts w:ascii="Calibri" w:hAnsi="Calibri" w:cs="Calibri"/>
          <w:bCs/>
          <w:sz w:val="24"/>
          <w:szCs w:val="24"/>
        </w:rPr>
      </w:pPr>
    </w:p>
    <w:p w14:paraId="1AD31587" w14:textId="015687C1" w:rsidR="003A71B6" w:rsidRDefault="003A71B6" w:rsidP="00B91AF7">
      <w:pPr>
        <w:spacing w:line="360" w:lineRule="auto"/>
        <w:jc w:val="both"/>
        <w:rPr>
          <w:rFonts w:ascii="Calibri" w:hAnsi="Calibri" w:cs="Calibri"/>
          <w:bCs/>
          <w:sz w:val="24"/>
          <w:szCs w:val="24"/>
        </w:rPr>
      </w:pPr>
      <w:r>
        <w:rPr>
          <w:noProof/>
          <w14:ligatures w14:val="standardContextual"/>
        </w:rPr>
        <w:lastRenderedPageBreak/>
        <w:drawing>
          <wp:inline distT="0" distB="0" distL="0" distR="0" wp14:anchorId="6FA2989B" wp14:editId="69DBC8AA">
            <wp:extent cx="5731510" cy="2414905"/>
            <wp:effectExtent l="0" t="0" r="2540" b="4445"/>
            <wp:docPr id="236779321" name="Picture 1" descr="A diagram of a build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6779321" name="Picture 1" descr="A diagram of a building&#10;&#10;Description automatically generated"/>
                    <pic:cNvPicPr/>
                  </pic:nvPicPr>
                  <pic:blipFill>
                    <a:blip r:embed="rId9"/>
                    <a:stretch>
                      <a:fillRect/>
                    </a:stretch>
                  </pic:blipFill>
                  <pic:spPr>
                    <a:xfrm>
                      <a:off x="0" y="0"/>
                      <a:ext cx="5731510" cy="2414905"/>
                    </a:xfrm>
                    <a:prstGeom prst="rect">
                      <a:avLst/>
                    </a:prstGeom>
                  </pic:spPr>
                </pic:pic>
              </a:graphicData>
            </a:graphic>
          </wp:inline>
        </w:drawing>
      </w:r>
    </w:p>
    <w:p w14:paraId="06417D0C" w14:textId="2A75E756" w:rsidR="00455F25" w:rsidRDefault="00455F25" w:rsidP="00455F25">
      <w:pPr>
        <w:pStyle w:val="Caption"/>
        <w:jc w:val="center"/>
        <w:rPr>
          <w:rFonts w:ascii="Calibri" w:hAnsi="Calibri" w:cs="Calibri"/>
          <w:bCs/>
          <w:sz w:val="24"/>
          <w:szCs w:val="24"/>
        </w:rPr>
      </w:pPr>
      <w:bookmarkStart w:id="5" w:name="_Toc162600925"/>
      <w:r>
        <w:t xml:space="preserve">Figure </w:t>
      </w:r>
      <w:r>
        <w:fldChar w:fldCharType="begin"/>
      </w:r>
      <w:r>
        <w:instrText xml:space="preserve"> SEQ Figure \* ARABIC </w:instrText>
      </w:r>
      <w:r>
        <w:fldChar w:fldCharType="separate"/>
      </w:r>
      <w:r>
        <w:rPr>
          <w:noProof/>
        </w:rPr>
        <w:t>2</w:t>
      </w:r>
      <w:r>
        <w:fldChar w:fldCharType="end"/>
      </w:r>
      <w:r>
        <w:t>- Pillars of TPM</w:t>
      </w:r>
      <w:bookmarkEnd w:id="5"/>
    </w:p>
    <w:p w14:paraId="1F2A340E" w14:textId="7C11E680" w:rsidR="005336B9" w:rsidRPr="00845559" w:rsidRDefault="005336B9" w:rsidP="00845559">
      <w:pPr>
        <w:spacing w:line="278" w:lineRule="auto"/>
        <w:rPr>
          <w:rFonts w:ascii="Calibri" w:hAnsi="Calibri" w:cs="Calibri"/>
          <w:bCs/>
          <w:sz w:val="24"/>
          <w:szCs w:val="24"/>
        </w:rPr>
      </w:pPr>
      <w:r w:rsidRPr="00E9037C">
        <w:rPr>
          <w:rFonts w:ascii="Calibri" w:hAnsi="Calibri" w:cs="Calibri"/>
          <w:bCs/>
          <w:sz w:val="24"/>
          <w:szCs w:val="24"/>
        </w:rPr>
        <w:br w:type="page"/>
      </w:r>
    </w:p>
    <w:p w14:paraId="2F46BF22" w14:textId="744AD386" w:rsidR="006D0F10" w:rsidRDefault="006D0F10" w:rsidP="006D0F10">
      <w:pPr>
        <w:pStyle w:val="Heading1"/>
      </w:pPr>
      <w:bookmarkStart w:id="6" w:name="_Toc163379053"/>
      <w:r w:rsidRPr="006D0F10">
        <w:lastRenderedPageBreak/>
        <w:t>Assessment of the costs and resources needed for the proposed changes</w:t>
      </w:r>
      <w:bookmarkEnd w:id="6"/>
    </w:p>
    <w:p w14:paraId="7C3AEFE4" w14:textId="77777777" w:rsidR="00845559" w:rsidRPr="00845559" w:rsidRDefault="00845559" w:rsidP="00845559"/>
    <w:p w14:paraId="1A97693A" w14:textId="77777777" w:rsidR="003F6252" w:rsidRDefault="003F6252" w:rsidP="003F6252">
      <w:pPr>
        <w:jc w:val="both"/>
        <w:rPr>
          <w:rFonts w:ascii="Arial" w:hAnsi="Arial" w:cs="Arial"/>
          <w:b/>
          <w:color w:val="FF0000"/>
          <w:sz w:val="24"/>
          <w:szCs w:val="24"/>
        </w:rPr>
      </w:pPr>
    </w:p>
    <w:p w14:paraId="0BB1B944" w14:textId="77777777" w:rsidR="003F6252" w:rsidRPr="003F6252" w:rsidRDefault="003F6252" w:rsidP="00596942">
      <w:pPr>
        <w:spacing w:line="360" w:lineRule="auto"/>
        <w:jc w:val="both"/>
        <w:rPr>
          <w:rFonts w:ascii="Calibri" w:hAnsi="Calibri" w:cs="Calibri"/>
          <w:bCs/>
          <w:sz w:val="24"/>
          <w:szCs w:val="24"/>
        </w:rPr>
      </w:pPr>
      <w:r w:rsidRPr="003F6252">
        <w:rPr>
          <w:rFonts w:ascii="Calibri" w:hAnsi="Calibri" w:cs="Calibri"/>
          <w:bCs/>
          <w:sz w:val="24"/>
          <w:szCs w:val="24"/>
        </w:rPr>
        <w:t>According to Teixeira (2020), implementing condition-based maintenance entails an initial assessment to identify the equipment needed to monitor the condition of each machine effectively. This involves understanding the technological prerequisites for monitoring, which encompasses acquiring necessary tools, software, hardware, and associated training costs.</w:t>
      </w:r>
    </w:p>
    <w:p w14:paraId="239D9E10" w14:textId="423C5851" w:rsidR="003F6252" w:rsidRDefault="003F6252" w:rsidP="00596942">
      <w:pPr>
        <w:spacing w:line="360" w:lineRule="auto"/>
        <w:jc w:val="both"/>
        <w:rPr>
          <w:rFonts w:ascii="Calibri" w:hAnsi="Calibri" w:cs="Calibri"/>
          <w:bCs/>
          <w:sz w:val="24"/>
          <w:szCs w:val="24"/>
        </w:rPr>
      </w:pPr>
      <w:r w:rsidRPr="003F6252">
        <w:rPr>
          <w:rFonts w:ascii="Calibri" w:hAnsi="Calibri" w:cs="Calibri"/>
          <w:bCs/>
          <w:sz w:val="24"/>
          <w:szCs w:val="24"/>
        </w:rPr>
        <w:t>Before integrating condition-based maintenance, a comprehensive analysis of all factors, including incurred costs and anticipated savings from the new system, is imperative.</w:t>
      </w:r>
    </w:p>
    <w:p w14:paraId="663A84A0" w14:textId="77777777" w:rsidR="007D4B71" w:rsidRPr="007D4B71" w:rsidRDefault="007D4B71" w:rsidP="00596942">
      <w:pPr>
        <w:spacing w:line="360" w:lineRule="auto"/>
        <w:jc w:val="both"/>
        <w:rPr>
          <w:rFonts w:ascii="Calibri" w:hAnsi="Calibri" w:cs="Calibri"/>
          <w:bCs/>
          <w:sz w:val="24"/>
          <w:szCs w:val="24"/>
        </w:rPr>
      </w:pPr>
      <w:r w:rsidRPr="007D4B71">
        <w:rPr>
          <w:rFonts w:ascii="Calibri" w:hAnsi="Calibri" w:cs="Calibri"/>
          <w:bCs/>
          <w:sz w:val="24"/>
          <w:szCs w:val="24"/>
        </w:rPr>
        <w:t>Utilizing a cost-benefit analysis serves as an effective approach to assess the feasibility of introducing the condition-based maintenance system.</w:t>
      </w:r>
    </w:p>
    <w:p w14:paraId="6DFECF01" w14:textId="77777777" w:rsidR="007D4B71" w:rsidRPr="007D4B71" w:rsidRDefault="007D4B71" w:rsidP="00596942">
      <w:pPr>
        <w:spacing w:line="360" w:lineRule="auto"/>
        <w:jc w:val="both"/>
        <w:rPr>
          <w:rFonts w:ascii="Calibri" w:hAnsi="Calibri" w:cs="Calibri"/>
          <w:bCs/>
          <w:sz w:val="24"/>
          <w:szCs w:val="24"/>
        </w:rPr>
      </w:pPr>
    </w:p>
    <w:p w14:paraId="1213EBF2" w14:textId="57417FD7" w:rsidR="00BA563A" w:rsidRPr="00BA563A" w:rsidRDefault="00BA563A" w:rsidP="00596942">
      <w:pPr>
        <w:spacing w:line="360" w:lineRule="auto"/>
        <w:jc w:val="both"/>
        <w:rPr>
          <w:rFonts w:ascii="Calibri" w:hAnsi="Calibri" w:cs="Calibri"/>
          <w:bCs/>
          <w:sz w:val="24"/>
          <w:szCs w:val="24"/>
        </w:rPr>
      </w:pPr>
      <w:r w:rsidRPr="00BA563A">
        <w:rPr>
          <w:rFonts w:ascii="Calibri" w:hAnsi="Calibri" w:cs="Calibri"/>
          <w:bCs/>
          <w:sz w:val="24"/>
          <w:szCs w:val="24"/>
        </w:rPr>
        <w:t xml:space="preserve">The cost and benefit analysis findings are presented in Table 1. The analysis encompassed the calculation of the required vibration monitoring system for four extraction systems, inclusive of </w:t>
      </w:r>
      <w:r w:rsidR="003B4D82">
        <w:rPr>
          <w:rFonts w:ascii="Calibri" w:hAnsi="Calibri" w:cs="Calibri"/>
          <w:bCs/>
          <w:sz w:val="24"/>
          <w:szCs w:val="24"/>
        </w:rPr>
        <w:t>a</w:t>
      </w:r>
      <w:r w:rsidRPr="00BA563A">
        <w:rPr>
          <w:rFonts w:ascii="Calibri" w:hAnsi="Calibri" w:cs="Calibri"/>
          <w:bCs/>
          <w:sz w:val="24"/>
          <w:szCs w:val="24"/>
        </w:rPr>
        <w:t xml:space="preserve"> backup extraction system.</w:t>
      </w:r>
    </w:p>
    <w:p w14:paraId="214F64C7" w14:textId="77777777" w:rsidR="00BA563A" w:rsidRPr="00BA563A" w:rsidRDefault="00BA563A" w:rsidP="00596942">
      <w:pPr>
        <w:spacing w:line="360" w:lineRule="auto"/>
        <w:jc w:val="both"/>
        <w:rPr>
          <w:rFonts w:ascii="Calibri" w:hAnsi="Calibri" w:cs="Calibri"/>
          <w:bCs/>
          <w:sz w:val="24"/>
          <w:szCs w:val="24"/>
        </w:rPr>
      </w:pPr>
    </w:p>
    <w:p w14:paraId="7DD9F32A" w14:textId="4FE2EE6E" w:rsidR="00BA563A" w:rsidRPr="00BA563A" w:rsidRDefault="00BA563A" w:rsidP="00596942">
      <w:pPr>
        <w:spacing w:line="360" w:lineRule="auto"/>
        <w:jc w:val="both"/>
        <w:rPr>
          <w:rFonts w:ascii="Calibri" w:hAnsi="Calibri" w:cs="Calibri"/>
          <w:bCs/>
          <w:sz w:val="24"/>
          <w:szCs w:val="24"/>
        </w:rPr>
      </w:pPr>
      <w:r w:rsidRPr="00BA563A">
        <w:rPr>
          <w:rFonts w:ascii="Calibri" w:hAnsi="Calibri" w:cs="Calibri"/>
          <w:bCs/>
          <w:sz w:val="24"/>
          <w:szCs w:val="24"/>
        </w:rPr>
        <w:t xml:space="preserve">The costs associated with vibration monitoring include the procurement and installation of vibration sensors, acquisition of computers and hardware, software licenses, and employee training—considered as non-recurring costs. The total non-recurring costs for vibration monitoring amount to £41,100. Recurring costs, covering ongoing operation, comprise calibration expenses, software updates, equipment maintenance costs (including spare parts and </w:t>
      </w:r>
      <w:r w:rsidR="00FD2F54" w:rsidRPr="00BA563A">
        <w:rPr>
          <w:rFonts w:ascii="Calibri" w:hAnsi="Calibri" w:cs="Calibri"/>
          <w:bCs/>
          <w:sz w:val="24"/>
          <w:szCs w:val="24"/>
        </w:rPr>
        <w:t>labour</w:t>
      </w:r>
      <w:r w:rsidRPr="00BA563A">
        <w:rPr>
          <w:rFonts w:ascii="Calibri" w:hAnsi="Calibri" w:cs="Calibri"/>
          <w:bCs/>
          <w:sz w:val="24"/>
          <w:szCs w:val="24"/>
        </w:rPr>
        <w:t xml:space="preserve">), and data collection and analysis, </w:t>
      </w:r>
      <w:r w:rsidR="00FD2F54" w:rsidRPr="00BA563A">
        <w:rPr>
          <w:rFonts w:ascii="Calibri" w:hAnsi="Calibri" w:cs="Calibri"/>
          <w:bCs/>
          <w:sz w:val="24"/>
          <w:szCs w:val="24"/>
        </w:rPr>
        <w:t>totalling</w:t>
      </w:r>
      <w:r w:rsidRPr="00BA563A">
        <w:rPr>
          <w:rFonts w:ascii="Calibri" w:hAnsi="Calibri" w:cs="Calibri"/>
          <w:bCs/>
          <w:sz w:val="24"/>
          <w:szCs w:val="24"/>
        </w:rPr>
        <w:t xml:space="preserve"> £21,000 in the initial year, with a subsequent 4% annual increase factoring in inflation.</w:t>
      </w:r>
    </w:p>
    <w:p w14:paraId="2D52A066" w14:textId="77777777" w:rsidR="00BA563A" w:rsidRPr="00BA563A" w:rsidRDefault="00BA563A" w:rsidP="00596942">
      <w:pPr>
        <w:spacing w:line="360" w:lineRule="auto"/>
        <w:jc w:val="both"/>
        <w:rPr>
          <w:rFonts w:ascii="Calibri" w:hAnsi="Calibri" w:cs="Calibri"/>
          <w:bCs/>
          <w:sz w:val="24"/>
          <w:szCs w:val="24"/>
        </w:rPr>
      </w:pPr>
    </w:p>
    <w:p w14:paraId="55E0328F" w14:textId="6650813D" w:rsidR="00BA563A" w:rsidRPr="00BA563A" w:rsidRDefault="00BA563A" w:rsidP="00596942">
      <w:pPr>
        <w:spacing w:line="360" w:lineRule="auto"/>
        <w:jc w:val="both"/>
        <w:rPr>
          <w:rFonts w:ascii="Calibri" w:hAnsi="Calibri" w:cs="Calibri"/>
          <w:bCs/>
          <w:sz w:val="24"/>
          <w:szCs w:val="24"/>
        </w:rPr>
      </w:pPr>
      <w:r w:rsidRPr="00BA563A">
        <w:rPr>
          <w:rFonts w:ascii="Calibri" w:hAnsi="Calibri" w:cs="Calibri"/>
          <w:bCs/>
          <w:sz w:val="24"/>
          <w:szCs w:val="24"/>
        </w:rPr>
        <w:t xml:space="preserve">The one-time expense for </w:t>
      </w:r>
      <w:r w:rsidR="003B4D82">
        <w:rPr>
          <w:rFonts w:ascii="Calibri" w:hAnsi="Calibri" w:cs="Calibri"/>
          <w:bCs/>
          <w:sz w:val="24"/>
          <w:szCs w:val="24"/>
        </w:rPr>
        <w:t>one</w:t>
      </w:r>
      <w:r w:rsidRPr="00BA563A">
        <w:rPr>
          <w:rFonts w:ascii="Calibri" w:hAnsi="Calibri" w:cs="Calibri"/>
          <w:bCs/>
          <w:sz w:val="24"/>
          <w:szCs w:val="24"/>
        </w:rPr>
        <w:t xml:space="preserve"> backup extraction system, encompassing risk assessment, machine procurement, and installation costs, totals £</w:t>
      </w:r>
      <w:r w:rsidR="003B4D82">
        <w:rPr>
          <w:rFonts w:ascii="Calibri" w:hAnsi="Calibri" w:cs="Calibri"/>
          <w:bCs/>
          <w:sz w:val="24"/>
          <w:szCs w:val="24"/>
        </w:rPr>
        <w:t>79</w:t>
      </w:r>
      <w:r w:rsidRPr="00BA563A">
        <w:rPr>
          <w:rFonts w:ascii="Calibri" w:hAnsi="Calibri" w:cs="Calibri"/>
          <w:bCs/>
          <w:sz w:val="24"/>
          <w:szCs w:val="24"/>
        </w:rPr>
        <w:t xml:space="preserve">,000. Associated recurring costs, primarily maintenance costs incorporating parts and </w:t>
      </w:r>
      <w:r w:rsidR="00FD2F54" w:rsidRPr="00BA563A">
        <w:rPr>
          <w:rFonts w:ascii="Calibri" w:hAnsi="Calibri" w:cs="Calibri"/>
          <w:bCs/>
          <w:sz w:val="24"/>
          <w:szCs w:val="24"/>
        </w:rPr>
        <w:t>labour</w:t>
      </w:r>
      <w:r w:rsidRPr="00BA563A">
        <w:rPr>
          <w:rFonts w:ascii="Calibri" w:hAnsi="Calibri" w:cs="Calibri"/>
          <w:bCs/>
          <w:sz w:val="24"/>
          <w:szCs w:val="24"/>
        </w:rPr>
        <w:t>, are estimated at £</w:t>
      </w:r>
      <w:r w:rsidR="003B4D82">
        <w:rPr>
          <w:rFonts w:ascii="Calibri" w:hAnsi="Calibri" w:cs="Calibri"/>
          <w:bCs/>
          <w:sz w:val="24"/>
          <w:szCs w:val="24"/>
        </w:rPr>
        <w:t>1</w:t>
      </w:r>
      <w:r w:rsidRPr="00BA563A">
        <w:rPr>
          <w:rFonts w:ascii="Calibri" w:hAnsi="Calibri" w:cs="Calibri"/>
          <w:bCs/>
          <w:sz w:val="24"/>
          <w:szCs w:val="24"/>
        </w:rPr>
        <w:t>8,000.</w:t>
      </w:r>
    </w:p>
    <w:p w14:paraId="1500790F" w14:textId="77777777" w:rsidR="00BA563A" w:rsidRPr="00BA563A" w:rsidRDefault="00BA563A" w:rsidP="00596942">
      <w:pPr>
        <w:spacing w:line="360" w:lineRule="auto"/>
        <w:jc w:val="both"/>
        <w:rPr>
          <w:rFonts w:ascii="Calibri" w:hAnsi="Calibri" w:cs="Calibri"/>
          <w:bCs/>
          <w:sz w:val="24"/>
          <w:szCs w:val="24"/>
        </w:rPr>
      </w:pPr>
    </w:p>
    <w:p w14:paraId="4E30F782" w14:textId="264C35CE" w:rsidR="00BA563A" w:rsidRPr="00BA563A" w:rsidRDefault="00BA563A" w:rsidP="00596942">
      <w:pPr>
        <w:spacing w:line="360" w:lineRule="auto"/>
        <w:jc w:val="both"/>
        <w:rPr>
          <w:rFonts w:ascii="Calibri" w:hAnsi="Calibri" w:cs="Calibri"/>
          <w:bCs/>
          <w:sz w:val="24"/>
          <w:szCs w:val="24"/>
        </w:rPr>
      </w:pPr>
      <w:r w:rsidRPr="00BA563A">
        <w:rPr>
          <w:rFonts w:ascii="Calibri" w:hAnsi="Calibri" w:cs="Calibri"/>
          <w:bCs/>
          <w:sz w:val="24"/>
          <w:szCs w:val="24"/>
        </w:rPr>
        <w:t>Thus, the total setup cost is £1</w:t>
      </w:r>
      <w:r w:rsidR="003B4D82">
        <w:rPr>
          <w:rFonts w:ascii="Calibri" w:hAnsi="Calibri" w:cs="Calibri"/>
          <w:bCs/>
          <w:sz w:val="24"/>
          <w:szCs w:val="24"/>
        </w:rPr>
        <w:t>2</w:t>
      </w:r>
      <w:r w:rsidRPr="00BA563A">
        <w:rPr>
          <w:rFonts w:ascii="Calibri" w:hAnsi="Calibri" w:cs="Calibri"/>
          <w:bCs/>
          <w:sz w:val="24"/>
          <w:szCs w:val="24"/>
        </w:rPr>
        <w:t>0,100, with recurring costs in the first year amounting to £</w:t>
      </w:r>
      <w:r w:rsidR="003B4D82">
        <w:rPr>
          <w:rFonts w:ascii="Calibri" w:hAnsi="Calibri" w:cs="Calibri"/>
          <w:bCs/>
          <w:sz w:val="24"/>
          <w:szCs w:val="24"/>
        </w:rPr>
        <w:t>3</w:t>
      </w:r>
      <w:r w:rsidRPr="00BA563A">
        <w:rPr>
          <w:rFonts w:ascii="Calibri" w:hAnsi="Calibri" w:cs="Calibri"/>
          <w:bCs/>
          <w:sz w:val="24"/>
          <w:szCs w:val="24"/>
        </w:rPr>
        <w:t>9,000.</w:t>
      </w:r>
    </w:p>
    <w:p w14:paraId="479425DF" w14:textId="77777777" w:rsidR="00BA563A" w:rsidRPr="00BA563A" w:rsidRDefault="00BA563A" w:rsidP="00BA563A">
      <w:pPr>
        <w:spacing w:line="360" w:lineRule="auto"/>
        <w:rPr>
          <w:rFonts w:ascii="Calibri" w:hAnsi="Calibri" w:cs="Calibri"/>
          <w:bCs/>
          <w:sz w:val="24"/>
          <w:szCs w:val="24"/>
        </w:rPr>
      </w:pPr>
    </w:p>
    <w:p w14:paraId="7B49E104" w14:textId="3452B29C" w:rsidR="007267B3" w:rsidRDefault="00BA563A" w:rsidP="00596942">
      <w:pPr>
        <w:spacing w:line="360" w:lineRule="auto"/>
        <w:jc w:val="both"/>
        <w:rPr>
          <w:rFonts w:ascii="Calibri" w:hAnsi="Calibri" w:cs="Calibri"/>
          <w:bCs/>
          <w:sz w:val="24"/>
          <w:szCs w:val="24"/>
        </w:rPr>
      </w:pPr>
      <w:r w:rsidRPr="00BA563A">
        <w:rPr>
          <w:rFonts w:ascii="Calibri" w:hAnsi="Calibri" w:cs="Calibri"/>
          <w:bCs/>
          <w:sz w:val="24"/>
          <w:szCs w:val="24"/>
        </w:rPr>
        <w:lastRenderedPageBreak/>
        <w:t>The cumulative benefits from the vibration monitoring system and the backup extraction systems are set at £</w:t>
      </w:r>
      <w:r w:rsidR="003B4D82">
        <w:rPr>
          <w:rFonts w:ascii="Calibri" w:hAnsi="Calibri" w:cs="Calibri"/>
          <w:bCs/>
          <w:sz w:val="24"/>
          <w:szCs w:val="24"/>
        </w:rPr>
        <w:t>19</w:t>
      </w:r>
      <w:r w:rsidRPr="00BA563A">
        <w:rPr>
          <w:rFonts w:ascii="Calibri" w:hAnsi="Calibri" w:cs="Calibri"/>
          <w:bCs/>
          <w:sz w:val="24"/>
          <w:szCs w:val="24"/>
        </w:rPr>
        <w:t xml:space="preserve">0,000, primarily driven by the mitigation of sudden fan failures. Considering a daily downtime cost of £5,000 per plasma booth and the simultaneous failure scenario involving all </w:t>
      </w:r>
      <w:r w:rsidR="003B4D82">
        <w:rPr>
          <w:rFonts w:ascii="Calibri" w:hAnsi="Calibri" w:cs="Calibri"/>
          <w:bCs/>
          <w:sz w:val="24"/>
          <w:szCs w:val="24"/>
        </w:rPr>
        <w:t>two</w:t>
      </w:r>
      <w:r w:rsidRPr="00BA563A">
        <w:rPr>
          <w:rFonts w:ascii="Calibri" w:hAnsi="Calibri" w:cs="Calibri"/>
          <w:bCs/>
          <w:sz w:val="24"/>
          <w:szCs w:val="24"/>
        </w:rPr>
        <w:t xml:space="preserve"> plasma booths, the shutdown cost was calculated over a two-week lead time.</w:t>
      </w:r>
    </w:p>
    <w:p w14:paraId="724C5BE9" w14:textId="77777777" w:rsidR="00BA563A" w:rsidRDefault="00BA563A" w:rsidP="00BA563A">
      <w:pPr>
        <w:spacing w:line="360" w:lineRule="auto"/>
        <w:rPr>
          <w:rFonts w:ascii="Calibri" w:hAnsi="Calibri" w:cs="Calibri"/>
          <w:bCs/>
          <w:sz w:val="24"/>
          <w:szCs w:val="24"/>
        </w:rPr>
      </w:pPr>
    </w:p>
    <w:p w14:paraId="22005307" w14:textId="7E51D1E5" w:rsidR="00F71699" w:rsidRDefault="00F71699" w:rsidP="00C948CF">
      <w:pPr>
        <w:spacing w:line="360" w:lineRule="auto"/>
        <w:jc w:val="center"/>
        <w:rPr>
          <w:rFonts w:ascii="Calibri" w:hAnsi="Calibri" w:cs="Calibri"/>
          <w:bCs/>
          <w:sz w:val="24"/>
          <w:szCs w:val="24"/>
        </w:rPr>
      </w:pPr>
      <w:r>
        <w:rPr>
          <w:noProof/>
          <w14:ligatures w14:val="standardContextual"/>
        </w:rPr>
        <w:drawing>
          <wp:inline distT="0" distB="0" distL="0" distR="0" wp14:anchorId="4D917885" wp14:editId="1D3316D1">
            <wp:extent cx="5731510" cy="5376545"/>
            <wp:effectExtent l="0" t="0" r="2540" b="0"/>
            <wp:docPr id="540233421" name="Picture 1" descr="A table of cost calculation&#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0233421" name="Picture 1" descr="A table of cost calculation&#10;&#10;Description automatically generated with medium confidence"/>
                    <pic:cNvPicPr/>
                  </pic:nvPicPr>
                  <pic:blipFill>
                    <a:blip r:embed="rId10"/>
                    <a:stretch>
                      <a:fillRect/>
                    </a:stretch>
                  </pic:blipFill>
                  <pic:spPr>
                    <a:xfrm>
                      <a:off x="0" y="0"/>
                      <a:ext cx="5731510" cy="5376545"/>
                    </a:xfrm>
                    <a:prstGeom prst="rect">
                      <a:avLst/>
                    </a:prstGeom>
                  </pic:spPr>
                </pic:pic>
              </a:graphicData>
            </a:graphic>
          </wp:inline>
        </w:drawing>
      </w:r>
    </w:p>
    <w:p w14:paraId="6358543E" w14:textId="44AFEE08" w:rsidR="007D4B71" w:rsidRPr="007D4B71" w:rsidRDefault="0087102E" w:rsidP="007267B3">
      <w:pPr>
        <w:pStyle w:val="Caption"/>
        <w:jc w:val="center"/>
        <w:rPr>
          <w:rFonts w:ascii="Calibri" w:hAnsi="Calibri" w:cs="Calibri"/>
          <w:bCs/>
          <w:sz w:val="24"/>
          <w:szCs w:val="24"/>
        </w:rPr>
      </w:pPr>
      <w:r>
        <w:rPr>
          <w:noProof/>
          <w14:ligatures w14:val="standardContextual"/>
        </w:rPr>
        <w:t xml:space="preserve"> </w:t>
      </w:r>
      <w:bookmarkStart w:id="7" w:name="_Toc163379088"/>
      <w:r w:rsidR="007267B3">
        <w:t xml:space="preserve">Table </w:t>
      </w:r>
      <w:r w:rsidR="007267B3">
        <w:fldChar w:fldCharType="begin"/>
      </w:r>
      <w:r w:rsidR="007267B3">
        <w:instrText xml:space="preserve"> SEQ Table \* ARABIC </w:instrText>
      </w:r>
      <w:r w:rsidR="007267B3">
        <w:fldChar w:fldCharType="separate"/>
      </w:r>
      <w:r w:rsidR="00B96F2E">
        <w:rPr>
          <w:noProof/>
        </w:rPr>
        <w:t>1</w:t>
      </w:r>
      <w:r w:rsidR="007267B3">
        <w:fldChar w:fldCharType="end"/>
      </w:r>
      <w:r w:rsidR="007267B3">
        <w:t xml:space="preserve"> </w:t>
      </w:r>
      <w:r w:rsidR="000861C1">
        <w:t>–</w:t>
      </w:r>
      <w:r w:rsidR="007267B3">
        <w:t xml:space="preserve"> </w:t>
      </w:r>
      <w:r w:rsidR="000861C1">
        <w:t>Detailed c</w:t>
      </w:r>
      <w:r w:rsidR="007267B3">
        <w:t>ost and benefit analysis</w:t>
      </w:r>
      <w:r w:rsidR="00241CEF">
        <w:t xml:space="preserve"> ‘A’</w:t>
      </w:r>
      <w:bookmarkEnd w:id="7"/>
    </w:p>
    <w:p w14:paraId="4EA4CA87" w14:textId="77777777" w:rsidR="007D4B71" w:rsidRPr="007D4B71" w:rsidRDefault="007D4B71" w:rsidP="007D4B71">
      <w:pPr>
        <w:spacing w:line="360" w:lineRule="auto"/>
        <w:jc w:val="both"/>
        <w:rPr>
          <w:rFonts w:ascii="Calibri" w:hAnsi="Calibri" w:cs="Calibri"/>
          <w:bCs/>
          <w:sz w:val="24"/>
          <w:szCs w:val="24"/>
        </w:rPr>
      </w:pPr>
    </w:p>
    <w:p w14:paraId="648CB8FA" w14:textId="7ABDBC68" w:rsidR="00BA563A" w:rsidRPr="00BA563A" w:rsidRDefault="00BA563A" w:rsidP="00BA563A">
      <w:pPr>
        <w:spacing w:line="360" w:lineRule="auto"/>
        <w:jc w:val="both"/>
        <w:rPr>
          <w:rFonts w:ascii="Calibri" w:hAnsi="Calibri" w:cs="Calibri"/>
          <w:bCs/>
          <w:sz w:val="24"/>
          <w:szCs w:val="24"/>
        </w:rPr>
      </w:pPr>
      <w:r w:rsidRPr="00BA563A">
        <w:rPr>
          <w:rFonts w:ascii="Calibri" w:hAnsi="Calibri" w:cs="Calibri"/>
          <w:bCs/>
          <w:sz w:val="24"/>
          <w:szCs w:val="24"/>
        </w:rPr>
        <w:t>Table 2 provides a condensed overview of the cost and benefit analysis results, indicating a net benefit of £</w:t>
      </w:r>
      <w:r w:rsidR="003B4D82">
        <w:rPr>
          <w:rFonts w:ascii="Calibri" w:hAnsi="Calibri" w:cs="Calibri"/>
          <w:bCs/>
          <w:sz w:val="24"/>
          <w:szCs w:val="24"/>
        </w:rPr>
        <w:t>31,0</w:t>
      </w:r>
      <w:r w:rsidRPr="00BA563A">
        <w:rPr>
          <w:rFonts w:ascii="Calibri" w:hAnsi="Calibri" w:cs="Calibri"/>
          <w:bCs/>
          <w:sz w:val="24"/>
          <w:szCs w:val="24"/>
        </w:rPr>
        <w:t>00 for the first year.</w:t>
      </w:r>
    </w:p>
    <w:p w14:paraId="05A13660" w14:textId="77777777" w:rsidR="00BA563A" w:rsidRPr="00BA563A" w:rsidRDefault="00BA563A" w:rsidP="00BA563A">
      <w:pPr>
        <w:spacing w:line="360" w:lineRule="auto"/>
        <w:jc w:val="both"/>
        <w:rPr>
          <w:rFonts w:ascii="Calibri" w:hAnsi="Calibri" w:cs="Calibri"/>
          <w:bCs/>
          <w:sz w:val="24"/>
          <w:szCs w:val="24"/>
        </w:rPr>
      </w:pPr>
    </w:p>
    <w:p w14:paraId="22FA8E7D" w14:textId="0CD10620" w:rsidR="007D4B71" w:rsidRPr="007D4B71" w:rsidRDefault="00BA563A" w:rsidP="00BA563A">
      <w:pPr>
        <w:spacing w:line="360" w:lineRule="auto"/>
        <w:jc w:val="both"/>
        <w:rPr>
          <w:rFonts w:ascii="Calibri" w:hAnsi="Calibri" w:cs="Calibri"/>
          <w:bCs/>
          <w:sz w:val="24"/>
          <w:szCs w:val="24"/>
        </w:rPr>
      </w:pPr>
      <w:r w:rsidRPr="00BA563A">
        <w:rPr>
          <w:rFonts w:ascii="Calibri" w:hAnsi="Calibri" w:cs="Calibri"/>
          <w:bCs/>
          <w:sz w:val="24"/>
          <w:szCs w:val="24"/>
        </w:rPr>
        <w:lastRenderedPageBreak/>
        <w:t>Furthermore, the cost and benefit ratio—derived from the quotient of all benefits to all costs—stands at 1.</w:t>
      </w:r>
      <w:r w:rsidR="003B4D82">
        <w:rPr>
          <w:rFonts w:ascii="Calibri" w:hAnsi="Calibri" w:cs="Calibri"/>
          <w:bCs/>
          <w:sz w:val="24"/>
          <w:szCs w:val="24"/>
        </w:rPr>
        <w:t>19</w:t>
      </w:r>
      <w:r w:rsidRPr="00BA563A">
        <w:rPr>
          <w:rFonts w:ascii="Calibri" w:hAnsi="Calibri" w:cs="Calibri"/>
          <w:bCs/>
          <w:sz w:val="24"/>
          <w:szCs w:val="24"/>
        </w:rPr>
        <w:t>, affirming the project's viability for implementation.</w:t>
      </w:r>
    </w:p>
    <w:p w14:paraId="687F84C1" w14:textId="77777777" w:rsidR="007D4B71" w:rsidRDefault="007D4B71" w:rsidP="003F6252">
      <w:pPr>
        <w:spacing w:line="360" w:lineRule="auto"/>
        <w:jc w:val="both"/>
        <w:rPr>
          <w:rFonts w:ascii="Calibri" w:hAnsi="Calibri" w:cs="Calibri"/>
          <w:bCs/>
          <w:sz w:val="24"/>
          <w:szCs w:val="24"/>
        </w:rPr>
      </w:pPr>
    </w:p>
    <w:p w14:paraId="409714B2" w14:textId="4BD1C990" w:rsidR="000861C1" w:rsidRDefault="00BE74AA" w:rsidP="00BE74AA">
      <w:pPr>
        <w:spacing w:line="360" w:lineRule="auto"/>
        <w:jc w:val="center"/>
        <w:rPr>
          <w:rFonts w:ascii="Calibri" w:hAnsi="Calibri" w:cs="Calibri"/>
          <w:bCs/>
          <w:sz w:val="24"/>
          <w:szCs w:val="24"/>
        </w:rPr>
      </w:pPr>
      <w:r>
        <w:rPr>
          <w:noProof/>
          <w14:ligatures w14:val="standardContextual"/>
        </w:rPr>
        <w:drawing>
          <wp:inline distT="0" distB="0" distL="0" distR="0" wp14:anchorId="4A2E65AA" wp14:editId="4F090D13">
            <wp:extent cx="5731510" cy="2741295"/>
            <wp:effectExtent l="0" t="0" r="2540" b="1905"/>
            <wp:docPr id="2067425853" name="Picture 1"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7425853" name="Picture 1" descr="A screenshot of a graph&#10;&#10;Description automatically generated"/>
                    <pic:cNvPicPr/>
                  </pic:nvPicPr>
                  <pic:blipFill>
                    <a:blip r:embed="rId11"/>
                    <a:stretch>
                      <a:fillRect/>
                    </a:stretch>
                  </pic:blipFill>
                  <pic:spPr>
                    <a:xfrm>
                      <a:off x="0" y="0"/>
                      <a:ext cx="5731510" cy="2741295"/>
                    </a:xfrm>
                    <a:prstGeom prst="rect">
                      <a:avLst/>
                    </a:prstGeom>
                  </pic:spPr>
                </pic:pic>
              </a:graphicData>
            </a:graphic>
          </wp:inline>
        </w:drawing>
      </w:r>
    </w:p>
    <w:p w14:paraId="02948A9C" w14:textId="4FA1F047" w:rsidR="000861C1" w:rsidRDefault="000861C1" w:rsidP="000861C1">
      <w:pPr>
        <w:pStyle w:val="Caption"/>
        <w:spacing w:after="0"/>
        <w:jc w:val="center"/>
        <w:rPr>
          <w:rFonts w:ascii="Calibri" w:hAnsi="Calibri" w:cs="Calibri"/>
          <w:bCs/>
          <w:sz w:val="24"/>
          <w:szCs w:val="24"/>
        </w:rPr>
      </w:pPr>
      <w:bookmarkStart w:id="8" w:name="_Toc163379089"/>
      <w:r>
        <w:t xml:space="preserve">Table </w:t>
      </w:r>
      <w:r>
        <w:fldChar w:fldCharType="begin"/>
      </w:r>
      <w:r>
        <w:instrText xml:space="preserve"> SEQ Table \* ARABIC </w:instrText>
      </w:r>
      <w:r>
        <w:fldChar w:fldCharType="separate"/>
      </w:r>
      <w:r w:rsidR="00B96F2E">
        <w:rPr>
          <w:noProof/>
        </w:rPr>
        <w:t>2</w:t>
      </w:r>
      <w:r>
        <w:fldChar w:fldCharType="end"/>
      </w:r>
      <w:r>
        <w:t xml:space="preserve"> - Summary of Cost and Benefit analysis</w:t>
      </w:r>
      <w:r w:rsidR="00241CEF">
        <w:t xml:space="preserve"> ‘A’</w:t>
      </w:r>
      <w:bookmarkEnd w:id="8"/>
    </w:p>
    <w:p w14:paraId="0EA4B23D" w14:textId="77777777" w:rsidR="005336B9" w:rsidRDefault="005336B9" w:rsidP="005336B9">
      <w:pPr>
        <w:jc w:val="both"/>
        <w:rPr>
          <w:rFonts w:ascii="Calibri" w:hAnsi="Calibri" w:cs="Calibri"/>
          <w:bCs/>
          <w:sz w:val="24"/>
          <w:szCs w:val="24"/>
        </w:rPr>
      </w:pPr>
    </w:p>
    <w:p w14:paraId="7C41B967" w14:textId="77777777" w:rsidR="003778E8" w:rsidRDefault="003778E8" w:rsidP="005336B9">
      <w:pPr>
        <w:jc w:val="both"/>
        <w:rPr>
          <w:rFonts w:ascii="Calibri" w:hAnsi="Calibri" w:cs="Calibri"/>
          <w:bCs/>
          <w:sz w:val="24"/>
          <w:szCs w:val="24"/>
        </w:rPr>
      </w:pPr>
    </w:p>
    <w:p w14:paraId="7D81D240" w14:textId="77777777" w:rsidR="00DC310E" w:rsidRPr="00DC310E" w:rsidRDefault="00DC310E" w:rsidP="00DC310E">
      <w:pPr>
        <w:spacing w:line="360" w:lineRule="auto"/>
        <w:jc w:val="both"/>
        <w:rPr>
          <w:rFonts w:ascii="Calibri" w:hAnsi="Calibri" w:cs="Calibri"/>
          <w:bCs/>
          <w:sz w:val="24"/>
          <w:szCs w:val="24"/>
        </w:rPr>
      </w:pPr>
      <w:r w:rsidRPr="00DC310E">
        <w:rPr>
          <w:rFonts w:ascii="Calibri" w:hAnsi="Calibri" w:cs="Calibri"/>
          <w:bCs/>
          <w:sz w:val="24"/>
          <w:szCs w:val="24"/>
        </w:rPr>
        <w:t>Table 3 outlines the scenario wherein vibration monitoring is implemented alongside maintaining a spare fan set in stock for immediate repair in case of unexpected breakdowns. The initial cost for the spare fan set in the first year amounts to £10,000, covering both procurement and installation, with an annual increase of 4% to account for inflation. However, if the spare fan set remains unused, the annual purchase cost diminishes. Meanwhile, the non-recurring cost for all vibration monitoring remains constant at £41,100. Consequently, the combined cost for vibration monitoring and the spare fan set totals £72,100 annually.</w:t>
      </w:r>
    </w:p>
    <w:p w14:paraId="786BD131" w14:textId="77777777" w:rsidR="00DC310E" w:rsidRPr="00DC310E" w:rsidRDefault="00DC310E" w:rsidP="00DC310E">
      <w:pPr>
        <w:spacing w:line="360" w:lineRule="auto"/>
        <w:jc w:val="both"/>
        <w:rPr>
          <w:rFonts w:ascii="Calibri" w:hAnsi="Calibri" w:cs="Calibri"/>
          <w:bCs/>
          <w:sz w:val="24"/>
          <w:szCs w:val="24"/>
        </w:rPr>
      </w:pPr>
    </w:p>
    <w:p w14:paraId="4A3ECCC8" w14:textId="5B452D06" w:rsidR="003778E8" w:rsidRDefault="00DC310E" w:rsidP="00DC310E">
      <w:pPr>
        <w:spacing w:line="360" w:lineRule="auto"/>
        <w:jc w:val="both"/>
        <w:rPr>
          <w:rFonts w:ascii="Calibri" w:hAnsi="Calibri" w:cs="Calibri"/>
          <w:bCs/>
          <w:sz w:val="24"/>
          <w:szCs w:val="24"/>
        </w:rPr>
      </w:pPr>
      <w:r w:rsidRPr="00DC310E">
        <w:rPr>
          <w:rFonts w:ascii="Calibri" w:hAnsi="Calibri" w:cs="Calibri"/>
          <w:bCs/>
          <w:sz w:val="24"/>
          <w:szCs w:val="24"/>
        </w:rPr>
        <w:t xml:space="preserve">The benefits accrued remain consistent with the values presented in Table 1, </w:t>
      </w:r>
      <w:proofErr w:type="spellStart"/>
      <w:r w:rsidRPr="00DC310E">
        <w:rPr>
          <w:rFonts w:ascii="Calibri" w:hAnsi="Calibri" w:cs="Calibri"/>
          <w:bCs/>
          <w:sz w:val="24"/>
          <w:szCs w:val="24"/>
        </w:rPr>
        <w:t>totaling</w:t>
      </w:r>
      <w:proofErr w:type="spellEnd"/>
      <w:r w:rsidRPr="00DC310E">
        <w:rPr>
          <w:rFonts w:ascii="Calibri" w:hAnsi="Calibri" w:cs="Calibri"/>
          <w:bCs/>
          <w:sz w:val="24"/>
          <w:szCs w:val="24"/>
        </w:rPr>
        <w:t xml:space="preserve"> £190,000 in the first year.</w:t>
      </w:r>
    </w:p>
    <w:p w14:paraId="2F238E07" w14:textId="77777777" w:rsidR="003778E8" w:rsidRDefault="003778E8" w:rsidP="005336B9">
      <w:pPr>
        <w:jc w:val="both"/>
        <w:rPr>
          <w:rFonts w:ascii="Calibri" w:hAnsi="Calibri" w:cs="Calibri"/>
          <w:bCs/>
          <w:sz w:val="24"/>
          <w:szCs w:val="24"/>
        </w:rPr>
      </w:pPr>
    </w:p>
    <w:p w14:paraId="72FBFE10" w14:textId="77777777" w:rsidR="000861C1" w:rsidRDefault="000861C1" w:rsidP="005336B9">
      <w:pPr>
        <w:jc w:val="both"/>
        <w:rPr>
          <w:rFonts w:ascii="Calibri" w:hAnsi="Calibri" w:cs="Calibri"/>
          <w:bCs/>
          <w:sz w:val="24"/>
          <w:szCs w:val="24"/>
        </w:rPr>
      </w:pPr>
    </w:p>
    <w:p w14:paraId="0E2C9B90" w14:textId="77777777" w:rsidR="000861C1" w:rsidRDefault="000861C1" w:rsidP="005336B9">
      <w:pPr>
        <w:jc w:val="both"/>
        <w:rPr>
          <w:rFonts w:ascii="Calibri" w:hAnsi="Calibri" w:cs="Calibri"/>
          <w:bCs/>
          <w:sz w:val="24"/>
          <w:szCs w:val="24"/>
        </w:rPr>
      </w:pPr>
    </w:p>
    <w:p w14:paraId="7B4D702C" w14:textId="0C0A5F85" w:rsidR="005B251C" w:rsidRDefault="005B251C" w:rsidP="003778E8">
      <w:pPr>
        <w:jc w:val="center"/>
        <w:rPr>
          <w:rFonts w:ascii="Calibri" w:hAnsi="Calibri" w:cs="Calibri"/>
          <w:bCs/>
          <w:sz w:val="24"/>
          <w:szCs w:val="24"/>
        </w:rPr>
      </w:pPr>
      <w:r>
        <w:rPr>
          <w:noProof/>
          <w14:ligatures w14:val="standardContextual"/>
        </w:rPr>
        <w:lastRenderedPageBreak/>
        <w:drawing>
          <wp:inline distT="0" distB="0" distL="0" distR="0" wp14:anchorId="04FF1B5B" wp14:editId="5A82E097">
            <wp:extent cx="5731510" cy="4063117"/>
            <wp:effectExtent l="0" t="0" r="2540" b="0"/>
            <wp:docPr id="2110807871" name="Picture 1" descr="A screenshot of a spreadshee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0807871" name="Picture 1" descr="A screenshot of a spreadsheet&#10;&#10;Description automatically generated"/>
                    <pic:cNvPicPr/>
                  </pic:nvPicPr>
                  <pic:blipFill>
                    <a:blip r:embed="rId12"/>
                    <a:stretch>
                      <a:fillRect/>
                    </a:stretch>
                  </pic:blipFill>
                  <pic:spPr>
                    <a:xfrm>
                      <a:off x="0" y="0"/>
                      <a:ext cx="5736782" cy="4066854"/>
                    </a:xfrm>
                    <a:prstGeom prst="rect">
                      <a:avLst/>
                    </a:prstGeom>
                  </pic:spPr>
                </pic:pic>
              </a:graphicData>
            </a:graphic>
          </wp:inline>
        </w:drawing>
      </w:r>
    </w:p>
    <w:p w14:paraId="3FB60E73" w14:textId="784C0DCF" w:rsidR="005B251C" w:rsidRDefault="00B96F2E" w:rsidP="00B96F2E">
      <w:pPr>
        <w:pStyle w:val="Caption"/>
        <w:jc w:val="center"/>
      </w:pPr>
      <w:bookmarkStart w:id="9" w:name="_Toc163379090"/>
      <w:r>
        <w:t xml:space="preserve">Table </w:t>
      </w:r>
      <w:r>
        <w:fldChar w:fldCharType="begin"/>
      </w:r>
      <w:r>
        <w:instrText xml:space="preserve"> SEQ Table \* ARABIC </w:instrText>
      </w:r>
      <w:r>
        <w:fldChar w:fldCharType="separate"/>
      </w:r>
      <w:r>
        <w:rPr>
          <w:noProof/>
        </w:rPr>
        <w:t>3</w:t>
      </w:r>
      <w:r>
        <w:fldChar w:fldCharType="end"/>
      </w:r>
      <w:r>
        <w:t xml:space="preserve"> - </w:t>
      </w:r>
      <w:r w:rsidRPr="006B00D1">
        <w:t>Detailed cost and benefit analysis ‘</w:t>
      </w:r>
      <w:r>
        <w:t>B</w:t>
      </w:r>
      <w:r w:rsidRPr="006B00D1">
        <w:t>’</w:t>
      </w:r>
      <w:bookmarkEnd w:id="9"/>
    </w:p>
    <w:p w14:paraId="14C27EE0" w14:textId="77777777" w:rsidR="007848D7" w:rsidRPr="007848D7" w:rsidRDefault="007848D7" w:rsidP="007848D7"/>
    <w:p w14:paraId="4E5FC816" w14:textId="77777777" w:rsidR="005B251C" w:rsidRDefault="005B251C" w:rsidP="005336B9">
      <w:pPr>
        <w:jc w:val="both"/>
        <w:rPr>
          <w:rFonts w:ascii="Calibri" w:hAnsi="Calibri" w:cs="Calibri"/>
          <w:bCs/>
          <w:sz w:val="24"/>
          <w:szCs w:val="24"/>
        </w:rPr>
      </w:pPr>
    </w:p>
    <w:p w14:paraId="687590F5" w14:textId="3004A760" w:rsidR="00DC310E" w:rsidRDefault="00DC310E" w:rsidP="00DC310E">
      <w:pPr>
        <w:spacing w:line="360" w:lineRule="auto"/>
        <w:jc w:val="both"/>
        <w:rPr>
          <w:rFonts w:ascii="Calibri" w:hAnsi="Calibri" w:cs="Calibri"/>
          <w:bCs/>
          <w:sz w:val="24"/>
          <w:szCs w:val="24"/>
        </w:rPr>
      </w:pPr>
      <w:r w:rsidRPr="00DC310E">
        <w:rPr>
          <w:rFonts w:ascii="Calibri" w:hAnsi="Calibri" w:cs="Calibri"/>
          <w:bCs/>
          <w:sz w:val="24"/>
          <w:szCs w:val="24"/>
        </w:rPr>
        <w:t>Table 4 offers a summary of the cost and benefit analysis. The net benefit for the initial year amounts to £117,900, with subsequent increases annually. Additionally, the cost and benefit ratio stands at 2.63, indicating the project's profitability upon implementation.</w:t>
      </w:r>
    </w:p>
    <w:p w14:paraId="4BD1C828" w14:textId="77777777" w:rsidR="005B251C" w:rsidRDefault="005B251C" w:rsidP="003778E8">
      <w:pPr>
        <w:jc w:val="center"/>
        <w:rPr>
          <w:rFonts w:ascii="Calibri" w:hAnsi="Calibri" w:cs="Calibri"/>
          <w:bCs/>
          <w:sz w:val="24"/>
          <w:szCs w:val="24"/>
        </w:rPr>
      </w:pPr>
    </w:p>
    <w:p w14:paraId="5D89CC5F" w14:textId="33E201CB" w:rsidR="005B251C" w:rsidRDefault="005B251C" w:rsidP="005336B9">
      <w:pPr>
        <w:jc w:val="both"/>
        <w:rPr>
          <w:rFonts w:ascii="Calibri" w:hAnsi="Calibri" w:cs="Calibri"/>
          <w:bCs/>
          <w:sz w:val="24"/>
          <w:szCs w:val="24"/>
        </w:rPr>
      </w:pPr>
      <w:r>
        <w:rPr>
          <w:noProof/>
          <w14:ligatures w14:val="standardContextual"/>
        </w:rPr>
        <w:drawing>
          <wp:inline distT="0" distB="0" distL="0" distR="0" wp14:anchorId="006B8DAF" wp14:editId="31403CAE">
            <wp:extent cx="5731510" cy="1678940"/>
            <wp:effectExtent l="0" t="0" r="2540" b="0"/>
            <wp:docPr id="2121241110" name="Picture 1" descr="A table with numbers and lett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1241110" name="Picture 1" descr="A table with numbers and letters&#10;&#10;Description automatically generated"/>
                    <pic:cNvPicPr/>
                  </pic:nvPicPr>
                  <pic:blipFill>
                    <a:blip r:embed="rId13"/>
                    <a:stretch>
                      <a:fillRect/>
                    </a:stretch>
                  </pic:blipFill>
                  <pic:spPr>
                    <a:xfrm>
                      <a:off x="0" y="0"/>
                      <a:ext cx="5731510" cy="1678940"/>
                    </a:xfrm>
                    <a:prstGeom prst="rect">
                      <a:avLst/>
                    </a:prstGeom>
                  </pic:spPr>
                </pic:pic>
              </a:graphicData>
            </a:graphic>
          </wp:inline>
        </w:drawing>
      </w:r>
    </w:p>
    <w:p w14:paraId="53DF5592" w14:textId="63FD860E" w:rsidR="00B96F2E" w:rsidRDefault="00B96F2E" w:rsidP="00B96F2E">
      <w:pPr>
        <w:pStyle w:val="Caption"/>
        <w:jc w:val="center"/>
        <w:rPr>
          <w:rFonts w:ascii="Calibri" w:hAnsi="Calibri" w:cs="Calibri"/>
          <w:bCs/>
          <w:sz w:val="24"/>
          <w:szCs w:val="24"/>
        </w:rPr>
      </w:pPr>
      <w:bookmarkStart w:id="10" w:name="_Toc163379091"/>
      <w:r>
        <w:t xml:space="preserve">Table </w:t>
      </w:r>
      <w:r>
        <w:fldChar w:fldCharType="begin"/>
      </w:r>
      <w:r>
        <w:instrText xml:space="preserve"> SEQ Table \* ARABIC </w:instrText>
      </w:r>
      <w:r>
        <w:fldChar w:fldCharType="separate"/>
      </w:r>
      <w:r>
        <w:rPr>
          <w:noProof/>
        </w:rPr>
        <w:t>4</w:t>
      </w:r>
      <w:r>
        <w:fldChar w:fldCharType="end"/>
      </w:r>
      <w:r>
        <w:t xml:space="preserve"> - </w:t>
      </w:r>
      <w:r w:rsidRPr="00AE3025">
        <w:t>Summary of Cost and Benefit analysis ‘</w:t>
      </w:r>
      <w:r>
        <w:t>B</w:t>
      </w:r>
      <w:r w:rsidRPr="00AE3025">
        <w:t>’</w:t>
      </w:r>
      <w:bookmarkEnd w:id="10"/>
    </w:p>
    <w:p w14:paraId="448053D1" w14:textId="77777777" w:rsidR="000861C1" w:rsidRDefault="000861C1" w:rsidP="005336B9">
      <w:pPr>
        <w:jc w:val="both"/>
        <w:rPr>
          <w:rFonts w:ascii="Arial" w:hAnsi="Arial" w:cs="Arial"/>
          <w:b/>
          <w:sz w:val="24"/>
          <w:szCs w:val="24"/>
        </w:rPr>
      </w:pPr>
    </w:p>
    <w:p w14:paraId="6F1DBE9A" w14:textId="55C4B343" w:rsidR="005336B9" w:rsidRPr="004E59EE" w:rsidRDefault="005336B9" w:rsidP="00845559">
      <w:pPr>
        <w:spacing w:after="160" w:line="278" w:lineRule="auto"/>
        <w:rPr>
          <w:rFonts w:ascii="Arial" w:hAnsi="Arial" w:cs="Arial"/>
          <w:b/>
          <w:sz w:val="24"/>
          <w:szCs w:val="24"/>
        </w:rPr>
      </w:pPr>
      <w:r>
        <w:rPr>
          <w:rFonts w:ascii="Arial" w:hAnsi="Arial" w:cs="Arial"/>
          <w:b/>
          <w:sz w:val="24"/>
          <w:szCs w:val="24"/>
        </w:rPr>
        <w:br w:type="page"/>
      </w:r>
    </w:p>
    <w:p w14:paraId="7A5D4FE8" w14:textId="2D78E300" w:rsidR="006D0F10" w:rsidRDefault="005336B9" w:rsidP="00E414AF">
      <w:pPr>
        <w:pStyle w:val="Heading1"/>
      </w:pPr>
      <w:bookmarkStart w:id="11" w:name="_Toc163379054"/>
      <w:r w:rsidRPr="00031823">
        <w:lastRenderedPageBreak/>
        <w:t>Conclusions</w:t>
      </w:r>
      <w:r w:rsidR="006D0F10">
        <w:t xml:space="preserve"> and r</w:t>
      </w:r>
      <w:r>
        <w:t>ecommendations</w:t>
      </w:r>
      <w:bookmarkEnd w:id="11"/>
    </w:p>
    <w:p w14:paraId="79D72569" w14:textId="77777777" w:rsidR="006D0F10" w:rsidRDefault="006D0F10" w:rsidP="005336B9">
      <w:pPr>
        <w:rPr>
          <w:rFonts w:ascii="Arial" w:hAnsi="Arial" w:cs="Arial"/>
          <w:sz w:val="24"/>
        </w:rPr>
      </w:pPr>
    </w:p>
    <w:p w14:paraId="157F0CAD" w14:textId="77777777" w:rsidR="0075088E" w:rsidRDefault="0075088E" w:rsidP="005336B9">
      <w:pPr>
        <w:rPr>
          <w:rFonts w:ascii="Arial" w:hAnsi="Arial" w:cs="Arial"/>
          <w:color w:val="FF0000"/>
          <w:sz w:val="24"/>
        </w:rPr>
      </w:pPr>
    </w:p>
    <w:p w14:paraId="6B42960F" w14:textId="77777777" w:rsidR="0075088E" w:rsidRPr="0075088E" w:rsidRDefault="0075088E" w:rsidP="0075088E">
      <w:pPr>
        <w:spacing w:line="360" w:lineRule="auto"/>
        <w:jc w:val="both"/>
        <w:rPr>
          <w:rFonts w:ascii="Calibri" w:hAnsi="Calibri" w:cs="Calibri"/>
          <w:sz w:val="24"/>
        </w:rPr>
      </w:pPr>
      <w:r w:rsidRPr="0075088E">
        <w:rPr>
          <w:rFonts w:ascii="Calibri" w:hAnsi="Calibri" w:cs="Calibri"/>
          <w:sz w:val="24"/>
        </w:rPr>
        <w:t>In summary, a review of current maintenance practices for the exhaust systems of the Newport plasma spray booths at Bodycote highlights strengths and areas for improvement.</w:t>
      </w:r>
    </w:p>
    <w:p w14:paraId="71E805DC" w14:textId="433B04C1" w:rsidR="007D01EF" w:rsidRPr="007D01EF" w:rsidRDefault="0075088E" w:rsidP="007D01EF">
      <w:pPr>
        <w:spacing w:line="360" w:lineRule="auto"/>
        <w:jc w:val="both"/>
        <w:rPr>
          <w:rFonts w:ascii="Calibri" w:hAnsi="Calibri" w:cs="Calibri"/>
          <w:sz w:val="24"/>
        </w:rPr>
      </w:pPr>
      <w:r w:rsidRPr="0075088E">
        <w:rPr>
          <w:rFonts w:ascii="Calibri" w:hAnsi="Calibri" w:cs="Calibri"/>
          <w:sz w:val="24"/>
        </w:rPr>
        <w:t>The current preventive maintenance strategy ensures periodic equipment maintenance but cannot prevent sudden breakdowns that lead to operational disruptions and production losses.</w:t>
      </w:r>
    </w:p>
    <w:p w14:paraId="037D5CC7" w14:textId="30ACFAD4" w:rsidR="007D01EF" w:rsidRDefault="007D01EF" w:rsidP="007D01EF">
      <w:pPr>
        <w:spacing w:line="360" w:lineRule="auto"/>
        <w:jc w:val="both"/>
        <w:rPr>
          <w:rFonts w:ascii="Calibri" w:hAnsi="Calibri" w:cs="Calibri"/>
          <w:sz w:val="24"/>
        </w:rPr>
      </w:pPr>
      <w:r w:rsidRPr="007D01EF">
        <w:rPr>
          <w:rFonts w:ascii="Calibri" w:hAnsi="Calibri" w:cs="Calibri"/>
          <w:sz w:val="24"/>
        </w:rPr>
        <w:t xml:space="preserve">Integrating condition-based maintenance with vibration monitoring systems and either spare fan </w:t>
      </w:r>
      <w:r w:rsidRPr="007D01EF">
        <w:rPr>
          <w:rFonts w:ascii="Calibri" w:hAnsi="Calibri" w:cs="Calibri"/>
          <w:sz w:val="24"/>
        </w:rPr>
        <w:t>sets,</w:t>
      </w:r>
      <w:r w:rsidRPr="007D01EF">
        <w:rPr>
          <w:rFonts w:ascii="Calibri" w:hAnsi="Calibri" w:cs="Calibri"/>
          <w:sz w:val="24"/>
        </w:rPr>
        <w:t xml:space="preserve"> or backup ex</w:t>
      </w:r>
      <w:r>
        <w:rPr>
          <w:rFonts w:ascii="Calibri" w:hAnsi="Calibri" w:cs="Calibri"/>
          <w:sz w:val="24"/>
        </w:rPr>
        <w:t>traction</w:t>
      </w:r>
      <w:r w:rsidRPr="007D01EF">
        <w:rPr>
          <w:rFonts w:ascii="Calibri" w:hAnsi="Calibri" w:cs="Calibri"/>
          <w:sz w:val="24"/>
        </w:rPr>
        <w:t xml:space="preserve"> system emerges as a promising strategy to enhance maintenance efficiency and minimize downtime. However,</w:t>
      </w:r>
      <w:r>
        <w:rPr>
          <w:rFonts w:ascii="Calibri" w:hAnsi="Calibri" w:cs="Calibri"/>
          <w:sz w:val="24"/>
        </w:rPr>
        <w:t xml:space="preserve"> a backup extraction system</w:t>
      </w:r>
      <w:r w:rsidRPr="007D01EF">
        <w:rPr>
          <w:rFonts w:ascii="Calibri" w:hAnsi="Calibri" w:cs="Calibri"/>
          <w:sz w:val="24"/>
        </w:rPr>
        <w:t xml:space="preserve"> entails higher costs compared to simply stocking spare fan sets.</w:t>
      </w:r>
    </w:p>
    <w:p w14:paraId="0A87D587" w14:textId="6522CF73" w:rsidR="0075088E" w:rsidRPr="0075088E" w:rsidRDefault="0075088E" w:rsidP="0075088E">
      <w:pPr>
        <w:spacing w:line="360" w:lineRule="auto"/>
        <w:jc w:val="both"/>
        <w:rPr>
          <w:rFonts w:ascii="Calibri" w:hAnsi="Calibri" w:cs="Calibri"/>
          <w:sz w:val="24"/>
        </w:rPr>
      </w:pPr>
      <w:r w:rsidRPr="0075088E">
        <w:rPr>
          <w:rFonts w:ascii="Calibri" w:hAnsi="Calibri" w:cs="Calibri"/>
          <w:sz w:val="24"/>
        </w:rPr>
        <w:t>The cost-benefit analysis carried out in this report indicates a favourable result, the planned net benefits and cost-benefit ratios confirm the feasibility of the proposed developments.</w:t>
      </w:r>
    </w:p>
    <w:p w14:paraId="57F8E5BB" w14:textId="18176241" w:rsidR="0075088E" w:rsidRDefault="0075088E" w:rsidP="0075088E">
      <w:pPr>
        <w:spacing w:line="360" w:lineRule="auto"/>
        <w:jc w:val="both"/>
        <w:rPr>
          <w:rFonts w:ascii="Calibri" w:hAnsi="Calibri" w:cs="Calibri"/>
          <w:sz w:val="24"/>
        </w:rPr>
      </w:pPr>
      <w:r w:rsidRPr="0075088E">
        <w:rPr>
          <w:rFonts w:ascii="Calibri" w:hAnsi="Calibri" w:cs="Calibri"/>
          <w:sz w:val="24"/>
        </w:rPr>
        <w:t>By developing maintenance strategies and implementing proactive measures, operational reliability can be optimized, production losses can be reduced, and competitive advantage can be strengthened.</w:t>
      </w:r>
    </w:p>
    <w:p w14:paraId="0A4A57FA" w14:textId="77777777" w:rsidR="00D86865" w:rsidRDefault="00D86865" w:rsidP="0075088E">
      <w:pPr>
        <w:spacing w:line="360" w:lineRule="auto"/>
        <w:jc w:val="both"/>
        <w:rPr>
          <w:rFonts w:ascii="Calibri" w:hAnsi="Calibri" w:cs="Calibri"/>
          <w:sz w:val="24"/>
        </w:rPr>
      </w:pPr>
    </w:p>
    <w:p w14:paraId="7CD780BF" w14:textId="70E72155" w:rsidR="009773C2" w:rsidRDefault="007D01EF" w:rsidP="007D01EF">
      <w:pPr>
        <w:spacing w:after="160" w:line="360" w:lineRule="auto"/>
        <w:jc w:val="both"/>
        <w:rPr>
          <w:rFonts w:ascii="Arial" w:hAnsi="Arial" w:cs="Arial"/>
          <w:sz w:val="24"/>
        </w:rPr>
      </w:pPr>
      <w:r w:rsidRPr="007D01EF">
        <w:rPr>
          <w:rFonts w:ascii="Calibri" w:hAnsi="Calibri" w:cs="Calibri"/>
          <w:sz w:val="24"/>
        </w:rPr>
        <w:t>The recommended course of action entails the immediate implementation of a vibration monitoring system coupled with the maintenance of spare fan sets in inventory. Given its cost-effectiveness, stocking spare fan sets is preferred over the installation of a backup extraction system. Additionally, gradual adoption of a total productive maintenance approach is advised for the future. These initiatives hold the promise of elevating quality standards, enhancing overall equipment efficiency, minimizing waste, and optimizing maintenance practices for increased efficacy.</w:t>
      </w:r>
      <w:r w:rsidR="009773C2">
        <w:rPr>
          <w:rFonts w:ascii="Arial" w:hAnsi="Arial" w:cs="Arial"/>
          <w:sz w:val="24"/>
        </w:rPr>
        <w:br w:type="page"/>
      </w:r>
    </w:p>
    <w:p w14:paraId="41F21F3F" w14:textId="4919BED2" w:rsidR="009773C2" w:rsidRDefault="006D0F10" w:rsidP="006D0F10">
      <w:pPr>
        <w:pStyle w:val="Heading1"/>
      </w:pPr>
      <w:bookmarkStart w:id="12" w:name="_Toc163379055"/>
      <w:r>
        <w:lastRenderedPageBreak/>
        <w:t>References</w:t>
      </w:r>
      <w:bookmarkEnd w:id="12"/>
    </w:p>
    <w:p w14:paraId="19E84875" w14:textId="77777777" w:rsidR="006D0F10" w:rsidRDefault="006D0F10" w:rsidP="006D0F10"/>
    <w:p w14:paraId="44FAFF08" w14:textId="77777777" w:rsidR="002D54C1" w:rsidRDefault="002D54C1" w:rsidP="0034146A">
      <w:pPr>
        <w:pStyle w:val="ListParagraph"/>
        <w:spacing w:line="360" w:lineRule="auto"/>
        <w:jc w:val="both"/>
        <w:rPr>
          <w:rFonts w:ascii="Calibri" w:hAnsi="Calibri" w:cs="Calibri"/>
          <w:sz w:val="24"/>
          <w:szCs w:val="24"/>
        </w:rPr>
      </w:pPr>
    </w:p>
    <w:p w14:paraId="3D91E1DC" w14:textId="77777777" w:rsidR="002D54C1" w:rsidRPr="002D54C1" w:rsidRDefault="002D54C1" w:rsidP="0034146A">
      <w:pPr>
        <w:spacing w:line="360" w:lineRule="auto"/>
        <w:jc w:val="both"/>
        <w:rPr>
          <w:rFonts w:ascii="Calibri" w:hAnsi="Calibri" w:cs="Calibri"/>
          <w:sz w:val="24"/>
          <w:szCs w:val="24"/>
        </w:rPr>
      </w:pPr>
    </w:p>
    <w:p w14:paraId="0208E163" w14:textId="383DE4E1" w:rsidR="00596942" w:rsidRPr="00596942" w:rsidRDefault="00085D56" w:rsidP="00596942">
      <w:pPr>
        <w:pStyle w:val="ListParagraph"/>
        <w:numPr>
          <w:ilvl w:val="0"/>
          <w:numId w:val="2"/>
        </w:numPr>
        <w:spacing w:line="360" w:lineRule="auto"/>
        <w:jc w:val="both"/>
        <w:rPr>
          <w:rFonts w:ascii="Calibri" w:hAnsi="Calibri" w:cs="Calibri"/>
          <w:sz w:val="24"/>
          <w:szCs w:val="24"/>
        </w:rPr>
      </w:pPr>
      <w:r>
        <w:rPr>
          <w:rFonts w:ascii="Calibri" w:hAnsi="Calibri" w:cs="Calibri"/>
          <w:sz w:val="24"/>
          <w:szCs w:val="24"/>
        </w:rPr>
        <w:t xml:space="preserve">Antonini, J. M., McKinney, W. G., Lee, E. G and Afshari, A. A. (2021) </w:t>
      </w:r>
      <w:r w:rsidRPr="00085D56">
        <w:rPr>
          <w:rFonts w:ascii="Calibri" w:hAnsi="Calibri" w:cs="Calibri"/>
          <w:i/>
          <w:iCs/>
          <w:sz w:val="24"/>
          <w:szCs w:val="24"/>
        </w:rPr>
        <w:t>Review of the physicochemical properties and associated health effects of aerosols generated during thermal spray coating processes</w:t>
      </w:r>
      <w:r>
        <w:rPr>
          <w:rFonts w:ascii="Calibri" w:hAnsi="Calibri" w:cs="Calibri"/>
          <w:i/>
          <w:iCs/>
          <w:sz w:val="24"/>
          <w:szCs w:val="24"/>
        </w:rPr>
        <w:t>.</w:t>
      </w:r>
      <w:r>
        <w:rPr>
          <w:rFonts w:ascii="Calibri" w:hAnsi="Calibri" w:cs="Calibri"/>
          <w:sz w:val="24"/>
          <w:szCs w:val="24"/>
        </w:rPr>
        <w:t xml:space="preserve"> Available at: </w:t>
      </w:r>
      <w:hyperlink r:id="rId14" w:history="1">
        <w:r w:rsidRPr="00D72F49">
          <w:rPr>
            <w:rStyle w:val="Hyperlink"/>
            <w:rFonts w:ascii="Calibri" w:hAnsi="Calibri" w:cs="Calibri"/>
            <w:sz w:val="24"/>
            <w:szCs w:val="24"/>
          </w:rPr>
          <w:t>https://www.ncbi.nlm.nih.gov/pmc/articles/PMC7988297/</w:t>
        </w:r>
      </w:hyperlink>
      <w:r>
        <w:rPr>
          <w:rFonts w:ascii="Calibri" w:hAnsi="Calibri" w:cs="Calibri"/>
          <w:sz w:val="24"/>
          <w:szCs w:val="24"/>
        </w:rPr>
        <w:t xml:space="preserve"> (Accessed: 27/03/2024).</w:t>
      </w:r>
    </w:p>
    <w:p w14:paraId="76938634" w14:textId="1EF402A7" w:rsidR="00596942" w:rsidRPr="00596942" w:rsidRDefault="00596942" w:rsidP="00596942">
      <w:pPr>
        <w:pStyle w:val="ListParagraph"/>
        <w:numPr>
          <w:ilvl w:val="0"/>
          <w:numId w:val="2"/>
        </w:numPr>
        <w:spacing w:line="360" w:lineRule="auto"/>
        <w:jc w:val="both"/>
        <w:rPr>
          <w:rFonts w:ascii="Calibri" w:hAnsi="Calibri" w:cs="Calibri"/>
          <w:sz w:val="24"/>
          <w:szCs w:val="24"/>
        </w:rPr>
      </w:pPr>
      <w:r w:rsidRPr="000A7DBB">
        <w:rPr>
          <w:rFonts w:ascii="Calibri" w:hAnsi="Calibri" w:cs="Calibri"/>
          <w:sz w:val="24"/>
          <w:szCs w:val="24"/>
        </w:rPr>
        <w:t xml:space="preserve">Badiger, </w:t>
      </w:r>
      <w:r>
        <w:rPr>
          <w:rFonts w:ascii="Calibri" w:hAnsi="Calibri" w:cs="Calibri"/>
          <w:sz w:val="24"/>
          <w:szCs w:val="24"/>
        </w:rPr>
        <w:t>A. S.,</w:t>
      </w:r>
      <w:r w:rsidRPr="000A7DBB">
        <w:rPr>
          <w:rFonts w:ascii="Calibri" w:hAnsi="Calibri" w:cs="Calibri"/>
          <w:sz w:val="24"/>
          <w:szCs w:val="24"/>
        </w:rPr>
        <w:t xml:space="preserve"> </w:t>
      </w:r>
      <w:proofErr w:type="spellStart"/>
      <w:r w:rsidRPr="000A7DBB">
        <w:rPr>
          <w:rFonts w:ascii="Calibri" w:hAnsi="Calibri" w:cs="Calibri"/>
          <w:sz w:val="24"/>
          <w:szCs w:val="24"/>
        </w:rPr>
        <w:t>Gandhinathan</w:t>
      </w:r>
      <w:proofErr w:type="spellEnd"/>
      <w:r w:rsidRPr="000A7DBB">
        <w:rPr>
          <w:rFonts w:ascii="Calibri" w:hAnsi="Calibri" w:cs="Calibri"/>
          <w:sz w:val="24"/>
          <w:szCs w:val="24"/>
        </w:rPr>
        <w:t>,</w:t>
      </w:r>
      <w:r>
        <w:rPr>
          <w:rFonts w:ascii="Calibri" w:hAnsi="Calibri" w:cs="Calibri"/>
          <w:sz w:val="24"/>
          <w:szCs w:val="24"/>
        </w:rPr>
        <w:t xml:space="preserve"> </w:t>
      </w:r>
      <w:r w:rsidRPr="000A7DBB">
        <w:rPr>
          <w:rFonts w:ascii="Calibri" w:hAnsi="Calibri" w:cs="Calibri"/>
          <w:sz w:val="24"/>
          <w:szCs w:val="24"/>
        </w:rPr>
        <w:t xml:space="preserve">R., </w:t>
      </w:r>
      <w:r>
        <w:rPr>
          <w:rFonts w:ascii="Calibri" w:hAnsi="Calibri" w:cs="Calibri"/>
          <w:sz w:val="24"/>
          <w:szCs w:val="24"/>
        </w:rPr>
        <w:t>(2006) ‘</w:t>
      </w:r>
      <w:r w:rsidRPr="000A7DBB">
        <w:rPr>
          <w:rFonts w:ascii="Calibri" w:hAnsi="Calibri" w:cs="Calibri"/>
          <w:sz w:val="24"/>
          <w:szCs w:val="24"/>
        </w:rPr>
        <w:t>A Literature</w:t>
      </w:r>
      <w:r>
        <w:rPr>
          <w:rFonts w:ascii="Calibri" w:hAnsi="Calibri" w:cs="Calibri"/>
          <w:sz w:val="24"/>
          <w:szCs w:val="24"/>
        </w:rPr>
        <w:t xml:space="preserve"> </w:t>
      </w:r>
      <w:r w:rsidRPr="000A7DBB">
        <w:rPr>
          <w:rFonts w:ascii="Calibri" w:hAnsi="Calibri" w:cs="Calibri"/>
          <w:sz w:val="24"/>
          <w:szCs w:val="24"/>
        </w:rPr>
        <w:t>Overview on Overall Equipment Effectiveness</w:t>
      </w:r>
      <w:r>
        <w:rPr>
          <w:rFonts w:ascii="Calibri" w:hAnsi="Calibri" w:cs="Calibri"/>
          <w:sz w:val="24"/>
          <w:szCs w:val="24"/>
        </w:rPr>
        <w:t xml:space="preserve"> </w:t>
      </w:r>
      <w:r w:rsidRPr="000A7DBB">
        <w:rPr>
          <w:rFonts w:ascii="Calibri" w:hAnsi="Calibri" w:cs="Calibri"/>
          <w:sz w:val="24"/>
          <w:szCs w:val="24"/>
        </w:rPr>
        <w:t>(OEE)</w:t>
      </w:r>
      <w:r>
        <w:rPr>
          <w:rFonts w:ascii="Calibri" w:hAnsi="Calibri" w:cs="Calibri"/>
          <w:sz w:val="24"/>
          <w:szCs w:val="24"/>
        </w:rPr>
        <w:t>’</w:t>
      </w:r>
      <w:r w:rsidRPr="000A7DBB">
        <w:rPr>
          <w:rFonts w:ascii="Calibri" w:hAnsi="Calibri" w:cs="Calibri"/>
          <w:sz w:val="24"/>
          <w:szCs w:val="24"/>
        </w:rPr>
        <w:t xml:space="preserve">, </w:t>
      </w:r>
      <w:r w:rsidRPr="000A7DBB">
        <w:rPr>
          <w:rFonts w:ascii="Calibri" w:hAnsi="Calibri" w:cs="Calibri"/>
          <w:i/>
          <w:iCs/>
          <w:sz w:val="24"/>
          <w:szCs w:val="24"/>
        </w:rPr>
        <w:t>Journal on Manufacturing Engineering</w:t>
      </w:r>
      <w:r w:rsidRPr="000A7DBB">
        <w:rPr>
          <w:rFonts w:ascii="Calibri" w:hAnsi="Calibri" w:cs="Calibri"/>
          <w:sz w:val="24"/>
          <w:szCs w:val="24"/>
        </w:rPr>
        <w:t>, 5(3),</w:t>
      </w:r>
      <w:r>
        <w:rPr>
          <w:rFonts w:ascii="Calibri" w:hAnsi="Calibri" w:cs="Calibri"/>
          <w:sz w:val="24"/>
          <w:szCs w:val="24"/>
        </w:rPr>
        <w:t xml:space="preserve"> pp.</w:t>
      </w:r>
      <w:r w:rsidRPr="000A7DBB">
        <w:rPr>
          <w:rFonts w:ascii="Calibri" w:hAnsi="Calibri" w:cs="Calibri"/>
          <w:sz w:val="24"/>
          <w:szCs w:val="24"/>
        </w:rPr>
        <w:t xml:space="preserve"> 49-56.</w:t>
      </w:r>
    </w:p>
    <w:p w14:paraId="4981EDF3" w14:textId="538010A2" w:rsidR="002D54C1" w:rsidRPr="00596942" w:rsidRDefault="00596942" w:rsidP="0034146A">
      <w:pPr>
        <w:pStyle w:val="ListParagraph"/>
        <w:numPr>
          <w:ilvl w:val="0"/>
          <w:numId w:val="2"/>
        </w:numPr>
        <w:spacing w:line="360" w:lineRule="auto"/>
        <w:jc w:val="both"/>
        <w:rPr>
          <w:rFonts w:ascii="Calibri" w:hAnsi="Calibri" w:cs="Calibri"/>
          <w:sz w:val="24"/>
          <w:szCs w:val="24"/>
        </w:rPr>
      </w:pPr>
      <w:proofErr w:type="spellStart"/>
      <w:r>
        <w:rPr>
          <w:rFonts w:ascii="Calibri" w:hAnsi="Calibri" w:cs="Calibri"/>
          <w:sz w:val="24"/>
          <w:szCs w:val="24"/>
        </w:rPr>
        <w:t>Hamasha</w:t>
      </w:r>
      <w:proofErr w:type="spellEnd"/>
      <w:r>
        <w:rPr>
          <w:rFonts w:ascii="Calibri" w:hAnsi="Calibri" w:cs="Calibri"/>
          <w:sz w:val="24"/>
          <w:szCs w:val="24"/>
        </w:rPr>
        <w:t xml:space="preserve">, M. M. </w:t>
      </w:r>
      <w:r w:rsidRPr="003516EF">
        <w:rPr>
          <w:rFonts w:ascii="Calibri" w:hAnsi="Calibri" w:cs="Calibri"/>
          <w:sz w:val="24"/>
          <w:szCs w:val="24"/>
        </w:rPr>
        <w:t>Bani-</w:t>
      </w:r>
      <w:proofErr w:type="spellStart"/>
      <w:r w:rsidRPr="003516EF">
        <w:rPr>
          <w:rFonts w:ascii="Calibri" w:hAnsi="Calibri" w:cs="Calibri"/>
          <w:sz w:val="24"/>
          <w:szCs w:val="24"/>
        </w:rPr>
        <w:t>Irshid</w:t>
      </w:r>
      <w:proofErr w:type="spellEnd"/>
      <w:r w:rsidRPr="003516EF">
        <w:rPr>
          <w:rFonts w:ascii="Calibri" w:hAnsi="Calibri" w:cs="Calibri"/>
          <w:sz w:val="24"/>
          <w:szCs w:val="24"/>
        </w:rPr>
        <w:t xml:space="preserve">, A.H., Al </w:t>
      </w:r>
      <w:proofErr w:type="spellStart"/>
      <w:r w:rsidRPr="003516EF">
        <w:rPr>
          <w:rFonts w:ascii="Calibri" w:hAnsi="Calibri" w:cs="Calibri"/>
          <w:sz w:val="24"/>
          <w:szCs w:val="24"/>
        </w:rPr>
        <w:t>Mashaqbeh</w:t>
      </w:r>
      <w:proofErr w:type="spellEnd"/>
      <w:r w:rsidRPr="003516EF">
        <w:rPr>
          <w:rFonts w:ascii="Calibri" w:hAnsi="Calibri" w:cs="Calibri"/>
          <w:sz w:val="24"/>
          <w:szCs w:val="24"/>
        </w:rPr>
        <w:t>, S.</w:t>
      </w:r>
      <w:r>
        <w:rPr>
          <w:rFonts w:ascii="Calibri" w:hAnsi="Calibri" w:cs="Calibri"/>
          <w:sz w:val="24"/>
          <w:szCs w:val="24"/>
        </w:rPr>
        <w:t xml:space="preserve"> et al (2023) </w:t>
      </w:r>
      <w:r w:rsidRPr="003516EF">
        <w:rPr>
          <w:rFonts w:ascii="Calibri" w:hAnsi="Calibri" w:cs="Calibri"/>
          <w:i/>
          <w:iCs/>
          <w:sz w:val="24"/>
          <w:szCs w:val="24"/>
        </w:rPr>
        <w:t>Strategical selection of maintenance type under different conditions</w:t>
      </w:r>
      <w:r>
        <w:rPr>
          <w:rFonts w:ascii="Calibri" w:hAnsi="Calibri" w:cs="Calibri"/>
          <w:i/>
          <w:iCs/>
          <w:sz w:val="24"/>
          <w:szCs w:val="24"/>
        </w:rPr>
        <w:t>.</w:t>
      </w:r>
      <w:r>
        <w:rPr>
          <w:rFonts w:ascii="Calibri" w:hAnsi="Calibri" w:cs="Calibri"/>
          <w:sz w:val="24"/>
          <w:szCs w:val="24"/>
        </w:rPr>
        <w:t xml:space="preserve"> Available at: </w:t>
      </w:r>
      <w:hyperlink r:id="rId15" w:history="1">
        <w:r w:rsidRPr="00D72F49">
          <w:rPr>
            <w:rStyle w:val="Hyperlink"/>
            <w:rFonts w:ascii="Calibri" w:hAnsi="Calibri" w:cs="Calibri"/>
            <w:sz w:val="24"/>
            <w:szCs w:val="24"/>
          </w:rPr>
          <w:t>https://www.nature.com/articles/s41598-023-42751-5</w:t>
        </w:r>
      </w:hyperlink>
      <w:r>
        <w:rPr>
          <w:rFonts w:ascii="Calibri" w:hAnsi="Calibri" w:cs="Calibri"/>
          <w:sz w:val="24"/>
          <w:szCs w:val="24"/>
        </w:rPr>
        <w:t xml:space="preserve"> (Accessed: 27/03/2024).</w:t>
      </w:r>
    </w:p>
    <w:p w14:paraId="47D0ADB7" w14:textId="580BAD71" w:rsidR="00596942" w:rsidRPr="00596942" w:rsidRDefault="00332569" w:rsidP="00596942">
      <w:pPr>
        <w:pStyle w:val="ListParagraph"/>
        <w:numPr>
          <w:ilvl w:val="0"/>
          <w:numId w:val="2"/>
        </w:numPr>
        <w:spacing w:line="360" w:lineRule="auto"/>
        <w:jc w:val="both"/>
        <w:rPr>
          <w:rFonts w:ascii="Calibri" w:hAnsi="Calibri" w:cs="Calibri"/>
          <w:sz w:val="24"/>
          <w:szCs w:val="24"/>
        </w:rPr>
      </w:pPr>
      <w:r>
        <w:rPr>
          <w:rFonts w:ascii="Calibri" w:hAnsi="Calibri" w:cs="Calibri"/>
          <w:sz w:val="24"/>
          <w:szCs w:val="24"/>
        </w:rPr>
        <w:t xml:space="preserve">Jardine, A. K. S., Lin, D., </w:t>
      </w:r>
      <w:proofErr w:type="spellStart"/>
      <w:r>
        <w:rPr>
          <w:rFonts w:ascii="Calibri" w:hAnsi="Calibri" w:cs="Calibri"/>
          <w:sz w:val="24"/>
          <w:szCs w:val="24"/>
        </w:rPr>
        <w:t>Banjevic</w:t>
      </w:r>
      <w:proofErr w:type="spellEnd"/>
      <w:r>
        <w:rPr>
          <w:rFonts w:ascii="Calibri" w:hAnsi="Calibri" w:cs="Calibri"/>
          <w:sz w:val="24"/>
          <w:szCs w:val="24"/>
        </w:rPr>
        <w:t>, D. (2006) ‘</w:t>
      </w:r>
      <w:r w:rsidRPr="00332569">
        <w:rPr>
          <w:rFonts w:ascii="Calibri" w:hAnsi="Calibri" w:cs="Calibri"/>
          <w:sz w:val="24"/>
          <w:szCs w:val="24"/>
        </w:rPr>
        <w:t>A review on machinery diagnostics and prognostics implementing condition-based maintenance</w:t>
      </w:r>
      <w:r>
        <w:rPr>
          <w:rFonts w:ascii="Calibri" w:hAnsi="Calibri" w:cs="Calibri"/>
          <w:sz w:val="24"/>
          <w:szCs w:val="24"/>
        </w:rPr>
        <w:t xml:space="preserve">’, </w:t>
      </w:r>
      <w:r w:rsidRPr="00332569">
        <w:rPr>
          <w:rFonts w:ascii="Calibri" w:hAnsi="Calibri" w:cs="Calibri"/>
          <w:i/>
          <w:iCs/>
          <w:sz w:val="24"/>
          <w:szCs w:val="24"/>
        </w:rPr>
        <w:t>Mechanical Systems and Signal Processing</w:t>
      </w:r>
      <w:r>
        <w:rPr>
          <w:rFonts w:ascii="Calibri" w:hAnsi="Calibri" w:cs="Calibri"/>
          <w:i/>
          <w:iCs/>
          <w:sz w:val="24"/>
          <w:szCs w:val="24"/>
        </w:rPr>
        <w:t xml:space="preserve">, </w:t>
      </w:r>
      <w:r>
        <w:rPr>
          <w:rFonts w:ascii="Calibri" w:hAnsi="Calibri" w:cs="Calibri"/>
          <w:sz w:val="24"/>
          <w:szCs w:val="24"/>
        </w:rPr>
        <w:t xml:space="preserve">20(7), pp. 1483-1510. Available at: </w:t>
      </w:r>
      <w:hyperlink r:id="rId16" w:history="1">
        <w:r w:rsidRPr="00D72F49">
          <w:rPr>
            <w:rStyle w:val="Hyperlink"/>
            <w:rFonts w:ascii="Calibri" w:hAnsi="Calibri" w:cs="Calibri"/>
            <w:sz w:val="24"/>
            <w:szCs w:val="24"/>
          </w:rPr>
          <w:t>https://www.sciencedirect.com/science/article/pii/S0888327005001512</w:t>
        </w:r>
      </w:hyperlink>
      <w:r>
        <w:rPr>
          <w:rFonts w:ascii="Calibri" w:hAnsi="Calibri" w:cs="Calibri"/>
          <w:sz w:val="24"/>
          <w:szCs w:val="24"/>
        </w:rPr>
        <w:t xml:space="preserve"> (Accessed: 27/03/2024)</w:t>
      </w:r>
    </w:p>
    <w:p w14:paraId="3A63B7BF" w14:textId="78F0E0D4" w:rsidR="00596942" w:rsidRPr="00596942" w:rsidRDefault="00596942" w:rsidP="00596942">
      <w:pPr>
        <w:pStyle w:val="ListParagraph"/>
        <w:numPr>
          <w:ilvl w:val="0"/>
          <w:numId w:val="2"/>
        </w:numPr>
        <w:spacing w:line="360" w:lineRule="auto"/>
        <w:jc w:val="both"/>
        <w:rPr>
          <w:rFonts w:ascii="Calibri" w:hAnsi="Calibri" w:cs="Calibri"/>
          <w:sz w:val="24"/>
          <w:szCs w:val="24"/>
        </w:rPr>
      </w:pPr>
      <w:r w:rsidRPr="003516EF">
        <w:rPr>
          <w:rFonts w:ascii="Calibri" w:hAnsi="Calibri" w:cs="Calibri"/>
          <w:sz w:val="24"/>
          <w:szCs w:val="24"/>
        </w:rPr>
        <w:t xml:space="preserve">Meira, D., Lopes, I., Pires, C. (2020) ‘Selection of computerized maintenance management systems to meet organizations’ needs using AHP’ </w:t>
      </w:r>
      <w:r w:rsidRPr="003516EF">
        <w:rPr>
          <w:rFonts w:ascii="Calibri" w:hAnsi="Calibri" w:cs="Calibri"/>
          <w:i/>
          <w:iCs/>
          <w:sz w:val="24"/>
          <w:szCs w:val="24"/>
        </w:rPr>
        <w:t xml:space="preserve">30th International Conference on Flexible Automation and Intelligent Manufacturing </w:t>
      </w:r>
      <w:r w:rsidRPr="003516EF">
        <w:rPr>
          <w:rFonts w:ascii="Calibri" w:hAnsi="Calibri" w:cs="Calibri"/>
          <w:sz w:val="24"/>
          <w:szCs w:val="24"/>
        </w:rPr>
        <w:t>(FAIM2021) Athens, Greece, 14-17 September 2021</w:t>
      </w:r>
      <w:r>
        <w:rPr>
          <w:rFonts w:ascii="Calibri" w:hAnsi="Calibri" w:cs="Calibri"/>
          <w:sz w:val="24"/>
          <w:szCs w:val="24"/>
        </w:rPr>
        <w:t>.</w:t>
      </w:r>
      <w:r w:rsidRPr="003516EF">
        <w:rPr>
          <w:rFonts w:ascii="Calibri" w:hAnsi="Calibri" w:cs="Calibri"/>
          <w:sz w:val="24"/>
          <w:szCs w:val="24"/>
        </w:rPr>
        <w:t xml:space="preserve"> Available at: </w:t>
      </w:r>
      <w:hyperlink r:id="rId17" w:history="1">
        <w:r w:rsidRPr="003516EF">
          <w:rPr>
            <w:rStyle w:val="Hyperlink"/>
            <w:rFonts w:ascii="Calibri" w:hAnsi="Calibri" w:cs="Calibri"/>
            <w:sz w:val="24"/>
            <w:szCs w:val="24"/>
          </w:rPr>
          <w:t>https://www.sciencedirect.com/science/article/pii/S2351978920320904</w:t>
        </w:r>
      </w:hyperlink>
      <w:r w:rsidRPr="003516EF">
        <w:rPr>
          <w:rFonts w:ascii="Calibri" w:hAnsi="Calibri" w:cs="Calibri"/>
          <w:sz w:val="24"/>
          <w:szCs w:val="24"/>
        </w:rPr>
        <w:t xml:space="preserve"> (Accessed: 27/03/2024)</w:t>
      </w:r>
      <w:r>
        <w:rPr>
          <w:rFonts w:ascii="Calibri" w:hAnsi="Calibri" w:cs="Calibri"/>
          <w:sz w:val="24"/>
          <w:szCs w:val="24"/>
        </w:rPr>
        <w:t>.</w:t>
      </w:r>
    </w:p>
    <w:p w14:paraId="02C0D2CD" w14:textId="3BFD4296" w:rsidR="00596942" w:rsidRPr="00596942" w:rsidRDefault="00596942" w:rsidP="00596942">
      <w:pPr>
        <w:pStyle w:val="ListParagraph"/>
        <w:numPr>
          <w:ilvl w:val="0"/>
          <w:numId w:val="2"/>
        </w:numPr>
        <w:spacing w:line="360" w:lineRule="auto"/>
        <w:jc w:val="both"/>
        <w:rPr>
          <w:rFonts w:ascii="Calibri" w:hAnsi="Calibri" w:cs="Calibri"/>
          <w:sz w:val="24"/>
          <w:szCs w:val="24"/>
        </w:rPr>
      </w:pPr>
      <w:r>
        <w:rPr>
          <w:rFonts w:ascii="Calibri" w:hAnsi="Calibri" w:cs="Calibri"/>
          <w:sz w:val="24"/>
          <w:szCs w:val="24"/>
        </w:rPr>
        <w:t>Rajput, H. S., Jayaswal, P. (2012) ‘</w:t>
      </w:r>
      <w:r w:rsidRPr="001D4374">
        <w:rPr>
          <w:rFonts w:ascii="Calibri" w:hAnsi="Calibri" w:cs="Calibri"/>
          <w:sz w:val="24"/>
          <w:szCs w:val="24"/>
        </w:rPr>
        <w:t xml:space="preserve">A Total Productive Maintenance (TPM) Approach </w:t>
      </w:r>
      <w:proofErr w:type="gramStart"/>
      <w:r w:rsidRPr="001D4374">
        <w:rPr>
          <w:rFonts w:ascii="Calibri" w:hAnsi="Calibri" w:cs="Calibri"/>
          <w:sz w:val="24"/>
          <w:szCs w:val="24"/>
        </w:rPr>
        <w:t>To</w:t>
      </w:r>
      <w:proofErr w:type="gramEnd"/>
      <w:r w:rsidRPr="001D4374">
        <w:rPr>
          <w:rFonts w:ascii="Calibri" w:hAnsi="Calibri" w:cs="Calibri"/>
          <w:sz w:val="24"/>
          <w:szCs w:val="24"/>
        </w:rPr>
        <w:t xml:space="preserve"> Improve Overall</w:t>
      </w:r>
      <w:r>
        <w:rPr>
          <w:rFonts w:ascii="Calibri" w:hAnsi="Calibri" w:cs="Calibri"/>
          <w:sz w:val="24"/>
          <w:szCs w:val="24"/>
        </w:rPr>
        <w:t xml:space="preserve"> </w:t>
      </w:r>
      <w:r w:rsidRPr="001D4374">
        <w:rPr>
          <w:rFonts w:ascii="Calibri" w:hAnsi="Calibri" w:cs="Calibri"/>
          <w:sz w:val="24"/>
          <w:szCs w:val="24"/>
        </w:rPr>
        <w:t>Equipment Efficiency</w:t>
      </w:r>
      <w:r>
        <w:rPr>
          <w:rFonts w:ascii="Calibri" w:hAnsi="Calibri" w:cs="Calibri"/>
          <w:sz w:val="24"/>
          <w:szCs w:val="24"/>
        </w:rPr>
        <w:t xml:space="preserve">’, </w:t>
      </w:r>
      <w:r w:rsidRPr="001D4374">
        <w:rPr>
          <w:rFonts w:ascii="Calibri" w:hAnsi="Calibri" w:cs="Calibri"/>
          <w:i/>
          <w:iCs/>
          <w:sz w:val="24"/>
          <w:szCs w:val="24"/>
        </w:rPr>
        <w:t>International Journal of Modern Engineering Research (IJMER)</w:t>
      </w:r>
      <w:r>
        <w:rPr>
          <w:rFonts w:ascii="Calibri" w:hAnsi="Calibri" w:cs="Calibri"/>
          <w:sz w:val="24"/>
          <w:szCs w:val="24"/>
        </w:rPr>
        <w:t xml:space="preserve"> 2(6) pp. 4383-4386. Available at: </w:t>
      </w:r>
      <w:hyperlink r:id="rId18" w:history="1">
        <w:r w:rsidRPr="00D72F49">
          <w:rPr>
            <w:rStyle w:val="Hyperlink"/>
            <w:rFonts w:ascii="Calibri" w:hAnsi="Calibri" w:cs="Calibri"/>
            <w:sz w:val="24"/>
            <w:szCs w:val="24"/>
          </w:rPr>
          <w:t>https://d1wqtxts1xzle7.cloudfront.net/90410443/CV2643834386-libre.pdf?1661776646=&amp;response-content-disposition=inline%3B+filename%3DA_Total_Productive_Maintenance_TPM_Appro.pdf&amp;Expires=1711707570&amp;Signature=U-cDnp1dItebruAh50ostJgovt0MFLYwU6-6jpqRlsizhS8WTtDrzeEhQuSEBmchkx2g0zYHgHEtywIM~QnbAXCjoJLzqNlzo78L95siFH</w:t>
        </w:r>
        <w:r w:rsidRPr="00D72F49">
          <w:rPr>
            <w:rStyle w:val="Hyperlink"/>
            <w:rFonts w:ascii="Calibri" w:hAnsi="Calibri" w:cs="Calibri"/>
            <w:sz w:val="24"/>
            <w:szCs w:val="24"/>
          </w:rPr>
          <w:lastRenderedPageBreak/>
          <w:t>pZn27EsbjgHP-p2T5Yx9okGO4y5kmGYqaPvXFWfb0ukYBt7Lvw0EdcAvuih94AA6Al8QwX4poH-nussEdhZRIztMquxIDvPoADv4pWXbQskiupVflmiS0~RI1zS0VuCUlr5fLB9N9OrqNw3BbaPSHPPPfQE0xN-A-uSlx~0yHIl~QdKBvbutbSBEJLgxYzpimbWrVSLHspFFHGX9pdFcrLAxHxi9GH-d-JQHLRSyjf~A__&amp;Key-Pair-Id=APKAJLOHF5GGSLRBV4ZA</w:t>
        </w:r>
      </w:hyperlink>
      <w:r>
        <w:rPr>
          <w:rFonts w:ascii="Calibri" w:hAnsi="Calibri" w:cs="Calibri"/>
          <w:sz w:val="24"/>
          <w:szCs w:val="24"/>
        </w:rPr>
        <w:t xml:space="preserve"> (Accessed: 29/03/2024).</w:t>
      </w:r>
    </w:p>
    <w:p w14:paraId="13082CCD" w14:textId="3DBA810E" w:rsidR="002D54C1" w:rsidRDefault="00051882" w:rsidP="0034146A">
      <w:pPr>
        <w:pStyle w:val="ListParagraph"/>
        <w:numPr>
          <w:ilvl w:val="0"/>
          <w:numId w:val="2"/>
        </w:numPr>
        <w:spacing w:line="360" w:lineRule="auto"/>
        <w:jc w:val="both"/>
        <w:rPr>
          <w:rFonts w:ascii="Calibri" w:hAnsi="Calibri" w:cs="Calibri"/>
          <w:sz w:val="24"/>
          <w:szCs w:val="24"/>
        </w:rPr>
      </w:pPr>
      <w:r>
        <w:rPr>
          <w:rFonts w:ascii="Calibri" w:hAnsi="Calibri" w:cs="Calibri"/>
          <w:sz w:val="24"/>
          <w:szCs w:val="24"/>
        </w:rPr>
        <w:t xml:space="preserve">Rusinski, E., </w:t>
      </w:r>
      <w:proofErr w:type="spellStart"/>
      <w:r>
        <w:rPr>
          <w:rFonts w:ascii="Calibri" w:hAnsi="Calibri" w:cs="Calibri"/>
          <w:sz w:val="24"/>
          <w:szCs w:val="24"/>
        </w:rPr>
        <w:t>Czmochowski</w:t>
      </w:r>
      <w:proofErr w:type="spellEnd"/>
      <w:r>
        <w:rPr>
          <w:rFonts w:ascii="Calibri" w:hAnsi="Calibri" w:cs="Calibri"/>
          <w:sz w:val="24"/>
          <w:szCs w:val="24"/>
        </w:rPr>
        <w:t xml:space="preserve">, J., </w:t>
      </w:r>
      <w:proofErr w:type="spellStart"/>
      <w:r>
        <w:rPr>
          <w:rFonts w:ascii="Calibri" w:hAnsi="Calibri" w:cs="Calibri"/>
          <w:sz w:val="24"/>
          <w:szCs w:val="24"/>
        </w:rPr>
        <w:t>Moczko</w:t>
      </w:r>
      <w:proofErr w:type="spellEnd"/>
      <w:r>
        <w:rPr>
          <w:rFonts w:ascii="Calibri" w:hAnsi="Calibri" w:cs="Calibri"/>
          <w:sz w:val="24"/>
          <w:szCs w:val="24"/>
        </w:rPr>
        <w:t xml:space="preserve">, P., </w:t>
      </w:r>
      <w:proofErr w:type="spellStart"/>
      <w:r>
        <w:rPr>
          <w:rFonts w:ascii="Calibri" w:hAnsi="Calibri" w:cs="Calibri"/>
          <w:sz w:val="24"/>
          <w:szCs w:val="24"/>
        </w:rPr>
        <w:t>Pietrusiak</w:t>
      </w:r>
      <w:proofErr w:type="spellEnd"/>
      <w:r>
        <w:rPr>
          <w:rFonts w:ascii="Calibri" w:hAnsi="Calibri" w:cs="Calibri"/>
          <w:sz w:val="24"/>
          <w:szCs w:val="24"/>
        </w:rPr>
        <w:t>, D. (2017) ‘</w:t>
      </w:r>
      <w:r w:rsidRPr="00051882">
        <w:rPr>
          <w:rFonts w:ascii="Calibri" w:hAnsi="Calibri" w:cs="Calibri"/>
          <w:sz w:val="24"/>
          <w:szCs w:val="24"/>
        </w:rPr>
        <w:t>Monitoring and testing of high power industrial fans vibration</w:t>
      </w:r>
      <w:r>
        <w:rPr>
          <w:rFonts w:ascii="Calibri" w:hAnsi="Calibri" w:cs="Calibri"/>
          <w:sz w:val="24"/>
          <w:szCs w:val="24"/>
        </w:rPr>
        <w:t xml:space="preserve">’ </w:t>
      </w:r>
      <w:r w:rsidRPr="00051882">
        <w:rPr>
          <w:rFonts w:ascii="Calibri" w:hAnsi="Calibri" w:cs="Calibri"/>
          <w:i/>
          <w:iCs/>
          <w:sz w:val="24"/>
          <w:szCs w:val="24"/>
        </w:rPr>
        <w:t>X International Conference on Structural Dynamics, EURODYN 2017</w:t>
      </w:r>
      <w:r>
        <w:rPr>
          <w:rFonts w:ascii="Calibri" w:hAnsi="Calibri" w:cs="Calibri"/>
          <w:sz w:val="24"/>
          <w:szCs w:val="24"/>
        </w:rPr>
        <w:t xml:space="preserve"> Rome, Italy, 10-13 September 2017. Available at: </w:t>
      </w:r>
      <w:hyperlink r:id="rId19" w:history="1">
        <w:r w:rsidRPr="00D72F49">
          <w:rPr>
            <w:rStyle w:val="Hyperlink"/>
            <w:rFonts w:ascii="Calibri" w:hAnsi="Calibri" w:cs="Calibri"/>
            <w:sz w:val="24"/>
            <w:szCs w:val="24"/>
          </w:rPr>
          <w:t>https://www.sciencedirect.com/science/article/pii/S1877705817336226?ref=cra_js_challenge&amp;fr=RR-1</w:t>
        </w:r>
      </w:hyperlink>
      <w:r>
        <w:rPr>
          <w:rFonts w:ascii="Calibri" w:hAnsi="Calibri" w:cs="Calibri"/>
          <w:sz w:val="24"/>
          <w:szCs w:val="24"/>
        </w:rPr>
        <w:t xml:space="preserve"> (Accessed: 27/03/2024).</w:t>
      </w:r>
    </w:p>
    <w:p w14:paraId="0A6B2AD4" w14:textId="105F1705" w:rsidR="002D54C1" w:rsidRDefault="002D54C1" w:rsidP="0034146A">
      <w:pPr>
        <w:pStyle w:val="ListParagraph"/>
        <w:numPr>
          <w:ilvl w:val="0"/>
          <w:numId w:val="2"/>
        </w:numPr>
        <w:spacing w:line="360" w:lineRule="auto"/>
        <w:jc w:val="both"/>
        <w:rPr>
          <w:rFonts w:ascii="Calibri" w:hAnsi="Calibri" w:cs="Calibri"/>
          <w:sz w:val="24"/>
          <w:szCs w:val="24"/>
        </w:rPr>
      </w:pPr>
      <w:r>
        <w:rPr>
          <w:rFonts w:ascii="Calibri" w:hAnsi="Calibri" w:cs="Calibri"/>
          <w:sz w:val="24"/>
          <w:szCs w:val="24"/>
        </w:rPr>
        <w:t>Teixeira, H. N., Lopes, I., Braga, A. C. (2020) ‘</w:t>
      </w:r>
      <w:r w:rsidRPr="002D54C1">
        <w:rPr>
          <w:rFonts w:ascii="Calibri" w:hAnsi="Calibri" w:cs="Calibri"/>
          <w:sz w:val="24"/>
          <w:szCs w:val="24"/>
        </w:rPr>
        <w:t>Condition-based maintenance implementation: a literature review</w:t>
      </w:r>
      <w:r>
        <w:rPr>
          <w:rFonts w:ascii="Calibri" w:hAnsi="Calibri" w:cs="Calibri"/>
          <w:sz w:val="24"/>
          <w:szCs w:val="24"/>
        </w:rPr>
        <w:t xml:space="preserve">’ </w:t>
      </w:r>
      <w:r w:rsidRPr="002D54C1">
        <w:rPr>
          <w:rFonts w:ascii="Calibri" w:hAnsi="Calibri" w:cs="Calibri"/>
          <w:i/>
          <w:iCs/>
          <w:sz w:val="24"/>
          <w:szCs w:val="24"/>
        </w:rPr>
        <w:t>30th International Conference on Flexible Automation and Intelligent Manufacturing (FAIM2021)</w:t>
      </w:r>
      <w:r w:rsidR="006E5B04">
        <w:rPr>
          <w:rFonts w:ascii="Calibri" w:hAnsi="Calibri" w:cs="Calibri"/>
          <w:sz w:val="24"/>
          <w:szCs w:val="24"/>
        </w:rPr>
        <w:t xml:space="preserve"> </w:t>
      </w:r>
      <w:r w:rsidRPr="002D54C1">
        <w:rPr>
          <w:rFonts w:ascii="Calibri" w:hAnsi="Calibri" w:cs="Calibri"/>
          <w:sz w:val="24"/>
          <w:szCs w:val="24"/>
        </w:rPr>
        <w:t>Athens, Greece</w:t>
      </w:r>
      <w:r w:rsidR="006E5B04">
        <w:rPr>
          <w:rFonts w:ascii="Calibri" w:hAnsi="Calibri" w:cs="Calibri"/>
          <w:sz w:val="24"/>
          <w:szCs w:val="24"/>
        </w:rPr>
        <w:t xml:space="preserve">, </w:t>
      </w:r>
      <w:r w:rsidR="006E5B04" w:rsidRPr="002D54C1">
        <w:rPr>
          <w:rFonts w:ascii="Calibri" w:hAnsi="Calibri" w:cs="Calibri"/>
          <w:sz w:val="24"/>
          <w:szCs w:val="24"/>
        </w:rPr>
        <w:t>15-18 June 2021</w:t>
      </w:r>
      <w:r w:rsidR="006E5B04">
        <w:rPr>
          <w:rFonts w:ascii="Calibri" w:hAnsi="Calibri" w:cs="Calibri"/>
          <w:sz w:val="24"/>
          <w:szCs w:val="24"/>
        </w:rPr>
        <w:t xml:space="preserve">. Available at: </w:t>
      </w:r>
      <w:hyperlink r:id="rId20" w:history="1">
        <w:r w:rsidR="006E5B04" w:rsidRPr="00D72F49">
          <w:rPr>
            <w:rStyle w:val="Hyperlink"/>
            <w:rFonts w:ascii="Calibri" w:hAnsi="Calibri" w:cs="Calibri"/>
            <w:sz w:val="24"/>
            <w:szCs w:val="24"/>
          </w:rPr>
          <w:t>https://www.sciencedirect.com/science/article/pii/S2351978920318886</w:t>
        </w:r>
      </w:hyperlink>
      <w:r w:rsidR="006E5B04">
        <w:rPr>
          <w:rFonts w:ascii="Calibri" w:hAnsi="Calibri" w:cs="Calibri"/>
          <w:sz w:val="24"/>
          <w:szCs w:val="24"/>
        </w:rPr>
        <w:t xml:space="preserve"> (Accessed: 28/03/2024)</w:t>
      </w:r>
    </w:p>
    <w:p w14:paraId="0EE6F736" w14:textId="77777777" w:rsidR="000A7DBB" w:rsidRPr="00C5399B" w:rsidRDefault="000A7DBB" w:rsidP="00C5399B">
      <w:pPr>
        <w:ind w:left="360"/>
        <w:rPr>
          <w:rFonts w:ascii="Calibri" w:hAnsi="Calibri" w:cs="Calibri"/>
          <w:sz w:val="24"/>
          <w:szCs w:val="24"/>
        </w:rPr>
      </w:pPr>
    </w:p>
    <w:p w14:paraId="2F29BEEF" w14:textId="77777777" w:rsidR="001D4374" w:rsidRPr="001D4374" w:rsidRDefault="001D4374" w:rsidP="001D4374">
      <w:pPr>
        <w:pStyle w:val="ListParagraph"/>
        <w:rPr>
          <w:rFonts w:ascii="Calibri" w:hAnsi="Calibri" w:cs="Calibri"/>
          <w:sz w:val="24"/>
          <w:szCs w:val="24"/>
        </w:rPr>
      </w:pPr>
    </w:p>
    <w:sectPr w:rsidR="001D4374" w:rsidRPr="001D4374" w:rsidSect="00C37D51">
      <w:footerReference w:type="default" r:id="rId21"/>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A0B286C" w14:textId="77777777" w:rsidR="00C37D51" w:rsidRDefault="00C37D51" w:rsidP="00E414AF">
      <w:r>
        <w:separator/>
      </w:r>
    </w:p>
  </w:endnote>
  <w:endnote w:type="continuationSeparator" w:id="0">
    <w:p w14:paraId="1F2A6A50" w14:textId="77777777" w:rsidR="00C37D51" w:rsidRDefault="00C37D51" w:rsidP="00E414A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297263767"/>
      <w:docPartObj>
        <w:docPartGallery w:val="Page Numbers (Bottom of Page)"/>
        <w:docPartUnique/>
      </w:docPartObj>
    </w:sdtPr>
    <w:sdtEndPr>
      <w:rPr>
        <w:noProof/>
      </w:rPr>
    </w:sdtEndPr>
    <w:sdtContent>
      <w:p w14:paraId="0277E171" w14:textId="7EEA9825" w:rsidR="00E414AF" w:rsidRDefault="00E414A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FB1E907" w14:textId="77777777" w:rsidR="00E414AF" w:rsidRDefault="00E414A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DF2BA27" w14:textId="77777777" w:rsidR="00C37D51" w:rsidRDefault="00C37D51" w:rsidP="00E414AF">
      <w:r>
        <w:separator/>
      </w:r>
    </w:p>
  </w:footnote>
  <w:footnote w:type="continuationSeparator" w:id="0">
    <w:p w14:paraId="096B15F4" w14:textId="77777777" w:rsidR="00C37D51" w:rsidRDefault="00C37D51" w:rsidP="00E414A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499619C"/>
    <w:multiLevelType w:val="hybridMultilevel"/>
    <w:tmpl w:val="8DD0D2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C817C9C"/>
    <w:multiLevelType w:val="hybridMultilevel"/>
    <w:tmpl w:val="93301A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0507951"/>
    <w:multiLevelType w:val="hybridMultilevel"/>
    <w:tmpl w:val="24645C46"/>
    <w:lvl w:ilvl="0" w:tplc="A40CD1DA">
      <w:start w:val="1"/>
      <w:numFmt w:val="decimal"/>
      <w:lvlText w:val="%1."/>
      <w:lvlJc w:val="left"/>
      <w:pPr>
        <w:tabs>
          <w:tab w:val="num" w:pos="1080"/>
        </w:tabs>
        <w:ind w:left="1080" w:hanging="360"/>
      </w:pPr>
      <w:rPr>
        <w:rFonts w:hint="default"/>
      </w:rPr>
    </w:lvl>
    <w:lvl w:ilvl="1" w:tplc="08090019" w:tentative="1">
      <w:start w:val="1"/>
      <w:numFmt w:val="lowerLetter"/>
      <w:lvlText w:val="%2."/>
      <w:lvlJc w:val="left"/>
      <w:pPr>
        <w:tabs>
          <w:tab w:val="num" w:pos="1800"/>
        </w:tabs>
        <w:ind w:left="1800" w:hanging="360"/>
      </w:pPr>
    </w:lvl>
    <w:lvl w:ilvl="2" w:tplc="0809001B" w:tentative="1">
      <w:start w:val="1"/>
      <w:numFmt w:val="lowerRoman"/>
      <w:lvlText w:val="%3."/>
      <w:lvlJc w:val="right"/>
      <w:pPr>
        <w:tabs>
          <w:tab w:val="num" w:pos="2520"/>
        </w:tabs>
        <w:ind w:left="2520" w:hanging="180"/>
      </w:pPr>
    </w:lvl>
    <w:lvl w:ilvl="3" w:tplc="0809000F" w:tentative="1">
      <w:start w:val="1"/>
      <w:numFmt w:val="decimal"/>
      <w:lvlText w:val="%4."/>
      <w:lvlJc w:val="left"/>
      <w:pPr>
        <w:tabs>
          <w:tab w:val="num" w:pos="3240"/>
        </w:tabs>
        <w:ind w:left="3240" w:hanging="360"/>
      </w:pPr>
    </w:lvl>
    <w:lvl w:ilvl="4" w:tplc="08090019" w:tentative="1">
      <w:start w:val="1"/>
      <w:numFmt w:val="lowerLetter"/>
      <w:lvlText w:val="%5."/>
      <w:lvlJc w:val="left"/>
      <w:pPr>
        <w:tabs>
          <w:tab w:val="num" w:pos="3960"/>
        </w:tabs>
        <w:ind w:left="3960" w:hanging="360"/>
      </w:pPr>
    </w:lvl>
    <w:lvl w:ilvl="5" w:tplc="0809001B" w:tentative="1">
      <w:start w:val="1"/>
      <w:numFmt w:val="lowerRoman"/>
      <w:lvlText w:val="%6."/>
      <w:lvlJc w:val="right"/>
      <w:pPr>
        <w:tabs>
          <w:tab w:val="num" w:pos="4680"/>
        </w:tabs>
        <w:ind w:left="4680" w:hanging="180"/>
      </w:pPr>
    </w:lvl>
    <w:lvl w:ilvl="6" w:tplc="0809000F" w:tentative="1">
      <w:start w:val="1"/>
      <w:numFmt w:val="decimal"/>
      <w:lvlText w:val="%7."/>
      <w:lvlJc w:val="left"/>
      <w:pPr>
        <w:tabs>
          <w:tab w:val="num" w:pos="5400"/>
        </w:tabs>
        <w:ind w:left="5400" w:hanging="360"/>
      </w:pPr>
    </w:lvl>
    <w:lvl w:ilvl="7" w:tplc="08090019" w:tentative="1">
      <w:start w:val="1"/>
      <w:numFmt w:val="lowerLetter"/>
      <w:lvlText w:val="%8."/>
      <w:lvlJc w:val="left"/>
      <w:pPr>
        <w:tabs>
          <w:tab w:val="num" w:pos="6120"/>
        </w:tabs>
        <w:ind w:left="6120" w:hanging="360"/>
      </w:pPr>
    </w:lvl>
    <w:lvl w:ilvl="8" w:tplc="0809001B" w:tentative="1">
      <w:start w:val="1"/>
      <w:numFmt w:val="lowerRoman"/>
      <w:lvlText w:val="%9."/>
      <w:lvlJc w:val="right"/>
      <w:pPr>
        <w:tabs>
          <w:tab w:val="num" w:pos="6840"/>
        </w:tabs>
        <w:ind w:left="6840" w:hanging="180"/>
      </w:pPr>
    </w:lvl>
  </w:abstractNum>
  <w:num w:numId="1" w16cid:durableId="381443084">
    <w:abstractNumId w:val="2"/>
  </w:num>
  <w:num w:numId="2" w16cid:durableId="1319840608">
    <w:abstractNumId w:val="1"/>
  </w:num>
  <w:num w:numId="3" w16cid:durableId="77833626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336B9"/>
    <w:rsid w:val="0004111A"/>
    <w:rsid w:val="00051882"/>
    <w:rsid w:val="00085D56"/>
    <w:rsid w:val="000861C1"/>
    <w:rsid w:val="000A7DBB"/>
    <w:rsid w:val="000D26A0"/>
    <w:rsid w:val="000E42AA"/>
    <w:rsid w:val="000F68AD"/>
    <w:rsid w:val="00132BBC"/>
    <w:rsid w:val="00141397"/>
    <w:rsid w:val="001A0946"/>
    <w:rsid w:val="001A3FF2"/>
    <w:rsid w:val="001B1E64"/>
    <w:rsid w:val="001B6B84"/>
    <w:rsid w:val="001D4374"/>
    <w:rsid w:val="00241CEF"/>
    <w:rsid w:val="002A13C1"/>
    <w:rsid w:val="002D54C1"/>
    <w:rsid w:val="00314C95"/>
    <w:rsid w:val="00332569"/>
    <w:rsid w:val="00340F23"/>
    <w:rsid w:val="0034146A"/>
    <w:rsid w:val="003516EF"/>
    <w:rsid w:val="0036537D"/>
    <w:rsid w:val="003778E8"/>
    <w:rsid w:val="003A71B6"/>
    <w:rsid w:val="003B3E3F"/>
    <w:rsid w:val="003B4D82"/>
    <w:rsid w:val="003C6EF3"/>
    <w:rsid w:val="003F6252"/>
    <w:rsid w:val="00407957"/>
    <w:rsid w:val="004140A2"/>
    <w:rsid w:val="00454557"/>
    <w:rsid w:val="00455F25"/>
    <w:rsid w:val="00464DDB"/>
    <w:rsid w:val="00471343"/>
    <w:rsid w:val="00482329"/>
    <w:rsid w:val="004A3422"/>
    <w:rsid w:val="004F40DB"/>
    <w:rsid w:val="005336B9"/>
    <w:rsid w:val="00557F68"/>
    <w:rsid w:val="00596942"/>
    <w:rsid w:val="005B251C"/>
    <w:rsid w:val="005D3654"/>
    <w:rsid w:val="005F309B"/>
    <w:rsid w:val="006C7A18"/>
    <w:rsid w:val="006D0F10"/>
    <w:rsid w:val="006E5B04"/>
    <w:rsid w:val="0071383E"/>
    <w:rsid w:val="007267B3"/>
    <w:rsid w:val="0075088E"/>
    <w:rsid w:val="007615D4"/>
    <w:rsid w:val="007848D7"/>
    <w:rsid w:val="00791BA2"/>
    <w:rsid w:val="00795FF0"/>
    <w:rsid w:val="007D01EF"/>
    <w:rsid w:val="007D4B71"/>
    <w:rsid w:val="007E7EFC"/>
    <w:rsid w:val="00820DDA"/>
    <w:rsid w:val="00845559"/>
    <w:rsid w:val="0087102E"/>
    <w:rsid w:val="00890B3A"/>
    <w:rsid w:val="008A2150"/>
    <w:rsid w:val="008A2EEF"/>
    <w:rsid w:val="008E0BA2"/>
    <w:rsid w:val="008F4AFA"/>
    <w:rsid w:val="00905F25"/>
    <w:rsid w:val="009308E4"/>
    <w:rsid w:val="00934B1F"/>
    <w:rsid w:val="00956C0A"/>
    <w:rsid w:val="009773C2"/>
    <w:rsid w:val="009E15B9"/>
    <w:rsid w:val="00A22F97"/>
    <w:rsid w:val="00A51543"/>
    <w:rsid w:val="00A63ECA"/>
    <w:rsid w:val="00A66907"/>
    <w:rsid w:val="00AC768D"/>
    <w:rsid w:val="00B72FAC"/>
    <w:rsid w:val="00B819FB"/>
    <w:rsid w:val="00B91AF7"/>
    <w:rsid w:val="00B96F2E"/>
    <w:rsid w:val="00BA563A"/>
    <w:rsid w:val="00BD1AB3"/>
    <w:rsid w:val="00BE1949"/>
    <w:rsid w:val="00BE6D3A"/>
    <w:rsid w:val="00BE74AA"/>
    <w:rsid w:val="00C37D51"/>
    <w:rsid w:val="00C42B8B"/>
    <w:rsid w:val="00C462EA"/>
    <w:rsid w:val="00C501E6"/>
    <w:rsid w:val="00C5399B"/>
    <w:rsid w:val="00C643A5"/>
    <w:rsid w:val="00C67A16"/>
    <w:rsid w:val="00C76AF6"/>
    <w:rsid w:val="00C919E2"/>
    <w:rsid w:val="00C948CF"/>
    <w:rsid w:val="00CF3891"/>
    <w:rsid w:val="00CF6AA1"/>
    <w:rsid w:val="00D86865"/>
    <w:rsid w:val="00DC310E"/>
    <w:rsid w:val="00DD6DFD"/>
    <w:rsid w:val="00E048FD"/>
    <w:rsid w:val="00E402F7"/>
    <w:rsid w:val="00E414AF"/>
    <w:rsid w:val="00E7145B"/>
    <w:rsid w:val="00E9037C"/>
    <w:rsid w:val="00EC67C4"/>
    <w:rsid w:val="00EE43B5"/>
    <w:rsid w:val="00F71699"/>
    <w:rsid w:val="00F75B1A"/>
    <w:rsid w:val="00F81167"/>
    <w:rsid w:val="00FD2F54"/>
    <w:rsid w:val="00FD73E3"/>
    <w:rsid w:val="00FE30E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BF226F"/>
  <w15:chartTrackingRefBased/>
  <w15:docId w15:val="{6F98FAAB-F18E-440D-B72B-5C5933C9CE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336B9"/>
    <w:pPr>
      <w:spacing w:after="0" w:line="240" w:lineRule="auto"/>
    </w:pPr>
    <w:rPr>
      <w:rFonts w:ascii="Times New Roman" w:eastAsia="Times New Roman" w:hAnsi="Times New Roman" w:cs="Times New Roman"/>
      <w:kern w:val="0"/>
      <w:sz w:val="20"/>
      <w:szCs w:val="20"/>
      <w:lang w:eastAsia="en-GB"/>
      <w14:ligatures w14:val="none"/>
    </w:rPr>
  </w:style>
  <w:style w:type="paragraph" w:styleId="Heading1">
    <w:name w:val="heading 1"/>
    <w:basedOn w:val="Normal"/>
    <w:next w:val="Normal"/>
    <w:link w:val="Heading1Char"/>
    <w:uiPriority w:val="9"/>
    <w:qFormat/>
    <w:rsid w:val="005336B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336B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336B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336B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336B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336B9"/>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336B9"/>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336B9"/>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336B9"/>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336B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336B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336B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336B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336B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336B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336B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336B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336B9"/>
    <w:rPr>
      <w:rFonts w:eastAsiaTheme="majorEastAsia" w:cstheme="majorBidi"/>
      <w:color w:val="272727" w:themeColor="text1" w:themeTint="D8"/>
    </w:rPr>
  </w:style>
  <w:style w:type="paragraph" w:styleId="Title">
    <w:name w:val="Title"/>
    <w:basedOn w:val="Normal"/>
    <w:next w:val="Normal"/>
    <w:link w:val="TitleChar"/>
    <w:uiPriority w:val="10"/>
    <w:qFormat/>
    <w:rsid w:val="005336B9"/>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336B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336B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336B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336B9"/>
    <w:pPr>
      <w:spacing w:before="160"/>
      <w:jc w:val="center"/>
    </w:pPr>
    <w:rPr>
      <w:i/>
      <w:iCs/>
      <w:color w:val="404040" w:themeColor="text1" w:themeTint="BF"/>
    </w:rPr>
  </w:style>
  <w:style w:type="character" w:customStyle="1" w:styleId="QuoteChar">
    <w:name w:val="Quote Char"/>
    <w:basedOn w:val="DefaultParagraphFont"/>
    <w:link w:val="Quote"/>
    <w:uiPriority w:val="29"/>
    <w:rsid w:val="005336B9"/>
    <w:rPr>
      <w:i/>
      <w:iCs/>
      <w:color w:val="404040" w:themeColor="text1" w:themeTint="BF"/>
    </w:rPr>
  </w:style>
  <w:style w:type="paragraph" w:styleId="ListParagraph">
    <w:name w:val="List Paragraph"/>
    <w:basedOn w:val="Normal"/>
    <w:uiPriority w:val="34"/>
    <w:qFormat/>
    <w:rsid w:val="005336B9"/>
    <w:pPr>
      <w:ind w:left="720"/>
      <w:contextualSpacing/>
    </w:pPr>
  </w:style>
  <w:style w:type="character" w:styleId="IntenseEmphasis">
    <w:name w:val="Intense Emphasis"/>
    <w:basedOn w:val="DefaultParagraphFont"/>
    <w:uiPriority w:val="21"/>
    <w:qFormat/>
    <w:rsid w:val="005336B9"/>
    <w:rPr>
      <w:i/>
      <w:iCs/>
      <w:color w:val="0F4761" w:themeColor="accent1" w:themeShade="BF"/>
    </w:rPr>
  </w:style>
  <w:style w:type="paragraph" w:styleId="IntenseQuote">
    <w:name w:val="Intense Quote"/>
    <w:basedOn w:val="Normal"/>
    <w:next w:val="Normal"/>
    <w:link w:val="IntenseQuoteChar"/>
    <w:uiPriority w:val="30"/>
    <w:qFormat/>
    <w:rsid w:val="005336B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336B9"/>
    <w:rPr>
      <w:i/>
      <w:iCs/>
      <w:color w:val="0F4761" w:themeColor="accent1" w:themeShade="BF"/>
    </w:rPr>
  </w:style>
  <w:style w:type="character" w:styleId="IntenseReference">
    <w:name w:val="Intense Reference"/>
    <w:basedOn w:val="DefaultParagraphFont"/>
    <w:uiPriority w:val="32"/>
    <w:qFormat/>
    <w:rsid w:val="005336B9"/>
    <w:rPr>
      <w:b/>
      <w:bCs/>
      <w:smallCaps/>
      <w:color w:val="0F4761" w:themeColor="accent1" w:themeShade="BF"/>
      <w:spacing w:val="5"/>
    </w:rPr>
  </w:style>
  <w:style w:type="character" w:styleId="Hyperlink">
    <w:name w:val="Hyperlink"/>
    <w:basedOn w:val="DefaultParagraphFont"/>
    <w:uiPriority w:val="99"/>
    <w:unhideWhenUsed/>
    <w:rsid w:val="00956C0A"/>
    <w:rPr>
      <w:color w:val="467886" w:themeColor="hyperlink"/>
      <w:u w:val="single"/>
    </w:rPr>
  </w:style>
  <w:style w:type="character" w:styleId="UnresolvedMention">
    <w:name w:val="Unresolved Mention"/>
    <w:basedOn w:val="DefaultParagraphFont"/>
    <w:uiPriority w:val="99"/>
    <w:semiHidden/>
    <w:unhideWhenUsed/>
    <w:rsid w:val="00956C0A"/>
    <w:rPr>
      <w:color w:val="605E5C"/>
      <w:shd w:val="clear" w:color="auto" w:fill="E1DFDD"/>
    </w:rPr>
  </w:style>
  <w:style w:type="paragraph" w:styleId="TOCHeading">
    <w:name w:val="TOC Heading"/>
    <w:basedOn w:val="Heading1"/>
    <w:next w:val="Normal"/>
    <w:uiPriority w:val="39"/>
    <w:unhideWhenUsed/>
    <w:qFormat/>
    <w:rsid w:val="00E414AF"/>
    <w:pPr>
      <w:spacing w:before="240" w:after="0" w:line="259" w:lineRule="auto"/>
      <w:outlineLvl w:val="9"/>
    </w:pPr>
    <w:rPr>
      <w:sz w:val="32"/>
      <w:szCs w:val="32"/>
      <w:lang w:val="en-US" w:eastAsia="en-US"/>
    </w:rPr>
  </w:style>
  <w:style w:type="paragraph" w:styleId="TOC1">
    <w:name w:val="toc 1"/>
    <w:basedOn w:val="Normal"/>
    <w:next w:val="Normal"/>
    <w:autoRedefine/>
    <w:uiPriority w:val="39"/>
    <w:unhideWhenUsed/>
    <w:rsid w:val="0036537D"/>
    <w:pPr>
      <w:tabs>
        <w:tab w:val="right" w:leader="dot" w:pos="9016"/>
      </w:tabs>
      <w:spacing w:after="100"/>
    </w:pPr>
    <w:rPr>
      <w:rFonts w:ascii="Calibri" w:hAnsi="Calibri" w:cs="Calibri"/>
      <w:sz w:val="24"/>
      <w:szCs w:val="24"/>
    </w:rPr>
  </w:style>
  <w:style w:type="character" w:styleId="Strong">
    <w:name w:val="Strong"/>
    <w:basedOn w:val="DefaultParagraphFont"/>
    <w:uiPriority w:val="22"/>
    <w:qFormat/>
    <w:rsid w:val="00E414AF"/>
    <w:rPr>
      <w:b/>
      <w:bCs/>
    </w:rPr>
  </w:style>
  <w:style w:type="paragraph" w:styleId="Header">
    <w:name w:val="header"/>
    <w:basedOn w:val="Normal"/>
    <w:link w:val="HeaderChar"/>
    <w:uiPriority w:val="99"/>
    <w:unhideWhenUsed/>
    <w:rsid w:val="00E414AF"/>
    <w:pPr>
      <w:tabs>
        <w:tab w:val="center" w:pos="4513"/>
        <w:tab w:val="right" w:pos="9026"/>
      </w:tabs>
    </w:pPr>
  </w:style>
  <w:style w:type="character" w:customStyle="1" w:styleId="HeaderChar">
    <w:name w:val="Header Char"/>
    <w:basedOn w:val="DefaultParagraphFont"/>
    <w:link w:val="Header"/>
    <w:uiPriority w:val="99"/>
    <w:rsid w:val="00E414AF"/>
    <w:rPr>
      <w:rFonts w:ascii="Times New Roman" w:eastAsia="Times New Roman" w:hAnsi="Times New Roman" w:cs="Times New Roman"/>
      <w:kern w:val="0"/>
      <w:sz w:val="20"/>
      <w:szCs w:val="20"/>
      <w:lang w:eastAsia="en-GB"/>
      <w14:ligatures w14:val="none"/>
    </w:rPr>
  </w:style>
  <w:style w:type="paragraph" w:styleId="Footer">
    <w:name w:val="footer"/>
    <w:basedOn w:val="Normal"/>
    <w:link w:val="FooterChar"/>
    <w:uiPriority w:val="99"/>
    <w:unhideWhenUsed/>
    <w:rsid w:val="00E414AF"/>
    <w:pPr>
      <w:tabs>
        <w:tab w:val="center" w:pos="4513"/>
        <w:tab w:val="right" w:pos="9026"/>
      </w:tabs>
    </w:pPr>
  </w:style>
  <w:style w:type="character" w:customStyle="1" w:styleId="FooterChar">
    <w:name w:val="Footer Char"/>
    <w:basedOn w:val="DefaultParagraphFont"/>
    <w:link w:val="Footer"/>
    <w:uiPriority w:val="99"/>
    <w:rsid w:val="00E414AF"/>
    <w:rPr>
      <w:rFonts w:ascii="Times New Roman" w:eastAsia="Times New Roman" w:hAnsi="Times New Roman" w:cs="Times New Roman"/>
      <w:kern w:val="0"/>
      <w:sz w:val="20"/>
      <w:szCs w:val="20"/>
      <w:lang w:eastAsia="en-GB"/>
      <w14:ligatures w14:val="none"/>
    </w:rPr>
  </w:style>
  <w:style w:type="paragraph" w:styleId="Caption">
    <w:name w:val="caption"/>
    <w:basedOn w:val="Normal"/>
    <w:next w:val="Normal"/>
    <w:uiPriority w:val="35"/>
    <w:unhideWhenUsed/>
    <w:qFormat/>
    <w:rsid w:val="00454557"/>
    <w:pPr>
      <w:spacing w:after="200"/>
    </w:pPr>
    <w:rPr>
      <w:i/>
      <w:iCs/>
      <w:color w:val="0E2841" w:themeColor="text2"/>
      <w:sz w:val="18"/>
      <w:szCs w:val="18"/>
    </w:rPr>
  </w:style>
  <w:style w:type="paragraph" w:styleId="TableofFigures">
    <w:name w:val="table of figures"/>
    <w:basedOn w:val="Normal"/>
    <w:next w:val="Normal"/>
    <w:uiPriority w:val="99"/>
    <w:unhideWhenUsed/>
    <w:rsid w:val="001A0946"/>
  </w:style>
  <w:style w:type="character" w:styleId="FollowedHyperlink">
    <w:name w:val="FollowedHyperlink"/>
    <w:basedOn w:val="DefaultParagraphFont"/>
    <w:uiPriority w:val="99"/>
    <w:semiHidden/>
    <w:unhideWhenUsed/>
    <w:rsid w:val="00934B1F"/>
    <w:rPr>
      <w:color w:val="96607D" w:themeColor="followedHyperlink"/>
      <w:u w:val="single"/>
    </w:rPr>
  </w:style>
  <w:style w:type="character" w:styleId="CommentReference">
    <w:name w:val="annotation reference"/>
    <w:basedOn w:val="DefaultParagraphFont"/>
    <w:uiPriority w:val="99"/>
    <w:semiHidden/>
    <w:unhideWhenUsed/>
    <w:rsid w:val="00934B1F"/>
    <w:rPr>
      <w:sz w:val="16"/>
      <w:szCs w:val="16"/>
    </w:rPr>
  </w:style>
  <w:style w:type="paragraph" w:styleId="CommentText">
    <w:name w:val="annotation text"/>
    <w:basedOn w:val="Normal"/>
    <w:link w:val="CommentTextChar"/>
    <w:uiPriority w:val="99"/>
    <w:unhideWhenUsed/>
    <w:rsid w:val="00934B1F"/>
  </w:style>
  <w:style w:type="character" w:customStyle="1" w:styleId="CommentTextChar">
    <w:name w:val="Comment Text Char"/>
    <w:basedOn w:val="DefaultParagraphFont"/>
    <w:link w:val="CommentText"/>
    <w:uiPriority w:val="99"/>
    <w:rsid w:val="00934B1F"/>
    <w:rPr>
      <w:rFonts w:ascii="Times New Roman" w:eastAsia="Times New Roman" w:hAnsi="Times New Roman" w:cs="Times New Roman"/>
      <w:kern w:val="0"/>
      <w:sz w:val="20"/>
      <w:szCs w:val="2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16540945">
      <w:bodyDiv w:val="1"/>
      <w:marLeft w:val="0"/>
      <w:marRight w:val="0"/>
      <w:marTop w:val="0"/>
      <w:marBottom w:val="0"/>
      <w:divBdr>
        <w:top w:val="none" w:sz="0" w:space="0" w:color="auto"/>
        <w:left w:val="none" w:sz="0" w:space="0" w:color="auto"/>
        <w:bottom w:val="none" w:sz="0" w:space="0" w:color="auto"/>
        <w:right w:val="none" w:sz="0" w:space="0" w:color="auto"/>
      </w:divBdr>
    </w:div>
    <w:div w:id="363794840">
      <w:bodyDiv w:val="1"/>
      <w:marLeft w:val="0"/>
      <w:marRight w:val="0"/>
      <w:marTop w:val="0"/>
      <w:marBottom w:val="0"/>
      <w:divBdr>
        <w:top w:val="none" w:sz="0" w:space="0" w:color="auto"/>
        <w:left w:val="none" w:sz="0" w:space="0" w:color="auto"/>
        <w:bottom w:val="none" w:sz="0" w:space="0" w:color="auto"/>
        <w:right w:val="none" w:sz="0" w:space="0" w:color="auto"/>
      </w:divBdr>
    </w:div>
    <w:div w:id="594241113">
      <w:bodyDiv w:val="1"/>
      <w:marLeft w:val="0"/>
      <w:marRight w:val="0"/>
      <w:marTop w:val="0"/>
      <w:marBottom w:val="0"/>
      <w:divBdr>
        <w:top w:val="none" w:sz="0" w:space="0" w:color="auto"/>
        <w:left w:val="none" w:sz="0" w:space="0" w:color="auto"/>
        <w:bottom w:val="none" w:sz="0" w:space="0" w:color="auto"/>
        <w:right w:val="none" w:sz="0" w:space="0" w:color="auto"/>
      </w:divBdr>
    </w:div>
    <w:div w:id="956375298">
      <w:bodyDiv w:val="1"/>
      <w:marLeft w:val="0"/>
      <w:marRight w:val="0"/>
      <w:marTop w:val="0"/>
      <w:marBottom w:val="0"/>
      <w:divBdr>
        <w:top w:val="none" w:sz="0" w:space="0" w:color="auto"/>
        <w:left w:val="none" w:sz="0" w:space="0" w:color="auto"/>
        <w:bottom w:val="none" w:sz="0" w:space="0" w:color="auto"/>
        <w:right w:val="none" w:sz="0" w:space="0" w:color="auto"/>
      </w:divBdr>
    </w:div>
    <w:div w:id="1086459984">
      <w:bodyDiv w:val="1"/>
      <w:marLeft w:val="0"/>
      <w:marRight w:val="0"/>
      <w:marTop w:val="0"/>
      <w:marBottom w:val="0"/>
      <w:divBdr>
        <w:top w:val="none" w:sz="0" w:space="0" w:color="auto"/>
        <w:left w:val="none" w:sz="0" w:space="0" w:color="auto"/>
        <w:bottom w:val="none" w:sz="0" w:space="0" w:color="auto"/>
        <w:right w:val="none" w:sz="0" w:space="0" w:color="auto"/>
      </w:divBdr>
      <w:divsChild>
        <w:div w:id="1713964305">
          <w:marLeft w:val="0"/>
          <w:marRight w:val="0"/>
          <w:marTop w:val="0"/>
          <w:marBottom w:val="0"/>
          <w:divBdr>
            <w:top w:val="single" w:sz="2" w:space="0" w:color="E3E3E3"/>
            <w:left w:val="single" w:sz="2" w:space="0" w:color="E3E3E3"/>
            <w:bottom w:val="single" w:sz="2" w:space="0" w:color="E3E3E3"/>
            <w:right w:val="single" w:sz="2" w:space="0" w:color="E3E3E3"/>
          </w:divBdr>
          <w:divsChild>
            <w:div w:id="1011185174">
              <w:marLeft w:val="0"/>
              <w:marRight w:val="0"/>
              <w:marTop w:val="0"/>
              <w:marBottom w:val="0"/>
              <w:divBdr>
                <w:top w:val="single" w:sz="2" w:space="0" w:color="E3E3E3"/>
                <w:left w:val="single" w:sz="2" w:space="0" w:color="E3E3E3"/>
                <w:bottom w:val="single" w:sz="2" w:space="0" w:color="E3E3E3"/>
                <w:right w:val="single" w:sz="2" w:space="0" w:color="E3E3E3"/>
              </w:divBdr>
              <w:divsChild>
                <w:div w:id="489752808">
                  <w:marLeft w:val="0"/>
                  <w:marRight w:val="0"/>
                  <w:marTop w:val="0"/>
                  <w:marBottom w:val="0"/>
                  <w:divBdr>
                    <w:top w:val="single" w:sz="2" w:space="0" w:color="E3E3E3"/>
                    <w:left w:val="single" w:sz="2" w:space="0" w:color="E3E3E3"/>
                    <w:bottom w:val="single" w:sz="2" w:space="0" w:color="E3E3E3"/>
                    <w:right w:val="single" w:sz="2" w:space="0" w:color="E3E3E3"/>
                  </w:divBdr>
                  <w:divsChild>
                    <w:div w:id="1802461395">
                      <w:marLeft w:val="0"/>
                      <w:marRight w:val="0"/>
                      <w:marTop w:val="0"/>
                      <w:marBottom w:val="0"/>
                      <w:divBdr>
                        <w:top w:val="single" w:sz="2" w:space="0" w:color="E3E3E3"/>
                        <w:left w:val="single" w:sz="2" w:space="0" w:color="E3E3E3"/>
                        <w:bottom w:val="single" w:sz="2" w:space="0" w:color="E3E3E3"/>
                        <w:right w:val="single" w:sz="2" w:space="0" w:color="E3E3E3"/>
                      </w:divBdr>
                      <w:divsChild>
                        <w:div w:id="1292400044">
                          <w:marLeft w:val="0"/>
                          <w:marRight w:val="0"/>
                          <w:marTop w:val="0"/>
                          <w:marBottom w:val="0"/>
                          <w:divBdr>
                            <w:top w:val="single" w:sz="2" w:space="0" w:color="E3E3E3"/>
                            <w:left w:val="single" w:sz="2" w:space="0" w:color="E3E3E3"/>
                            <w:bottom w:val="single" w:sz="2" w:space="0" w:color="E3E3E3"/>
                            <w:right w:val="single" w:sz="2" w:space="0" w:color="E3E3E3"/>
                          </w:divBdr>
                          <w:divsChild>
                            <w:div w:id="647057195">
                              <w:marLeft w:val="0"/>
                              <w:marRight w:val="0"/>
                              <w:marTop w:val="100"/>
                              <w:marBottom w:val="100"/>
                              <w:divBdr>
                                <w:top w:val="single" w:sz="2" w:space="0" w:color="E3E3E3"/>
                                <w:left w:val="single" w:sz="2" w:space="0" w:color="E3E3E3"/>
                                <w:bottom w:val="single" w:sz="2" w:space="0" w:color="E3E3E3"/>
                                <w:right w:val="single" w:sz="2" w:space="0" w:color="E3E3E3"/>
                              </w:divBdr>
                              <w:divsChild>
                                <w:div w:id="937298021">
                                  <w:marLeft w:val="0"/>
                                  <w:marRight w:val="0"/>
                                  <w:marTop w:val="0"/>
                                  <w:marBottom w:val="0"/>
                                  <w:divBdr>
                                    <w:top w:val="single" w:sz="2" w:space="0" w:color="E3E3E3"/>
                                    <w:left w:val="single" w:sz="2" w:space="0" w:color="E3E3E3"/>
                                    <w:bottom w:val="single" w:sz="2" w:space="0" w:color="E3E3E3"/>
                                    <w:right w:val="single" w:sz="2" w:space="0" w:color="E3E3E3"/>
                                  </w:divBdr>
                                  <w:divsChild>
                                    <w:div w:id="1532377917">
                                      <w:marLeft w:val="0"/>
                                      <w:marRight w:val="0"/>
                                      <w:marTop w:val="0"/>
                                      <w:marBottom w:val="0"/>
                                      <w:divBdr>
                                        <w:top w:val="single" w:sz="2" w:space="0" w:color="E3E3E3"/>
                                        <w:left w:val="single" w:sz="2" w:space="0" w:color="E3E3E3"/>
                                        <w:bottom w:val="single" w:sz="2" w:space="0" w:color="E3E3E3"/>
                                        <w:right w:val="single" w:sz="2" w:space="0" w:color="E3E3E3"/>
                                      </w:divBdr>
                                      <w:divsChild>
                                        <w:div w:id="1977221372">
                                          <w:marLeft w:val="0"/>
                                          <w:marRight w:val="0"/>
                                          <w:marTop w:val="0"/>
                                          <w:marBottom w:val="0"/>
                                          <w:divBdr>
                                            <w:top w:val="single" w:sz="2" w:space="0" w:color="E3E3E3"/>
                                            <w:left w:val="single" w:sz="2" w:space="0" w:color="E3E3E3"/>
                                            <w:bottom w:val="single" w:sz="2" w:space="0" w:color="E3E3E3"/>
                                            <w:right w:val="single" w:sz="2" w:space="0" w:color="E3E3E3"/>
                                          </w:divBdr>
                                          <w:divsChild>
                                            <w:div w:id="1439568303">
                                              <w:marLeft w:val="0"/>
                                              <w:marRight w:val="0"/>
                                              <w:marTop w:val="0"/>
                                              <w:marBottom w:val="0"/>
                                              <w:divBdr>
                                                <w:top w:val="single" w:sz="2" w:space="0" w:color="E3E3E3"/>
                                                <w:left w:val="single" w:sz="2" w:space="0" w:color="E3E3E3"/>
                                                <w:bottom w:val="single" w:sz="2" w:space="0" w:color="E3E3E3"/>
                                                <w:right w:val="single" w:sz="2" w:space="0" w:color="E3E3E3"/>
                                              </w:divBdr>
                                              <w:divsChild>
                                                <w:div w:id="952443872">
                                                  <w:marLeft w:val="0"/>
                                                  <w:marRight w:val="0"/>
                                                  <w:marTop w:val="0"/>
                                                  <w:marBottom w:val="0"/>
                                                  <w:divBdr>
                                                    <w:top w:val="single" w:sz="2" w:space="0" w:color="E3E3E3"/>
                                                    <w:left w:val="single" w:sz="2" w:space="0" w:color="E3E3E3"/>
                                                    <w:bottom w:val="single" w:sz="2" w:space="0" w:color="E3E3E3"/>
                                                    <w:right w:val="single" w:sz="2" w:space="0" w:color="E3E3E3"/>
                                                  </w:divBdr>
                                                  <w:divsChild>
                                                    <w:div w:id="10172549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1685472963">
          <w:marLeft w:val="0"/>
          <w:marRight w:val="0"/>
          <w:marTop w:val="0"/>
          <w:marBottom w:val="0"/>
          <w:divBdr>
            <w:top w:val="none" w:sz="0" w:space="0" w:color="auto"/>
            <w:left w:val="none" w:sz="0" w:space="0" w:color="auto"/>
            <w:bottom w:val="none" w:sz="0" w:space="0" w:color="auto"/>
            <w:right w:val="none" w:sz="0" w:space="0" w:color="auto"/>
          </w:divBdr>
        </w:div>
      </w:divsChild>
    </w:div>
    <w:div w:id="1204556055">
      <w:bodyDiv w:val="1"/>
      <w:marLeft w:val="0"/>
      <w:marRight w:val="0"/>
      <w:marTop w:val="0"/>
      <w:marBottom w:val="0"/>
      <w:divBdr>
        <w:top w:val="none" w:sz="0" w:space="0" w:color="auto"/>
        <w:left w:val="none" w:sz="0" w:space="0" w:color="auto"/>
        <w:bottom w:val="none" w:sz="0" w:space="0" w:color="auto"/>
        <w:right w:val="none" w:sz="0" w:space="0" w:color="auto"/>
      </w:divBdr>
    </w:div>
    <w:div w:id="1286883453">
      <w:bodyDiv w:val="1"/>
      <w:marLeft w:val="0"/>
      <w:marRight w:val="0"/>
      <w:marTop w:val="0"/>
      <w:marBottom w:val="0"/>
      <w:divBdr>
        <w:top w:val="none" w:sz="0" w:space="0" w:color="auto"/>
        <w:left w:val="none" w:sz="0" w:space="0" w:color="auto"/>
        <w:bottom w:val="none" w:sz="0" w:space="0" w:color="auto"/>
        <w:right w:val="none" w:sz="0" w:space="0" w:color="auto"/>
      </w:divBdr>
    </w:div>
    <w:div w:id="1475488738">
      <w:bodyDiv w:val="1"/>
      <w:marLeft w:val="0"/>
      <w:marRight w:val="0"/>
      <w:marTop w:val="0"/>
      <w:marBottom w:val="0"/>
      <w:divBdr>
        <w:top w:val="none" w:sz="0" w:space="0" w:color="auto"/>
        <w:left w:val="none" w:sz="0" w:space="0" w:color="auto"/>
        <w:bottom w:val="none" w:sz="0" w:space="0" w:color="auto"/>
        <w:right w:val="none" w:sz="0" w:space="0" w:color="auto"/>
      </w:divBdr>
    </w:div>
    <w:div w:id="1653101868">
      <w:bodyDiv w:val="1"/>
      <w:marLeft w:val="0"/>
      <w:marRight w:val="0"/>
      <w:marTop w:val="0"/>
      <w:marBottom w:val="0"/>
      <w:divBdr>
        <w:top w:val="none" w:sz="0" w:space="0" w:color="auto"/>
        <w:left w:val="none" w:sz="0" w:space="0" w:color="auto"/>
        <w:bottom w:val="none" w:sz="0" w:space="0" w:color="auto"/>
        <w:right w:val="none" w:sz="0" w:space="0" w:color="auto"/>
      </w:divBdr>
    </w:div>
    <w:div w:id="1759515977">
      <w:bodyDiv w:val="1"/>
      <w:marLeft w:val="0"/>
      <w:marRight w:val="0"/>
      <w:marTop w:val="0"/>
      <w:marBottom w:val="0"/>
      <w:divBdr>
        <w:top w:val="none" w:sz="0" w:space="0" w:color="auto"/>
        <w:left w:val="none" w:sz="0" w:space="0" w:color="auto"/>
        <w:bottom w:val="none" w:sz="0" w:space="0" w:color="auto"/>
        <w:right w:val="none" w:sz="0" w:space="0" w:color="auto"/>
      </w:divBdr>
    </w:div>
    <w:div w:id="1764300880">
      <w:bodyDiv w:val="1"/>
      <w:marLeft w:val="0"/>
      <w:marRight w:val="0"/>
      <w:marTop w:val="0"/>
      <w:marBottom w:val="0"/>
      <w:divBdr>
        <w:top w:val="none" w:sz="0" w:space="0" w:color="auto"/>
        <w:left w:val="none" w:sz="0" w:space="0" w:color="auto"/>
        <w:bottom w:val="none" w:sz="0" w:space="0" w:color="auto"/>
        <w:right w:val="none" w:sz="0" w:space="0" w:color="auto"/>
      </w:divBdr>
    </w:div>
    <w:div w:id="2043091743">
      <w:bodyDiv w:val="1"/>
      <w:marLeft w:val="0"/>
      <w:marRight w:val="0"/>
      <w:marTop w:val="0"/>
      <w:marBottom w:val="0"/>
      <w:divBdr>
        <w:top w:val="none" w:sz="0" w:space="0" w:color="auto"/>
        <w:left w:val="none" w:sz="0" w:space="0" w:color="auto"/>
        <w:bottom w:val="none" w:sz="0" w:space="0" w:color="auto"/>
        <w:right w:val="none" w:sz="0" w:space="0" w:color="auto"/>
      </w:divBdr>
    </w:div>
    <w:div w:id="2092920868">
      <w:bodyDiv w:val="1"/>
      <w:marLeft w:val="0"/>
      <w:marRight w:val="0"/>
      <w:marTop w:val="0"/>
      <w:marBottom w:val="0"/>
      <w:divBdr>
        <w:top w:val="none" w:sz="0" w:space="0" w:color="auto"/>
        <w:left w:val="none" w:sz="0" w:space="0" w:color="auto"/>
        <w:bottom w:val="none" w:sz="0" w:space="0" w:color="auto"/>
        <w:right w:val="none" w:sz="0" w:space="0" w:color="auto"/>
      </w:divBdr>
    </w:div>
    <w:div w:id="20990116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hyperlink" Target="https://d1wqtxts1xzle7.cloudfront.net/90410443/CV2643834386-libre.pdf?1661776646=&amp;response-content-disposition=inline%3B+filename%3DA_Total_Productive_Maintenance_TPM_Appro.pdf&amp;Expires=1711707570&amp;Signature=U-cDnp1dItebruAh50ostJgovt0MFLYwU6-6jpqRlsizhS8WTtDrzeEhQuSEBmchkx2g0zYHgHEtywIM~QnbAXCjoJLzqNlzo78L95siFHpZn27EsbjgHP-p2T5Yx9okGO4y5kmGYqaPvXFWfb0ukYBt7Lvw0EdcAvuih94AA6Al8QwX4poH-nussEdhZRIztMquxIDvPoADv4pWXbQskiupVflmiS0~RI1zS0VuCUlr5fLB9N9OrqNw3BbaPSHPPPfQE0xN-A-uSlx~0yHIl~QdKBvbutbSBEJLgxYzpimbWrVSLHspFFHGX9pdFcrLAxHxi9GH-d-JQHLRSyjf~A__&amp;Key-Pair-Id=APKAJLOHF5GGSLRBV4ZA" TargetMode="External"/><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www.sciencedirect.com/science/article/pii/S2351978920320904" TargetMode="External"/><Relationship Id="rId2" Type="http://schemas.openxmlformats.org/officeDocument/2006/relationships/numbering" Target="numbering.xml"/><Relationship Id="rId16" Type="http://schemas.openxmlformats.org/officeDocument/2006/relationships/hyperlink" Target="https://www.sciencedirect.com/science/article/pii/S0888327005001512" TargetMode="External"/><Relationship Id="rId20" Type="http://schemas.openxmlformats.org/officeDocument/2006/relationships/hyperlink" Target="https://www.sciencedirect.com/science/article/pii/S2351978920318886"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yperlink" Target="https://www.nature.com/articles/s41598-023-42751-5" TargetMode="External"/><Relationship Id="rId23"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hyperlink" Target="https://www.sciencedirect.com/science/article/pii/S1877705817336226?ref=cra_js_challenge&amp;fr=RR-1"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ncbi.nlm.nih.gov/pmc/articles/PMC7988297/"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BF3285E-6F04-4FCE-8984-929F45816CF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16784</TotalTime>
  <Pages>18</Pages>
  <Words>3230</Words>
  <Characters>18414</Characters>
  <Application>Microsoft Office Word</Application>
  <DocSecurity>0</DocSecurity>
  <Lines>153</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21601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Viktoria Berces</dc:creator>
  <cp:keywords/>
  <dc:description/>
  <cp:lastModifiedBy>Viktoria Berces</cp:lastModifiedBy>
  <cp:revision>122</cp:revision>
  <dcterms:created xsi:type="dcterms:W3CDTF">2024-03-19T18:52:00Z</dcterms:created>
  <dcterms:modified xsi:type="dcterms:W3CDTF">2024-04-07T09:46:00Z</dcterms:modified>
</cp:coreProperties>
</file>