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DE24E" w14:textId="660696DF" w:rsidR="00255805" w:rsidRDefault="00380443">
      <w:pPr>
        <w:rPr>
          <w:rFonts w:ascii="Times New Roman" w:hAnsi="Times New Roman" w:cs="Times New Roman"/>
          <w:sz w:val="28"/>
          <w:szCs w:val="28"/>
        </w:rPr>
      </w:pPr>
      <w:r>
        <w:rPr>
          <w:rFonts w:ascii="Times New Roman" w:hAnsi="Times New Roman" w:cs="Times New Roman"/>
          <w:sz w:val="28"/>
          <w:szCs w:val="28"/>
        </w:rPr>
        <w:t>Module Code: ECIE4011</w:t>
      </w:r>
    </w:p>
    <w:p w14:paraId="3B5FB278" w14:textId="014B5717" w:rsidR="00380443" w:rsidRDefault="00380443">
      <w:pPr>
        <w:rPr>
          <w:rFonts w:ascii="Times New Roman" w:hAnsi="Times New Roman" w:cs="Times New Roman"/>
          <w:sz w:val="28"/>
          <w:szCs w:val="28"/>
        </w:rPr>
      </w:pPr>
      <w:r>
        <w:rPr>
          <w:rFonts w:ascii="Times New Roman" w:hAnsi="Times New Roman" w:cs="Times New Roman"/>
          <w:sz w:val="28"/>
          <w:szCs w:val="28"/>
        </w:rPr>
        <w:t>Name</w:t>
      </w:r>
      <w:r w:rsidR="003623A6">
        <w:rPr>
          <w:rFonts w:ascii="Times New Roman" w:hAnsi="Times New Roman" w:cs="Times New Roman"/>
          <w:sz w:val="28"/>
          <w:szCs w:val="28"/>
        </w:rPr>
        <w:t xml:space="preserve"> student number: Donna Cubbin 2517781</w:t>
      </w:r>
    </w:p>
    <w:p w14:paraId="6032B0D6" w14:textId="4A6DCB8B" w:rsidR="003623A6" w:rsidRDefault="003623A6">
      <w:pPr>
        <w:rPr>
          <w:rFonts w:ascii="Times New Roman" w:hAnsi="Times New Roman" w:cs="Times New Roman"/>
          <w:sz w:val="28"/>
          <w:szCs w:val="28"/>
        </w:rPr>
      </w:pPr>
      <w:r>
        <w:rPr>
          <w:rFonts w:ascii="Times New Roman" w:hAnsi="Times New Roman" w:cs="Times New Roman"/>
          <w:sz w:val="28"/>
          <w:szCs w:val="28"/>
        </w:rPr>
        <w:t>Por</w:t>
      </w:r>
      <w:r w:rsidR="00E424BD">
        <w:rPr>
          <w:rFonts w:ascii="Times New Roman" w:hAnsi="Times New Roman" w:cs="Times New Roman"/>
          <w:sz w:val="28"/>
          <w:szCs w:val="28"/>
        </w:rPr>
        <w:t>tfolio</w:t>
      </w:r>
    </w:p>
    <w:p w14:paraId="687FD8F6" w14:textId="5DEFC1A4" w:rsidR="00E424BD" w:rsidRDefault="00E424BD">
      <w:pPr>
        <w:rPr>
          <w:rFonts w:ascii="Times New Roman" w:hAnsi="Times New Roman" w:cs="Times New Roman"/>
          <w:sz w:val="28"/>
          <w:szCs w:val="28"/>
        </w:rPr>
      </w:pPr>
      <w:r>
        <w:rPr>
          <w:rFonts w:ascii="Times New Roman" w:hAnsi="Times New Roman" w:cs="Times New Roman"/>
          <w:sz w:val="28"/>
          <w:szCs w:val="28"/>
        </w:rPr>
        <w:t xml:space="preserve">Element 3: Exploring behaviours and interventions in the </w:t>
      </w:r>
      <w:r w:rsidR="00464EA7">
        <w:rPr>
          <w:rFonts w:ascii="Times New Roman" w:hAnsi="Times New Roman" w:cs="Times New Roman"/>
          <w:sz w:val="28"/>
          <w:szCs w:val="28"/>
        </w:rPr>
        <w:t>learning environment.</w:t>
      </w:r>
    </w:p>
    <w:p w14:paraId="4A427E27" w14:textId="77777777" w:rsidR="00464EA7" w:rsidRDefault="00464EA7">
      <w:pPr>
        <w:rPr>
          <w:rFonts w:ascii="Times New Roman" w:hAnsi="Times New Roman" w:cs="Times New Roman"/>
          <w:sz w:val="28"/>
          <w:szCs w:val="28"/>
        </w:rPr>
      </w:pPr>
    </w:p>
    <w:p w14:paraId="1536A9CE"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Discuss a range of factors that influence children’s behaviour (both positively and negatively) in a learning environment.</w:t>
      </w:r>
    </w:p>
    <w:p w14:paraId="6D1CF583" w14:textId="61878D85"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Within this essay I will endeavour to discuss </w:t>
      </w:r>
      <w:r w:rsidR="00E927B3" w:rsidRPr="00836DFB">
        <w:rPr>
          <w:rFonts w:ascii="Times New Roman" w:hAnsi="Times New Roman" w:cs="Times New Roman"/>
          <w:sz w:val="28"/>
          <w:szCs w:val="28"/>
        </w:rPr>
        <w:t>chi</w:t>
      </w:r>
      <w:r w:rsidR="00E927B3">
        <w:rPr>
          <w:rFonts w:ascii="Times New Roman" w:hAnsi="Times New Roman" w:cs="Times New Roman"/>
          <w:sz w:val="28"/>
          <w:szCs w:val="28"/>
        </w:rPr>
        <w:t>ldren’s</w:t>
      </w:r>
      <w:r w:rsidRPr="00836DFB">
        <w:rPr>
          <w:rFonts w:ascii="Times New Roman" w:hAnsi="Times New Roman" w:cs="Times New Roman"/>
          <w:sz w:val="28"/>
          <w:szCs w:val="28"/>
        </w:rPr>
        <w:t xml:space="preserve"> behaviour in the form of challenging, and as it is experienced within the classroom environment. This can and will have a positive and negative </w:t>
      </w:r>
      <w:r>
        <w:rPr>
          <w:rFonts w:ascii="Times New Roman" w:hAnsi="Times New Roman" w:cs="Times New Roman"/>
          <w:sz w:val="28"/>
          <w:szCs w:val="28"/>
        </w:rPr>
        <w:t>e</w:t>
      </w:r>
      <w:r w:rsidRPr="00836DFB">
        <w:rPr>
          <w:rFonts w:ascii="Times New Roman" w:hAnsi="Times New Roman" w:cs="Times New Roman"/>
          <w:sz w:val="28"/>
          <w:szCs w:val="28"/>
        </w:rPr>
        <w:t>ffect on day-to-day learning.</w:t>
      </w:r>
    </w:p>
    <w:p w14:paraId="0B038CD7"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The definition of challenging behaviour could be defined as: -</w:t>
      </w:r>
    </w:p>
    <w:p w14:paraId="223EDD76"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Challenging behaviour refers to actions that put a person or those around them at risk, or severely impact their quality of life, often including physical aggression, self-harm, or severe destructiveness.</w:t>
      </w:r>
    </w:p>
    <w:p w14:paraId="60C2CB0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OR</w:t>
      </w:r>
    </w:p>
    <w:p w14:paraId="2BF409F0"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‘Behaviours which are likely to causes significant harm or disruption or which may result in someone being excluded from everyday activities.’</w:t>
      </w:r>
    </w:p>
    <w:p w14:paraId="4C2E04B8" w14:textId="77777777" w:rsidR="00836DFB" w:rsidRPr="00836DFB" w:rsidRDefault="00836DFB" w:rsidP="00836DFB">
      <w:pPr>
        <w:rPr>
          <w:rFonts w:ascii="Times New Roman" w:hAnsi="Times New Roman" w:cs="Times New Roman"/>
          <w:sz w:val="28"/>
          <w:szCs w:val="28"/>
        </w:rPr>
      </w:pPr>
    </w:p>
    <w:p w14:paraId="1C77DA17"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A child’s behaviour within an educational setting can vary from day to day, particularly when their behaviour is classed as disruptive, challenging, or non-compliant. However, the Additional Learning Needs Code for Wales 2021 (ALN) places emphasis on equality and inclusion, and a rights-based approach to education (Welsh Government, 2021). </w:t>
      </w:r>
    </w:p>
    <w:p w14:paraId="3CF676A1"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The Code makes clear that difficulties in learning or participation should not be viewed solely as problems located within the child, but rather as arising from the interaction between the learner and their educational environment. Behaviour, therefore, must be understood as part of this broader interaction, reflecting unmet needs, barriers to participation, or insufficiently inclusive provision.</w:t>
      </w:r>
    </w:p>
    <w:p w14:paraId="5631C2E6"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The ALN framework shifts focus away from categorisation and deficit labelling towards identifying and removing barriers to learning through person-centred planning and Individual Development Plans (IDPs) (Welsh Government, 2021). Within this context, behaviour can be interpreted as a form of communication </w:t>
      </w:r>
      <w:r w:rsidRPr="00836DFB">
        <w:rPr>
          <w:rFonts w:ascii="Times New Roman" w:hAnsi="Times New Roman" w:cs="Times New Roman"/>
          <w:sz w:val="28"/>
          <w:szCs w:val="28"/>
        </w:rPr>
        <w:lastRenderedPageBreak/>
        <w:t xml:space="preserve">signalling emotional, social, cognitive, or environmental need. Theory will further support this understanding. Urie Bronfenbrenner (1979) argued that children’s development and behaviour are shaped by interconnected systems, including family, school ethos, peer relationships, and wider socio-economic influences, so looking further into this, behaviour is not an isolated trait but can be the result of other environmental aspects within the educational setting and at home. </w:t>
      </w:r>
    </w:p>
    <w:p w14:paraId="4E0EC52D"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Within this essay, I will discuss and critically examine a range of factors that could influence a child’s behaviour within an educational setting, whilst at the same time, consider what can promote a positive engagement and those that may contribute to behavioural difficulties. </w:t>
      </w:r>
    </w:p>
    <w:p w14:paraId="27AF1E19" w14:textId="77777777" w:rsidR="00836DFB" w:rsidRPr="00836DFB" w:rsidRDefault="00836DFB" w:rsidP="00836DFB">
      <w:pPr>
        <w:rPr>
          <w:rFonts w:ascii="Times New Roman" w:hAnsi="Times New Roman" w:cs="Times New Roman"/>
          <w:sz w:val="28"/>
          <w:szCs w:val="28"/>
        </w:rPr>
      </w:pPr>
    </w:p>
    <w:p w14:paraId="04227B41"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Whilst collaborating with pupils who have outburst of challenging behaviour, it is better to focus on the times when pupils will get things right, rather than only being focused on what is wrong with the situation. This then would hopefully disengage the pupil from the escalating behaviour and allow the pupil to concentrate on the positive aspects of their school day.</w:t>
      </w:r>
    </w:p>
    <w:p w14:paraId="39DF1BBE"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A pupil who has experienced any emotional insecurity could display a change in behaviour within the classroom. Children also who are or have experienced any sort of anxiety, trauma, or low self-esteem, could also display or present with behaviour, which is not part of their day-to-day routine, which then could display as withdrawal, defiance, or aggression. </w:t>
      </w:r>
    </w:p>
    <w:p w14:paraId="3F382B87" w14:textId="77777777" w:rsidR="00836DFB" w:rsidRPr="00836DFB" w:rsidRDefault="00836DFB" w:rsidP="00836DFB">
      <w:pPr>
        <w:rPr>
          <w:rFonts w:ascii="Times New Roman" w:hAnsi="Times New Roman" w:cs="Times New Roman"/>
          <w:sz w:val="28"/>
          <w:szCs w:val="28"/>
        </w:rPr>
      </w:pPr>
    </w:p>
    <w:p w14:paraId="68EABC46"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John Bowlby (1969), discussed in his theory that ‘the importance of secure attachment relationships in early childhood. Securely attached children are more confident exploring new environments and forming positive relationships with teachers and peers.</w:t>
      </w:r>
    </w:p>
    <w:p w14:paraId="1045A84B"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In contrast, children with insecure attachment histories may display clinginess, emotional volatility, or resistance to authority. Trauma-informed research further indicates that adverse childhood experiences can alter stress responses, leading to hypervigilance or emotional dysregulation in school settings.</w:t>
      </w:r>
    </w:p>
    <w:p w14:paraId="5B55F712"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Self-determination theory, developed by Edward Deci and Richard Ryan (1985), emphasises the importance of autonomy, competence, and relatedness in motivating behaviour. When children feel capable, connected, and given meaningful choices, positive engagement increases. Conversely, overly controlling environments may trigger resistance or disengagement.</w:t>
      </w:r>
    </w:p>
    <w:p w14:paraId="0BF465B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lastRenderedPageBreak/>
        <w:t xml:space="preserve">Theory states, that there are two main elements to behaviour management. These are in the form of tools that can respond to behaviour which are reactive, whilst then planning on how behaviour can be managed which would then be initiative-taking. Having a negative reaction to disruptive behaviour within a classroom setting is less likely to be effective, as this could and will draw attention to how the child is behaving rather than try and deescalate the situation or allowing the child to self-regulate. </w:t>
      </w:r>
    </w:p>
    <w:p w14:paraId="39EF518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Being at home is where a child will first be learning and understand how to do things. Parenting style, and routines, and continual emotional support, will be a strong influence on a child’s behaviour. </w:t>
      </w:r>
      <w:proofErr w:type="gramStart"/>
      <w:r w:rsidRPr="00836DFB">
        <w:rPr>
          <w:rFonts w:ascii="Times New Roman" w:hAnsi="Times New Roman" w:cs="Times New Roman"/>
          <w:sz w:val="28"/>
          <w:szCs w:val="28"/>
        </w:rPr>
        <w:t>Diana Baumrind (1967),</w:t>
      </w:r>
      <w:proofErr w:type="gramEnd"/>
      <w:r w:rsidRPr="00836DFB">
        <w:rPr>
          <w:rFonts w:ascii="Times New Roman" w:hAnsi="Times New Roman" w:cs="Times New Roman"/>
          <w:sz w:val="28"/>
          <w:szCs w:val="28"/>
        </w:rPr>
        <w:t xml:space="preserve"> stated that different parenting styles can be authoritative, authoritarian, and permissive—and the way parents approached the child can and will have an influence on them. </w:t>
      </w:r>
    </w:p>
    <w:p w14:paraId="2D17BAC1"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Positive influences could include but are not limited to: -</w:t>
      </w:r>
    </w:p>
    <w:p w14:paraId="02644A9F"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Boundaries which have been set in place and are consistent.  </w:t>
      </w:r>
    </w:p>
    <w:p w14:paraId="5C8F5455"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Warm, caring and responsive parenting. </w:t>
      </w:r>
    </w:p>
    <w:p w14:paraId="01A31EEC"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Parents to encourage independence and improve life skills</w:t>
      </w:r>
    </w:p>
    <w:p w14:paraId="69E5E646"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Establish a good home routine.  (sleep, meals, homework time)</w:t>
      </w:r>
    </w:p>
    <w:p w14:paraId="33C00185"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Also, negative influences on a child can result in: -</w:t>
      </w:r>
    </w:p>
    <w:p w14:paraId="68071472"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Discipline, which can be inconsistent, which will then </w:t>
      </w:r>
      <w:proofErr w:type="gramStart"/>
      <w:r w:rsidRPr="00836DFB">
        <w:rPr>
          <w:rFonts w:ascii="Times New Roman" w:hAnsi="Times New Roman" w:cs="Times New Roman"/>
          <w:sz w:val="28"/>
          <w:szCs w:val="28"/>
        </w:rPr>
        <w:t>have an effect on</w:t>
      </w:r>
      <w:proofErr w:type="gramEnd"/>
      <w:r w:rsidRPr="00836DFB">
        <w:rPr>
          <w:rFonts w:ascii="Times New Roman" w:hAnsi="Times New Roman" w:cs="Times New Roman"/>
          <w:sz w:val="28"/>
          <w:szCs w:val="28"/>
        </w:rPr>
        <w:t xml:space="preserve"> the child’s behaviour.</w:t>
      </w:r>
    </w:p>
    <w:p w14:paraId="72A83E0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Exposure to conflict or neglect within the home environment. </w:t>
      </w:r>
    </w:p>
    <w:p w14:paraId="3B6103A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Lack of sleep or poor nutrition, children that live on the poverty line. </w:t>
      </w:r>
    </w:p>
    <w:p w14:paraId="13D65851"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t>
      </w:r>
      <w:r w:rsidRPr="00836DFB">
        <w:rPr>
          <w:rFonts w:ascii="Times New Roman" w:hAnsi="Times New Roman" w:cs="Times New Roman"/>
          <w:sz w:val="28"/>
          <w:szCs w:val="28"/>
        </w:rPr>
        <w:tab/>
        <w:t xml:space="preserve">Limited support for learning at home, which can be due to number of issues, whether academic as far as the parents are concerned or lack of support. </w:t>
      </w:r>
    </w:p>
    <w:p w14:paraId="2106E0D0"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Peer relationships could affect a child’s behaviour within the classroom through modelling, Albert Bandura’s (1977), social learning theory explains how children imitate observed behaviours, particularly when such behaviours appear rewarded.</w:t>
      </w:r>
    </w:p>
    <w:p w14:paraId="1FEB46AF"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Peer rejection, bullying, or social exclusion can lead to both internalising behaviours (withdrawal, anxiety) and externalising behaviours (aggression, defiance). </w:t>
      </w:r>
    </w:p>
    <w:p w14:paraId="2003671E"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lastRenderedPageBreak/>
        <w:t>An inclusive learning environment intentionally cultivates belonging. Research shows us that when a child feels valued and socially connected both in school and within the home environment, then their behavioural difficulties will decrease.</w:t>
      </w:r>
    </w:p>
    <w:p w14:paraId="3D979E93"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If children are completely engaged and interested, they will have little or no time or inclination to misbehave, good teaching is one of the most effective ways of managing behaviour. (Morgan, 2007).</w:t>
      </w:r>
    </w:p>
    <w:p w14:paraId="7CAB3B7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Children’s behaviour within an educational setting can be shaped by a network of developmental, relational, cultural, and structural factors. Working within an inclusive educational setting, behaviour is not an isolated to any one child but can be a collection of interaction between individual differences and environmental conditions. </w:t>
      </w:r>
    </w:p>
    <w:p w14:paraId="50159B80"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Behaviour should be understood as communication, often signalling unmet needs or contextual barriers. Educators therefore hold significant responsibility in shaping environments that promote belonging, autonomy, competence, and emotional safety.</w:t>
      </w:r>
    </w:p>
    <w:p w14:paraId="67FB51CB"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By adopting relational, culturally responsive, and trauma-informed approaches, schools can reduce negative behavioural outcomes and foster inclusive learning communities where all children can participate meaningfully. Positive behaviour flourishes not through control, but through equity, understanding, and inclusive practice.</w:t>
      </w:r>
    </w:p>
    <w:p w14:paraId="2F7DBFD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A principal factor within behaviour of a child with ALN, is the child’s stage of development, whether it be global delay or learning difficulties. Emotional, and social development varies widely amongst children, even within the same age group. </w:t>
      </w:r>
    </w:p>
    <w:p w14:paraId="0635BF47"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Children with additional learning needs (ALN), such as attention-related difficulties or communication disorders, can have challenging uncontrolled behaviour. If these needs are recognised by the educational environment and social services, his child can be supported appropriately, a child is then more likely to present with more positive behaviour. </w:t>
      </w:r>
    </w:p>
    <w:p w14:paraId="56F7B94B"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The role of the class teacher and support staff is paramount. Positive teacher–pupil relationships which is built on trust, respect, and encouragement can improve behaviour, along with effective classroom management. strategies, praise, and differentiated instruction help children feel valued and capable.</w:t>
      </w:r>
    </w:p>
    <w:p w14:paraId="788C5C6B"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Emotional wellbeing and mental health are critical. Anxiety, trauma, or unmet emotional needs often manifest as behavioural challenges. When schools </w:t>
      </w:r>
      <w:r w:rsidRPr="00836DFB">
        <w:rPr>
          <w:rFonts w:ascii="Times New Roman" w:hAnsi="Times New Roman" w:cs="Times New Roman"/>
          <w:sz w:val="28"/>
          <w:szCs w:val="28"/>
        </w:rPr>
        <w:lastRenderedPageBreak/>
        <w:t>provide emotional support, pastoral care, and opportunities for children to express, this can be reduced by a lot.</w:t>
      </w:r>
    </w:p>
    <w:p w14:paraId="3BC25D79" w14:textId="77777777" w:rsidR="00836DFB" w:rsidRPr="00836DFB" w:rsidRDefault="00836DFB" w:rsidP="00836DFB">
      <w:pPr>
        <w:rPr>
          <w:rFonts w:ascii="Times New Roman" w:hAnsi="Times New Roman" w:cs="Times New Roman"/>
          <w:sz w:val="28"/>
          <w:szCs w:val="28"/>
        </w:rPr>
      </w:pPr>
    </w:p>
    <w:p w14:paraId="2A88B450"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 xml:space="preserve">Children’s behaviour within an educational setting is often shaped by a combination of their home life, development, peer relationships, classroom conditions, teacher interactions, and emotional wellbeing. Behaviour can and is a form of communication, children that are non-verbal can become very frustrated with being unable to make their wishes known. And by showing how that child is feeling or what they need. By recognising and understanding these influences, educators can create a positive, inclusive environment that supports both learning and personal development. Working within an educational setting where additional learning needs of every child is considered, it is extremely rewarding when a child achieves what they can with sometimes the limited knowledge that they may have. </w:t>
      </w:r>
    </w:p>
    <w:p w14:paraId="597A343B" w14:textId="77777777" w:rsidR="00836DFB" w:rsidRPr="00836DFB" w:rsidRDefault="00836DFB" w:rsidP="00836DFB">
      <w:pPr>
        <w:rPr>
          <w:rFonts w:ascii="Times New Roman" w:hAnsi="Times New Roman" w:cs="Times New Roman"/>
          <w:sz w:val="28"/>
          <w:szCs w:val="28"/>
        </w:rPr>
      </w:pPr>
    </w:p>
    <w:p w14:paraId="4032AD1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Reference list</w:t>
      </w:r>
    </w:p>
    <w:p w14:paraId="732786F9"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Bandura, A. (1977) Social learning theory. Englewood Cliffs, NJ: Prentice-Hall.</w:t>
      </w:r>
    </w:p>
    <w:p w14:paraId="4E71F811"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Baumrind, D. (1967) ‘</w:t>
      </w:r>
      <w:proofErr w:type="gramStart"/>
      <w:r w:rsidRPr="00836DFB">
        <w:rPr>
          <w:rFonts w:ascii="Times New Roman" w:hAnsi="Times New Roman" w:cs="Times New Roman"/>
          <w:sz w:val="28"/>
          <w:szCs w:val="28"/>
        </w:rPr>
        <w:t>Child care</w:t>
      </w:r>
      <w:proofErr w:type="gramEnd"/>
      <w:r w:rsidRPr="00836DFB">
        <w:rPr>
          <w:rFonts w:ascii="Times New Roman" w:hAnsi="Times New Roman" w:cs="Times New Roman"/>
          <w:sz w:val="28"/>
          <w:szCs w:val="28"/>
        </w:rPr>
        <w:t xml:space="preserve"> practices </w:t>
      </w:r>
      <w:proofErr w:type="spellStart"/>
      <w:r w:rsidRPr="00836DFB">
        <w:rPr>
          <w:rFonts w:ascii="Times New Roman" w:hAnsi="Times New Roman" w:cs="Times New Roman"/>
          <w:sz w:val="28"/>
          <w:szCs w:val="28"/>
        </w:rPr>
        <w:t>anteceding</w:t>
      </w:r>
      <w:proofErr w:type="spellEnd"/>
      <w:r w:rsidRPr="00836DFB">
        <w:rPr>
          <w:rFonts w:ascii="Times New Roman" w:hAnsi="Times New Roman" w:cs="Times New Roman"/>
          <w:sz w:val="28"/>
          <w:szCs w:val="28"/>
        </w:rPr>
        <w:t xml:space="preserve"> three patterns of preschool behaviour’, Genetic Psychology Monographs, 75(1), pp. 43–88.</w:t>
      </w:r>
    </w:p>
    <w:p w14:paraId="05467687"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Baumrind, D. (1991) ‘The influence of parenting style on adolescent competence and substance use’, Journal of Early Adolescence, 11(1), pp. 56–95.</w:t>
      </w:r>
    </w:p>
    <w:p w14:paraId="7B3DBE0E"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Bowlby, J. (1969) Attachment and loss: Vol. 1. Attachment. London: Hogarth Press.</w:t>
      </w:r>
    </w:p>
    <w:p w14:paraId="0AB114F4"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Bronfenbrenner, U. (1979) The ecology of human development: Experiments by nature and design. (“The Ecology of Human Development: Experiments by Nature and ... - Amazon”) Cambridge, MA: Harvard University Press.</w:t>
      </w:r>
    </w:p>
    <w:p w14:paraId="467D7D7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Bourdieu, P. (1986) ‘The forms of capital’, in Richardson, J. (ed.) Handbook of theory and research for the sociology of education. (“The Forms of Capital by Pierre Bourdieu 1986 - Semantic Scholar”) New York: Greenwood, pp. 241–258.</w:t>
      </w:r>
    </w:p>
    <w:p w14:paraId="57438AEF" w14:textId="77777777" w:rsid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Deci, E.L. and Ryan, R.M. (1985) Intrinsic motivation and self-determination in human behaviour. (“Deci, E.L. and Ryan, R.M. (1985) Intrinsic Motivation and Self ...”) New York: Plenum.</w:t>
      </w:r>
    </w:p>
    <w:p w14:paraId="0653D38E" w14:textId="4869BA7B" w:rsidR="00E927B3" w:rsidRPr="00836DFB" w:rsidRDefault="00E927B3" w:rsidP="00836DFB">
      <w:pPr>
        <w:rPr>
          <w:rFonts w:ascii="Times New Roman" w:hAnsi="Times New Roman" w:cs="Times New Roman"/>
          <w:sz w:val="28"/>
          <w:szCs w:val="28"/>
        </w:rPr>
      </w:pPr>
      <w:r w:rsidRPr="00E927B3">
        <w:rPr>
          <w:rFonts w:ascii="Times New Roman" w:hAnsi="Times New Roman" w:cs="Times New Roman"/>
          <w:sz w:val="28"/>
          <w:szCs w:val="28"/>
        </w:rPr>
        <w:t>Morgan, J. (2007) The Teaching Assistants Guide to Managing Behaviour.</w:t>
      </w:r>
    </w:p>
    <w:p w14:paraId="5535D5F4"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lastRenderedPageBreak/>
        <w:t>Piaget, J. (1952) The origins of intelligence in children. New York: International Universities Press.</w:t>
      </w:r>
    </w:p>
    <w:p w14:paraId="641D0ACA" w14:textId="77777777" w:rsidR="00836DFB" w:rsidRP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Welsh Government (2021) The Additional Learning Needs Code for Wales 2021. Cardiff: Welsh Government. Available at: https://www.gov.wales/additional-learning-needs-code (Accessed: 22 February 2026).</w:t>
      </w:r>
    </w:p>
    <w:p w14:paraId="18EDD3B4" w14:textId="4933E410" w:rsidR="00836DFB" w:rsidRDefault="00836DFB" w:rsidP="00836DFB">
      <w:pPr>
        <w:rPr>
          <w:rFonts w:ascii="Times New Roman" w:hAnsi="Times New Roman" w:cs="Times New Roman"/>
          <w:sz w:val="28"/>
          <w:szCs w:val="28"/>
        </w:rPr>
      </w:pPr>
      <w:r w:rsidRPr="00836DFB">
        <w:rPr>
          <w:rFonts w:ascii="Times New Roman" w:hAnsi="Times New Roman" w:cs="Times New Roman"/>
          <w:sz w:val="28"/>
          <w:szCs w:val="28"/>
        </w:rPr>
        <w:t>Welsh Government (2018) Additional Learning Needs and Education Tribunal (Wales) Act 2018. (“ADDITIONAL LEARNING NEEDS AND EDUCATION TRIBUNAL (WALES) ACT 2018”) Cardiff: Welsh Government.</w:t>
      </w:r>
    </w:p>
    <w:p w14:paraId="1D062758" w14:textId="77777777" w:rsidR="00464EA7" w:rsidRPr="00380443" w:rsidRDefault="00464EA7">
      <w:pPr>
        <w:rPr>
          <w:rFonts w:ascii="Times New Roman" w:hAnsi="Times New Roman" w:cs="Times New Roman"/>
          <w:sz w:val="28"/>
          <w:szCs w:val="28"/>
        </w:rPr>
      </w:pPr>
    </w:p>
    <w:sectPr w:rsidR="00464EA7" w:rsidRPr="003804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8B5"/>
    <w:rsid w:val="00255805"/>
    <w:rsid w:val="002C08C0"/>
    <w:rsid w:val="00351F65"/>
    <w:rsid w:val="003623A6"/>
    <w:rsid w:val="00380443"/>
    <w:rsid w:val="003B1514"/>
    <w:rsid w:val="00464EA7"/>
    <w:rsid w:val="004A1924"/>
    <w:rsid w:val="006E08B5"/>
    <w:rsid w:val="00836DFB"/>
    <w:rsid w:val="00C35047"/>
    <w:rsid w:val="00D6109E"/>
    <w:rsid w:val="00E424BD"/>
    <w:rsid w:val="00E92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DB66E"/>
  <w15:chartTrackingRefBased/>
  <w15:docId w15:val="{F6D7747B-9D76-4CDC-B45B-DC97E3FC2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0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0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0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0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08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08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08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08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0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0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0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0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0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0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0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08B5"/>
    <w:rPr>
      <w:rFonts w:eastAsiaTheme="majorEastAsia" w:cstheme="majorBidi"/>
      <w:color w:val="272727" w:themeColor="text1" w:themeTint="D8"/>
    </w:rPr>
  </w:style>
  <w:style w:type="paragraph" w:styleId="Title">
    <w:name w:val="Title"/>
    <w:basedOn w:val="Normal"/>
    <w:next w:val="Normal"/>
    <w:link w:val="TitleChar"/>
    <w:uiPriority w:val="10"/>
    <w:qFormat/>
    <w:rsid w:val="006E0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0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0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0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08B5"/>
    <w:pPr>
      <w:spacing w:before="160"/>
      <w:jc w:val="center"/>
    </w:pPr>
    <w:rPr>
      <w:i/>
      <w:iCs/>
      <w:color w:val="404040" w:themeColor="text1" w:themeTint="BF"/>
    </w:rPr>
  </w:style>
  <w:style w:type="character" w:customStyle="1" w:styleId="QuoteChar">
    <w:name w:val="Quote Char"/>
    <w:basedOn w:val="DefaultParagraphFont"/>
    <w:link w:val="Quote"/>
    <w:uiPriority w:val="29"/>
    <w:rsid w:val="006E08B5"/>
    <w:rPr>
      <w:i/>
      <w:iCs/>
      <w:color w:val="404040" w:themeColor="text1" w:themeTint="BF"/>
    </w:rPr>
  </w:style>
  <w:style w:type="paragraph" w:styleId="ListParagraph">
    <w:name w:val="List Paragraph"/>
    <w:basedOn w:val="Normal"/>
    <w:uiPriority w:val="34"/>
    <w:qFormat/>
    <w:rsid w:val="006E08B5"/>
    <w:pPr>
      <w:ind w:left="720"/>
      <w:contextualSpacing/>
    </w:pPr>
  </w:style>
  <w:style w:type="character" w:styleId="IntenseEmphasis">
    <w:name w:val="Intense Emphasis"/>
    <w:basedOn w:val="DefaultParagraphFont"/>
    <w:uiPriority w:val="21"/>
    <w:qFormat/>
    <w:rsid w:val="006E08B5"/>
    <w:rPr>
      <w:i/>
      <w:iCs/>
      <w:color w:val="0F4761" w:themeColor="accent1" w:themeShade="BF"/>
    </w:rPr>
  </w:style>
  <w:style w:type="paragraph" w:styleId="IntenseQuote">
    <w:name w:val="Intense Quote"/>
    <w:basedOn w:val="Normal"/>
    <w:next w:val="Normal"/>
    <w:link w:val="IntenseQuoteChar"/>
    <w:uiPriority w:val="30"/>
    <w:qFormat/>
    <w:rsid w:val="006E0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08B5"/>
    <w:rPr>
      <w:i/>
      <w:iCs/>
      <w:color w:val="0F4761" w:themeColor="accent1" w:themeShade="BF"/>
    </w:rPr>
  </w:style>
  <w:style w:type="character" w:styleId="IntenseReference">
    <w:name w:val="Intense Reference"/>
    <w:basedOn w:val="DefaultParagraphFont"/>
    <w:uiPriority w:val="32"/>
    <w:qFormat/>
    <w:rsid w:val="006E08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7436c6f5025287db3e577d3dd199886">
  <xsd:schema xmlns:xsd="http://www.w3.org/2001/XMLSchema" xmlns:xs="http://www.w3.org/2001/XMLSchema" xmlns:p="http://schemas.microsoft.com/office/2006/metadata/properties" xmlns:ns3="b4f9f7ee-5770-4a14-8925-17f3d16e50b7" targetNamespace="http://schemas.microsoft.com/office/2006/metadata/properties" ma:root="true" ma:fieldsID="520dc5ec49343abca0bab31bcc3a7b50"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EDE886D-3090-4F07-9340-2E8F6929AB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B9BB4-56C9-4C70-A1B3-AEEC4F5D2C8B}">
  <ds:schemaRefs>
    <ds:schemaRef ds:uri="http://schemas.microsoft.com/sharepoint/v3/contenttype/forms"/>
  </ds:schemaRefs>
</ds:datastoreItem>
</file>

<file path=customXml/itemProps3.xml><?xml version="1.0" encoding="utf-8"?>
<ds:datastoreItem xmlns:ds="http://schemas.openxmlformats.org/officeDocument/2006/customXml" ds:itemID="{F5FC25BD-8451-4173-9CDC-5896D5E7309F}">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1703</Words>
  <Characters>9708</Characters>
  <Application>Microsoft Office Word</Application>
  <DocSecurity>0</DocSecurity>
  <Lines>80</Lines>
  <Paragraphs>22</Paragraphs>
  <ScaleCrop>false</ScaleCrop>
  <Company/>
  <LinksUpToDate>false</LinksUpToDate>
  <CharactersWithSpaces>11389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L</dc:creator>
  <cp:keywords/>
  <dc:description/>
  <cp:lastModifiedBy>K L</cp:lastModifiedBy>
  <cp:revision>2</cp:revision>
  <dcterms:created xsi:type="dcterms:W3CDTF">2026-02-28T10:08:00Z</dcterms:created>
  <dcterms:modified xsi:type="dcterms:W3CDTF">2026-02-28T10:08:00Z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058036c6-5ba6-4c75-84de-89c941e5672a</vt:lpwstr>
  </property>
</Properties>
</file>