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CC315" w14:textId="310522AE" w:rsidR="00405E43" w:rsidRPr="009E49FC" w:rsidRDefault="00405E43">
      <w:pPr>
        <w:pStyle w:val="Normal1"/>
        <w:jc w:val="right"/>
        <w:rPr>
          <w:lang w:val="en-GB"/>
        </w:rPr>
      </w:pPr>
    </w:p>
    <w:p w14:paraId="1F84C204" w14:textId="77777777" w:rsidR="00405E43" w:rsidRPr="009E49FC" w:rsidRDefault="00405E43">
      <w:pPr>
        <w:pStyle w:val="Normal1"/>
        <w:jc w:val="left"/>
        <w:rPr>
          <w:b/>
          <w:lang w:val="en-GB"/>
        </w:rPr>
      </w:pPr>
    </w:p>
    <w:p w14:paraId="4313CE92" w14:textId="77777777" w:rsidR="00405E43" w:rsidRPr="009E49FC" w:rsidRDefault="00405E43">
      <w:pPr>
        <w:pStyle w:val="Normal1"/>
        <w:jc w:val="left"/>
        <w:rPr>
          <w:b/>
          <w:lang w:val="en-GB"/>
        </w:rPr>
      </w:pPr>
    </w:p>
    <w:p w14:paraId="69E89CF0" w14:textId="77777777" w:rsidR="00405E43" w:rsidRPr="009E49FC" w:rsidRDefault="00405E43">
      <w:pPr>
        <w:pStyle w:val="Normal1"/>
        <w:jc w:val="center"/>
        <w:rPr>
          <w:b/>
          <w:lang w:val="en-GB"/>
        </w:rPr>
      </w:pPr>
    </w:p>
    <w:p w14:paraId="1BD9A497" w14:textId="77777777" w:rsidR="00405E43" w:rsidRPr="009E49FC" w:rsidRDefault="002505F1">
      <w:pPr>
        <w:pStyle w:val="Normal1"/>
        <w:jc w:val="center"/>
        <w:rPr>
          <w:b/>
          <w:sz w:val="28"/>
          <w:szCs w:val="28"/>
          <w:lang w:val="en-GB"/>
        </w:rPr>
      </w:pPr>
      <w:r w:rsidRPr="009E49FC">
        <w:rPr>
          <w:b/>
          <w:sz w:val="28"/>
          <w:szCs w:val="28"/>
          <w:lang w:val="en-GB"/>
        </w:rPr>
        <w:t>Module Code and Title: LCBB6001- International Business Communications</w:t>
      </w:r>
    </w:p>
    <w:p w14:paraId="078C02EF" w14:textId="77777777" w:rsidR="00405E43" w:rsidRPr="009E49FC" w:rsidRDefault="002505F1">
      <w:pPr>
        <w:pStyle w:val="Normal1"/>
        <w:jc w:val="center"/>
        <w:rPr>
          <w:b/>
          <w:lang w:val="en-GB"/>
        </w:rPr>
      </w:pPr>
      <w:r w:rsidRPr="009E49FC">
        <w:rPr>
          <w:b/>
          <w:lang w:val="en-GB"/>
        </w:rPr>
        <w:t>Assignment Title: Component 1</w:t>
      </w:r>
    </w:p>
    <w:p w14:paraId="215948A4" w14:textId="77777777" w:rsidR="00405E43" w:rsidRPr="009E49FC" w:rsidRDefault="002505F1">
      <w:pPr>
        <w:pStyle w:val="Normal1"/>
        <w:jc w:val="center"/>
        <w:rPr>
          <w:b/>
          <w:lang w:val="en-GB"/>
        </w:rPr>
      </w:pPr>
      <w:r w:rsidRPr="009E49FC">
        <w:rPr>
          <w:b/>
          <w:lang w:val="en-GB"/>
        </w:rPr>
        <w:t>Coursework: Essay</w:t>
      </w:r>
    </w:p>
    <w:p w14:paraId="564D653E" w14:textId="76BA779D" w:rsidR="00405E43" w:rsidRPr="009E49FC" w:rsidRDefault="002505F1" w:rsidP="00220279">
      <w:pPr>
        <w:pStyle w:val="Normal1"/>
        <w:jc w:val="center"/>
        <w:rPr>
          <w:lang w:val="en-GB"/>
        </w:rPr>
      </w:pPr>
      <w:r w:rsidRPr="009E49FC">
        <w:rPr>
          <w:lang w:val="en-GB"/>
        </w:rPr>
        <w:t xml:space="preserve">Student Name: </w:t>
      </w:r>
      <w:r w:rsidR="00696E56">
        <w:rPr>
          <w:lang w:val="en-GB"/>
        </w:rPr>
        <w:t>Petronela Hurmuzache</w:t>
      </w:r>
    </w:p>
    <w:p w14:paraId="7231D728" w14:textId="70DFD1E6" w:rsidR="00405E43" w:rsidRPr="009E49FC" w:rsidRDefault="002505F1">
      <w:pPr>
        <w:pStyle w:val="Normal1"/>
        <w:jc w:val="center"/>
        <w:rPr>
          <w:lang w:val="en-GB"/>
        </w:rPr>
      </w:pPr>
      <w:r w:rsidRPr="009E49FC">
        <w:rPr>
          <w:lang w:val="en-GB"/>
        </w:rPr>
        <w:t xml:space="preserve">Student ID: </w:t>
      </w:r>
      <w:r w:rsidR="00220279">
        <w:rPr>
          <w:lang w:val="en-GB"/>
        </w:rPr>
        <w:t>2114679</w:t>
      </w:r>
    </w:p>
    <w:p w14:paraId="7D181F5A" w14:textId="55845D90" w:rsidR="00405E43" w:rsidRDefault="002505F1">
      <w:pPr>
        <w:pStyle w:val="Normal1"/>
        <w:jc w:val="center"/>
        <w:rPr>
          <w:lang w:val="en-GB"/>
        </w:rPr>
      </w:pPr>
      <w:r w:rsidRPr="009E49FC">
        <w:rPr>
          <w:lang w:val="en-GB"/>
        </w:rPr>
        <w:t xml:space="preserve">Year: </w:t>
      </w:r>
      <w:r w:rsidR="00220279">
        <w:rPr>
          <w:lang w:val="en-GB"/>
        </w:rPr>
        <w:t>3</w:t>
      </w:r>
    </w:p>
    <w:p w14:paraId="5DCB1086" w14:textId="6FA71282" w:rsidR="00A6103A" w:rsidRPr="009E49FC" w:rsidRDefault="00A6103A">
      <w:pPr>
        <w:pStyle w:val="Normal1"/>
        <w:jc w:val="center"/>
        <w:rPr>
          <w:lang w:val="en-GB"/>
        </w:rPr>
      </w:pPr>
      <w:r>
        <w:rPr>
          <w:lang w:val="en-GB"/>
        </w:rPr>
        <w:t>Lecturer name</w:t>
      </w:r>
      <w:r w:rsidR="00AB01FC">
        <w:rPr>
          <w:lang w:val="en-GB"/>
        </w:rPr>
        <w:t>:Dr Charles</w:t>
      </w:r>
      <w:r w:rsidR="007445B0">
        <w:rPr>
          <w:lang w:val="en-GB"/>
        </w:rPr>
        <w:t xml:space="preserve"> Nwao</w:t>
      </w:r>
      <w:r w:rsidR="00D82241">
        <w:rPr>
          <w:lang w:val="en-GB"/>
        </w:rPr>
        <w:t>gwugwu</w:t>
      </w:r>
    </w:p>
    <w:p w14:paraId="471B8A75" w14:textId="46D8494E" w:rsidR="009E49FC" w:rsidRPr="009E49FC" w:rsidRDefault="009E49FC">
      <w:pPr>
        <w:rPr>
          <w:lang w:val="en-GB"/>
        </w:rPr>
      </w:pPr>
      <w:r w:rsidRPr="009E49FC">
        <w:rPr>
          <w:lang w:val="en-GB"/>
        </w:rPr>
        <w:br w:type="page"/>
      </w:r>
    </w:p>
    <w:sdt>
      <w:sdtPr>
        <w:rPr>
          <w:rFonts w:ascii="Times New Roman" w:eastAsia="Times New Roman" w:hAnsi="Times New Roman" w:cs="Times New Roman"/>
          <w:color w:val="auto"/>
          <w:sz w:val="24"/>
          <w:szCs w:val="24"/>
          <w:lang w:val="en-GB"/>
        </w:rPr>
        <w:id w:val="-562644849"/>
        <w:docPartObj>
          <w:docPartGallery w:val="Table of Contents"/>
          <w:docPartUnique/>
        </w:docPartObj>
      </w:sdtPr>
      <w:sdtEndPr>
        <w:rPr>
          <w:b/>
          <w:bCs/>
          <w:noProof/>
        </w:rPr>
      </w:sdtEndPr>
      <w:sdtContent>
        <w:p w14:paraId="31C744C5" w14:textId="06831EA7" w:rsidR="009E49FC" w:rsidRPr="009E49FC" w:rsidRDefault="009E49FC" w:rsidP="009E49FC">
          <w:pPr>
            <w:pStyle w:val="Titlucuprins"/>
            <w:spacing w:line="480" w:lineRule="auto"/>
            <w:jc w:val="center"/>
            <w:rPr>
              <w:rFonts w:ascii="Times New Roman" w:hAnsi="Times New Roman" w:cs="Times New Roman"/>
              <w:b/>
              <w:bCs/>
              <w:color w:val="auto"/>
              <w:sz w:val="28"/>
              <w:szCs w:val="28"/>
              <w:lang w:val="en-GB"/>
            </w:rPr>
          </w:pPr>
          <w:r w:rsidRPr="009E49FC">
            <w:rPr>
              <w:rFonts w:ascii="Times New Roman" w:hAnsi="Times New Roman" w:cs="Times New Roman"/>
              <w:b/>
              <w:bCs/>
              <w:color w:val="auto"/>
              <w:sz w:val="28"/>
              <w:szCs w:val="28"/>
              <w:lang w:val="en-GB"/>
            </w:rPr>
            <w:t>Table of Contents</w:t>
          </w:r>
        </w:p>
        <w:p w14:paraId="38436E16" w14:textId="2A3A0E73" w:rsidR="009E49FC" w:rsidRPr="009E49FC" w:rsidRDefault="009E49FC" w:rsidP="009E49FC">
          <w:pPr>
            <w:pStyle w:val="Cuprins1"/>
            <w:tabs>
              <w:tab w:val="right" w:leader="dot" w:pos="9350"/>
            </w:tabs>
            <w:rPr>
              <w:noProof/>
              <w:lang w:val="en-GB"/>
            </w:rPr>
          </w:pPr>
          <w:r w:rsidRPr="009E49FC">
            <w:rPr>
              <w:lang w:val="en-GB"/>
            </w:rPr>
            <w:fldChar w:fldCharType="begin"/>
          </w:r>
          <w:r w:rsidRPr="009E49FC">
            <w:rPr>
              <w:lang w:val="en-GB"/>
            </w:rPr>
            <w:instrText xml:space="preserve"> TOC \o "1-3" \h \z \u </w:instrText>
          </w:r>
          <w:r w:rsidRPr="009E49FC">
            <w:rPr>
              <w:lang w:val="en-GB"/>
            </w:rPr>
            <w:fldChar w:fldCharType="separate"/>
          </w:r>
          <w:hyperlink w:anchor="_Toc161858776" w:history="1">
            <w:r w:rsidRPr="009E49FC">
              <w:rPr>
                <w:rStyle w:val="Hyperlink"/>
                <w:noProof/>
                <w:lang w:val="en-GB"/>
              </w:rPr>
              <w:t>1. Introduction</w:t>
            </w:r>
            <w:r w:rsidRPr="009E49FC">
              <w:rPr>
                <w:noProof/>
                <w:webHidden/>
                <w:lang w:val="en-GB"/>
              </w:rPr>
              <w:tab/>
            </w:r>
            <w:r w:rsidRPr="009E49FC">
              <w:rPr>
                <w:noProof/>
                <w:webHidden/>
                <w:lang w:val="en-GB"/>
              </w:rPr>
              <w:fldChar w:fldCharType="begin"/>
            </w:r>
            <w:r w:rsidRPr="009E49FC">
              <w:rPr>
                <w:noProof/>
                <w:webHidden/>
                <w:lang w:val="en-GB"/>
              </w:rPr>
              <w:instrText xml:space="preserve"> PAGEREF _Toc161858776 \h </w:instrText>
            </w:r>
            <w:r w:rsidRPr="009E49FC">
              <w:rPr>
                <w:noProof/>
                <w:webHidden/>
                <w:lang w:val="en-GB"/>
              </w:rPr>
            </w:r>
            <w:r w:rsidRPr="009E49FC">
              <w:rPr>
                <w:noProof/>
                <w:webHidden/>
                <w:lang w:val="en-GB"/>
              </w:rPr>
              <w:fldChar w:fldCharType="separate"/>
            </w:r>
            <w:r w:rsidRPr="009E49FC">
              <w:rPr>
                <w:noProof/>
                <w:webHidden/>
                <w:lang w:val="en-GB"/>
              </w:rPr>
              <w:t>3</w:t>
            </w:r>
            <w:r w:rsidRPr="009E49FC">
              <w:rPr>
                <w:noProof/>
                <w:webHidden/>
                <w:lang w:val="en-GB"/>
              </w:rPr>
              <w:fldChar w:fldCharType="end"/>
            </w:r>
          </w:hyperlink>
        </w:p>
        <w:p w14:paraId="0DE30834" w14:textId="6168E616" w:rsidR="009E49FC" w:rsidRPr="009E49FC" w:rsidRDefault="002505F1" w:rsidP="009E49FC">
          <w:pPr>
            <w:pStyle w:val="Cuprins1"/>
            <w:tabs>
              <w:tab w:val="right" w:leader="dot" w:pos="9350"/>
            </w:tabs>
            <w:rPr>
              <w:noProof/>
              <w:lang w:val="en-GB"/>
            </w:rPr>
          </w:pPr>
          <w:hyperlink w:anchor="_Toc161858777" w:history="1">
            <w:r w:rsidR="009E49FC" w:rsidRPr="009E49FC">
              <w:rPr>
                <w:rStyle w:val="Hyperlink"/>
                <w:noProof/>
                <w:lang w:val="en-GB"/>
              </w:rPr>
              <w:t>2. Brief introduction to Sainsbury’s</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_Toc161858777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3</w:t>
            </w:r>
            <w:r w:rsidR="009E49FC" w:rsidRPr="009E49FC">
              <w:rPr>
                <w:noProof/>
                <w:webHidden/>
                <w:lang w:val="en-GB"/>
              </w:rPr>
              <w:fldChar w:fldCharType="end"/>
            </w:r>
          </w:hyperlink>
        </w:p>
        <w:p w14:paraId="59BE6DEF" w14:textId="606D191D" w:rsidR="009E49FC" w:rsidRPr="009E49FC" w:rsidRDefault="002505F1" w:rsidP="009E49FC">
          <w:pPr>
            <w:pStyle w:val="Cuprins1"/>
            <w:tabs>
              <w:tab w:val="right" w:leader="dot" w:pos="9350"/>
            </w:tabs>
            <w:rPr>
              <w:noProof/>
              <w:lang w:val="en-GB"/>
            </w:rPr>
          </w:pPr>
          <w:hyperlink w:anchor="_Toc161858778" w:history="1">
            <w:r w:rsidR="009E49FC" w:rsidRPr="009E49FC">
              <w:rPr>
                <w:rStyle w:val="Hyperlink"/>
                <w:noProof/>
                <w:lang w:val="en-GB"/>
              </w:rPr>
              <w:t>3. Evaluating at least 2 EU countries by using the following</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_Toc161858778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4</w:t>
            </w:r>
            <w:r w:rsidR="009E49FC" w:rsidRPr="009E49FC">
              <w:rPr>
                <w:noProof/>
                <w:webHidden/>
                <w:lang w:val="en-GB"/>
              </w:rPr>
              <w:fldChar w:fldCharType="end"/>
            </w:r>
          </w:hyperlink>
        </w:p>
        <w:p w14:paraId="798C48C1" w14:textId="67C12A14" w:rsidR="009E49FC" w:rsidRPr="009E49FC" w:rsidRDefault="002505F1" w:rsidP="009E49FC">
          <w:pPr>
            <w:pStyle w:val="Cuprins2"/>
            <w:tabs>
              <w:tab w:val="right" w:leader="dot" w:pos="9350"/>
            </w:tabs>
            <w:rPr>
              <w:noProof/>
              <w:lang w:val="en-GB"/>
            </w:rPr>
          </w:pPr>
          <w:hyperlink w:anchor="_Toc161858779" w:history="1">
            <w:r w:rsidR="009E49FC" w:rsidRPr="009E49FC">
              <w:rPr>
                <w:rStyle w:val="Hyperlink"/>
                <w:noProof/>
                <w:lang w:val="en-GB"/>
              </w:rPr>
              <w:t>3.1 Country facts to realise the cultural differences</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_Toc161858779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4</w:t>
            </w:r>
            <w:r w:rsidR="009E49FC" w:rsidRPr="009E49FC">
              <w:rPr>
                <w:noProof/>
                <w:webHidden/>
                <w:lang w:val="en-GB"/>
              </w:rPr>
              <w:fldChar w:fldCharType="end"/>
            </w:r>
          </w:hyperlink>
        </w:p>
        <w:p w14:paraId="15D019A3" w14:textId="339AA223" w:rsidR="009E49FC" w:rsidRPr="009E49FC" w:rsidRDefault="002505F1" w:rsidP="009E49FC">
          <w:pPr>
            <w:pStyle w:val="Cuprins2"/>
            <w:tabs>
              <w:tab w:val="right" w:leader="dot" w:pos="9350"/>
            </w:tabs>
            <w:rPr>
              <w:noProof/>
              <w:lang w:val="en-GB"/>
            </w:rPr>
          </w:pPr>
          <w:hyperlink w:anchor="_Toc161858780" w:history="1">
            <w:r w:rsidR="009E49FC" w:rsidRPr="009E49FC">
              <w:rPr>
                <w:rStyle w:val="Hyperlink"/>
                <w:noProof/>
                <w:lang w:val="en-GB"/>
              </w:rPr>
              <w:t>3.2 Hofstede’s cultural dimensions</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_Toc161858780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9</w:t>
            </w:r>
            <w:r w:rsidR="009E49FC" w:rsidRPr="009E49FC">
              <w:rPr>
                <w:noProof/>
                <w:webHidden/>
                <w:lang w:val="en-GB"/>
              </w:rPr>
              <w:fldChar w:fldCharType="end"/>
            </w:r>
          </w:hyperlink>
        </w:p>
        <w:p w14:paraId="6B745010" w14:textId="28D2AB18" w:rsidR="009E49FC" w:rsidRPr="009E49FC" w:rsidRDefault="002505F1" w:rsidP="009E49FC">
          <w:pPr>
            <w:pStyle w:val="Cuprins1"/>
            <w:tabs>
              <w:tab w:val="right" w:leader="dot" w:pos="9350"/>
            </w:tabs>
            <w:rPr>
              <w:noProof/>
              <w:lang w:val="en-GB"/>
            </w:rPr>
          </w:pPr>
          <w:hyperlink w:anchor="_Toc161858781" w:history="1">
            <w:r w:rsidR="009E49FC" w:rsidRPr="009E49FC">
              <w:rPr>
                <w:rStyle w:val="Hyperlink"/>
                <w:noProof/>
                <w:lang w:val="en-GB"/>
              </w:rPr>
              <w:t>4. Analysing and discussing the communication barriers experienced by the British business by evaluating the two different EU countries</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_Toc161858781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11</w:t>
            </w:r>
            <w:r w:rsidR="009E49FC" w:rsidRPr="009E49FC">
              <w:rPr>
                <w:noProof/>
                <w:webHidden/>
                <w:lang w:val="en-GB"/>
              </w:rPr>
              <w:fldChar w:fldCharType="end"/>
            </w:r>
          </w:hyperlink>
        </w:p>
        <w:p w14:paraId="68306B73" w14:textId="065C69ED" w:rsidR="009E49FC" w:rsidRPr="009E49FC" w:rsidRDefault="002505F1" w:rsidP="009E49FC">
          <w:pPr>
            <w:pStyle w:val="Cuprins1"/>
            <w:tabs>
              <w:tab w:val="right" w:leader="dot" w:pos="9350"/>
            </w:tabs>
            <w:rPr>
              <w:noProof/>
              <w:lang w:val="en-GB"/>
            </w:rPr>
          </w:pPr>
          <w:hyperlink w:anchor="_Toc161858782" w:history="1">
            <w:r w:rsidR="009E49FC" w:rsidRPr="009E49FC">
              <w:rPr>
                <w:rStyle w:val="Hyperlink"/>
                <w:noProof/>
                <w:lang w:val="en-GB"/>
              </w:rPr>
              <w:t>5. Recommendations on the selection of the country for British business expansion and strategies to overcome the communication challenges for Sainsbury’s to attain success</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_Toc161858782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13</w:t>
            </w:r>
            <w:r w:rsidR="009E49FC" w:rsidRPr="009E49FC">
              <w:rPr>
                <w:noProof/>
                <w:webHidden/>
                <w:lang w:val="en-GB"/>
              </w:rPr>
              <w:fldChar w:fldCharType="end"/>
            </w:r>
          </w:hyperlink>
        </w:p>
        <w:p w14:paraId="2496FB83" w14:textId="325A4B48" w:rsidR="009E49FC" w:rsidRPr="009E49FC" w:rsidRDefault="002505F1" w:rsidP="009E49FC">
          <w:pPr>
            <w:pStyle w:val="Cuprins1"/>
            <w:tabs>
              <w:tab w:val="right" w:leader="dot" w:pos="9350"/>
            </w:tabs>
            <w:rPr>
              <w:noProof/>
              <w:lang w:val="en-GB"/>
            </w:rPr>
          </w:pPr>
          <w:hyperlink w:anchor="_Toc161858783" w:history="1">
            <w:r w:rsidR="009E49FC" w:rsidRPr="009E49FC">
              <w:rPr>
                <w:rStyle w:val="Hyperlink"/>
                <w:noProof/>
                <w:lang w:val="en-GB"/>
              </w:rPr>
              <w:t>6. Conclusion</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_Toc161858783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14</w:t>
            </w:r>
            <w:r w:rsidR="009E49FC" w:rsidRPr="009E49FC">
              <w:rPr>
                <w:noProof/>
                <w:webHidden/>
                <w:lang w:val="en-GB"/>
              </w:rPr>
              <w:fldChar w:fldCharType="end"/>
            </w:r>
          </w:hyperlink>
        </w:p>
        <w:p w14:paraId="4F3B972C" w14:textId="1D13D8BE" w:rsidR="009E49FC" w:rsidRPr="009E49FC" w:rsidRDefault="002505F1" w:rsidP="009E49FC">
          <w:pPr>
            <w:pStyle w:val="Cuprins1"/>
            <w:tabs>
              <w:tab w:val="right" w:leader="dot" w:pos="9350"/>
            </w:tabs>
            <w:rPr>
              <w:noProof/>
              <w:lang w:val="en-GB"/>
            </w:rPr>
          </w:pPr>
          <w:hyperlink w:anchor="_Toc161858784" w:history="1">
            <w:r w:rsidR="009E49FC" w:rsidRPr="009E49FC">
              <w:rPr>
                <w:rStyle w:val="Hyperlink"/>
                <w:noProof/>
                <w:lang w:val="en-GB"/>
              </w:rPr>
              <w:t>References</w:t>
            </w:r>
            <w:r w:rsidR="009E49FC" w:rsidRPr="009E49FC">
              <w:rPr>
                <w:noProof/>
                <w:webHidden/>
                <w:lang w:val="en-GB"/>
              </w:rPr>
              <w:tab/>
            </w:r>
            <w:r w:rsidR="009E49FC" w:rsidRPr="009E49FC">
              <w:rPr>
                <w:noProof/>
                <w:webHidden/>
                <w:lang w:val="en-GB"/>
              </w:rPr>
              <w:fldChar w:fldCharType="begin"/>
            </w:r>
            <w:r w:rsidR="009E49FC" w:rsidRPr="009E49FC">
              <w:rPr>
                <w:noProof/>
                <w:webHidden/>
                <w:lang w:val="en-GB"/>
              </w:rPr>
              <w:instrText xml:space="preserve"> PAGEREF _Toc161858784 \h </w:instrText>
            </w:r>
            <w:r w:rsidR="009E49FC" w:rsidRPr="009E49FC">
              <w:rPr>
                <w:noProof/>
                <w:webHidden/>
                <w:lang w:val="en-GB"/>
              </w:rPr>
            </w:r>
            <w:r w:rsidR="009E49FC" w:rsidRPr="009E49FC">
              <w:rPr>
                <w:noProof/>
                <w:webHidden/>
                <w:lang w:val="en-GB"/>
              </w:rPr>
              <w:fldChar w:fldCharType="separate"/>
            </w:r>
            <w:r w:rsidR="009E49FC" w:rsidRPr="009E49FC">
              <w:rPr>
                <w:noProof/>
                <w:webHidden/>
                <w:lang w:val="en-GB"/>
              </w:rPr>
              <w:t>16</w:t>
            </w:r>
            <w:r w:rsidR="009E49FC" w:rsidRPr="009E49FC">
              <w:rPr>
                <w:noProof/>
                <w:webHidden/>
                <w:lang w:val="en-GB"/>
              </w:rPr>
              <w:fldChar w:fldCharType="end"/>
            </w:r>
          </w:hyperlink>
        </w:p>
        <w:p w14:paraId="44A5F4E9" w14:textId="4ED96EF9" w:rsidR="009E49FC" w:rsidRPr="009E49FC" w:rsidRDefault="009E49FC" w:rsidP="009E49FC">
          <w:pPr>
            <w:rPr>
              <w:lang w:val="en-GB"/>
            </w:rPr>
          </w:pPr>
          <w:r w:rsidRPr="009E49FC">
            <w:rPr>
              <w:b/>
              <w:bCs/>
              <w:noProof/>
              <w:lang w:val="en-GB"/>
            </w:rPr>
            <w:fldChar w:fldCharType="end"/>
          </w:r>
        </w:p>
      </w:sdtContent>
    </w:sdt>
    <w:p w14:paraId="17C94ECA" w14:textId="77777777" w:rsidR="009E49FC" w:rsidRPr="009E49FC" w:rsidRDefault="009E49FC">
      <w:pPr>
        <w:pStyle w:val="Normal1"/>
        <w:jc w:val="center"/>
        <w:rPr>
          <w:lang w:val="en-GB"/>
        </w:rPr>
      </w:pPr>
    </w:p>
    <w:p w14:paraId="2177A96C" w14:textId="77777777" w:rsidR="00405E43" w:rsidRPr="009E49FC" w:rsidRDefault="002505F1">
      <w:pPr>
        <w:pStyle w:val="Normal1"/>
        <w:jc w:val="left"/>
        <w:rPr>
          <w:lang w:val="en-GB"/>
        </w:rPr>
      </w:pPr>
      <w:r w:rsidRPr="009E49FC">
        <w:rPr>
          <w:lang w:val="en-GB"/>
        </w:rPr>
        <w:br w:type="page"/>
      </w:r>
    </w:p>
    <w:p w14:paraId="06AB531A" w14:textId="77777777" w:rsidR="00405E43" w:rsidRPr="009E49FC" w:rsidRDefault="002505F1">
      <w:pPr>
        <w:pStyle w:val="Titlu1"/>
        <w:jc w:val="left"/>
        <w:rPr>
          <w:lang w:val="en-GB"/>
        </w:rPr>
      </w:pPr>
      <w:bookmarkStart w:id="0" w:name="_7dguv710238z" w:colFirst="0" w:colLast="0"/>
      <w:bookmarkStart w:id="1" w:name="_Toc161858776"/>
      <w:bookmarkEnd w:id="0"/>
      <w:r w:rsidRPr="009E49FC">
        <w:rPr>
          <w:lang w:val="en-GB"/>
        </w:rPr>
        <w:lastRenderedPageBreak/>
        <w:t>1. Introduction</w:t>
      </w:r>
      <w:bookmarkEnd w:id="1"/>
      <w:r w:rsidRPr="009E49FC">
        <w:rPr>
          <w:lang w:val="en-GB"/>
        </w:rPr>
        <w:t xml:space="preserve"> </w:t>
      </w:r>
    </w:p>
    <w:p w14:paraId="759FCF21" w14:textId="77777777" w:rsidR="00405E43" w:rsidRPr="009E49FC" w:rsidRDefault="002505F1">
      <w:pPr>
        <w:pStyle w:val="Normal1"/>
        <w:rPr>
          <w:lang w:val="en-GB"/>
        </w:rPr>
      </w:pPr>
      <w:r w:rsidRPr="009E49FC">
        <w:rPr>
          <w:lang w:val="en-GB"/>
        </w:rPr>
        <w:t xml:space="preserve">Business communication refers to the process of exchanging or sharing information between people within the workplace and outside an organisation </w:t>
      </w:r>
      <w:r w:rsidRPr="009E49FC">
        <w:rPr>
          <w:color w:val="222222"/>
          <w:highlight w:val="white"/>
          <w:lang w:val="en-GB"/>
        </w:rPr>
        <w:t xml:space="preserve">(Marsen, 2020). </w:t>
      </w:r>
      <w:r w:rsidRPr="009E49FC">
        <w:rPr>
          <w:lang w:val="en-GB"/>
        </w:rPr>
        <w:t xml:space="preserve">British business communication is straightforward and the businessman in British maintains politeness while conveying information </w:t>
      </w:r>
      <w:r w:rsidRPr="009E49FC">
        <w:rPr>
          <w:color w:val="222222"/>
          <w:highlight w:val="white"/>
          <w:lang w:val="en-GB"/>
        </w:rPr>
        <w:t xml:space="preserve">(Marsen, 2020). </w:t>
      </w:r>
      <w:r w:rsidRPr="009E49FC">
        <w:rPr>
          <w:lang w:val="en-GB"/>
        </w:rPr>
        <w:t xml:space="preserve">The official business communication language in the UK is English which simplifies the communication index between the stakeholders </w:t>
      </w:r>
      <w:r w:rsidRPr="009E49FC">
        <w:rPr>
          <w:color w:val="222222"/>
          <w:highlight w:val="white"/>
          <w:lang w:val="en-GB"/>
        </w:rPr>
        <w:t>(</w:t>
      </w:r>
      <w:r w:rsidRPr="009E49FC">
        <w:rPr>
          <w:lang w:val="en-GB"/>
        </w:rPr>
        <w:t xml:space="preserve">World Business Culture, 2024). British use business language in a coded manner preferring to demonstrate positive communication phrases to attain the business goals </w:t>
      </w:r>
      <w:r w:rsidRPr="009E49FC">
        <w:rPr>
          <w:color w:val="222222"/>
          <w:highlight w:val="white"/>
          <w:lang w:val="en-GB"/>
        </w:rPr>
        <w:t>(</w:t>
      </w:r>
      <w:r w:rsidRPr="009E49FC">
        <w:rPr>
          <w:lang w:val="en-GB"/>
        </w:rPr>
        <w:t>World Business Culture, 2024).</w:t>
      </w:r>
    </w:p>
    <w:p w14:paraId="0EDA1828" w14:textId="77777777" w:rsidR="00405E43" w:rsidRPr="009E49FC" w:rsidRDefault="002505F1">
      <w:pPr>
        <w:pStyle w:val="Normal1"/>
        <w:rPr>
          <w:b/>
          <w:lang w:val="en-GB"/>
        </w:rPr>
      </w:pPr>
      <w:r w:rsidRPr="009E49FC">
        <w:rPr>
          <w:lang w:val="en-GB"/>
        </w:rPr>
        <w:t>The purpose of the essay is to focus on the communication barriers faced by Sainsbury’s while expanding business in two EU countries such as Spain and the Netherlands. The essay will evaluate the country facts of Spain and the Netherlands to understand their cultural differences using Hofstede’s cultural dimension. Sainsbury’s will experience communication barriers while expanding its business in these EU countries due to the usage of different communication styles and languages. The essay will shed light o</w:t>
      </w:r>
      <w:r w:rsidRPr="009E49FC">
        <w:rPr>
          <w:lang w:val="en-GB"/>
        </w:rPr>
        <w:t xml:space="preserve">n appropriate recommendations to select the most appropriate countries among these two countries. The strategies will be explored for Sainsbury’s to overcome the communication challenges for its business expansion in the country to attain success. </w:t>
      </w:r>
    </w:p>
    <w:p w14:paraId="5FDD710C" w14:textId="77777777" w:rsidR="00405E43" w:rsidRPr="009E49FC" w:rsidRDefault="002505F1">
      <w:pPr>
        <w:pStyle w:val="Titlu1"/>
        <w:jc w:val="left"/>
        <w:rPr>
          <w:lang w:val="en-GB"/>
        </w:rPr>
      </w:pPr>
      <w:bookmarkStart w:id="2" w:name="_e7k1dcv8va99" w:colFirst="0" w:colLast="0"/>
      <w:bookmarkStart w:id="3" w:name="_Toc161858777"/>
      <w:bookmarkEnd w:id="2"/>
      <w:r w:rsidRPr="009E49FC">
        <w:rPr>
          <w:lang w:val="en-GB"/>
        </w:rPr>
        <w:t>2. Brief introduction to Sainsbury’s</w:t>
      </w:r>
      <w:bookmarkEnd w:id="3"/>
      <w:r w:rsidRPr="009E49FC">
        <w:rPr>
          <w:lang w:val="en-GB"/>
        </w:rPr>
        <w:t xml:space="preserve"> </w:t>
      </w:r>
    </w:p>
    <w:p w14:paraId="4D46D43E" w14:textId="36482988" w:rsidR="00405E43" w:rsidRPr="009E49FC" w:rsidRDefault="002505F1">
      <w:pPr>
        <w:pStyle w:val="Normal1"/>
        <w:rPr>
          <w:lang w:val="en-GB"/>
        </w:rPr>
      </w:pPr>
      <w:r w:rsidRPr="009E49FC">
        <w:rPr>
          <w:lang w:val="en-GB"/>
        </w:rPr>
        <w:t xml:space="preserve">Sainsbury’s is recognised as the second largest supermarket chain in the UK which has 14.6% of the market share in the UK supermarket </w:t>
      </w:r>
      <w:r w:rsidRPr="009E49FC">
        <w:rPr>
          <w:color w:val="222222"/>
          <w:highlight w:val="white"/>
          <w:lang w:val="en-GB"/>
        </w:rPr>
        <w:t>(World Benchmarking Alliance, 2024)</w:t>
      </w:r>
      <w:r w:rsidRPr="009E49FC">
        <w:rPr>
          <w:lang w:val="en-GB"/>
        </w:rPr>
        <w:t xml:space="preserve">. The company was established in 1869 and the headquarters of Sainsbury’s </w:t>
      </w:r>
      <w:r w:rsidR="009E49FC" w:rsidRPr="009E49FC">
        <w:rPr>
          <w:lang w:val="en-GB"/>
        </w:rPr>
        <w:t>is in</w:t>
      </w:r>
      <w:r w:rsidRPr="009E49FC">
        <w:rPr>
          <w:lang w:val="en-GB"/>
        </w:rPr>
        <w:t xml:space="preserve"> London, UK. The revenues of Sainsbury’s have been £31.491 billion in recent years with £972 million in operating income </w:t>
      </w:r>
      <w:r w:rsidRPr="009E49FC">
        <w:rPr>
          <w:color w:val="222222"/>
          <w:highlight w:val="white"/>
          <w:lang w:val="en-GB"/>
        </w:rPr>
        <w:lastRenderedPageBreak/>
        <w:t>(Sainsbury’s Plc, 2023)</w:t>
      </w:r>
      <w:r w:rsidRPr="009E49FC">
        <w:rPr>
          <w:lang w:val="en-GB"/>
        </w:rPr>
        <w:t xml:space="preserve">. The company offers grocery products and supermarket products to customers including foods, frozen food items, baby products, home appliances, and beverages </w:t>
      </w:r>
      <w:r w:rsidRPr="009E49FC">
        <w:rPr>
          <w:color w:val="222222"/>
          <w:highlight w:val="white"/>
          <w:lang w:val="en-GB"/>
        </w:rPr>
        <w:t>(Sainsbury’s Plc, 2023)</w:t>
      </w:r>
      <w:r w:rsidRPr="009E49FC">
        <w:rPr>
          <w:lang w:val="en-GB"/>
        </w:rPr>
        <w:t>. The company employs around 162,000 employees and handles around 1.9 mil</w:t>
      </w:r>
      <w:r w:rsidRPr="009E49FC">
        <w:rPr>
          <w:lang w:val="en-GB"/>
        </w:rPr>
        <w:t xml:space="preserve">lion customers with above 1,400 stores in the UK as well as Ireland </w:t>
      </w:r>
      <w:r w:rsidRPr="009E49FC">
        <w:rPr>
          <w:color w:val="222222"/>
          <w:highlight w:val="white"/>
          <w:lang w:val="en-GB"/>
        </w:rPr>
        <w:t>(World Benchmarking Alliance, 2024)</w:t>
      </w:r>
      <w:r w:rsidRPr="009E49FC">
        <w:rPr>
          <w:lang w:val="en-GB"/>
        </w:rPr>
        <w:t xml:space="preserve">. The company has an online home delivery service that receives around 250,000 orders each week </w:t>
      </w:r>
      <w:r w:rsidRPr="009E49FC">
        <w:rPr>
          <w:color w:val="222222"/>
          <w:highlight w:val="white"/>
          <w:lang w:val="en-GB"/>
        </w:rPr>
        <w:t>(World Benchmarking Alliance, 2024)</w:t>
      </w:r>
      <w:r w:rsidRPr="009E49FC">
        <w:rPr>
          <w:lang w:val="en-GB"/>
        </w:rPr>
        <w:t xml:space="preserve">. Sainsbury’s focuses on expanding its business in the EU countries including Spain and Netherlands. </w:t>
      </w:r>
    </w:p>
    <w:p w14:paraId="3149242B" w14:textId="77777777" w:rsidR="00405E43" w:rsidRPr="009E49FC" w:rsidRDefault="002505F1">
      <w:pPr>
        <w:pStyle w:val="Titlu1"/>
        <w:jc w:val="left"/>
        <w:rPr>
          <w:lang w:val="en-GB"/>
        </w:rPr>
      </w:pPr>
      <w:bookmarkStart w:id="4" w:name="_5928q92q1sv4" w:colFirst="0" w:colLast="0"/>
      <w:bookmarkStart w:id="5" w:name="_Toc161858778"/>
      <w:bookmarkEnd w:id="4"/>
      <w:r w:rsidRPr="009E49FC">
        <w:rPr>
          <w:lang w:val="en-GB"/>
        </w:rPr>
        <w:t>3. Evaluating at least 2 EU countries by using the following</w:t>
      </w:r>
      <w:bookmarkEnd w:id="5"/>
      <w:r w:rsidRPr="009E49FC">
        <w:rPr>
          <w:lang w:val="en-GB"/>
        </w:rPr>
        <w:t xml:space="preserve"> </w:t>
      </w:r>
    </w:p>
    <w:p w14:paraId="5DFD50B3" w14:textId="77777777" w:rsidR="00405E43" w:rsidRPr="009E49FC" w:rsidRDefault="002505F1">
      <w:pPr>
        <w:pStyle w:val="Titlu2"/>
        <w:jc w:val="left"/>
        <w:rPr>
          <w:lang w:val="en-GB"/>
        </w:rPr>
      </w:pPr>
      <w:bookmarkStart w:id="6" w:name="_tr4qx2ydig01" w:colFirst="0" w:colLast="0"/>
      <w:bookmarkStart w:id="7" w:name="_Toc161858779"/>
      <w:bookmarkEnd w:id="6"/>
      <w:r w:rsidRPr="009E49FC">
        <w:rPr>
          <w:lang w:val="en-GB"/>
        </w:rPr>
        <w:t>3.1 Country facts to realise the cultural differences</w:t>
      </w:r>
      <w:bookmarkEnd w:id="7"/>
      <w:r w:rsidRPr="009E49FC">
        <w:rPr>
          <w:lang w:val="en-GB"/>
        </w:rPr>
        <w:t xml:space="preserve"> </w:t>
      </w:r>
    </w:p>
    <w:p w14:paraId="5A0DBD04" w14:textId="77777777" w:rsidR="00405E43" w:rsidRPr="009E49FC" w:rsidRDefault="002505F1">
      <w:pPr>
        <w:pStyle w:val="Normal1"/>
        <w:rPr>
          <w:b/>
          <w:lang w:val="en-GB"/>
        </w:rPr>
      </w:pPr>
      <w:r w:rsidRPr="009E49FC">
        <w:rPr>
          <w:b/>
          <w:lang w:val="en-GB"/>
        </w:rPr>
        <w:t xml:space="preserve">Social contexts and profile </w:t>
      </w:r>
    </w:p>
    <w:p w14:paraId="5C19220F" w14:textId="77777777" w:rsidR="00405E43" w:rsidRPr="009E49FC" w:rsidRDefault="002505F1">
      <w:pPr>
        <w:pStyle w:val="Normal1"/>
        <w:rPr>
          <w:b/>
          <w:i/>
          <w:lang w:val="en-GB"/>
        </w:rPr>
      </w:pPr>
      <w:r w:rsidRPr="009E49FC">
        <w:rPr>
          <w:b/>
          <w:i/>
          <w:lang w:val="en-GB"/>
        </w:rPr>
        <w:t>Social contexts and profile in Spain</w:t>
      </w:r>
    </w:p>
    <w:p w14:paraId="4B3C90F6" w14:textId="77777777" w:rsidR="00405E43" w:rsidRPr="009E49FC" w:rsidRDefault="002505F1">
      <w:pPr>
        <w:pStyle w:val="Normal1"/>
        <w:rPr>
          <w:lang w:val="en-GB"/>
        </w:rPr>
      </w:pPr>
      <w:r w:rsidRPr="009E49FC">
        <w:rPr>
          <w:lang w:val="en-GB"/>
        </w:rPr>
        <w:t>The social integration of Spain sought to end the restrictive policies, terminate the repatriation of illegal immigrants and provide legal status to the employed illegal immigrants (Bianchi, 2024). The people of Spain are friendly and more open to making conversation with others. The communication style in Spain is open which helps to develop the societal profile and context of the country. The current population in Spain is 47.1 million in recent years which has increased by 3.5% compared to the previous y</w:t>
      </w:r>
      <w:r w:rsidRPr="009E49FC">
        <w:rPr>
          <w:lang w:val="en-GB"/>
        </w:rPr>
        <w:t xml:space="preserve">ear (BBC, 2023). Life in Spain is relaxed which benefits from the relatively affordable cost of living. The life expectancy for men in Spain is 79 years and women are 85 years (BBC, 2023). Spain has a developed education system with a large number of universities offering a wide range of degrees. The education rate in Spain has been 94% in recent years which helped the country to raise its labour market values. </w:t>
      </w:r>
    </w:p>
    <w:p w14:paraId="6D91FC57" w14:textId="77777777" w:rsidR="00405E43" w:rsidRPr="009E49FC" w:rsidRDefault="002505F1">
      <w:pPr>
        <w:pStyle w:val="Normal1"/>
        <w:rPr>
          <w:lang w:val="en-GB"/>
        </w:rPr>
      </w:pPr>
      <w:r w:rsidRPr="009E49FC">
        <w:rPr>
          <w:b/>
          <w:i/>
          <w:lang w:val="en-GB"/>
        </w:rPr>
        <w:lastRenderedPageBreak/>
        <w:t xml:space="preserve">Social contexts and profile in the Netherlands: </w:t>
      </w:r>
      <w:r w:rsidRPr="009E49FC">
        <w:rPr>
          <w:lang w:val="en-GB"/>
        </w:rPr>
        <w:t>The Dutch people are recognised for their tolerant society, friendly index, work-life balance, and social liberalism. The total population of the Netherlands was 10 million in 1950 and the population has increased to over 17.7 million in recent years (O’Neill, 2024). The higher life expectancy and job opportunities helped the Dutch people to get good job facilities. The education rate in the Netherlands has been 85% in recent years and the employment rate in the country is 82.50% (BBC, 2023). The Dutch peop</w:t>
      </w:r>
      <w:r w:rsidRPr="009E49FC">
        <w:rPr>
          <w:lang w:val="en-GB"/>
        </w:rPr>
        <w:t>le of descent have to integrate into the super diverse context where there is no dominance of ethnic groups. The life expectancy for men in the Netherlands is 79 years and women are 83 years (BBC, 2023).</w:t>
      </w:r>
    </w:p>
    <w:p w14:paraId="148A80AE" w14:textId="77777777" w:rsidR="00405E43" w:rsidRPr="009E49FC" w:rsidRDefault="002505F1">
      <w:pPr>
        <w:pStyle w:val="Normal1"/>
        <w:rPr>
          <w:lang w:val="en-GB"/>
        </w:rPr>
      </w:pPr>
      <w:r w:rsidRPr="009E49FC">
        <w:rPr>
          <w:noProof/>
          <w:lang w:val="en-GB"/>
        </w:rPr>
        <w:drawing>
          <wp:inline distT="114300" distB="114300" distL="114300" distR="114300" wp14:anchorId="7E483E48" wp14:editId="348A41F9">
            <wp:extent cx="5943600" cy="3683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7"/>
                    <a:stretch>
                      <a:fillRect/>
                    </a:stretch>
                  </pic:blipFill>
                  <pic:spPr>
                    <a:xfrm>
                      <a:off x="0" y="0"/>
                      <a:ext cx="5943600" cy="3683000"/>
                    </a:xfrm>
                    <a:prstGeom prst="rect">
                      <a:avLst/>
                    </a:prstGeom>
                  </pic:spPr>
                </pic:pic>
              </a:graphicData>
            </a:graphic>
          </wp:inline>
        </w:drawing>
      </w:r>
    </w:p>
    <w:p w14:paraId="20775C6B" w14:textId="77777777" w:rsidR="00405E43" w:rsidRPr="009E49FC" w:rsidRDefault="002505F1">
      <w:pPr>
        <w:pStyle w:val="Normal1"/>
        <w:jc w:val="center"/>
        <w:rPr>
          <w:b/>
          <w:lang w:val="en-GB"/>
        </w:rPr>
      </w:pPr>
      <w:r w:rsidRPr="009E49FC">
        <w:rPr>
          <w:b/>
          <w:lang w:val="en-GB"/>
        </w:rPr>
        <w:t xml:space="preserve">Figure 1: Population growth rate in the </w:t>
      </w:r>
      <w:r w:rsidRPr="009E49FC">
        <w:rPr>
          <w:b/>
          <w:lang w:val="en-GB"/>
        </w:rPr>
        <w:t>Netherlands</w:t>
      </w:r>
    </w:p>
    <w:p w14:paraId="1E213A1B" w14:textId="77777777" w:rsidR="00405E43" w:rsidRPr="009E49FC" w:rsidRDefault="002505F1">
      <w:pPr>
        <w:pStyle w:val="Normal1"/>
        <w:jc w:val="center"/>
        <w:rPr>
          <w:lang w:val="en-GB"/>
        </w:rPr>
      </w:pPr>
      <w:r w:rsidRPr="009E49FC">
        <w:rPr>
          <w:lang w:val="en-GB"/>
        </w:rPr>
        <w:t>(Source: O’Neill, 2024)</w:t>
      </w:r>
    </w:p>
    <w:p w14:paraId="7BBEF15A" w14:textId="77777777" w:rsidR="00405E43" w:rsidRPr="009E49FC" w:rsidRDefault="002505F1">
      <w:pPr>
        <w:pStyle w:val="Normal1"/>
        <w:jc w:val="left"/>
        <w:rPr>
          <w:b/>
          <w:lang w:val="en-GB"/>
        </w:rPr>
      </w:pPr>
      <w:r w:rsidRPr="009E49FC">
        <w:rPr>
          <w:b/>
          <w:lang w:val="en-GB"/>
        </w:rPr>
        <w:t>Language</w:t>
      </w:r>
    </w:p>
    <w:p w14:paraId="673DF7D6" w14:textId="77777777" w:rsidR="00405E43" w:rsidRPr="009E49FC" w:rsidRDefault="002505F1">
      <w:pPr>
        <w:pStyle w:val="Normal1"/>
        <w:rPr>
          <w:lang w:val="en-GB"/>
        </w:rPr>
      </w:pPr>
      <w:r w:rsidRPr="009E49FC">
        <w:rPr>
          <w:b/>
          <w:i/>
          <w:lang w:val="en-GB"/>
        </w:rPr>
        <w:lastRenderedPageBreak/>
        <w:t xml:space="preserve">Language of Spain: </w:t>
      </w:r>
      <w:r w:rsidRPr="009E49FC">
        <w:rPr>
          <w:lang w:val="en-GB"/>
        </w:rPr>
        <w:t xml:space="preserve">The official language of Spain is Castilian, a widely spoken language also known as Spanish (BBC, 2023). The Spain constitution allows for its autonomous communities to understand their dominant languages. </w:t>
      </w:r>
    </w:p>
    <w:p w14:paraId="4F59CD8B" w14:textId="77777777" w:rsidR="00405E43" w:rsidRPr="009E49FC" w:rsidRDefault="002505F1">
      <w:pPr>
        <w:pStyle w:val="Normal1"/>
        <w:rPr>
          <w:lang w:val="en-GB"/>
        </w:rPr>
      </w:pPr>
      <w:r w:rsidRPr="009E49FC">
        <w:rPr>
          <w:b/>
          <w:i/>
          <w:lang w:val="en-GB"/>
        </w:rPr>
        <w:t xml:space="preserve">Language of the Netherlands: </w:t>
      </w:r>
      <w:r w:rsidRPr="009E49FC">
        <w:rPr>
          <w:lang w:val="en-GB"/>
        </w:rPr>
        <w:t xml:space="preserve">The official language of the Netherlands is Dutch and the major religion of the country is Christianity (BBC, 2023). The total population of the Netherlands is 17.7 million which uses Dutch to communicate with each other. </w:t>
      </w:r>
    </w:p>
    <w:p w14:paraId="432F308D" w14:textId="77777777" w:rsidR="00405E43" w:rsidRPr="009E49FC" w:rsidRDefault="002505F1">
      <w:pPr>
        <w:pStyle w:val="Normal1"/>
        <w:rPr>
          <w:b/>
          <w:lang w:val="en-GB"/>
        </w:rPr>
      </w:pPr>
      <w:r w:rsidRPr="009E49FC">
        <w:rPr>
          <w:b/>
          <w:lang w:val="en-GB"/>
        </w:rPr>
        <w:t>Possible risks</w:t>
      </w:r>
    </w:p>
    <w:p w14:paraId="04667003" w14:textId="77777777" w:rsidR="00405E43" w:rsidRPr="009E49FC" w:rsidRDefault="002505F1">
      <w:pPr>
        <w:pStyle w:val="Normal1"/>
        <w:rPr>
          <w:lang w:val="en-GB"/>
        </w:rPr>
      </w:pPr>
      <w:r w:rsidRPr="009E49FC">
        <w:rPr>
          <w:b/>
          <w:i/>
          <w:lang w:val="en-GB"/>
        </w:rPr>
        <w:t xml:space="preserve">Possible risks of Spain: </w:t>
      </w:r>
      <w:r w:rsidRPr="009E49FC">
        <w:rPr>
          <w:lang w:val="en-GB"/>
        </w:rPr>
        <w:t>The corporate tax in Spain will be 25% in 2024 which creates challenges for the UK MNCs by increasing the overall operational expenses (Statista, 2024). The unemployment rate in Spain has increased to 15% in recent years which has increased from 8.2% in 2007 (Statista, 2024). Spain has the second-highest unemployment rate in the EU restricting UK organisations from investing in Spain. The inflation rate in Spain has fluctuated from 1% to 11% in the previous few years which resulted in increasing the product</w:t>
      </w:r>
      <w:r w:rsidRPr="009E49FC">
        <w:rPr>
          <w:lang w:val="en-GB"/>
        </w:rPr>
        <w:t xml:space="preserve"> prices of the UK multinational companies expanding their business in Spain (Ychart, 2023). The number of cybercrime occurrences in Spain has over 289,000 cases in recent years which will create challenges for UK organisations to develop e-commerce websites and online business expansion (Bianchi, 2024). </w:t>
      </w:r>
    </w:p>
    <w:p w14:paraId="68E3CDF2" w14:textId="77777777" w:rsidR="00405E43" w:rsidRPr="009E49FC" w:rsidRDefault="002505F1">
      <w:pPr>
        <w:pStyle w:val="Normal1"/>
        <w:jc w:val="center"/>
        <w:rPr>
          <w:lang w:val="en-GB"/>
        </w:rPr>
      </w:pPr>
      <w:r w:rsidRPr="009E49FC">
        <w:rPr>
          <w:noProof/>
          <w:lang w:val="en-GB"/>
        </w:rPr>
        <w:drawing>
          <wp:inline distT="114300" distB="114300" distL="114300" distR="114300" wp14:anchorId="3711C400" wp14:editId="3F9905F9">
            <wp:extent cx="5943600" cy="11811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5943600" cy="1181100"/>
                    </a:xfrm>
                    <a:prstGeom prst="rect">
                      <a:avLst/>
                    </a:prstGeom>
                  </pic:spPr>
                </pic:pic>
              </a:graphicData>
            </a:graphic>
          </wp:inline>
        </w:drawing>
      </w:r>
    </w:p>
    <w:p w14:paraId="0660B939" w14:textId="77777777" w:rsidR="00405E43" w:rsidRPr="009E49FC" w:rsidRDefault="002505F1">
      <w:pPr>
        <w:pStyle w:val="Normal1"/>
        <w:jc w:val="center"/>
        <w:rPr>
          <w:b/>
          <w:lang w:val="en-GB"/>
        </w:rPr>
      </w:pPr>
      <w:r w:rsidRPr="009E49FC">
        <w:rPr>
          <w:b/>
          <w:lang w:val="en-GB"/>
        </w:rPr>
        <w:t>Figure 2: Inflation rate in Spain</w:t>
      </w:r>
    </w:p>
    <w:p w14:paraId="47AE804C" w14:textId="77777777" w:rsidR="00405E43" w:rsidRPr="009E49FC" w:rsidRDefault="002505F1">
      <w:pPr>
        <w:pStyle w:val="Normal1"/>
        <w:jc w:val="center"/>
        <w:rPr>
          <w:lang w:val="en-GB"/>
        </w:rPr>
      </w:pPr>
      <w:r w:rsidRPr="009E49FC">
        <w:rPr>
          <w:lang w:val="en-GB"/>
        </w:rPr>
        <w:t>(Source: Ychart, 2023)</w:t>
      </w:r>
    </w:p>
    <w:p w14:paraId="0C7CAD1E" w14:textId="77777777" w:rsidR="00405E43" w:rsidRPr="009E49FC" w:rsidRDefault="002505F1">
      <w:pPr>
        <w:pStyle w:val="Normal1"/>
        <w:rPr>
          <w:lang w:val="en-GB"/>
        </w:rPr>
      </w:pPr>
      <w:r w:rsidRPr="009E49FC">
        <w:rPr>
          <w:b/>
          <w:i/>
          <w:lang w:val="en-GB"/>
        </w:rPr>
        <w:t xml:space="preserve">Possible risks of the Netherlands: </w:t>
      </w:r>
      <w:r w:rsidRPr="009E49FC">
        <w:rPr>
          <w:lang w:val="en-GB"/>
        </w:rPr>
        <w:t>The corporate tax in the Netherlands is 19% for €200,000 of taxable profits and 25.8% for above €200,000 of taxable profits (PwC, 2024). It will create challenges for the UK MNCs to attain higher ROI by increasing their overall expenses. The Dutch Government has strict legislation and an instant change of the legal system in the Netherlands will create issues for the UK MNCs to maintain business legality. The higher cost of living around 10.7% in the Netherlands will pose threats to British business manager</w:t>
      </w:r>
      <w:r w:rsidRPr="009E49FC">
        <w:rPr>
          <w:lang w:val="en-GB"/>
        </w:rPr>
        <w:t xml:space="preserve">s to expand their business in the Netherlands (PwC, 2024). </w:t>
      </w:r>
    </w:p>
    <w:p w14:paraId="260A12A5" w14:textId="77777777" w:rsidR="00405E43" w:rsidRPr="009E49FC" w:rsidRDefault="002505F1">
      <w:pPr>
        <w:pStyle w:val="Normal1"/>
        <w:rPr>
          <w:b/>
          <w:lang w:val="en-GB"/>
        </w:rPr>
      </w:pPr>
      <w:r w:rsidRPr="009E49FC">
        <w:rPr>
          <w:b/>
          <w:lang w:val="en-GB"/>
        </w:rPr>
        <w:t>Labour outlooks (Diversity of backgrounds within the workforce)</w:t>
      </w:r>
    </w:p>
    <w:p w14:paraId="6B7A0700" w14:textId="77777777" w:rsidR="00405E43" w:rsidRPr="009E49FC" w:rsidRDefault="002505F1">
      <w:pPr>
        <w:pStyle w:val="Normal1"/>
        <w:rPr>
          <w:lang w:val="en-GB"/>
        </w:rPr>
      </w:pPr>
      <w:r w:rsidRPr="009E49FC">
        <w:rPr>
          <w:b/>
          <w:i/>
          <w:lang w:val="en-GB"/>
        </w:rPr>
        <w:t xml:space="preserve">Labour outlooks in Spain (Diversity of backgrounds within the workforce): </w:t>
      </w:r>
      <w:r w:rsidRPr="009E49FC">
        <w:rPr>
          <w:lang w:val="en-GB"/>
        </w:rPr>
        <w:t>The LFS (Labour Force Survey) expressed the unemployment rate in Spain has been 8.83% in recent years in the autonomous community (Eures, 2023). It remains lower compared to the unemployment rate in the entire Spain which is 12.87%. The unemployment rate for women was 10.02% in Spain which was 7.79% for men (Eures, 2023). The unemployment rate in Spain reduced to 11.76% in 2023 which was 11.84% in 2022 (Ruffino, 2024). Diversity and Inclusion are the core business imperative for around 90% of top Spain empl</w:t>
      </w:r>
      <w:r w:rsidRPr="009E49FC">
        <w:rPr>
          <w:lang w:val="en-GB"/>
        </w:rPr>
        <w:t xml:space="preserve">oyers (Ruffino, 2024). These organisations improve communication campaigns to meet the goals of workplace inclusion as well as diversity. </w:t>
      </w:r>
    </w:p>
    <w:p w14:paraId="436B7AA5" w14:textId="77777777" w:rsidR="00405E43" w:rsidRPr="009E49FC" w:rsidRDefault="002505F1">
      <w:pPr>
        <w:pStyle w:val="Normal1"/>
        <w:jc w:val="center"/>
        <w:rPr>
          <w:lang w:val="en-GB"/>
        </w:rPr>
      </w:pPr>
      <w:r w:rsidRPr="009E49FC">
        <w:rPr>
          <w:noProof/>
          <w:lang w:val="en-GB"/>
        </w:rPr>
        <w:drawing>
          <wp:inline distT="114300" distB="114300" distL="114300" distR="114300" wp14:anchorId="6C86F05B" wp14:editId="0FBFB72B">
            <wp:extent cx="5943600" cy="3683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943600" cy="3683000"/>
                    </a:xfrm>
                    <a:prstGeom prst="rect">
                      <a:avLst/>
                    </a:prstGeom>
                  </pic:spPr>
                </pic:pic>
              </a:graphicData>
            </a:graphic>
          </wp:inline>
        </w:drawing>
      </w:r>
    </w:p>
    <w:p w14:paraId="0D4CD84C" w14:textId="77777777" w:rsidR="00405E43" w:rsidRPr="009E49FC" w:rsidRDefault="002505F1">
      <w:pPr>
        <w:pStyle w:val="Normal1"/>
        <w:jc w:val="center"/>
        <w:rPr>
          <w:b/>
          <w:lang w:val="en-GB"/>
        </w:rPr>
      </w:pPr>
      <w:r w:rsidRPr="009E49FC">
        <w:rPr>
          <w:b/>
          <w:lang w:val="en-GB"/>
        </w:rPr>
        <w:t>Figure 3: Unemployment Rate in Spain</w:t>
      </w:r>
    </w:p>
    <w:p w14:paraId="5812929B" w14:textId="77777777" w:rsidR="00405E43" w:rsidRPr="009E49FC" w:rsidRDefault="002505F1">
      <w:pPr>
        <w:pStyle w:val="Normal1"/>
        <w:jc w:val="center"/>
        <w:rPr>
          <w:lang w:val="en-GB"/>
        </w:rPr>
      </w:pPr>
      <w:r w:rsidRPr="009E49FC">
        <w:rPr>
          <w:lang w:val="en-GB"/>
        </w:rPr>
        <w:t>(Source: Statista, 2024)</w:t>
      </w:r>
    </w:p>
    <w:p w14:paraId="5B8F2A96" w14:textId="77777777" w:rsidR="00405E43" w:rsidRPr="009E49FC" w:rsidRDefault="002505F1">
      <w:pPr>
        <w:pStyle w:val="Normal1"/>
        <w:rPr>
          <w:lang w:val="en-GB"/>
        </w:rPr>
      </w:pPr>
      <w:r w:rsidRPr="009E49FC">
        <w:rPr>
          <w:b/>
          <w:i/>
          <w:lang w:val="en-GB"/>
        </w:rPr>
        <w:t xml:space="preserve">Labour outlooks in the Netherlands (Diversity of backgrounds within the workforce): </w:t>
      </w:r>
      <w:r w:rsidRPr="009E49FC">
        <w:rPr>
          <w:lang w:val="en-GB"/>
        </w:rPr>
        <w:t xml:space="preserve">The labour market of the Netherlands remains buoyant with the lower </w:t>
      </w:r>
      <w:r w:rsidRPr="009E49FC">
        <w:rPr>
          <w:lang w:val="en-GB"/>
        </w:rPr>
        <w:t>unemployment rate which is 3.6% (The Economic Research Portal, 2024). Dutch organisations focus on workplace diversity by hiring workers from different cultural backgrounds. The labour market condition of the Netherlands relies on inclusion and diversity. The net employment rate in the Netherlands is 73% to 15 years to 75 years old people. The employment rate of men in the Netherlands is 76% and the employment rate of women in the Netherlands is 68% (The Economic Research Portal, 2024).</w:t>
      </w:r>
    </w:p>
    <w:p w14:paraId="1E619403" w14:textId="77777777" w:rsidR="00405E43" w:rsidRPr="009E49FC" w:rsidRDefault="002505F1">
      <w:pPr>
        <w:pStyle w:val="Titlu2"/>
        <w:rPr>
          <w:lang w:val="en-GB"/>
        </w:rPr>
      </w:pPr>
      <w:bookmarkStart w:id="8" w:name="_us7ucjyt438u" w:colFirst="0" w:colLast="0"/>
      <w:bookmarkStart w:id="9" w:name="_Toc161858780"/>
      <w:bookmarkEnd w:id="8"/>
      <w:r w:rsidRPr="009E49FC">
        <w:rPr>
          <w:lang w:val="en-GB"/>
        </w:rPr>
        <w:t>3.2 Hofstede’s cultural dimensions</w:t>
      </w:r>
      <w:bookmarkEnd w:id="9"/>
      <w:r w:rsidRPr="009E49FC">
        <w:rPr>
          <w:lang w:val="en-GB"/>
        </w:rPr>
        <w:t xml:space="preserve"> </w:t>
      </w:r>
    </w:p>
    <w:p w14:paraId="2077F090" w14:textId="77777777" w:rsidR="00405E43" w:rsidRPr="009E49FC" w:rsidRDefault="002505F1">
      <w:pPr>
        <w:pStyle w:val="Normal1"/>
        <w:rPr>
          <w:lang w:val="en-GB"/>
        </w:rPr>
      </w:pPr>
      <w:r w:rsidRPr="009E49FC">
        <w:rPr>
          <w:lang w:val="en-GB"/>
        </w:rPr>
        <w:t xml:space="preserve">Hofstede's Cultural Dimensions Theory refers to the framework applied to realise the cultural differences in different countries across the world </w:t>
      </w:r>
      <w:r w:rsidRPr="009E49FC">
        <w:rPr>
          <w:color w:val="222222"/>
          <w:highlight w:val="white"/>
          <w:lang w:val="en-GB"/>
        </w:rPr>
        <w:t xml:space="preserve">(Rodríguez-Rivero </w:t>
      </w:r>
      <w:r w:rsidRPr="009E49FC">
        <w:rPr>
          <w:i/>
          <w:color w:val="222222"/>
          <w:highlight w:val="white"/>
          <w:lang w:val="en-GB"/>
        </w:rPr>
        <w:t>et al</w:t>
      </w:r>
      <w:r w:rsidRPr="009E49FC">
        <w:rPr>
          <w:color w:val="222222"/>
          <w:highlight w:val="white"/>
          <w:lang w:val="en-GB"/>
        </w:rPr>
        <w:t>., 2020).</w:t>
      </w:r>
    </w:p>
    <w:p w14:paraId="34548401" w14:textId="77777777" w:rsidR="00405E43" w:rsidRPr="009E49FC" w:rsidRDefault="002505F1">
      <w:pPr>
        <w:pStyle w:val="Normal1"/>
        <w:jc w:val="center"/>
        <w:rPr>
          <w:lang w:val="en-GB"/>
        </w:rPr>
      </w:pPr>
      <w:r w:rsidRPr="009E49FC">
        <w:rPr>
          <w:noProof/>
          <w:lang w:val="en-GB"/>
        </w:rPr>
        <w:drawing>
          <wp:inline distT="114300" distB="114300" distL="114300" distR="114300" wp14:anchorId="48E29382" wp14:editId="3741C67B">
            <wp:extent cx="4359275" cy="3238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0"/>
                    <a:stretch>
                      <a:fillRect/>
                    </a:stretch>
                  </pic:blipFill>
                  <pic:spPr>
                    <a:xfrm>
                      <a:off x="0" y="0"/>
                      <a:ext cx="4359275" cy="3238500"/>
                    </a:xfrm>
                    <a:prstGeom prst="rect">
                      <a:avLst/>
                    </a:prstGeom>
                  </pic:spPr>
                </pic:pic>
              </a:graphicData>
            </a:graphic>
          </wp:inline>
        </w:drawing>
      </w:r>
    </w:p>
    <w:p w14:paraId="2958DCFA" w14:textId="77777777" w:rsidR="00405E43" w:rsidRPr="009E49FC" w:rsidRDefault="002505F1">
      <w:pPr>
        <w:pStyle w:val="Normal1"/>
        <w:jc w:val="center"/>
        <w:rPr>
          <w:b/>
          <w:lang w:val="en-GB"/>
        </w:rPr>
      </w:pPr>
      <w:r w:rsidRPr="009E49FC">
        <w:rPr>
          <w:b/>
          <w:lang w:val="en-GB"/>
        </w:rPr>
        <w:t>Figure 4: Hofstede’s cultural dimensions</w:t>
      </w:r>
    </w:p>
    <w:p w14:paraId="512228A7" w14:textId="77777777" w:rsidR="00405E43" w:rsidRPr="009E49FC" w:rsidRDefault="002505F1">
      <w:pPr>
        <w:pStyle w:val="Normal1"/>
        <w:jc w:val="center"/>
        <w:rPr>
          <w:lang w:val="en-GB"/>
        </w:rPr>
      </w:pPr>
      <w:r w:rsidRPr="009E49FC">
        <w:rPr>
          <w:lang w:val="en-GB"/>
        </w:rPr>
        <w:t>(Source: Author)</w:t>
      </w:r>
    </w:p>
    <w:p w14:paraId="267E7399" w14:textId="77777777" w:rsidR="00405E43" w:rsidRPr="009E49FC" w:rsidRDefault="002505F1">
      <w:pPr>
        <w:pStyle w:val="Normal1"/>
        <w:rPr>
          <w:b/>
          <w:i/>
          <w:lang w:val="en-GB"/>
        </w:rPr>
      </w:pPr>
      <w:r w:rsidRPr="009E49FC">
        <w:rPr>
          <w:b/>
          <w:i/>
          <w:lang w:val="en-GB"/>
        </w:rPr>
        <w:t xml:space="preserve">Power Distance: </w:t>
      </w:r>
      <w:r w:rsidRPr="009E49FC">
        <w:rPr>
          <w:lang w:val="en-GB"/>
        </w:rPr>
        <w:t xml:space="preserve">The power distance score of Spain is 57 which is higher and this high score indicates a hierarchy organisational structure implication </w:t>
      </w:r>
      <w:r w:rsidRPr="009E49FC">
        <w:rPr>
          <w:color w:val="222222"/>
          <w:highlight w:val="white"/>
          <w:lang w:val="en-GB"/>
        </w:rPr>
        <w:t xml:space="preserve">(Rodríguez-Rivero </w:t>
      </w:r>
      <w:r w:rsidRPr="009E49FC">
        <w:rPr>
          <w:i/>
          <w:color w:val="222222"/>
          <w:highlight w:val="white"/>
          <w:lang w:val="en-GB"/>
        </w:rPr>
        <w:t>et al</w:t>
      </w:r>
      <w:r w:rsidRPr="009E49FC">
        <w:rPr>
          <w:color w:val="222222"/>
          <w:highlight w:val="white"/>
          <w:lang w:val="en-GB"/>
        </w:rPr>
        <w:t>., 2020)</w:t>
      </w:r>
      <w:r w:rsidRPr="009E49FC">
        <w:rPr>
          <w:lang w:val="en-GB"/>
        </w:rPr>
        <w:t xml:space="preserve">. Spain focuses on developing a hierarchy and higher power differences between managers and the employees of the company in making vital business decisions. Alternatively, the power distance score in the Netherlands is 38 which is lower and indicates a lower power gap between the employees and managers. </w:t>
      </w:r>
    </w:p>
    <w:p w14:paraId="5C2581C2" w14:textId="77777777" w:rsidR="00405E43" w:rsidRPr="009E49FC" w:rsidRDefault="002505F1">
      <w:pPr>
        <w:pStyle w:val="Normal1"/>
        <w:rPr>
          <w:b/>
          <w:i/>
          <w:lang w:val="en-GB"/>
        </w:rPr>
      </w:pPr>
      <w:r w:rsidRPr="009E49FC">
        <w:rPr>
          <w:b/>
          <w:i/>
          <w:lang w:val="en-GB"/>
        </w:rPr>
        <w:t xml:space="preserve">Individualism versus Collectivism: </w:t>
      </w:r>
      <w:r w:rsidRPr="009E49FC">
        <w:rPr>
          <w:lang w:val="en-GB"/>
        </w:rPr>
        <w:t xml:space="preserve">The individualism score in Spain is 51 whereas the individualism score in the Netherlands is 80. The lower individualism score in Spain indicates that they value community needs over individual needs </w:t>
      </w:r>
      <w:r w:rsidRPr="009E49FC">
        <w:rPr>
          <w:color w:val="222222"/>
          <w:highlight w:val="white"/>
          <w:lang w:val="en-GB"/>
        </w:rPr>
        <w:t xml:space="preserve">(Rodríguez-Rivero </w:t>
      </w:r>
      <w:r w:rsidRPr="009E49FC">
        <w:rPr>
          <w:i/>
          <w:color w:val="222222"/>
          <w:highlight w:val="white"/>
          <w:lang w:val="en-GB"/>
        </w:rPr>
        <w:t>et al</w:t>
      </w:r>
      <w:r w:rsidRPr="009E49FC">
        <w:rPr>
          <w:color w:val="222222"/>
          <w:highlight w:val="white"/>
          <w:lang w:val="en-GB"/>
        </w:rPr>
        <w:t>., 2020)</w:t>
      </w:r>
      <w:r w:rsidRPr="009E49FC">
        <w:rPr>
          <w:lang w:val="en-GB"/>
        </w:rPr>
        <w:t xml:space="preserve">. The Netherlands scores higher on individualism indicating that they emphasise individual freedom as well as autonomy. </w:t>
      </w:r>
    </w:p>
    <w:p w14:paraId="25EFCCC4" w14:textId="77777777" w:rsidR="00405E43" w:rsidRPr="009E49FC" w:rsidRDefault="002505F1">
      <w:pPr>
        <w:pStyle w:val="Normal1"/>
        <w:rPr>
          <w:lang w:val="en-GB"/>
        </w:rPr>
      </w:pPr>
      <w:r w:rsidRPr="009E49FC">
        <w:rPr>
          <w:b/>
          <w:i/>
          <w:lang w:val="en-GB"/>
        </w:rPr>
        <w:t xml:space="preserve">Masculinity versus Femininity: </w:t>
      </w:r>
      <w:r w:rsidRPr="009E49FC">
        <w:rPr>
          <w:lang w:val="en-GB"/>
        </w:rPr>
        <w:t xml:space="preserve">The masculinity score of Spain is 42 and the Netherlands is 14 </w:t>
      </w:r>
      <w:r w:rsidRPr="009E49FC">
        <w:rPr>
          <w:color w:val="222222"/>
          <w:highlight w:val="white"/>
          <w:lang w:val="en-GB"/>
        </w:rPr>
        <w:t xml:space="preserve">(Rodríguez-Rivero </w:t>
      </w:r>
      <w:r w:rsidRPr="009E49FC">
        <w:rPr>
          <w:i/>
          <w:color w:val="222222"/>
          <w:highlight w:val="white"/>
          <w:lang w:val="en-GB"/>
        </w:rPr>
        <w:t>et al</w:t>
      </w:r>
      <w:r w:rsidRPr="009E49FC">
        <w:rPr>
          <w:color w:val="222222"/>
          <w:highlight w:val="white"/>
          <w:lang w:val="en-GB"/>
        </w:rPr>
        <w:t>., 2020)</w:t>
      </w:r>
      <w:r w:rsidRPr="009E49FC">
        <w:rPr>
          <w:lang w:val="en-GB"/>
        </w:rPr>
        <w:t xml:space="preserve">. The lower masculinity score of both countries indicates higher gender equality values and emotional roles of the organisational managers. </w:t>
      </w:r>
    </w:p>
    <w:p w14:paraId="7B8F3425" w14:textId="77777777" w:rsidR="00405E43" w:rsidRPr="009E49FC" w:rsidRDefault="002505F1">
      <w:pPr>
        <w:pStyle w:val="Normal1"/>
        <w:rPr>
          <w:lang w:val="en-GB"/>
        </w:rPr>
      </w:pPr>
      <w:r w:rsidRPr="009E49FC">
        <w:rPr>
          <w:b/>
          <w:i/>
          <w:lang w:val="en-GB"/>
        </w:rPr>
        <w:t xml:space="preserve">Uncertainty avoidance: </w:t>
      </w:r>
      <w:r w:rsidRPr="009E49FC">
        <w:rPr>
          <w:lang w:val="en-GB"/>
        </w:rPr>
        <w:t>The uncertainty avoidance score of Spain is 86 and the Netherlands is 53 (</w:t>
      </w:r>
      <w:r w:rsidRPr="009E49FC">
        <w:rPr>
          <w:color w:val="222222"/>
          <w:highlight w:val="white"/>
          <w:lang w:val="en-GB"/>
        </w:rPr>
        <w:t>Zhou and Kwon, 2020)</w:t>
      </w:r>
      <w:r w:rsidRPr="009E49FC">
        <w:rPr>
          <w:lang w:val="en-GB"/>
        </w:rPr>
        <w:t xml:space="preserve">. The higher score of this dimension indicates that Spain has a preference for clear regulations, formal structures, and rules. The Netherlands scores lower on this dimension indicating that they are more comfortable with ambiguity and willing to accept risks. </w:t>
      </w:r>
    </w:p>
    <w:p w14:paraId="3FD07171" w14:textId="77777777" w:rsidR="00405E43" w:rsidRPr="009E49FC" w:rsidRDefault="002505F1">
      <w:pPr>
        <w:pStyle w:val="Normal1"/>
        <w:rPr>
          <w:lang w:val="en-GB"/>
        </w:rPr>
      </w:pPr>
      <w:r w:rsidRPr="009E49FC">
        <w:rPr>
          <w:b/>
          <w:i/>
          <w:lang w:val="en-GB"/>
        </w:rPr>
        <w:t xml:space="preserve">Long-term orientation versus Short-term orientation: </w:t>
      </w:r>
      <w:r w:rsidRPr="009E49FC">
        <w:rPr>
          <w:lang w:val="en-GB"/>
        </w:rPr>
        <w:t xml:space="preserve">The long-term ordination score of Spain is 48 and the Netherlands is 67. The lower score on long-term orientation in Spain highlights their concentration on meeting short-term goals. The higher score on this dimension indicates that the Netherlands has long-term planning for future business outcomes </w:t>
      </w:r>
      <w:r w:rsidRPr="009E49FC">
        <w:rPr>
          <w:color w:val="222222"/>
          <w:highlight w:val="white"/>
          <w:lang w:val="en-GB"/>
        </w:rPr>
        <w:t>(Zhou and Kwon, 2020)</w:t>
      </w:r>
      <w:r w:rsidRPr="009E49FC">
        <w:rPr>
          <w:lang w:val="en-GB"/>
        </w:rPr>
        <w:t xml:space="preserve">. </w:t>
      </w:r>
    </w:p>
    <w:p w14:paraId="3A9CDB96" w14:textId="77777777" w:rsidR="00405E43" w:rsidRPr="009E49FC" w:rsidRDefault="002505F1">
      <w:pPr>
        <w:pStyle w:val="Normal1"/>
        <w:rPr>
          <w:lang w:val="en-GB"/>
        </w:rPr>
      </w:pPr>
      <w:r w:rsidRPr="009E49FC">
        <w:rPr>
          <w:b/>
          <w:i/>
          <w:lang w:val="en-GB"/>
        </w:rPr>
        <w:t xml:space="preserve">Indulgence versus Restraint: </w:t>
      </w:r>
      <w:r w:rsidRPr="009E49FC">
        <w:rPr>
          <w:lang w:val="en-GB"/>
        </w:rPr>
        <w:t xml:space="preserve">According to Hofstede’s cultural dimension, the indulgence score of Spain and the Netherlands is 68 which is higher </w:t>
      </w:r>
      <w:r w:rsidRPr="009E49FC">
        <w:rPr>
          <w:color w:val="222222"/>
          <w:highlight w:val="white"/>
          <w:lang w:val="en-GB"/>
        </w:rPr>
        <w:t>(Zhou and Kwon, 2020)</w:t>
      </w:r>
      <w:r w:rsidRPr="009E49FC">
        <w:rPr>
          <w:lang w:val="en-GB"/>
        </w:rPr>
        <w:t xml:space="preserve">. It indicates both countries focus on enjoying their life with fun. </w:t>
      </w:r>
    </w:p>
    <w:p w14:paraId="2EA0D3AC" w14:textId="77777777" w:rsidR="00405E43" w:rsidRPr="009E49FC" w:rsidRDefault="00405E43">
      <w:pPr>
        <w:pStyle w:val="Normal1"/>
        <w:rPr>
          <w:lang w:val="en-GB"/>
        </w:rPr>
      </w:pPr>
    </w:p>
    <w:p w14:paraId="6AE54094" w14:textId="77777777" w:rsidR="00405E43" w:rsidRPr="009E49FC" w:rsidRDefault="002505F1">
      <w:pPr>
        <w:pStyle w:val="Titlu1"/>
        <w:rPr>
          <w:lang w:val="en-GB"/>
        </w:rPr>
      </w:pPr>
      <w:bookmarkStart w:id="10" w:name="_exsyov6k2cs0" w:colFirst="0" w:colLast="0"/>
      <w:bookmarkStart w:id="11" w:name="_Toc161858781"/>
      <w:bookmarkEnd w:id="10"/>
      <w:r w:rsidRPr="009E49FC">
        <w:rPr>
          <w:lang w:val="en-GB"/>
        </w:rPr>
        <w:t>4. Analysing and discussing the communication barriers experienced by the British business by evaluating the two different EU countries</w:t>
      </w:r>
      <w:bookmarkEnd w:id="11"/>
      <w:r w:rsidRPr="009E49FC">
        <w:rPr>
          <w:lang w:val="en-GB"/>
        </w:rPr>
        <w:t xml:space="preserve"> </w:t>
      </w:r>
    </w:p>
    <w:p w14:paraId="77EB5876" w14:textId="77777777" w:rsidR="00405E43" w:rsidRPr="009E49FC" w:rsidRDefault="002505F1">
      <w:pPr>
        <w:pStyle w:val="Normal1"/>
        <w:rPr>
          <w:lang w:val="en-GB"/>
        </w:rPr>
      </w:pPr>
      <w:r w:rsidRPr="009E49FC">
        <w:rPr>
          <w:lang w:val="en-GB"/>
        </w:rPr>
        <w:t xml:space="preserve">Based on the evaluation of Spain and the Netherlands, it is stated that the communication barriers will be experienced by Sainsbury’s to decide on expanding the business in Spain and the Netherlands. </w:t>
      </w:r>
    </w:p>
    <w:p w14:paraId="1AAD99E2" w14:textId="77777777" w:rsidR="00405E43" w:rsidRPr="009E49FC" w:rsidRDefault="002505F1">
      <w:pPr>
        <w:pStyle w:val="Normal1"/>
        <w:rPr>
          <w:rFonts w:ascii="Arial" w:eastAsia="Arial" w:hAnsi="Arial" w:cs="Arial"/>
          <w:color w:val="333333"/>
          <w:sz w:val="26"/>
          <w:szCs w:val="26"/>
          <w:lang w:val="en-GB"/>
        </w:rPr>
      </w:pPr>
      <w:r w:rsidRPr="009E49FC">
        <w:rPr>
          <w:b/>
          <w:i/>
          <w:lang w:val="en-GB"/>
        </w:rPr>
        <w:t xml:space="preserve">Language barrier: </w:t>
      </w:r>
      <w:r w:rsidRPr="009E49FC">
        <w:rPr>
          <w:lang w:val="en-GB"/>
        </w:rPr>
        <w:t xml:space="preserve">The most significant communication barrier in international business expansion is the language barrier due to the differences in languages in different countries </w:t>
      </w:r>
      <w:r w:rsidRPr="009E49FC">
        <w:rPr>
          <w:color w:val="222222"/>
          <w:highlight w:val="white"/>
          <w:lang w:val="en-GB"/>
        </w:rPr>
        <w:t xml:space="preserve">(Simms </w:t>
      </w:r>
      <w:r w:rsidRPr="009E49FC">
        <w:rPr>
          <w:i/>
          <w:color w:val="222222"/>
          <w:highlight w:val="white"/>
          <w:lang w:val="en-GB"/>
        </w:rPr>
        <w:t>et al</w:t>
      </w:r>
      <w:r w:rsidRPr="009E49FC">
        <w:rPr>
          <w:color w:val="222222"/>
          <w:highlight w:val="white"/>
          <w:lang w:val="en-GB"/>
        </w:rPr>
        <w:t>., 2020)</w:t>
      </w:r>
      <w:r w:rsidRPr="009E49FC">
        <w:rPr>
          <w:lang w:val="en-GB"/>
        </w:rPr>
        <w:t>. Sainsbury’s will face challenges from both Spain as well as the Netherlands as the official language of Spain is Spanish and the official language of the Netherlands is Dutch. Different languages have different formality levels which will create issues for Sainsbury’s to develop either a friendly or a formal relationship in th</w:t>
      </w:r>
      <w:r w:rsidRPr="009E49FC">
        <w:rPr>
          <w:lang w:val="en-GB"/>
        </w:rPr>
        <w:t>e EU countries. The language-related issues result in communication gaps including the usage of colloquialisms and idioms (</w:t>
      </w:r>
      <w:r w:rsidRPr="009E49FC">
        <w:rPr>
          <w:color w:val="222222"/>
          <w:highlight w:val="white"/>
          <w:lang w:val="en-GB"/>
        </w:rPr>
        <w:t>Musheke and Phiri, 2021)</w:t>
      </w:r>
      <w:r w:rsidRPr="009E49FC">
        <w:rPr>
          <w:lang w:val="en-GB"/>
        </w:rPr>
        <w:t xml:space="preserve">. </w:t>
      </w:r>
    </w:p>
    <w:p w14:paraId="10F5460D" w14:textId="77777777" w:rsidR="00405E43" w:rsidRPr="009E49FC" w:rsidRDefault="002505F1">
      <w:pPr>
        <w:pStyle w:val="Normal1"/>
        <w:rPr>
          <w:lang w:val="en-GB"/>
        </w:rPr>
      </w:pPr>
      <w:r w:rsidRPr="009E49FC">
        <w:rPr>
          <w:b/>
          <w:i/>
          <w:lang w:val="en-GB"/>
        </w:rPr>
        <w:t xml:space="preserve">Stereotypes and Ethnocentrism: </w:t>
      </w:r>
      <w:r w:rsidRPr="009E49FC">
        <w:rPr>
          <w:lang w:val="en-GB"/>
        </w:rPr>
        <w:t xml:space="preserve">These cause communication barriers in business due to the differences in cultural identity. Ethnocentrism refers to the belief that creates the mindset of treating their own culture as superior compared to other cultures and stereotypes reflect exaggerated beliefs about a particular culture </w:t>
      </w:r>
      <w:r w:rsidRPr="009E49FC">
        <w:rPr>
          <w:color w:val="222222"/>
          <w:highlight w:val="white"/>
          <w:lang w:val="en-GB"/>
        </w:rPr>
        <w:t xml:space="preserve">(Simms </w:t>
      </w:r>
      <w:r w:rsidRPr="009E49FC">
        <w:rPr>
          <w:i/>
          <w:color w:val="222222"/>
          <w:highlight w:val="white"/>
          <w:lang w:val="en-GB"/>
        </w:rPr>
        <w:t>et al</w:t>
      </w:r>
      <w:r w:rsidRPr="009E49FC">
        <w:rPr>
          <w:color w:val="222222"/>
          <w:highlight w:val="white"/>
          <w:lang w:val="en-GB"/>
        </w:rPr>
        <w:t>., 2020)</w:t>
      </w:r>
      <w:r w:rsidRPr="009E49FC">
        <w:rPr>
          <w:lang w:val="en-GB"/>
        </w:rPr>
        <w:t>. Stereotypes and Ethnocentrism in Spain and the Netherlands will create challenges for Sainsbury’s in developing a communication index in culturally diverse workplaces. It results in a breakdown in c</w:t>
      </w:r>
      <w:r w:rsidRPr="009E49FC">
        <w:rPr>
          <w:lang w:val="en-GB"/>
        </w:rPr>
        <w:t xml:space="preserve">ommunication among the organisational members of Sainsbury’s by creating a cultural gap and discriminatory working index. </w:t>
      </w:r>
    </w:p>
    <w:p w14:paraId="2C8D171F" w14:textId="77777777" w:rsidR="00405E43" w:rsidRPr="009E49FC" w:rsidRDefault="002505F1">
      <w:pPr>
        <w:pStyle w:val="Normal1"/>
        <w:rPr>
          <w:lang w:val="en-GB"/>
        </w:rPr>
      </w:pPr>
      <w:r w:rsidRPr="009E49FC">
        <w:rPr>
          <w:b/>
          <w:i/>
          <w:lang w:val="en-GB"/>
        </w:rPr>
        <w:t xml:space="preserve">Behaviours and beliefs: </w:t>
      </w:r>
      <w:r w:rsidRPr="009E49FC">
        <w:rPr>
          <w:lang w:val="en-GB"/>
        </w:rPr>
        <w:t xml:space="preserve">The cultural values and norms lead to communication barriers in the business of Sainsbury’s. Different cultures have various ideas about polite behaviour and open conversation reflecting their treatment of the positions of authority </w:t>
      </w:r>
      <w:r w:rsidRPr="009E49FC">
        <w:rPr>
          <w:color w:val="222222"/>
          <w:highlight w:val="white"/>
          <w:lang w:val="en-GB"/>
        </w:rPr>
        <w:t xml:space="preserve">(Musheke and Phiri, 2021). </w:t>
      </w:r>
      <w:r w:rsidRPr="009E49FC">
        <w:rPr>
          <w:lang w:val="en-GB"/>
        </w:rPr>
        <w:t>Spain has an open code of business meetings and the Netherlands has friendly behavioural aspects in business meetings. Sainsbury’s will face communication barriers due to having a cohesive understanding of the expectations and values of the employees i</w:t>
      </w:r>
      <w:r w:rsidRPr="009E49FC">
        <w:rPr>
          <w:lang w:val="en-GB"/>
        </w:rPr>
        <w:t xml:space="preserve">n Spain and the Netherlands. The suppliers and clients of both countries avoid potential business misunderstandings which will create potential misunderstandings for Sainsbury’s to handle different cultural people </w:t>
      </w:r>
      <w:r w:rsidRPr="009E49FC">
        <w:rPr>
          <w:color w:val="222222"/>
          <w:highlight w:val="white"/>
          <w:lang w:val="en-GB"/>
        </w:rPr>
        <w:t>(Musheke and Phiri, 2021)</w:t>
      </w:r>
      <w:r w:rsidRPr="009E49FC">
        <w:rPr>
          <w:lang w:val="en-GB"/>
        </w:rPr>
        <w:t xml:space="preserve">. </w:t>
      </w:r>
    </w:p>
    <w:p w14:paraId="3BBCD528" w14:textId="77777777" w:rsidR="00405E43" w:rsidRPr="009E49FC" w:rsidRDefault="002505F1">
      <w:pPr>
        <w:pStyle w:val="Normal1"/>
        <w:rPr>
          <w:rFonts w:ascii="Arial" w:eastAsia="Arial" w:hAnsi="Arial" w:cs="Arial"/>
          <w:color w:val="474747"/>
          <w:highlight w:val="white"/>
          <w:lang w:val="en-GB"/>
        </w:rPr>
      </w:pPr>
      <w:r w:rsidRPr="009E49FC">
        <w:rPr>
          <w:b/>
          <w:i/>
          <w:lang w:val="en-GB"/>
        </w:rPr>
        <w:t xml:space="preserve">Differences in communication style: </w:t>
      </w:r>
      <w:r w:rsidRPr="009E49FC">
        <w:rPr>
          <w:lang w:val="en-GB"/>
        </w:rPr>
        <w:t xml:space="preserve">The Spain people use exaggerated gestures, facial expressions, and body language while communicating with others. The Dutch people use a verbal communication index and their communication style is direct </w:t>
      </w:r>
      <w:r w:rsidRPr="009E49FC">
        <w:rPr>
          <w:color w:val="222222"/>
          <w:highlight w:val="white"/>
          <w:lang w:val="en-GB"/>
        </w:rPr>
        <w:t xml:space="preserve">(Gašpar </w:t>
      </w:r>
      <w:r w:rsidRPr="009E49FC">
        <w:rPr>
          <w:i/>
          <w:color w:val="222222"/>
          <w:highlight w:val="white"/>
          <w:lang w:val="en-GB"/>
        </w:rPr>
        <w:t>et al</w:t>
      </w:r>
      <w:r w:rsidRPr="009E49FC">
        <w:rPr>
          <w:color w:val="222222"/>
          <w:highlight w:val="white"/>
          <w:lang w:val="en-GB"/>
        </w:rPr>
        <w:t>., 2023)</w:t>
      </w:r>
      <w:r w:rsidRPr="009E49FC">
        <w:rPr>
          <w:lang w:val="en-GB"/>
        </w:rPr>
        <w:t>. Sainsbury's will face communication barriers to communicating with the stakeholders in these countries as the British communication style is straightforward, clear, indirect, precise, and polite. British Business Communication is rigid and formal which maintains a higher degree of pun</w:t>
      </w:r>
      <w:r w:rsidRPr="009E49FC">
        <w:rPr>
          <w:lang w:val="en-GB"/>
        </w:rPr>
        <w:t>ctuality as well as discipline which will create challenges for Sainsbury's to achieve higher ROI (World Business Culture, 2024).</w:t>
      </w:r>
    </w:p>
    <w:p w14:paraId="564A31A7" w14:textId="77777777" w:rsidR="00405E43" w:rsidRPr="009E49FC" w:rsidRDefault="002505F1">
      <w:pPr>
        <w:pStyle w:val="Titlu1"/>
        <w:rPr>
          <w:lang w:val="en-GB"/>
        </w:rPr>
      </w:pPr>
      <w:bookmarkStart w:id="12" w:name="_nm2qfvfm3awz" w:colFirst="0" w:colLast="0"/>
      <w:bookmarkStart w:id="13" w:name="_Toc161858782"/>
      <w:bookmarkEnd w:id="12"/>
      <w:r w:rsidRPr="009E49FC">
        <w:rPr>
          <w:lang w:val="en-GB"/>
        </w:rPr>
        <w:t>5. Recommendations on the selection of the country for British business expansion and strategies to overcome the communication challenges for Sainsbury’s to attain success</w:t>
      </w:r>
      <w:bookmarkEnd w:id="13"/>
    </w:p>
    <w:p w14:paraId="775FB080" w14:textId="77777777" w:rsidR="00405E43" w:rsidRPr="009E49FC" w:rsidRDefault="002505F1">
      <w:pPr>
        <w:pStyle w:val="Normal1"/>
        <w:rPr>
          <w:lang w:val="en-GB"/>
        </w:rPr>
      </w:pPr>
      <w:r w:rsidRPr="009E49FC">
        <w:rPr>
          <w:b/>
          <w:i/>
          <w:lang w:val="en-GB"/>
        </w:rPr>
        <w:t xml:space="preserve">Recommendations on the Netherlands selection for Sainsbury’s: </w:t>
      </w:r>
      <w:r w:rsidRPr="009E49FC">
        <w:rPr>
          <w:lang w:val="en-GB"/>
        </w:rPr>
        <w:t>Sainsbury’s needs to select the Netherlands to expand its business in the EU due to its economic stability, and lower inflation rate which is 2.70% in recent years (PwC, 2024). The Dutch Government has passed a pro-business as well as pro-foreign investment policy by reducing tariff rates. The Netherlands is renowned for its highly skilled workforce, lower unemployment rate, advanced infrastructure, culture of innovation, and business-friendly environment. Sainsbury’s needs to focus on cost leadership strat</w:t>
      </w:r>
      <w:r w:rsidRPr="009E49FC">
        <w:rPr>
          <w:lang w:val="en-GB"/>
        </w:rPr>
        <w:t xml:space="preserve">egies to reduce the overall operational expenses for setting a competitive price for its products and services (Sainsbury’s Plc, 2023). The company requires focusing on the market development strategy to expand its business in the Netherlands with its existing product line to reduce its operational expenses. </w:t>
      </w:r>
    </w:p>
    <w:p w14:paraId="2D0320BA" w14:textId="77777777" w:rsidR="00405E43" w:rsidRPr="009E49FC" w:rsidRDefault="002505F1">
      <w:pPr>
        <w:pStyle w:val="Normal1"/>
        <w:rPr>
          <w:b/>
          <w:i/>
          <w:lang w:val="en-GB"/>
        </w:rPr>
      </w:pPr>
      <w:r w:rsidRPr="009E49FC">
        <w:rPr>
          <w:b/>
          <w:i/>
          <w:lang w:val="en-GB"/>
        </w:rPr>
        <w:t>Strategies to overcome communication barriers</w:t>
      </w:r>
    </w:p>
    <w:p w14:paraId="6C0B4DB8" w14:textId="77777777" w:rsidR="00405E43" w:rsidRPr="009E49FC" w:rsidRDefault="002505F1">
      <w:pPr>
        <w:pStyle w:val="Normal1"/>
        <w:rPr>
          <w:rFonts w:ascii="Arial" w:eastAsia="Arial" w:hAnsi="Arial" w:cs="Arial"/>
          <w:b/>
          <w:color w:val="333333"/>
          <w:sz w:val="26"/>
          <w:szCs w:val="26"/>
          <w:lang w:val="en-GB"/>
        </w:rPr>
      </w:pPr>
      <w:r w:rsidRPr="009E49FC">
        <w:rPr>
          <w:b/>
          <w:lang w:val="en-GB"/>
        </w:rPr>
        <w:t xml:space="preserve">Investing in Business Language Training: </w:t>
      </w:r>
      <w:r w:rsidRPr="009E49FC">
        <w:rPr>
          <w:lang w:val="en-GB"/>
        </w:rPr>
        <w:t xml:space="preserve">Sainsbury’s needs to invest in language training for its employees to learn the Dutch language. It will ensure the company that the organisational individuals have a good understanding of the Dutch used by the key stakeholders in the Netherlands. It is important to establish a strong relationship with stakeholders to create a positive environment for every organisational individual </w:t>
      </w:r>
      <w:r w:rsidRPr="009E49FC">
        <w:rPr>
          <w:color w:val="222222"/>
          <w:highlight w:val="white"/>
          <w:lang w:val="en-GB"/>
        </w:rPr>
        <w:t xml:space="preserve">(Gašpar </w:t>
      </w:r>
      <w:r w:rsidRPr="009E49FC">
        <w:rPr>
          <w:i/>
          <w:color w:val="222222"/>
          <w:highlight w:val="white"/>
          <w:lang w:val="en-GB"/>
        </w:rPr>
        <w:t>et al</w:t>
      </w:r>
      <w:r w:rsidRPr="009E49FC">
        <w:rPr>
          <w:color w:val="222222"/>
          <w:highlight w:val="white"/>
          <w:lang w:val="en-GB"/>
        </w:rPr>
        <w:t>., 2023)</w:t>
      </w:r>
      <w:r w:rsidRPr="009E49FC">
        <w:rPr>
          <w:lang w:val="en-GB"/>
        </w:rPr>
        <w:t xml:space="preserve">. </w:t>
      </w:r>
    </w:p>
    <w:p w14:paraId="08B176FF" w14:textId="77777777" w:rsidR="00405E43" w:rsidRPr="009E49FC" w:rsidRDefault="002505F1">
      <w:pPr>
        <w:pStyle w:val="Normal1"/>
        <w:rPr>
          <w:lang w:val="en-GB"/>
        </w:rPr>
      </w:pPr>
      <w:r w:rsidRPr="009E49FC">
        <w:rPr>
          <w:b/>
          <w:lang w:val="en-GB"/>
        </w:rPr>
        <w:t xml:space="preserve">Encourage Cultural Diversity: </w:t>
      </w:r>
      <w:r w:rsidRPr="009E49FC">
        <w:rPr>
          <w:lang w:val="en-GB"/>
        </w:rPr>
        <w:t xml:space="preserve">It is important to encourage cultural diversity in the workplace to overcome stereotypes and ethnocentrism creating communication barriers (World Business Culture, 2024). Sainsbury’s will hire employees from different backgrounds and promote cross-cultural understanding to remove communication barriers. The company will create an inclusive environment in the Netherlands through cultural diversity to remove communication barriers. </w:t>
      </w:r>
    </w:p>
    <w:p w14:paraId="1B2EBE86" w14:textId="77777777" w:rsidR="00405E43" w:rsidRPr="009E49FC" w:rsidRDefault="002505F1">
      <w:pPr>
        <w:pStyle w:val="Normal1"/>
        <w:rPr>
          <w:lang w:val="en-GB"/>
        </w:rPr>
      </w:pPr>
      <w:r w:rsidRPr="009E49FC">
        <w:rPr>
          <w:b/>
          <w:lang w:val="en-GB"/>
        </w:rPr>
        <w:t xml:space="preserve">Creating a Code of Conduct: </w:t>
      </w:r>
      <w:r w:rsidRPr="009E49FC">
        <w:rPr>
          <w:lang w:val="en-GB"/>
        </w:rPr>
        <w:t>Sainsbury’s will create a code of conduct outlining the expectations of the company for communication. The code of conduct needs to be upgraded by Sainsbury’s to ensure a relevant communication index with different cultural people to remove issues of having different behaviours and beliefs in the Netherlands (</w:t>
      </w:r>
      <w:r w:rsidRPr="009E49FC">
        <w:rPr>
          <w:color w:val="222222"/>
          <w:highlight w:val="white"/>
          <w:lang w:val="en-GB"/>
        </w:rPr>
        <w:t>Marsen, 2020)</w:t>
      </w:r>
      <w:r w:rsidRPr="009E49FC">
        <w:rPr>
          <w:lang w:val="en-GB"/>
        </w:rPr>
        <w:t xml:space="preserve">. All employees of Sainsbury’s need to be aware of the code of conduct to create a cohesive work culture for employees of different cultural backgrounds. </w:t>
      </w:r>
    </w:p>
    <w:p w14:paraId="6B4FE2C2" w14:textId="77777777" w:rsidR="00405E43" w:rsidRPr="009E49FC" w:rsidRDefault="002505F1">
      <w:pPr>
        <w:pStyle w:val="Normal1"/>
        <w:rPr>
          <w:lang w:val="en-GB"/>
        </w:rPr>
      </w:pPr>
      <w:r w:rsidRPr="009E49FC">
        <w:rPr>
          <w:b/>
          <w:lang w:val="en-GB"/>
        </w:rPr>
        <w:t xml:space="preserve">Offering Cross-Cultural Training to Employees: </w:t>
      </w:r>
      <w:r w:rsidRPr="009E49FC">
        <w:rPr>
          <w:lang w:val="en-GB"/>
        </w:rPr>
        <w:t xml:space="preserve">Sainsbury’s will offer cross-cultural training to the employees to understand new cultural </w:t>
      </w:r>
      <w:r w:rsidRPr="009E49FC">
        <w:rPr>
          <w:lang w:val="en-GB"/>
        </w:rPr>
        <w:t>perspectives to promote mutual respect for the employees. Cross-cultural training will help the company learn about the communication styles and preferences of the Netherlands to create a positive business environment (</w:t>
      </w:r>
      <w:r w:rsidRPr="009E49FC">
        <w:rPr>
          <w:color w:val="222222"/>
          <w:highlight w:val="white"/>
          <w:lang w:val="en-GB"/>
        </w:rPr>
        <w:t>Marsen, 2020)</w:t>
      </w:r>
      <w:r w:rsidRPr="009E49FC">
        <w:rPr>
          <w:lang w:val="en-GB"/>
        </w:rPr>
        <w:t xml:space="preserve">. </w:t>
      </w:r>
    </w:p>
    <w:p w14:paraId="72BB22A3" w14:textId="77777777" w:rsidR="00405E43" w:rsidRPr="009E49FC" w:rsidRDefault="002505F1">
      <w:pPr>
        <w:pStyle w:val="Titlu1"/>
        <w:jc w:val="left"/>
        <w:rPr>
          <w:lang w:val="en-GB"/>
        </w:rPr>
      </w:pPr>
      <w:bookmarkStart w:id="14" w:name="_9wf67cpn6ttl" w:colFirst="0" w:colLast="0"/>
      <w:bookmarkStart w:id="15" w:name="_Toc161858783"/>
      <w:bookmarkEnd w:id="14"/>
      <w:r w:rsidRPr="009E49FC">
        <w:rPr>
          <w:lang w:val="en-GB"/>
        </w:rPr>
        <w:t>6. Conclusion</w:t>
      </w:r>
      <w:bookmarkEnd w:id="15"/>
    </w:p>
    <w:p w14:paraId="102CB24A" w14:textId="77777777" w:rsidR="00405E43" w:rsidRPr="009E49FC" w:rsidRDefault="002505F1">
      <w:pPr>
        <w:pStyle w:val="Normal1"/>
        <w:rPr>
          <w:lang w:val="en-GB"/>
        </w:rPr>
      </w:pPr>
      <w:r w:rsidRPr="009E49FC">
        <w:rPr>
          <w:lang w:val="en-GB"/>
        </w:rPr>
        <w:t xml:space="preserve">Sainsbury’s needs to select the Netherlands to expand its business in the EU countries as the Netherlands has a stable economy, free trade, and lower taxation compared to Spain. The essay has discussed a brief introduction to Sainsbury’s which is a multinational supermarket and retailer in the UK. British business communication helps people to develop value clarity as well as precision in communication to value the clarity and transparency in opinion conveying. The essay has evaluated two EU countries such </w:t>
      </w:r>
      <w:r w:rsidRPr="009E49FC">
        <w:rPr>
          <w:lang w:val="en-GB"/>
        </w:rPr>
        <w:t>as Spain as well as the Netherlands to understand the country's facts. It includes social contexts, language, possible risks, and labour outlooks in both EU countries. Hofstede’s cultural dimensions have been expressed for both countries to focus on their cultural indexes. Language barriers, stereotypes, ethnocentrism, differences in behaviours, and differences in communication styles are the communication barriers experienced by Sainsbury’s to enter these two EU countries. Sainsbury’s requires investing in</w:t>
      </w:r>
      <w:r w:rsidRPr="009E49FC">
        <w:rPr>
          <w:lang w:val="en-GB"/>
        </w:rPr>
        <w:t xml:space="preserve"> language training, cross-cultural training, encouraging cultural diversity, and creating a code of conduct to overcome the communication barriers in the Netherlands.</w:t>
      </w:r>
      <w:r w:rsidRPr="009E49FC">
        <w:rPr>
          <w:lang w:val="en-GB"/>
        </w:rPr>
        <w:br w:type="page"/>
      </w:r>
    </w:p>
    <w:p w14:paraId="1DC08A17" w14:textId="77777777" w:rsidR="00405E43" w:rsidRPr="009E49FC" w:rsidRDefault="002505F1">
      <w:pPr>
        <w:pStyle w:val="Titlu1"/>
        <w:jc w:val="left"/>
        <w:rPr>
          <w:lang w:val="en-GB"/>
        </w:rPr>
      </w:pPr>
      <w:bookmarkStart w:id="16" w:name="_9d0iyxbyz1wa" w:colFirst="0" w:colLast="0"/>
      <w:bookmarkStart w:id="17" w:name="_Toc161858784"/>
      <w:bookmarkEnd w:id="16"/>
      <w:r w:rsidRPr="009E49FC">
        <w:rPr>
          <w:lang w:val="en-GB"/>
        </w:rPr>
        <w:t>References</w:t>
      </w:r>
      <w:bookmarkEnd w:id="17"/>
      <w:r w:rsidRPr="009E49FC">
        <w:rPr>
          <w:lang w:val="en-GB"/>
        </w:rPr>
        <w:t xml:space="preserve"> </w:t>
      </w:r>
    </w:p>
    <w:p w14:paraId="7A927CF5" w14:textId="77777777" w:rsidR="009E49FC" w:rsidRPr="009E49FC" w:rsidRDefault="009E49FC">
      <w:pPr>
        <w:pStyle w:val="Normal1"/>
        <w:rPr>
          <w:lang w:val="en-GB"/>
        </w:rPr>
      </w:pPr>
      <w:r w:rsidRPr="009E49FC">
        <w:rPr>
          <w:lang w:val="en-GB"/>
        </w:rPr>
        <w:t>BBC, (2023).</w:t>
      </w:r>
      <w:r w:rsidRPr="009E49FC">
        <w:rPr>
          <w:i/>
          <w:lang w:val="en-GB"/>
        </w:rPr>
        <w:t xml:space="preserve"> Spain country profile.</w:t>
      </w:r>
      <w:r w:rsidRPr="009E49FC">
        <w:rPr>
          <w:lang w:val="en-GB"/>
        </w:rPr>
        <w:t xml:space="preserve"> Available at: </w:t>
      </w:r>
      <w:hyperlink r:id="rId11">
        <w:r w:rsidRPr="009E49FC">
          <w:rPr>
            <w:color w:val="1155CC"/>
            <w:u w:val="single"/>
            <w:lang w:val="en-GB"/>
          </w:rPr>
          <w:t>https://www.bbc.com/news/world-europe-17941641</w:t>
        </w:r>
      </w:hyperlink>
      <w:r w:rsidRPr="009E49FC">
        <w:rPr>
          <w:lang w:val="en-GB"/>
        </w:rPr>
        <w:t xml:space="preserve"> </w:t>
      </w:r>
      <w:r w:rsidRPr="009E49FC">
        <w:rPr>
          <w:color w:val="222222"/>
          <w:highlight w:val="white"/>
          <w:lang w:val="en-GB"/>
        </w:rPr>
        <w:t>[Accessed 20 March 2024]</w:t>
      </w:r>
    </w:p>
    <w:p w14:paraId="60D0C3F4" w14:textId="77777777" w:rsidR="009E49FC" w:rsidRPr="009E49FC" w:rsidRDefault="009E49FC">
      <w:pPr>
        <w:pStyle w:val="Normal1"/>
        <w:rPr>
          <w:lang w:val="en-GB"/>
        </w:rPr>
      </w:pPr>
      <w:r w:rsidRPr="009E49FC">
        <w:rPr>
          <w:lang w:val="en-GB"/>
        </w:rPr>
        <w:t>BBC, (2023).</w:t>
      </w:r>
      <w:r w:rsidRPr="009E49FC">
        <w:rPr>
          <w:i/>
          <w:lang w:val="en-GB"/>
        </w:rPr>
        <w:t xml:space="preserve"> Netherlands country profile.</w:t>
      </w:r>
      <w:r w:rsidRPr="009E49FC">
        <w:rPr>
          <w:lang w:val="en-GB"/>
        </w:rPr>
        <w:t xml:space="preserve"> Available at: </w:t>
      </w:r>
      <w:hyperlink r:id="rId12">
        <w:r w:rsidRPr="009E49FC">
          <w:rPr>
            <w:color w:val="1155CC"/>
            <w:u w:val="single"/>
            <w:lang w:val="en-GB"/>
          </w:rPr>
          <w:t>https://www.bbc.com/news/world-europe-17740800</w:t>
        </w:r>
      </w:hyperlink>
      <w:r w:rsidRPr="009E49FC">
        <w:rPr>
          <w:lang w:val="en-GB"/>
        </w:rPr>
        <w:t xml:space="preserve"> </w:t>
      </w:r>
      <w:r w:rsidRPr="009E49FC">
        <w:rPr>
          <w:color w:val="222222"/>
          <w:highlight w:val="white"/>
          <w:lang w:val="en-GB"/>
        </w:rPr>
        <w:t>[Accessed 20 March 2024]</w:t>
      </w:r>
    </w:p>
    <w:p w14:paraId="43FA58B5" w14:textId="77777777" w:rsidR="009E49FC" w:rsidRPr="009E49FC" w:rsidRDefault="009E49FC">
      <w:pPr>
        <w:pStyle w:val="Normal1"/>
        <w:rPr>
          <w:color w:val="222222"/>
          <w:highlight w:val="white"/>
          <w:lang w:val="en-GB"/>
        </w:rPr>
      </w:pPr>
      <w:r w:rsidRPr="009E49FC">
        <w:rPr>
          <w:lang w:val="en-GB"/>
        </w:rPr>
        <w:t xml:space="preserve">Bianchi, T., (2024). </w:t>
      </w:r>
      <w:r w:rsidRPr="009E49FC">
        <w:rPr>
          <w:i/>
          <w:lang w:val="en-GB"/>
        </w:rPr>
        <w:t xml:space="preserve">The annual number of cybercrime occurrences in Spain from 2011 to 2022. </w:t>
      </w:r>
      <w:r w:rsidRPr="009E49FC">
        <w:rPr>
          <w:lang w:val="en-GB"/>
        </w:rPr>
        <w:t xml:space="preserve">Available at: </w:t>
      </w:r>
      <w:hyperlink r:id="rId13" w:anchor=":~:text=In%202022%2C%20the%20number%20of,went%20over%20298%20thousand%20cases">
        <w:r w:rsidRPr="009E49FC">
          <w:rPr>
            <w:color w:val="1155CC"/>
            <w:u w:val="single"/>
            <w:lang w:val="en-GB"/>
          </w:rPr>
          <w:t>https://www.statista.com/statistics/1173320/cybercrime-number-of-victimizations-spain/#:~:text=In%202022%2C%20the%20number%20of,went%20over%20298%20thousand%20cases</w:t>
        </w:r>
      </w:hyperlink>
      <w:r w:rsidRPr="009E49FC">
        <w:rPr>
          <w:color w:val="222222"/>
          <w:highlight w:val="white"/>
          <w:lang w:val="en-GB"/>
        </w:rPr>
        <w:t xml:space="preserve"> [Accessed 20 March 2024]</w:t>
      </w:r>
    </w:p>
    <w:p w14:paraId="7629F543" w14:textId="77777777" w:rsidR="009E49FC" w:rsidRPr="009E49FC" w:rsidRDefault="009E49FC">
      <w:pPr>
        <w:pStyle w:val="Normal1"/>
        <w:rPr>
          <w:lang w:val="en-GB"/>
        </w:rPr>
      </w:pPr>
      <w:r w:rsidRPr="009E49FC">
        <w:rPr>
          <w:lang w:val="en-GB"/>
        </w:rPr>
        <w:t xml:space="preserve">Eures, (2023). </w:t>
      </w:r>
      <w:r w:rsidRPr="009E49FC">
        <w:rPr>
          <w:i/>
          <w:lang w:val="en-GB"/>
        </w:rPr>
        <w:t>Labour market information: Spain.</w:t>
      </w:r>
      <w:r w:rsidRPr="009E49FC">
        <w:rPr>
          <w:lang w:val="en-GB"/>
        </w:rPr>
        <w:t xml:space="preserve"> Available at: </w:t>
      </w:r>
      <w:hyperlink r:id="rId14" w:anchor=":~:text=The%20Labour%20Force%20Survey%20">
        <w:r w:rsidRPr="009E49FC">
          <w:rPr>
            <w:color w:val="1155CC"/>
            <w:u w:val="single"/>
            <w:lang w:val="en-GB"/>
          </w:rPr>
          <w:t>https://eures.europa.eu/living-and-working/labour-market-information/labour-market-information-spain_en#:~:text=The%20Labour%20Force%20Survey%20</w:t>
        </w:r>
      </w:hyperlink>
      <w:r w:rsidRPr="009E49FC">
        <w:rPr>
          <w:lang w:val="en-GB"/>
        </w:rPr>
        <w:t xml:space="preserve">(LFS,rate%20of%207.79%25%20for%20men </w:t>
      </w:r>
      <w:r w:rsidRPr="009E49FC">
        <w:rPr>
          <w:color w:val="222222"/>
          <w:highlight w:val="white"/>
          <w:lang w:val="en-GB"/>
        </w:rPr>
        <w:t>[Accessed 20 March 2024]</w:t>
      </w:r>
    </w:p>
    <w:p w14:paraId="42B2FF8E" w14:textId="77777777" w:rsidR="009E49FC" w:rsidRPr="009E49FC" w:rsidRDefault="009E49FC">
      <w:pPr>
        <w:pStyle w:val="Normal1"/>
        <w:rPr>
          <w:color w:val="222222"/>
          <w:highlight w:val="white"/>
          <w:lang w:val="en-GB"/>
        </w:rPr>
      </w:pPr>
      <w:r w:rsidRPr="009E49FC">
        <w:rPr>
          <w:color w:val="222222"/>
          <w:highlight w:val="white"/>
          <w:lang w:val="en-GB"/>
        </w:rPr>
        <w:t xml:space="preserve">Gašpar, M., Podrug, N. and Aleksić, A., (2023). The significance of cross-cultural barriers in organizational communication. </w:t>
      </w:r>
      <w:r w:rsidRPr="009E49FC">
        <w:rPr>
          <w:i/>
          <w:color w:val="222222"/>
          <w:highlight w:val="white"/>
          <w:lang w:val="en-GB"/>
        </w:rPr>
        <w:t>Zbornik Veleučilišta u Rijeci</w:t>
      </w:r>
      <w:r w:rsidRPr="009E49FC">
        <w:rPr>
          <w:color w:val="222222"/>
          <w:highlight w:val="white"/>
          <w:lang w:val="en-GB"/>
        </w:rPr>
        <w:t xml:space="preserve">, </w:t>
      </w:r>
      <w:r w:rsidRPr="009E49FC">
        <w:rPr>
          <w:i/>
          <w:color w:val="222222"/>
          <w:highlight w:val="white"/>
          <w:lang w:val="en-GB"/>
        </w:rPr>
        <w:t>11</w:t>
      </w:r>
      <w:r w:rsidRPr="009E49FC">
        <w:rPr>
          <w:color w:val="222222"/>
          <w:highlight w:val="white"/>
          <w:lang w:val="en-GB"/>
        </w:rPr>
        <w:t>(1), pp.235-246.</w:t>
      </w:r>
    </w:p>
    <w:p w14:paraId="6802B9EF" w14:textId="77777777" w:rsidR="009E49FC" w:rsidRPr="009E49FC" w:rsidRDefault="009E49FC">
      <w:pPr>
        <w:pStyle w:val="Normal1"/>
        <w:rPr>
          <w:color w:val="222222"/>
          <w:highlight w:val="white"/>
          <w:lang w:val="en-GB"/>
        </w:rPr>
      </w:pPr>
      <w:r w:rsidRPr="009E49FC">
        <w:rPr>
          <w:color w:val="222222"/>
          <w:highlight w:val="white"/>
          <w:lang w:val="en-GB"/>
        </w:rPr>
        <w:t xml:space="preserve">Marsen, S., (2020). Navigating crisis: The role of communication in organizational crisis. </w:t>
      </w:r>
      <w:r w:rsidRPr="009E49FC">
        <w:rPr>
          <w:i/>
          <w:color w:val="222222"/>
          <w:highlight w:val="white"/>
          <w:lang w:val="en-GB"/>
        </w:rPr>
        <w:t>International Journal of Business Communication</w:t>
      </w:r>
      <w:r w:rsidRPr="009E49FC">
        <w:rPr>
          <w:color w:val="222222"/>
          <w:highlight w:val="white"/>
          <w:lang w:val="en-GB"/>
        </w:rPr>
        <w:t xml:space="preserve">, </w:t>
      </w:r>
      <w:r w:rsidRPr="009E49FC">
        <w:rPr>
          <w:i/>
          <w:color w:val="222222"/>
          <w:highlight w:val="white"/>
          <w:lang w:val="en-GB"/>
        </w:rPr>
        <w:t>57</w:t>
      </w:r>
      <w:r w:rsidRPr="009E49FC">
        <w:rPr>
          <w:color w:val="222222"/>
          <w:highlight w:val="white"/>
          <w:lang w:val="en-GB"/>
        </w:rPr>
        <w:t>(2), pp.163-175.</w:t>
      </w:r>
    </w:p>
    <w:p w14:paraId="4BA3ED60" w14:textId="77777777" w:rsidR="009E49FC" w:rsidRPr="009E49FC" w:rsidRDefault="009E49FC">
      <w:pPr>
        <w:pStyle w:val="Normal1"/>
        <w:rPr>
          <w:color w:val="222222"/>
          <w:highlight w:val="white"/>
          <w:lang w:val="en-GB"/>
        </w:rPr>
      </w:pPr>
      <w:r w:rsidRPr="009E49FC">
        <w:rPr>
          <w:color w:val="222222"/>
          <w:highlight w:val="white"/>
          <w:lang w:val="en-GB"/>
        </w:rPr>
        <w:t xml:space="preserve">Musheke, M.M. and Phiri, J., (2021). The effects of effective communication on organizational performance based on the systems theory. </w:t>
      </w:r>
      <w:r w:rsidRPr="009E49FC">
        <w:rPr>
          <w:i/>
          <w:color w:val="222222"/>
          <w:highlight w:val="white"/>
          <w:lang w:val="en-GB"/>
        </w:rPr>
        <w:t>Open Journal of Business and Management</w:t>
      </w:r>
      <w:r w:rsidRPr="009E49FC">
        <w:rPr>
          <w:color w:val="222222"/>
          <w:highlight w:val="white"/>
          <w:lang w:val="en-GB"/>
        </w:rPr>
        <w:t xml:space="preserve">, </w:t>
      </w:r>
      <w:r w:rsidRPr="009E49FC">
        <w:rPr>
          <w:i/>
          <w:color w:val="222222"/>
          <w:highlight w:val="white"/>
          <w:lang w:val="en-GB"/>
        </w:rPr>
        <w:t>9</w:t>
      </w:r>
      <w:r w:rsidRPr="009E49FC">
        <w:rPr>
          <w:color w:val="222222"/>
          <w:highlight w:val="white"/>
          <w:lang w:val="en-GB"/>
        </w:rPr>
        <w:t>(2), pp.659-671.</w:t>
      </w:r>
    </w:p>
    <w:p w14:paraId="6AD656C3" w14:textId="77777777" w:rsidR="009E49FC" w:rsidRPr="009E49FC" w:rsidRDefault="009E49FC">
      <w:pPr>
        <w:pStyle w:val="Normal1"/>
        <w:rPr>
          <w:lang w:val="en-GB"/>
        </w:rPr>
      </w:pPr>
      <w:r w:rsidRPr="009E49FC">
        <w:rPr>
          <w:lang w:val="en-GB"/>
        </w:rPr>
        <w:t xml:space="preserve">O’Neill, A., (2024). </w:t>
      </w:r>
      <w:r w:rsidRPr="009E49FC">
        <w:rPr>
          <w:i/>
          <w:lang w:val="en-GB"/>
        </w:rPr>
        <w:t xml:space="preserve">Netherlands: Population growth from 2012 to 2022. </w:t>
      </w:r>
      <w:r w:rsidRPr="009E49FC">
        <w:rPr>
          <w:lang w:val="en-GB"/>
        </w:rPr>
        <w:t xml:space="preserve">Available at: </w:t>
      </w:r>
      <w:hyperlink r:id="rId15">
        <w:r w:rsidRPr="009E49FC">
          <w:rPr>
            <w:color w:val="1155CC"/>
            <w:u w:val="single"/>
            <w:lang w:val="en-GB"/>
          </w:rPr>
          <w:t>https://www.statista.com/statistics/276707/population-growth-in-the-netherlands/</w:t>
        </w:r>
      </w:hyperlink>
      <w:r w:rsidRPr="009E49FC">
        <w:rPr>
          <w:lang w:val="en-GB"/>
        </w:rPr>
        <w:t xml:space="preserve"> </w:t>
      </w:r>
      <w:r w:rsidRPr="009E49FC">
        <w:rPr>
          <w:color w:val="222222"/>
          <w:highlight w:val="white"/>
          <w:lang w:val="en-GB"/>
        </w:rPr>
        <w:t>[Accessed 20 March 2024]</w:t>
      </w:r>
    </w:p>
    <w:p w14:paraId="3BCB5D58" w14:textId="77777777" w:rsidR="009E49FC" w:rsidRPr="009E49FC" w:rsidRDefault="009E49FC">
      <w:pPr>
        <w:pStyle w:val="Normal1"/>
        <w:rPr>
          <w:lang w:val="en-GB"/>
        </w:rPr>
      </w:pPr>
      <w:r w:rsidRPr="009E49FC">
        <w:rPr>
          <w:lang w:val="en-GB"/>
        </w:rPr>
        <w:t xml:space="preserve">PwC, (2024). </w:t>
      </w:r>
      <w:r w:rsidRPr="009E49FC">
        <w:rPr>
          <w:i/>
          <w:lang w:val="en-GB"/>
        </w:rPr>
        <w:t xml:space="preserve">Corporate - Taxes on corporate income. </w:t>
      </w:r>
      <w:r w:rsidRPr="009E49FC">
        <w:rPr>
          <w:lang w:val="en-GB"/>
        </w:rPr>
        <w:t>Available at:</w:t>
      </w:r>
      <w:r w:rsidRPr="009E49FC">
        <w:rPr>
          <w:i/>
          <w:lang w:val="en-GB"/>
        </w:rPr>
        <w:t xml:space="preserve"> </w:t>
      </w:r>
      <w:hyperlink r:id="rId16" w:anchor=":~:text=The%20standard%20CIT%20rate%20is,excess%20of%20the%20taxable%20income">
        <w:r w:rsidRPr="009E49FC">
          <w:rPr>
            <w:color w:val="1155CC"/>
            <w:u w:val="single"/>
            <w:lang w:val="en-GB"/>
          </w:rPr>
          <w:t>https://taxsummaries.pwc.com/netherlands/corporate/taxes-on-corporate-income#:~:text=The%20standard%20CIT%20rate%20is,excess%20of%20the%20taxable%20income</w:t>
        </w:r>
      </w:hyperlink>
      <w:r w:rsidRPr="009E49FC">
        <w:rPr>
          <w:lang w:val="en-GB"/>
        </w:rPr>
        <w:t xml:space="preserve"> </w:t>
      </w:r>
      <w:r w:rsidRPr="009E49FC">
        <w:rPr>
          <w:color w:val="222222"/>
          <w:highlight w:val="white"/>
          <w:lang w:val="en-GB"/>
        </w:rPr>
        <w:t>[Accessed 20 March 2024]</w:t>
      </w:r>
    </w:p>
    <w:p w14:paraId="03C8BF08" w14:textId="77777777" w:rsidR="009E49FC" w:rsidRPr="009E49FC" w:rsidRDefault="009E49FC">
      <w:pPr>
        <w:pStyle w:val="Normal1"/>
        <w:rPr>
          <w:color w:val="222222"/>
          <w:highlight w:val="white"/>
          <w:lang w:val="en-GB"/>
        </w:rPr>
      </w:pPr>
      <w:r w:rsidRPr="009E49FC">
        <w:rPr>
          <w:color w:val="222222"/>
          <w:highlight w:val="white"/>
          <w:lang w:val="en-GB"/>
        </w:rPr>
        <w:t xml:space="preserve">Rodríguez-Rivero, R., Ortiz-Marcos, I., Ballesteros-Sánchez, L. and Martínez-Beneitez, X., (2020). Identifying risks for better project management between two different cultures: The Chinese and the Spanish. </w:t>
      </w:r>
      <w:r w:rsidRPr="009E49FC">
        <w:rPr>
          <w:i/>
          <w:color w:val="222222"/>
          <w:highlight w:val="white"/>
          <w:lang w:val="en-GB"/>
        </w:rPr>
        <w:t>Sustainability</w:t>
      </w:r>
      <w:r w:rsidRPr="009E49FC">
        <w:rPr>
          <w:color w:val="222222"/>
          <w:highlight w:val="white"/>
          <w:lang w:val="en-GB"/>
        </w:rPr>
        <w:t xml:space="preserve">, </w:t>
      </w:r>
      <w:r w:rsidRPr="009E49FC">
        <w:rPr>
          <w:i/>
          <w:color w:val="222222"/>
          <w:highlight w:val="white"/>
          <w:lang w:val="en-GB"/>
        </w:rPr>
        <w:t>12</w:t>
      </w:r>
      <w:r w:rsidRPr="009E49FC">
        <w:rPr>
          <w:color w:val="222222"/>
          <w:highlight w:val="white"/>
          <w:lang w:val="en-GB"/>
        </w:rPr>
        <w:t>(18), p.7588.</w:t>
      </w:r>
    </w:p>
    <w:p w14:paraId="47554303" w14:textId="77777777" w:rsidR="009E49FC" w:rsidRPr="009E49FC" w:rsidRDefault="009E49FC">
      <w:pPr>
        <w:pStyle w:val="Normal1"/>
        <w:rPr>
          <w:lang w:val="en-GB"/>
        </w:rPr>
      </w:pPr>
      <w:r w:rsidRPr="009E49FC">
        <w:rPr>
          <w:lang w:val="en-GB"/>
        </w:rPr>
        <w:t xml:space="preserve">Ruffino, G., (2024). </w:t>
      </w:r>
      <w:r w:rsidRPr="009E49FC">
        <w:rPr>
          <w:i/>
          <w:lang w:val="en-GB"/>
        </w:rPr>
        <w:t xml:space="preserve">Employment surge as Spain sees 780,000 new jobs created in the past year. </w:t>
      </w:r>
      <w:r w:rsidRPr="009E49FC">
        <w:rPr>
          <w:lang w:val="en-GB"/>
        </w:rPr>
        <w:t xml:space="preserve">Available at: </w:t>
      </w:r>
      <w:hyperlink r:id="rId17" w:anchor=":~:text=The%20latest%20economic%20data%20from,National%20Statistics%20Institute%20(INE)">
        <w:r w:rsidRPr="009E49FC">
          <w:rPr>
            <w:color w:val="1155CC"/>
            <w:u w:val="single"/>
            <w:lang w:val="en-GB"/>
          </w:rPr>
          <w:t>https://www.euronews.com/business/2024/01/26/employment-surge-as-spain-sees-780000-new-jobs-created-in-past-year#:~:text=The%20latest%20economic%20data%20from,National%20Statistics%20Institute%20(INE)</w:t>
        </w:r>
      </w:hyperlink>
      <w:r w:rsidRPr="009E49FC">
        <w:rPr>
          <w:lang w:val="en-GB"/>
        </w:rPr>
        <w:t xml:space="preserve"> </w:t>
      </w:r>
      <w:r w:rsidRPr="009E49FC">
        <w:rPr>
          <w:color w:val="222222"/>
          <w:highlight w:val="white"/>
          <w:lang w:val="en-GB"/>
        </w:rPr>
        <w:t>[Accessed 20 March 2024]</w:t>
      </w:r>
    </w:p>
    <w:p w14:paraId="2CF8B145" w14:textId="77777777" w:rsidR="009E49FC" w:rsidRPr="009E49FC" w:rsidRDefault="009E49FC">
      <w:pPr>
        <w:pStyle w:val="Normal1"/>
        <w:rPr>
          <w:color w:val="222222"/>
          <w:highlight w:val="white"/>
          <w:lang w:val="en-GB"/>
        </w:rPr>
      </w:pPr>
      <w:r w:rsidRPr="009E49FC">
        <w:rPr>
          <w:color w:val="222222"/>
          <w:highlight w:val="white"/>
          <w:lang w:val="en-GB"/>
        </w:rPr>
        <w:t>Sainsbury’s Plc, (2023).</w:t>
      </w:r>
      <w:r w:rsidRPr="009E49FC">
        <w:rPr>
          <w:i/>
          <w:color w:val="222222"/>
          <w:highlight w:val="white"/>
          <w:lang w:val="en-GB"/>
        </w:rPr>
        <w:t xml:space="preserve"> Annual Report and Financial Statements 2023. </w:t>
      </w:r>
      <w:r w:rsidRPr="009E49FC">
        <w:rPr>
          <w:color w:val="222222"/>
          <w:highlight w:val="white"/>
          <w:lang w:val="en-GB"/>
        </w:rPr>
        <w:t xml:space="preserve">Available at: </w:t>
      </w:r>
      <w:hyperlink r:id="rId18">
        <w:r w:rsidRPr="009E49FC">
          <w:rPr>
            <w:color w:val="1155CC"/>
            <w:highlight w:val="white"/>
            <w:u w:val="single"/>
            <w:lang w:val="en-GB"/>
          </w:rPr>
          <w:t>https://www.about.sainsburys.co.uk/~/media/Files/S/Sainsburys/documents/reports-and-presentations/2023/annual-report-2023/annual-report-and-financial-statements-2023.pdf</w:t>
        </w:r>
      </w:hyperlink>
      <w:r w:rsidRPr="009E49FC">
        <w:rPr>
          <w:color w:val="222222"/>
          <w:highlight w:val="white"/>
          <w:lang w:val="en-GB"/>
        </w:rPr>
        <w:t xml:space="preserve"> [Accessed 20 March 2024]</w:t>
      </w:r>
    </w:p>
    <w:p w14:paraId="5BB55C1D" w14:textId="77777777" w:rsidR="009E49FC" w:rsidRPr="009E49FC" w:rsidRDefault="009E49FC">
      <w:pPr>
        <w:pStyle w:val="Normal1"/>
        <w:rPr>
          <w:color w:val="222222"/>
          <w:highlight w:val="white"/>
          <w:lang w:val="en-GB"/>
        </w:rPr>
      </w:pPr>
      <w:r w:rsidRPr="009E49FC">
        <w:rPr>
          <w:color w:val="222222"/>
          <w:highlight w:val="white"/>
          <w:lang w:val="en-GB"/>
        </w:rPr>
        <w:t xml:space="preserve">Simms, C., Trott, P., van den Hende, E. and Hultink, E.J., (2020). Barriers to the adoption of waste-reducing eco-innovations in the packaged food sector: A study in the UK and the Netherlands. </w:t>
      </w:r>
      <w:r w:rsidRPr="009E49FC">
        <w:rPr>
          <w:i/>
          <w:color w:val="222222"/>
          <w:highlight w:val="white"/>
          <w:lang w:val="en-GB"/>
        </w:rPr>
        <w:t>Journal of cleaner production</w:t>
      </w:r>
      <w:r w:rsidRPr="009E49FC">
        <w:rPr>
          <w:color w:val="222222"/>
          <w:highlight w:val="white"/>
          <w:lang w:val="en-GB"/>
        </w:rPr>
        <w:t xml:space="preserve">, </w:t>
      </w:r>
      <w:r w:rsidRPr="009E49FC">
        <w:rPr>
          <w:i/>
          <w:color w:val="222222"/>
          <w:highlight w:val="white"/>
          <w:lang w:val="en-GB"/>
        </w:rPr>
        <w:t>244</w:t>
      </w:r>
      <w:r w:rsidRPr="009E49FC">
        <w:rPr>
          <w:color w:val="222222"/>
          <w:highlight w:val="white"/>
          <w:lang w:val="en-GB"/>
        </w:rPr>
        <w:t>, p.118792.</w:t>
      </w:r>
    </w:p>
    <w:p w14:paraId="579B9947" w14:textId="77777777" w:rsidR="009E49FC" w:rsidRPr="009E49FC" w:rsidRDefault="009E49FC">
      <w:pPr>
        <w:pStyle w:val="Normal1"/>
        <w:rPr>
          <w:lang w:val="en-GB"/>
        </w:rPr>
      </w:pPr>
      <w:r w:rsidRPr="009E49FC">
        <w:rPr>
          <w:lang w:val="en-GB"/>
        </w:rPr>
        <w:t>Statista, (2024).</w:t>
      </w:r>
      <w:r w:rsidRPr="009E49FC">
        <w:rPr>
          <w:i/>
          <w:lang w:val="en-GB"/>
        </w:rPr>
        <w:t xml:space="preserve"> Unemployment rate in Spain from 1st quarter 2005 to 4th quarter 2023. </w:t>
      </w:r>
      <w:r w:rsidRPr="009E49FC">
        <w:rPr>
          <w:lang w:val="en-GB"/>
        </w:rPr>
        <w:t xml:space="preserve">Available at: </w:t>
      </w:r>
      <w:hyperlink r:id="rId19">
        <w:r w:rsidRPr="009E49FC">
          <w:rPr>
            <w:color w:val="1155CC"/>
            <w:u w:val="single"/>
            <w:lang w:val="en-GB"/>
          </w:rPr>
          <w:t>https://www.statista.com/statistics/453410/unemployment-rate-in-spain/</w:t>
        </w:r>
      </w:hyperlink>
      <w:r w:rsidRPr="009E49FC">
        <w:rPr>
          <w:lang w:val="en-GB"/>
        </w:rPr>
        <w:t xml:space="preserve"> </w:t>
      </w:r>
      <w:r w:rsidRPr="009E49FC">
        <w:rPr>
          <w:color w:val="222222"/>
          <w:highlight w:val="white"/>
          <w:lang w:val="en-GB"/>
        </w:rPr>
        <w:t>[Accessed 20 March 2024]</w:t>
      </w:r>
    </w:p>
    <w:p w14:paraId="07542358" w14:textId="77777777" w:rsidR="009E49FC" w:rsidRPr="009E49FC" w:rsidRDefault="009E49FC">
      <w:pPr>
        <w:pStyle w:val="Normal1"/>
        <w:rPr>
          <w:color w:val="222222"/>
          <w:highlight w:val="white"/>
          <w:lang w:val="en-GB"/>
        </w:rPr>
      </w:pPr>
      <w:r w:rsidRPr="009E49FC">
        <w:rPr>
          <w:lang w:val="en-GB"/>
        </w:rPr>
        <w:t xml:space="preserve">The Economic Research Portal, (2024). </w:t>
      </w:r>
      <w:r w:rsidRPr="009E49FC">
        <w:rPr>
          <w:i/>
          <w:lang w:val="en-GB"/>
        </w:rPr>
        <w:t>NETHERLANDS: MIXED OUTLOOK IN 2024 BUT BETTER THAN 2023?</w:t>
      </w:r>
      <w:r w:rsidRPr="009E49FC">
        <w:rPr>
          <w:lang w:val="en-GB"/>
        </w:rPr>
        <w:t xml:space="preserve"> Available at: </w:t>
      </w:r>
      <w:hyperlink r:id="rId20" w:anchor=":~:text=The%20labour%20market%20also%20remains,the%20prospects%20of%20rate%20cuts">
        <w:r w:rsidRPr="009E49FC">
          <w:rPr>
            <w:color w:val="1155CC"/>
            <w:u w:val="single"/>
            <w:lang w:val="en-GB"/>
          </w:rPr>
          <w:t>https://economic-research.bnpparibas.com/html/en-US/Netherlands-Mixed-outlook-2024-better-than-2023-2/1/2024,49294#:~:text=The%20labour%20market%20also%20remains,the%20prospects%20of%20rate%20cuts</w:t>
        </w:r>
      </w:hyperlink>
      <w:r w:rsidRPr="009E49FC">
        <w:rPr>
          <w:lang w:val="en-GB"/>
        </w:rPr>
        <w:t xml:space="preserve"> </w:t>
      </w:r>
      <w:r w:rsidRPr="009E49FC">
        <w:rPr>
          <w:color w:val="222222"/>
          <w:highlight w:val="white"/>
          <w:lang w:val="en-GB"/>
        </w:rPr>
        <w:t>[Accessed 20 March 2024]</w:t>
      </w:r>
    </w:p>
    <w:p w14:paraId="41DCA5AF" w14:textId="77777777" w:rsidR="009E49FC" w:rsidRPr="009E49FC" w:rsidRDefault="009E49FC">
      <w:pPr>
        <w:pStyle w:val="Normal1"/>
        <w:rPr>
          <w:color w:val="222222"/>
          <w:highlight w:val="white"/>
          <w:lang w:val="en-GB"/>
        </w:rPr>
      </w:pPr>
      <w:r w:rsidRPr="009E49FC">
        <w:rPr>
          <w:color w:val="222222"/>
          <w:highlight w:val="white"/>
          <w:lang w:val="en-GB"/>
        </w:rPr>
        <w:t xml:space="preserve">World Benchmarking Alliance, (2024). </w:t>
      </w:r>
      <w:r w:rsidRPr="009E49FC">
        <w:rPr>
          <w:i/>
          <w:color w:val="222222"/>
          <w:highlight w:val="white"/>
          <w:lang w:val="en-GB"/>
        </w:rPr>
        <w:t xml:space="preserve">Sainsbury’s. </w:t>
      </w:r>
      <w:r w:rsidRPr="009E49FC">
        <w:rPr>
          <w:color w:val="222222"/>
          <w:highlight w:val="white"/>
          <w:lang w:val="en-GB"/>
        </w:rPr>
        <w:t xml:space="preserve">Available at: </w:t>
      </w:r>
      <w:hyperlink r:id="rId21" w:anchor=":~:text=As%20one%20of%20the%20largest,to%20stores%20and%20online%20customers">
        <w:r w:rsidRPr="009E49FC">
          <w:rPr>
            <w:color w:val="1155CC"/>
            <w:highlight w:val="white"/>
            <w:u w:val="single"/>
            <w:lang w:val="en-GB"/>
          </w:rPr>
          <w:t>https://www.worldbenchmarkingalliance.org/publication/food-agriculture/companies/sainsburys-2/#:~:text=As%20one%20of%20the%20largest,to%20stores%20and%20online%20customers</w:t>
        </w:r>
      </w:hyperlink>
      <w:r w:rsidRPr="009E49FC">
        <w:rPr>
          <w:color w:val="222222"/>
          <w:highlight w:val="white"/>
          <w:lang w:val="en-GB"/>
        </w:rPr>
        <w:t xml:space="preserve"> [Accessed 20 March 2024]</w:t>
      </w:r>
    </w:p>
    <w:p w14:paraId="48CD05B0" w14:textId="77777777" w:rsidR="009E49FC" w:rsidRPr="009E49FC" w:rsidRDefault="009E49FC">
      <w:pPr>
        <w:pStyle w:val="Normal1"/>
        <w:rPr>
          <w:color w:val="222222"/>
          <w:highlight w:val="white"/>
          <w:lang w:val="en-GB"/>
        </w:rPr>
      </w:pPr>
      <w:r w:rsidRPr="009E49FC">
        <w:rPr>
          <w:lang w:val="en-GB"/>
        </w:rPr>
        <w:t xml:space="preserve">World Business Culture, (2024). </w:t>
      </w:r>
      <w:r w:rsidRPr="009E49FC">
        <w:rPr>
          <w:i/>
          <w:lang w:val="en-GB"/>
        </w:rPr>
        <w:t>British Business Communication Styles.</w:t>
      </w:r>
      <w:r w:rsidRPr="009E49FC">
        <w:rPr>
          <w:lang w:val="en-GB"/>
        </w:rPr>
        <w:t xml:space="preserve"> Available at: </w:t>
      </w:r>
      <w:hyperlink r:id="rId22">
        <w:r w:rsidRPr="009E49FC">
          <w:rPr>
            <w:color w:val="1155CC"/>
            <w:highlight w:val="white"/>
            <w:u w:val="single"/>
            <w:lang w:val="en-GB"/>
          </w:rPr>
          <w:t>https://www.worldbusinessculture.com/country-profiles/great-britain/business-communication-style/</w:t>
        </w:r>
      </w:hyperlink>
      <w:r w:rsidRPr="009E49FC">
        <w:rPr>
          <w:color w:val="222222"/>
          <w:highlight w:val="white"/>
          <w:lang w:val="en-GB"/>
        </w:rPr>
        <w:t xml:space="preserve"> [Accessed 20 March 2024]</w:t>
      </w:r>
    </w:p>
    <w:p w14:paraId="7C6005FA" w14:textId="77777777" w:rsidR="009E49FC" w:rsidRPr="009E49FC" w:rsidRDefault="009E49FC">
      <w:pPr>
        <w:pStyle w:val="Normal1"/>
        <w:rPr>
          <w:lang w:val="en-GB"/>
        </w:rPr>
      </w:pPr>
      <w:r w:rsidRPr="009E49FC">
        <w:rPr>
          <w:lang w:val="en-GB"/>
        </w:rPr>
        <w:t xml:space="preserve">Ychart, (2023). </w:t>
      </w:r>
      <w:r w:rsidRPr="009E49FC">
        <w:rPr>
          <w:i/>
          <w:lang w:val="en-GB"/>
        </w:rPr>
        <w:t>Spain Inflation Rate.</w:t>
      </w:r>
      <w:r w:rsidRPr="009E49FC">
        <w:rPr>
          <w:lang w:val="en-GB"/>
        </w:rPr>
        <w:t xml:space="preserve"> Available at: </w:t>
      </w:r>
      <w:hyperlink r:id="rId23">
        <w:r w:rsidRPr="009E49FC">
          <w:rPr>
            <w:color w:val="1155CC"/>
            <w:u w:val="single"/>
            <w:lang w:val="en-GB"/>
          </w:rPr>
          <w:t>https://ycharts.com/indicators/spain_inflation_rate</w:t>
        </w:r>
      </w:hyperlink>
      <w:r w:rsidRPr="009E49FC">
        <w:rPr>
          <w:lang w:val="en-GB"/>
        </w:rPr>
        <w:t xml:space="preserve"> </w:t>
      </w:r>
      <w:r w:rsidRPr="009E49FC">
        <w:rPr>
          <w:color w:val="222222"/>
          <w:highlight w:val="white"/>
          <w:lang w:val="en-GB"/>
        </w:rPr>
        <w:t>[Accessed 20 March 2024]</w:t>
      </w:r>
    </w:p>
    <w:p w14:paraId="0AD24E3F" w14:textId="77777777" w:rsidR="009E49FC" w:rsidRPr="009E49FC" w:rsidRDefault="009E49FC">
      <w:pPr>
        <w:pStyle w:val="Normal1"/>
        <w:rPr>
          <w:color w:val="222222"/>
          <w:highlight w:val="white"/>
          <w:lang w:val="en-GB"/>
        </w:rPr>
      </w:pPr>
      <w:r w:rsidRPr="009E49FC">
        <w:rPr>
          <w:color w:val="222222"/>
          <w:highlight w:val="white"/>
          <w:lang w:val="en-GB"/>
        </w:rPr>
        <w:t xml:space="preserve">Zhou, Y. and Kwon, J.W., (2020). Overview of Hofstede-inspired research over the past 40 years: The network diversity perspective. </w:t>
      </w:r>
      <w:r w:rsidRPr="009E49FC">
        <w:rPr>
          <w:i/>
          <w:color w:val="222222"/>
          <w:highlight w:val="white"/>
          <w:lang w:val="en-GB"/>
        </w:rPr>
        <w:t>Sage Open</w:t>
      </w:r>
      <w:r w:rsidRPr="009E49FC">
        <w:rPr>
          <w:color w:val="222222"/>
          <w:highlight w:val="white"/>
          <w:lang w:val="en-GB"/>
        </w:rPr>
        <w:t xml:space="preserve">, </w:t>
      </w:r>
      <w:r w:rsidRPr="009E49FC">
        <w:rPr>
          <w:i/>
          <w:color w:val="222222"/>
          <w:highlight w:val="white"/>
          <w:lang w:val="en-GB"/>
        </w:rPr>
        <w:t>10</w:t>
      </w:r>
      <w:r w:rsidRPr="009E49FC">
        <w:rPr>
          <w:color w:val="222222"/>
          <w:highlight w:val="white"/>
          <w:lang w:val="en-GB"/>
        </w:rPr>
        <w:t>(3), p.2158244020947425.</w:t>
      </w:r>
    </w:p>
    <w:p w14:paraId="68777DB6" w14:textId="77777777" w:rsidR="00405E43" w:rsidRPr="009E49FC" w:rsidRDefault="00405E43">
      <w:pPr>
        <w:pStyle w:val="Normal1"/>
        <w:rPr>
          <w:lang w:val="en-GB"/>
        </w:rPr>
      </w:pPr>
    </w:p>
    <w:sectPr w:rsidR="00405E43" w:rsidRPr="009E49FC" w:rsidSect="005241C5">
      <w:headerReference w:type="default" r:id="rId24"/>
      <w:footerReference w:type="default" r:id="rId25"/>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4C870" w14:textId="77777777" w:rsidR="005241C5" w:rsidRDefault="005241C5" w:rsidP="009E49FC">
      <w:pPr>
        <w:spacing w:after="0" w:line="240" w:lineRule="auto"/>
      </w:pPr>
      <w:r>
        <w:separator/>
      </w:r>
    </w:p>
  </w:endnote>
  <w:endnote w:type="continuationSeparator" w:id="0">
    <w:p w14:paraId="24ECEFB2" w14:textId="77777777" w:rsidR="005241C5" w:rsidRDefault="005241C5" w:rsidP="009E4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332335"/>
      <w:docPartObj>
        <w:docPartGallery w:val="Page Numbers (Bottom of Page)"/>
        <w:docPartUnique/>
      </w:docPartObj>
    </w:sdtPr>
    <w:sdtEndPr/>
    <w:sdtContent>
      <w:sdt>
        <w:sdtPr>
          <w:id w:val="-1769616900"/>
          <w:docPartObj>
            <w:docPartGallery w:val="Page Numbers (Top of Page)"/>
            <w:docPartUnique/>
          </w:docPartObj>
        </w:sdtPr>
        <w:sdtEndPr/>
        <w:sdtContent>
          <w:p w14:paraId="45725623" w14:textId="37E1F5C8" w:rsidR="009E49FC" w:rsidRDefault="009E49FC">
            <w:pPr>
              <w:pStyle w:val="Subsol"/>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099A50B" w14:textId="77777777" w:rsidR="009E49FC" w:rsidRDefault="009E49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DF7BA" w14:textId="77777777" w:rsidR="005241C5" w:rsidRDefault="005241C5" w:rsidP="009E49FC">
      <w:pPr>
        <w:spacing w:after="0" w:line="240" w:lineRule="auto"/>
      </w:pPr>
      <w:r>
        <w:separator/>
      </w:r>
    </w:p>
  </w:footnote>
  <w:footnote w:type="continuationSeparator" w:id="0">
    <w:p w14:paraId="78B7B3F0" w14:textId="77777777" w:rsidR="005241C5" w:rsidRDefault="005241C5" w:rsidP="009E4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A6BD3" w14:textId="1B4CECBA" w:rsidR="009E49FC" w:rsidRDefault="009E49FC" w:rsidP="009E49FC">
    <w:pPr>
      <w:jc w:val="right"/>
    </w:pPr>
    <w:r>
      <w:t>LCBB6001- 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E43"/>
    <w:rsid w:val="00146A95"/>
    <w:rsid w:val="00220279"/>
    <w:rsid w:val="002505F1"/>
    <w:rsid w:val="00405E43"/>
    <w:rsid w:val="005241C5"/>
    <w:rsid w:val="00696E56"/>
    <w:rsid w:val="007445B0"/>
    <w:rsid w:val="009E49FC"/>
    <w:rsid w:val="00A6103A"/>
    <w:rsid w:val="00AB01FC"/>
    <w:rsid w:val="00D82241"/>
    <w:rsid w:val="00F205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5BC1D"/>
  <w15:docId w15:val="{EF315BF3-7C10-490C-879E-7CF3034A4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before="480" w:after="160"/>
      <w:outlineLvl w:val="0"/>
    </w:pPr>
    <w:rPr>
      <w:b/>
      <w:sz w:val="28"/>
      <w:szCs w:val="28"/>
    </w:rPr>
  </w:style>
  <w:style w:type="paragraph" w:styleId="Titlu2">
    <w:name w:val="heading 2"/>
    <w:basedOn w:val="Normal1"/>
    <w:next w:val="Normal1"/>
    <w:pPr>
      <w:keepNext/>
      <w:keepLines/>
      <w:spacing w:before="360" w:after="80"/>
      <w:outlineLvl w:val="1"/>
    </w:pPr>
    <w:rPr>
      <w:b/>
      <w:sz w:val="26"/>
      <w:szCs w:val="26"/>
    </w:rPr>
  </w:style>
  <w:style w:type="paragraph" w:styleId="Titlu3">
    <w:name w:val="heading 3"/>
    <w:basedOn w:val="Normal1"/>
    <w:next w:val="Normal1"/>
    <w:pPr>
      <w:keepNext/>
      <w:keepLines/>
      <w:spacing w:before="280" w:after="80"/>
      <w:outlineLvl w:val="2"/>
    </w:pPr>
    <w:rPr>
      <w:i/>
      <w:u w:val="single"/>
    </w:rPr>
  </w:style>
  <w:style w:type="paragraph" w:styleId="Titlu4">
    <w:name w:val="heading 4"/>
    <w:basedOn w:val="Normal1"/>
    <w:next w:val="Normal1"/>
    <w:pPr>
      <w:keepNext/>
      <w:keepLines/>
      <w:spacing w:before="240" w:after="40"/>
      <w:outlineLvl w:val="3"/>
    </w:pPr>
    <w:rPr>
      <w:b/>
    </w:rPr>
  </w:style>
  <w:style w:type="paragraph" w:styleId="Titlu5">
    <w:name w:val="heading 5"/>
    <w:basedOn w:val="Normal1"/>
    <w:next w:val="Normal1"/>
    <w:pPr>
      <w:keepNext/>
      <w:keepLines/>
      <w:spacing w:before="220" w:after="40"/>
      <w:outlineLvl w:val="4"/>
    </w:pPr>
    <w:rPr>
      <w:b/>
      <w:sz w:val="22"/>
      <w:szCs w:val="22"/>
    </w:rPr>
  </w:style>
  <w:style w:type="paragraph" w:styleId="Titlu6">
    <w:name w:val="heading 6"/>
    <w:basedOn w:val="Normal1"/>
    <w:next w:val="Normal1"/>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before="480" w:after="120"/>
    </w:pPr>
    <w:rPr>
      <w:b/>
      <w:sz w:val="72"/>
      <w:szCs w:val="72"/>
    </w:rPr>
  </w:style>
  <w:style w:type="paragraph" w:styleId="Subtitlu">
    <w:name w:val="Subtitle"/>
    <w:basedOn w:val="Normal1"/>
    <w:next w:val="Normal1"/>
    <w:pPr>
      <w:keepNext/>
      <w:keepLines/>
      <w:spacing w:before="360" w:after="80"/>
    </w:pPr>
    <w:rPr>
      <w:rFonts w:ascii="Georgia" w:eastAsia="Georgia" w:hAnsi="Georgia" w:cs="Georgia"/>
      <w:i/>
      <w:color w:val="666666"/>
      <w:sz w:val="48"/>
      <w:szCs w:val="48"/>
    </w:rPr>
  </w:style>
  <w:style w:type="paragraph" w:styleId="Antet">
    <w:name w:val="header"/>
    <w:basedOn w:val="Normal"/>
    <w:link w:val="AntetCaracter"/>
    <w:uiPriority w:val="99"/>
    <w:unhideWhenUsed/>
    <w:rsid w:val="009E49F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E49FC"/>
  </w:style>
  <w:style w:type="paragraph" w:styleId="Subsol">
    <w:name w:val="footer"/>
    <w:basedOn w:val="Normal"/>
    <w:link w:val="SubsolCaracter"/>
    <w:uiPriority w:val="99"/>
    <w:unhideWhenUsed/>
    <w:rsid w:val="009E49F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E49FC"/>
  </w:style>
  <w:style w:type="paragraph" w:styleId="Titlucuprins">
    <w:name w:val="TOC Heading"/>
    <w:basedOn w:val="Titlu1"/>
    <w:next w:val="Normal"/>
    <w:uiPriority w:val="39"/>
    <w:unhideWhenUsed/>
    <w:qFormat/>
    <w:rsid w:val="009E49F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9E49FC"/>
    <w:pPr>
      <w:spacing w:after="100"/>
    </w:pPr>
  </w:style>
  <w:style w:type="paragraph" w:styleId="Cuprins2">
    <w:name w:val="toc 2"/>
    <w:basedOn w:val="Normal"/>
    <w:next w:val="Normal"/>
    <w:autoRedefine/>
    <w:uiPriority w:val="39"/>
    <w:unhideWhenUsed/>
    <w:rsid w:val="009E49FC"/>
    <w:pPr>
      <w:spacing w:after="100"/>
      <w:ind w:left="240"/>
    </w:pPr>
  </w:style>
  <w:style w:type="character" w:styleId="Hyperlink">
    <w:name w:val="Hyperlink"/>
    <w:basedOn w:val="Fontdeparagrafimplicit"/>
    <w:uiPriority w:val="99"/>
    <w:unhideWhenUsed/>
    <w:rsid w:val="009E49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statista.com/statistics/1173320/cybercrime-number-of-victimizations-spain/" TargetMode="External" /><Relationship Id="rId18" Type="http://schemas.openxmlformats.org/officeDocument/2006/relationships/hyperlink" Target="https://www.about.sainsburys.co.uk/~/media/Files/S/Sainsburys/documents/reports-and-presentations/2023/annual-report-2023/annual-report-and-financial-statements-2023.pdf"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worldbenchmarkingalliance.org/publication/food-agriculture/companies/sainsburys-2/" TargetMode="External" /><Relationship Id="rId7" Type="http://schemas.openxmlformats.org/officeDocument/2006/relationships/image" Target="media/image1.png" /><Relationship Id="rId12" Type="http://schemas.openxmlformats.org/officeDocument/2006/relationships/hyperlink" Target="https://www.bbc.com/news/world-europe-17740800" TargetMode="External" /><Relationship Id="rId17" Type="http://schemas.openxmlformats.org/officeDocument/2006/relationships/hyperlink" Target="https://www.euronews.com/business/2024/01/26/employment-surge-as-spain-sees-780000-new-jobs-created-in-past-year"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taxsummaries.pwc.com/netherlands/corporate/taxes-on-corporate-income" TargetMode="External" /><Relationship Id="rId20" Type="http://schemas.openxmlformats.org/officeDocument/2006/relationships/hyperlink" Target="https://economic-research.bnpparibas.com/html/en-US/Netherlands-Mixed-outlook-2024-better-than-2023-2/1/2024,49294"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bbc.com/news/world-europe-17941641" TargetMode="External" /><Relationship Id="rId24"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www.statista.com/statistics/276707/population-growth-in-the-netherlands/" TargetMode="External" /><Relationship Id="rId23" Type="http://schemas.openxmlformats.org/officeDocument/2006/relationships/hyperlink" Target="https://ycharts.com/indicators/spain_inflation_rate" TargetMode="External" /><Relationship Id="rId10" Type="http://schemas.openxmlformats.org/officeDocument/2006/relationships/image" Target="media/image4.png" /><Relationship Id="rId19" Type="http://schemas.openxmlformats.org/officeDocument/2006/relationships/hyperlink" Target="https://www.statista.com/statistics/453410/unemployment-rate-in-spain/"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eures.europa.eu/living-and-working/labour-market-information/labour-market-information-spain_en" TargetMode="External" /><Relationship Id="rId22" Type="http://schemas.openxmlformats.org/officeDocument/2006/relationships/hyperlink" Target="https://www.worldbusinessculture.com/country-profiles/great-britain/business-communication-style/"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1518B-8430-496F-8414-E5348880AA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3675</Words>
  <Characters>21315</Characters>
  <Application>Microsoft Office Word</Application>
  <DocSecurity>0</DocSecurity>
  <Lines>177</Lines>
  <Paragraphs>49</Paragraphs>
  <ScaleCrop>false</ScaleCrop>
  <Company/>
  <LinksUpToDate>false</LinksUpToDate>
  <CharactersWithSpaces>24941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 Hurmuzache</cp:lastModifiedBy>
  <cp:revision>2</cp:revision>
  <dcterms:created xsi:type="dcterms:W3CDTF">2024-04-23T11:45:00Z</dcterms:created>
  <dcterms:modified xsi:type="dcterms:W3CDTF">2024-04-23T11:45:00Z</dcterms:modified>
</cp:coreProperties>
</file>