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4BEB0" w14:textId="448ECE66" w:rsidR="007915CC" w:rsidRDefault="005E69D9" w:rsidP="005E69D9">
      <w:pPr>
        <w:jc w:val="center"/>
        <w:rPr>
          <w:b/>
          <w:bCs/>
        </w:rPr>
      </w:pPr>
      <w:r w:rsidRPr="005E69D9">
        <w:rPr>
          <w:b/>
          <w:bCs/>
        </w:rPr>
        <w:t xml:space="preserve">BMHP6028 – WEEK </w:t>
      </w:r>
      <w:r w:rsidR="00D5014D">
        <w:rPr>
          <w:b/>
          <w:bCs/>
        </w:rPr>
        <w:t>9</w:t>
      </w:r>
    </w:p>
    <w:p w14:paraId="0126F411" w14:textId="77777777" w:rsidR="00A937CD" w:rsidRDefault="00A937CD" w:rsidP="005E69D9">
      <w:pPr>
        <w:jc w:val="center"/>
        <w:rPr>
          <w:b/>
          <w:bCs/>
        </w:rPr>
      </w:pPr>
    </w:p>
    <w:p w14:paraId="530BC79D" w14:textId="77777777" w:rsidR="0085534E" w:rsidRDefault="00A937CD" w:rsidP="0085534E">
      <w:pPr>
        <w:jc w:val="both"/>
      </w:pPr>
      <w:r w:rsidRPr="00A937CD">
        <w:t>Person-centred care focuses on the care needs of an individual. It’s a term used to describe care which is responsive to an individual’s personal circumstances, values, needs and preferences. By adhering to person-centred care principles, staff are empowered to cut through the processes and systems to provide care which is specific to the patient’s individual requirements. </w:t>
      </w:r>
      <w:r w:rsidR="0085534E" w:rsidRPr="0085534E">
        <w:t xml:space="preserve">By focusing </w:t>
      </w:r>
      <w:r w:rsidR="0085534E">
        <w:t xml:space="preserve">on </w:t>
      </w:r>
      <w:r w:rsidR="0085534E" w:rsidRPr="0085534E">
        <w:t xml:space="preserve">the individual, it’s hoped that healthcare organisations, such as the NHS, will put the individual at the heart of their care, improving patient experience, care quality and health outcomes. </w:t>
      </w:r>
    </w:p>
    <w:p w14:paraId="6AC8B80F" w14:textId="2A27C70B" w:rsidR="00A937CD" w:rsidRDefault="0085534E" w:rsidP="0085534E">
      <w:pPr>
        <w:jc w:val="both"/>
      </w:pPr>
      <w:r w:rsidRPr="0085534E">
        <w:t>The aim is to involve patients, service providers, families and carers within the decision-making process so that an effective and positive healthcare experience is achieved. Person-centred care means focusing on caring about a patient’s needs rather than the needs of the service. </w:t>
      </w:r>
    </w:p>
    <w:p w14:paraId="64B91012" w14:textId="77777777" w:rsidR="00481498" w:rsidRDefault="00481498" w:rsidP="00481498">
      <w:pPr>
        <w:jc w:val="both"/>
        <w:rPr>
          <w:b/>
          <w:bCs/>
        </w:rPr>
      </w:pPr>
    </w:p>
    <w:p w14:paraId="217208F2" w14:textId="2AE9C1B5" w:rsidR="00481498" w:rsidRPr="00481498" w:rsidRDefault="00481498" w:rsidP="00481498">
      <w:pPr>
        <w:jc w:val="both"/>
      </w:pPr>
      <w:r w:rsidRPr="00481498">
        <w:rPr>
          <w:b/>
          <w:bCs/>
        </w:rPr>
        <w:t>Leading person-centred practice</w:t>
      </w:r>
    </w:p>
    <w:p w14:paraId="726B0B71" w14:textId="291C008E" w:rsidR="00811979" w:rsidRDefault="002D64A3" w:rsidP="0085534E">
      <w:pPr>
        <w:jc w:val="both"/>
      </w:pPr>
      <w:r>
        <w:t>The terms “person-centred practice”, “person-centred care”, “personalised care”, “personalisation” and “individualised care” consistently feature within government documents regarding the modernisation of both health and social care services. The Health Foundation (2016) states that person-centred care involves putting patients and their families at the hearth of all decisions, where patients are regarded as equal</w:t>
      </w:r>
      <w:r w:rsidR="00572E9F">
        <w:t xml:space="preserve"> partners in planning, developing and assessing care to make sure it is most appropriate for their needs. </w:t>
      </w:r>
    </w:p>
    <w:p w14:paraId="75B0BA74" w14:textId="79A52A9D" w:rsidR="00572E9F" w:rsidRDefault="00572E9F" w:rsidP="0085534E">
      <w:pPr>
        <w:jc w:val="both"/>
      </w:pPr>
      <w:r>
        <w:t>The HEART choice model</w:t>
      </w:r>
      <w:r w:rsidR="00D26141">
        <w:t xml:space="preserve"> includes a number of key concepts that are central to the healthcare </w:t>
      </w:r>
      <w:r w:rsidR="00460B74">
        <w:t xml:space="preserve">practitioner-patient relationship in leading the achievement of person-centred care. </w:t>
      </w:r>
      <w:r w:rsidR="00BE104D">
        <w:t xml:space="preserve">Each of the concepts within the HEART </w:t>
      </w:r>
      <w:r w:rsidR="00F17E1F">
        <w:t>Choice model are:</w:t>
      </w:r>
    </w:p>
    <w:p w14:paraId="2AAACB34" w14:textId="06F7C47A" w:rsidR="00F17E1F" w:rsidRDefault="00F17E1F" w:rsidP="00F17E1F">
      <w:pPr>
        <w:pStyle w:val="ListParagraph"/>
        <w:numPr>
          <w:ilvl w:val="0"/>
          <w:numId w:val="1"/>
        </w:numPr>
        <w:jc w:val="both"/>
      </w:pPr>
      <w:r w:rsidRPr="00787E06">
        <w:rPr>
          <w:b/>
          <w:bCs/>
        </w:rPr>
        <w:t>Holism</w:t>
      </w:r>
      <w:r>
        <w:t>: this concepts</w:t>
      </w:r>
      <w:r w:rsidR="00472C05">
        <w:t xml:space="preserve"> </w:t>
      </w:r>
      <w:r w:rsidR="00787E06">
        <w:t xml:space="preserve">means “the whole person”, both physically and psychologically. Within a holistic approach, physical, social, psychological, spiritual, and cultural issues are recognised as having collective impact on the wellbeing of the individual. </w:t>
      </w:r>
    </w:p>
    <w:p w14:paraId="2DFCE184" w14:textId="10F59C9D" w:rsidR="00787E06" w:rsidRDefault="00787E06" w:rsidP="00F17E1F">
      <w:pPr>
        <w:pStyle w:val="ListParagraph"/>
        <w:numPr>
          <w:ilvl w:val="0"/>
          <w:numId w:val="1"/>
        </w:numPr>
        <w:jc w:val="both"/>
      </w:pPr>
      <w:r>
        <w:rPr>
          <w:b/>
          <w:bCs/>
        </w:rPr>
        <w:t>Empowerment</w:t>
      </w:r>
      <w:r w:rsidRPr="00787E06">
        <w:t>:</w:t>
      </w:r>
      <w:r>
        <w:t xml:space="preserve"> </w:t>
      </w:r>
      <w:r w:rsidR="00E738BB">
        <w:t xml:space="preserve">to empower is to provide power or authority to another person. This term is both widely and liberally used in everyday practice, however, often with lack of regard as to the conceptual complexities involved in truly empowering patients. </w:t>
      </w:r>
    </w:p>
    <w:p w14:paraId="60F1A0DF" w14:textId="7D2FACDD" w:rsidR="00E738BB" w:rsidRDefault="00BD5F60" w:rsidP="00F17E1F">
      <w:pPr>
        <w:pStyle w:val="ListParagraph"/>
        <w:numPr>
          <w:ilvl w:val="0"/>
          <w:numId w:val="1"/>
        </w:numPr>
        <w:jc w:val="both"/>
      </w:pPr>
      <w:r>
        <w:rPr>
          <w:b/>
          <w:bCs/>
        </w:rPr>
        <w:t>Advocacy</w:t>
      </w:r>
      <w:r w:rsidRPr="00BD5F60">
        <w:t>:</w:t>
      </w:r>
      <w:r>
        <w:t xml:space="preserve"> an advocate is someone who acts on behalf of another person. The advocate needs to understand the values, beliefs, and perspective of the person whom they are representing. </w:t>
      </w:r>
      <w:r w:rsidR="00417F33">
        <w:t>Conflicting roles and responsibilities of health and social care practitioners needs to be acknowledged; for example, those</w:t>
      </w:r>
      <w:r w:rsidR="00716185">
        <w:t xml:space="preserve"> relating </w:t>
      </w:r>
      <w:r w:rsidR="00716185">
        <w:lastRenderedPageBreak/>
        <w:t>to their role of professionals versus their role as an employee of the health and social care organisation. It must also be acknowledged that</w:t>
      </w:r>
      <w:r w:rsidR="0037710D">
        <w:t xml:space="preserve">, within the practitioner-patient relationship, the level of advocacy required will vary from patient to patient and will be dependent upon a number of factors such as mental capacity and the preference of the individual patient. </w:t>
      </w:r>
    </w:p>
    <w:p w14:paraId="2248CFF9" w14:textId="4D6D9FA2" w:rsidR="0037710D" w:rsidRDefault="00DA6A83" w:rsidP="00F17E1F">
      <w:pPr>
        <w:pStyle w:val="ListParagraph"/>
        <w:numPr>
          <w:ilvl w:val="0"/>
          <w:numId w:val="1"/>
        </w:numPr>
        <w:jc w:val="both"/>
      </w:pPr>
      <w:r>
        <w:rPr>
          <w:b/>
          <w:bCs/>
        </w:rPr>
        <w:t>Respect</w:t>
      </w:r>
      <w:r w:rsidRPr="00DA6A83">
        <w:t>:</w:t>
      </w:r>
      <w:r>
        <w:t xml:space="preserve"> to respect is to have positive regard for another person. Mutual respect and positive regard should ideally be evident on both sides of the practitioner-patient relationship.</w:t>
      </w:r>
    </w:p>
    <w:p w14:paraId="5659FDA4" w14:textId="3403609F" w:rsidR="00DA6A83" w:rsidRDefault="00020E78" w:rsidP="00F17E1F">
      <w:pPr>
        <w:pStyle w:val="ListParagraph"/>
        <w:numPr>
          <w:ilvl w:val="0"/>
          <w:numId w:val="1"/>
        </w:numPr>
        <w:jc w:val="both"/>
      </w:pPr>
      <w:r>
        <w:rPr>
          <w:b/>
          <w:bCs/>
        </w:rPr>
        <w:t>Trust</w:t>
      </w:r>
      <w:r w:rsidRPr="00020E78">
        <w:t>:</w:t>
      </w:r>
      <w:r>
        <w:t xml:space="preserve"> this relates to the reliability of another person and having confidence in them. Within the practitioner-</w:t>
      </w:r>
      <w:r w:rsidR="001B2D03">
        <w:t xml:space="preserve">patient relationship, the patient must be assured that the practitioner will address their best interests. </w:t>
      </w:r>
    </w:p>
    <w:p w14:paraId="5E493781" w14:textId="57153E7A" w:rsidR="001B2D03" w:rsidRDefault="001B2D03" w:rsidP="00F17E1F">
      <w:pPr>
        <w:pStyle w:val="ListParagraph"/>
        <w:numPr>
          <w:ilvl w:val="0"/>
          <w:numId w:val="1"/>
        </w:numPr>
        <w:jc w:val="both"/>
      </w:pPr>
      <w:r>
        <w:rPr>
          <w:b/>
          <w:bCs/>
        </w:rPr>
        <w:t>Choice</w:t>
      </w:r>
      <w:r w:rsidRPr="001B2D03">
        <w:t>:</w:t>
      </w:r>
      <w:r>
        <w:t xml:space="preserve"> this means having the opportunity to select a preference from a range of alternatives.</w:t>
      </w:r>
      <w:r w:rsidR="00777648">
        <w:t xml:space="preserve"> At a more “micro” level within the practitioner-patient relationship, the practitioner must strive</w:t>
      </w:r>
      <w:r w:rsidR="006F2D24">
        <w:t xml:space="preserve"> to identify everyday choices that they can provide their patients with in relation to their care/therapy. </w:t>
      </w:r>
    </w:p>
    <w:p w14:paraId="5F69387C" w14:textId="77777777" w:rsidR="006E6B5A" w:rsidRDefault="006E6B5A" w:rsidP="0085534E">
      <w:pPr>
        <w:jc w:val="both"/>
      </w:pPr>
    </w:p>
    <w:p w14:paraId="261BBDCA" w14:textId="140D5B03" w:rsidR="00811979" w:rsidRPr="00811979" w:rsidRDefault="00811979" w:rsidP="0085534E">
      <w:pPr>
        <w:jc w:val="both"/>
        <w:rPr>
          <w:b/>
          <w:bCs/>
        </w:rPr>
      </w:pPr>
      <w:r w:rsidRPr="00811979">
        <w:rPr>
          <w:b/>
          <w:bCs/>
        </w:rPr>
        <w:t>Why providing person-centred care is so important?</w:t>
      </w:r>
    </w:p>
    <w:p w14:paraId="7D9E4D48" w14:textId="2C942001" w:rsidR="00811979" w:rsidRPr="00811979" w:rsidRDefault="00811979" w:rsidP="00DB2461">
      <w:pPr>
        <w:jc w:val="both"/>
      </w:pPr>
      <w:r w:rsidRPr="00811979">
        <w:t>Involving people in the planning of their own care is recognised as a key component in developing high-quality healthcare provision. Over the past decade, a considerable amount of work has been carried out to make health and social services more person-centred.  By putting people at the heart of their care the quality of the support they receive is improved, as people have access to services when they know they need it. As a result, people are more willing and active in taking care of themselves, so pressure on the system as a whole is reduced.  </w:t>
      </w:r>
    </w:p>
    <w:p w14:paraId="3D07C5D5" w14:textId="77777777" w:rsidR="00811979" w:rsidRPr="00251E30" w:rsidRDefault="00811979" w:rsidP="00811979">
      <w:pPr>
        <w:jc w:val="both"/>
        <w:rPr>
          <w:color w:val="000000" w:themeColor="text1"/>
        </w:rPr>
      </w:pPr>
      <w:r w:rsidRPr="00811979">
        <w:t>Within the UK there is a rising demand for healthcare services, as people begin to live longer with a variety of health conditions as they start to age. It’s been found that person-centred care can improve an individual’s health, so the overall strain on health services is reduced.</w:t>
      </w:r>
    </w:p>
    <w:p w14:paraId="016B3AEB" w14:textId="77777777" w:rsidR="00251E30" w:rsidRPr="00251E30" w:rsidRDefault="00251E30" w:rsidP="00251E30">
      <w:pPr>
        <w:jc w:val="both"/>
      </w:pPr>
      <w:r w:rsidRPr="00251E30">
        <w:rPr>
          <w:color w:val="000000" w:themeColor="text1"/>
        </w:rPr>
        <w:t>The </w:t>
      </w:r>
      <w:hyperlink r:id="rId5" w:anchor=":~:text=Health%20and%20Social%20Care%20Act,is%20personalised%20specifically%20for%20them." w:history="1">
        <w:r w:rsidRPr="00251E30">
          <w:rPr>
            <w:rStyle w:val="Hyperlink"/>
            <w:b/>
            <w:bCs/>
            <w:color w:val="000000" w:themeColor="text1"/>
            <w:u w:val="none"/>
          </w:rPr>
          <w:t>Health and Social Care Act 2008 (Regulated Activities) Regulations 2014</w:t>
        </w:r>
      </w:hyperlink>
      <w:r w:rsidRPr="00251E30">
        <w:t> states that “The intention of this regulation is to make sure that people using a service have care or treatment that is personalised specifically for them” and sets out guidance on what providers need to do in order to facilitate a person-centred approach.   </w:t>
      </w:r>
    </w:p>
    <w:p w14:paraId="24C9E8B7" w14:textId="7A6BEA9A" w:rsidR="00251E30" w:rsidRDefault="00251E30" w:rsidP="00DB2461">
      <w:pPr>
        <w:jc w:val="both"/>
      </w:pPr>
      <w:r w:rsidRPr="00251E30">
        <w:t xml:space="preserve">Through person-centred care patients gain from a collaborative approach to their own healthcare, as their own opinions are important and valued. The healthcare practitioner will consider their patient’s opinion and their own knowledge to deliver healthcare which the patient is happy with. However, it’s important to remember that not all people will tell the healthcare practitioner what they feel. They may feel awkward or even live with a condition which makes communication difficult, such as dementia or a learning difficulty. </w:t>
      </w:r>
      <w:r w:rsidRPr="00251E30">
        <w:lastRenderedPageBreak/>
        <w:t>Through the use of appropriate communication techniques, it should still be possible to encourage a person to participate in the planning of their own healthcare and the decisions involved. This can be achieved through information provided in an appropriate form and regular consultations, where they are able to discuss the development of a treatment plan. </w:t>
      </w:r>
    </w:p>
    <w:p w14:paraId="39F21D94" w14:textId="32DD2A9F" w:rsidR="001D15FF" w:rsidRPr="001D15FF" w:rsidRDefault="001D15FF" w:rsidP="001D15FF">
      <w:pPr>
        <w:jc w:val="both"/>
      </w:pPr>
      <w:r w:rsidRPr="001D15FF">
        <w:t>Within all healthcare professions, a person’s health is the most important factor, but through person-centred care, their safety and comfort are also considered. To guarantee people are comfortable, the healthcare provider needs to be considerate at every stage of the pathway causing discomfort, for example, being hungry, thirsty, cold, hot, uncomfortable or even in pain. By always putting a person’s well-being first, there is no part of the healthcare plan which can cause any physical or mental harm. Providing person-centred care also means being aware of their spiritual well-being. A spiritual approach goes beyond a person’s religious beliefs, it also takes into consideration relationships, values and some individuals’ need for self-expression. </w:t>
      </w:r>
    </w:p>
    <w:p w14:paraId="512E4CEB" w14:textId="38397F84" w:rsidR="001D15FF" w:rsidRDefault="003853BF" w:rsidP="003853BF">
      <w:pPr>
        <w:jc w:val="both"/>
      </w:pPr>
      <w:r w:rsidRPr="003853BF">
        <w:t>Almost every employee within a healthcare service is bound by an </w:t>
      </w:r>
      <w:hyperlink r:id="rId6" w:history="1">
        <w:r w:rsidRPr="00385FED">
          <w:rPr>
            <w:rStyle w:val="Hyperlink"/>
            <w:b/>
            <w:bCs/>
            <w:color w:val="000000" w:themeColor="text1"/>
            <w:u w:val="none"/>
          </w:rPr>
          <w:t>ethical code of conduct</w:t>
        </w:r>
      </w:hyperlink>
      <w:r w:rsidRPr="00385FED">
        <w:rPr>
          <w:color w:val="000000" w:themeColor="text1"/>
        </w:rPr>
        <w:t xml:space="preserve">. </w:t>
      </w:r>
      <w:r w:rsidRPr="003853BF">
        <w:t>There’re multiple codes of conduct for healthcare in the UK, including codes for healthcare support workers, adult social care workers, and healthcare professionals. They’re designed to create a standard of performance which ensures the care provided is respectful, fair, non-judgemental and non-prejudicial. The code ensures each individual providing care is aware of their responsibility to a person’s health and welfare. An important aspect of the code of conduct is the definition of an individual’s accountability for the professional care they provide.  </w:t>
      </w:r>
    </w:p>
    <w:p w14:paraId="782FC4A4" w14:textId="77777777" w:rsidR="004F6F6C" w:rsidRDefault="004F6F6C" w:rsidP="009049A7">
      <w:pPr>
        <w:jc w:val="both"/>
        <w:rPr>
          <w:b/>
          <w:bCs/>
        </w:rPr>
      </w:pPr>
    </w:p>
    <w:p w14:paraId="0B682451" w14:textId="44C94383" w:rsidR="009049A7" w:rsidRPr="009049A7" w:rsidRDefault="009049A7" w:rsidP="009049A7">
      <w:pPr>
        <w:jc w:val="both"/>
        <w:rPr>
          <w:b/>
          <w:bCs/>
        </w:rPr>
      </w:pPr>
      <w:r w:rsidRPr="009049A7">
        <w:rPr>
          <w:b/>
          <w:bCs/>
        </w:rPr>
        <w:t>Person-centred care to improve the quality of healthcare</w:t>
      </w:r>
    </w:p>
    <w:p w14:paraId="4DC06C06" w14:textId="77777777" w:rsidR="004F6F6C" w:rsidRPr="004F6F6C" w:rsidRDefault="004F6F6C" w:rsidP="004F6F6C">
      <w:pPr>
        <w:jc w:val="both"/>
      </w:pPr>
      <w:r w:rsidRPr="004F6F6C">
        <w:t xml:space="preserve">Research published in </w:t>
      </w:r>
      <w:r w:rsidRPr="004F6F6C">
        <w:rPr>
          <w:color w:val="000000" w:themeColor="text1"/>
        </w:rPr>
        <w:t>the </w:t>
      </w:r>
      <w:hyperlink r:id="rId7" w:history="1">
        <w:r w:rsidRPr="004F6F6C">
          <w:rPr>
            <w:rStyle w:val="Hyperlink"/>
            <w:b/>
            <w:bCs/>
            <w:color w:val="000000" w:themeColor="text1"/>
            <w:u w:val="none"/>
          </w:rPr>
          <w:t>National Library of Medicine</w:t>
        </w:r>
      </w:hyperlink>
      <w:r w:rsidRPr="004F6F6C">
        <w:t xml:space="preserve">, reported that person-centred care can lead to improved health outcomes. Developed in partnership with over 50 stakeholder groups, the </w:t>
      </w:r>
      <w:r w:rsidRPr="004F6F6C">
        <w:rPr>
          <w:color w:val="000000" w:themeColor="text1"/>
        </w:rPr>
        <w:t>NHS </w:t>
      </w:r>
      <w:hyperlink r:id="rId8" w:history="1">
        <w:r w:rsidRPr="004F6F6C">
          <w:rPr>
            <w:rStyle w:val="Hyperlink"/>
            <w:b/>
            <w:bCs/>
            <w:color w:val="000000" w:themeColor="text1"/>
            <w:u w:val="none"/>
          </w:rPr>
          <w:t>Comprehensive Model of Personalised Care</w:t>
        </w:r>
      </w:hyperlink>
      <w:r w:rsidRPr="004F6F6C">
        <w:t> was introduced across England, reaching over 2.5 million people by 2023/34, to establish;  </w:t>
      </w:r>
    </w:p>
    <w:p w14:paraId="69FD0CA7" w14:textId="77777777" w:rsidR="004F6F6C" w:rsidRPr="004F6F6C" w:rsidRDefault="004F6F6C" w:rsidP="004F6F6C">
      <w:pPr>
        <w:numPr>
          <w:ilvl w:val="0"/>
          <w:numId w:val="2"/>
        </w:numPr>
        <w:jc w:val="both"/>
      </w:pPr>
      <w:r w:rsidRPr="004F6F6C">
        <w:rPr>
          <w:b/>
          <w:bCs/>
        </w:rPr>
        <w:t xml:space="preserve">Whole-population </w:t>
      </w:r>
      <w:r w:rsidRPr="004F6F6C">
        <w:t>approaches to supporting people of all ages and their carers to manage their physical and mental health and wellbeing, build community resilience, and make informed decisions and choices when their health changes. </w:t>
      </w:r>
    </w:p>
    <w:p w14:paraId="2BDB40C8" w14:textId="77777777" w:rsidR="004F6F6C" w:rsidRPr="004F6F6C" w:rsidRDefault="004F6F6C" w:rsidP="004F6F6C">
      <w:pPr>
        <w:numPr>
          <w:ilvl w:val="0"/>
          <w:numId w:val="2"/>
        </w:numPr>
        <w:jc w:val="both"/>
      </w:pPr>
      <w:r w:rsidRPr="004F6F6C">
        <w:t>A proactive and universal offer of support to people with long-term physical and mental health conditions to build knowledge, skills and confidence and to live well with their health condition. </w:t>
      </w:r>
    </w:p>
    <w:p w14:paraId="1550F188" w14:textId="77777777" w:rsidR="004F6F6C" w:rsidRPr="004F6F6C" w:rsidRDefault="004F6F6C" w:rsidP="004F6F6C">
      <w:pPr>
        <w:numPr>
          <w:ilvl w:val="0"/>
          <w:numId w:val="2"/>
        </w:numPr>
        <w:jc w:val="both"/>
      </w:pPr>
      <w:r w:rsidRPr="004F6F6C">
        <w:t>Intensive and integrated approaches to empowering people with more complex needs to have greater choice and control over the care they receive.</w:t>
      </w:r>
    </w:p>
    <w:p w14:paraId="5D4E9CB6" w14:textId="0B60F163" w:rsidR="004F6F6C" w:rsidRDefault="004F6F6C" w:rsidP="004F6F6C">
      <w:pPr>
        <w:jc w:val="both"/>
      </w:pPr>
      <w:hyperlink r:id="rId9" w:history="1">
        <w:r w:rsidRPr="004F6F6C">
          <w:rPr>
            <w:rStyle w:val="Hyperlink"/>
            <w:b/>
            <w:bCs/>
          </w:rPr>
          <w:t>Person centred approaches</w:t>
        </w:r>
      </w:hyperlink>
      <w:r w:rsidRPr="004F6F6C">
        <w:t> is also a core skills education and training framework that articulates what it means to be person-centred and how to develop and support the workforce to work in this way. It aims to distil best practice and to set out core, transferable behaviours, knowledge and skills. It is applicable across services and sectors (e.g. health, social care, local authorities and housing) and across different types of organisations (</w:t>
      </w:r>
      <w:r w:rsidR="005570F6">
        <w:t>like</w:t>
      </w:r>
      <w:r w:rsidRPr="004F6F6C">
        <w:t xml:space="preserve"> public, private and not for profit). </w:t>
      </w:r>
    </w:p>
    <w:p w14:paraId="59E0A5D6" w14:textId="77777777" w:rsidR="005570F6" w:rsidRDefault="005570F6" w:rsidP="004F6F6C">
      <w:pPr>
        <w:jc w:val="both"/>
      </w:pPr>
    </w:p>
    <w:p w14:paraId="3F28CDCF" w14:textId="42DC6CA1" w:rsidR="00170E74" w:rsidRDefault="00170E74" w:rsidP="00170E74">
      <w:pPr>
        <w:jc w:val="both"/>
      </w:pPr>
      <w:r w:rsidRPr="00170E74">
        <w:rPr>
          <w:b/>
          <w:bCs/>
        </w:rPr>
        <w:t>Understand the role of Key Performance Indicators (KPIs)</w:t>
      </w:r>
    </w:p>
    <w:p w14:paraId="41A176DF" w14:textId="359FBA2E" w:rsidR="005F74EA" w:rsidRDefault="005F74EA" w:rsidP="005F74EA">
      <w:pPr>
        <w:jc w:val="both"/>
      </w:pPr>
      <w:r w:rsidRPr="005F74EA">
        <w:t>Peter Drucker famously said, “What gets measured gets done.” Measurement is an essential management tool, as it helps us determine if our work is making an impact, demonstrate value, manage resources, and focus improvement efforts.</w:t>
      </w:r>
    </w:p>
    <w:p w14:paraId="13930AFA" w14:textId="77777777" w:rsidR="00170E74" w:rsidRPr="00170E74" w:rsidRDefault="00170E74" w:rsidP="00170E74">
      <w:pPr>
        <w:jc w:val="both"/>
      </w:pPr>
      <w:r w:rsidRPr="00170E74">
        <w:rPr>
          <w:b/>
          <w:bCs/>
        </w:rPr>
        <w:t>Key Performance Indicators (KPIs)</w:t>
      </w:r>
      <w:r w:rsidRPr="00170E74">
        <w:t> are the critical (key) quantifiable indicators of progress toward an intended result. KPIs provide a focus for strategic and operational improvement, create an analytical basis for decision making and help focus attention on what matters most.</w:t>
      </w:r>
    </w:p>
    <w:p w14:paraId="0B18E3D4" w14:textId="77777777" w:rsidR="00170E74" w:rsidRPr="00170E74" w:rsidRDefault="00170E74" w:rsidP="00170E74">
      <w:pPr>
        <w:pStyle w:val="ListParagraph"/>
        <w:numPr>
          <w:ilvl w:val="0"/>
          <w:numId w:val="3"/>
        </w:numPr>
        <w:jc w:val="both"/>
      </w:pPr>
      <w:r w:rsidRPr="00170E74">
        <w:t>Managing with the use of KPIs includes setting </w:t>
      </w:r>
      <w:r w:rsidRPr="00170E74">
        <w:rPr>
          <w:b/>
          <w:bCs/>
        </w:rPr>
        <w:t>targets</w:t>
      </w:r>
      <w:r w:rsidRPr="00170E74">
        <w:t> (the desired level of performance) and tracking progress against those targets.</w:t>
      </w:r>
    </w:p>
    <w:p w14:paraId="54E8F654" w14:textId="77777777" w:rsidR="00170E74" w:rsidRPr="00170E74" w:rsidRDefault="00170E74" w:rsidP="00170E74">
      <w:pPr>
        <w:pStyle w:val="ListParagraph"/>
        <w:numPr>
          <w:ilvl w:val="0"/>
          <w:numId w:val="3"/>
        </w:numPr>
        <w:jc w:val="both"/>
      </w:pPr>
      <w:r w:rsidRPr="00170E74">
        <w:t>Managing with KPIs often means working to improve performance using </w:t>
      </w:r>
      <w:r w:rsidRPr="00170E74">
        <w:rPr>
          <w:b/>
          <w:bCs/>
        </w:rPr>
        <w:t>leading indicators</w:t>
      </w:r>
      <w:r w:rsidRPr="00170E74">
        <w:t>, which are precursors of future success, that will later drive desired impacts indicated with </w:t>
      </w:r>
      <w:r w:rsidRPr="00170E74">
        <w:rPr>
          <w:b/>
          <w:bCs/>
        </w:rPr>
        <w:t>lagging measures</w:t>
      </w:r>
      <w:r w:rsidRPr="00170E74">
        <w:t>.</w:t>
      </w:r>
    </w:p>
    <w:p w14:paraId="2E256E9B" w14:textId="77777777" w:rsidR="003036C4" w:rsidRDefault="003036C4" w:rsidP="005F74EA">
      <w:pPr>
        <w:jc w:val="both"/>
        <w:rPr>
          <w:b/>
          <w:bCs/>
        </w:rPr>
      </w:pPr>
    </w:p>
    <w:p w14:paraId="44095F55" w14:textId="689819DF" w:rsidR="00170E74" w:rsidRPr="003036C4" w:rsidRDefault="003036C4" w:rsidP="005F74EA">
      <w:pPr>
        <w:jc w:val="both"/>
        <w:rPr>
          <w:b/>
          <w:bCs/>
        </w:rPr>
      </w:pPr>
      <w:r w:rsidRPr="003036C4">
        <w:rPr>
          <w:b/>
          <w:bCs/>
        </w:rPr>
        <w:t>Different types of KPIs:</w:t>
      </w:r>
    </w:p>
    <w:p w14:paraId="111CB295" w14:textId="3F3B7F86" w:rsidR="003036C4" w:rsidRPr="003036C4" w:rsidRDefault="003036C4" w:rsidP="003036C4">
      <w:pPr>
        <w:jc w:val="both"/>
      </w:pPr>
      <w:r w:rsidRPr="003036C4">
        <w:t>KPIs can be categori</w:t>
      </w:r>
      <w:r>
        <w:t>s</w:t>
      </w:r>
      <w:r w:rsidRPr="003036C4">
        <w:t>ed into several different types:</w:t>
      </w:r>
    </w:p>
    <w:p w14:paraId="14FBA7DE" w14:textId="77777777" w:rsidR="003036C4" w:rsidRPr="003036C4" w:rsidRDefault="003036C4" w:rsidP="003036C4">
      <w:pPr>
        <w:numPr>
          <w:ilvl w:val="0"/>
          <w:numId w:val="4"/>
        </w:numPr>
        <w:jc w:val="both"/>
      </w:pPr>
      <w:r w:rsidRPr="003036C4">
        <w:rPr>
          <w:b/>
          <w:bCs/>
        </w:rPr>
        <w:t>Inputs </w:t>
      </w:r>
      <w:r w:rsidRPr="003036C4">
        <w:t>measure attributes (amount, type, quality) of resources consumed in processes that produce outputs</w:t>
      </w:r>
    </w:p>
    <w:p w14:paraId="1563A9CC" w14:textId="77777777" w:rsidR="003036C4" w:rsidRPr="003036C4" w:rsidRDefault="003036C4" w:rsidP="003036C4">
      <w:pPr>
        <w:numPr>
          <w:ilvl w:val="0"/>
          <w:numId w:val="4"/>
        </w:numPr>
        <w:jc w:val="both"/>
      </w:pPr>
      <w:r w:rsidRPr="003036C4">
        <w:rPr>
          <w:b/>
          <w:bCs/>
        </w:rPr>
        <w:t>Process</w:t>
      </w:r>
      <w:r w:rsidRPr="003036C4">
        <w:t> or activity measures focus on how the efficiency, quality, or consistency of specific processes used to produce a specific output; they can also measure controls on that process, such as the tools/equipment used or process training</w:t>
      </w:r>
    </w:p>
    <w:p w14:paraId="2B75A8CA" w14:textId="77777777" w:rsidR="003036C4" w:rsidRPr="003036C4" w:rsidRDefault="003036C4" w:rsidP="003036C4">
      <w:pPr>
        <w:numPr>
          <w:ilvl w:val="0"/>
          <w:numId w:val="4"/>
        </w:numPr>
        <w:jc w:val="both"/>
      </w:pPr>
      <w:r w:rsidRPr="003036C4">
        <w:rPr>
          <w:b/>
          <w:bCs/>
        </w:rPr>
        <w:t>Outputs </w:t>
      </w:r>
      <w:r w:rsidRPr="003036C4">
        <w:t>are result measures that indicate how much work is done and define what is produced</w:t>
      </w:r>
    </w:p>
    <w:p w14:paraId="5BD91144" w14:textId="4FBB7AD4" w:rsidR="003036C4" w:rsidRPr="003036C4" w:rsidRDefault="003036C4" w:rsidP="00347FA9">
      <w:pPr>
        <w:numPr>
          <w:ilvl w:val="0"/>
          <w:numId w:val="4"/>
        </w:numPr>
        <w:jc w:val="both"/>
      </w:pPr>
      <w:r w:rsidRPr="003036C4">
        <w:rPr>
          <w:b/>
          <w:bCs/>
        </w:rPr>
        <w:t>Outcomes </w:t>
      </w:r>
      <w:r w:rsidRPr="003036C4">
        <w:t>focus on accomplishments or impacts, and are classified as Intermediate Outcomes</w:t>
      </w:r>
      <w:r w:rsidR="00347FA9">
        <w:t xml:space="preserve"> or </w:t>
      </w:r>
      <w:r w:rsidRPr="003036C4">
        <w:t xml:space="preserve">End Outcomes </w:t>
      </w:r>
    </w:p>
    <w:p w14:paraId="31784D46" w14:textId="77777777" w:rsidR="003036C4" w:rsidRPr="003036C4" w:rsidRDefault="003036C4" w:rsidP="003036C4">
      <w:pPr>
        <w:numPr>
          <w:ilvl w:val="0"/>
          <w:numId w:val="4"/>
        </w:numPr>
        <w:jc w:val="both"/>
      </w:pPr>
      <w:r w:rsidRPr="003036C4">
        <w:rPr>
          <w:b/>
          <w:bCs/>
        </w:rPr>
        <w:t>Project</w:t>
      </w:r>
      <w:r w:rsidRPr="003036C4">
        <w:t> measures answer questions about the status of deliverables and milestone progress related to important projects or initiatives</w:t>
      </w:r>
    </w:p>
    <w:p w14:paraId="65587FEE" w14:textId="5BBC6CCD" w:rsidR="0080061E" w:rsidRPr="0080061E" w:rsidRDefault="0080061E" w:rsidP="0080061E">
      <w:pPr>
        <w:jc w:val="both"/>
      </w:pPr>
      <w:r w:rsidRPr="0080061E">
        <w:lastRenderedPageBreak/>
        <w:t>Every organi</w:t>
      </w:r>
      <w:r>
        <w:t>s</w:t>
      </w:r>
      <w:r w:rsidRPr="0080061E">
        <w:t>ation needs both strategic and operational measures, and some typically already exist. An entire family of measures can be developed to help understand how effective strategy or operations is being executed, from various categories:</w:t>
      </w:r>
    </w:p>
    <w:p w14:paraId="0F30C367" w14:textId="77777777" w:rsidR="0080061E" w:rsidRPr="0080061E" w:rsidRDefault="0080061E" w:rsidP="0080061E">
      <w:pPr>
        <w:numPr>
          <w:ilvl w:val="0"/>
          <w:numId w:val="5"/>
        </w:numPr>
        <w:jc w:val="both"/>
      </w:pPr>
      <w:r w:rsidRPr="0080061E">
        <w:rPr>
          <w:b/>
          <w:bCs/>
        </w:rPr>
        <w:t>Strategic Measures </w:t>
      </w:r>
      <w:r w:rsidRPr="0080061E">
        <w:t>track progress toward strategic goals, focusing on intended/desired results of the End Outcome or Intermediate Outcome. When using a balanced scorecard, these strategic measures are used to evaluate the organization’s progress in achieving its Strategic Objectives depicted in each of the following four balanced scorecard perspectives:</w:t>
      </w:r>
    </w:p>
    <w:p w14:paraId="0B23DE55" w14:textId="77777777" w:rsidR="0080061E" w:rsidRPr="0080061E" w:rsidRDefault="0080061E" w:rsidP="0080061E">
      <w:pPr>
        <w:numPr>
          <w:ilvl w:val="1"/>
          <w:numId w:val="5"/>
        </w:numPr>
        <w:jc w:val="both"/>
      </w:pPr>
      <w:r w:rsidRPr="0080061E">
        <w:t>Customer/Stakeholder</w:t>
      </w:r>
    </w:p>
    <w:p w14:paraId="7A152423" w14:textId="77777777" w:rsidR="0080061E" w:rsidRPr="0080061E" w:rsidRDefault="0080061E" w:rsidP="0080061E">
      <w:pPr>
        <w:numPr>
          <w:ilvl w:val="1"/>
          <w:numId w:val="5"/>
        </w:numPr>
        <w:jc w:val="both"/>
      </w:pPr>
      <w:r w:rsidRPr="0080061E">
        <w:t>Financial</w:t>
      </w:r>
    </w:p>
    <w:p w14:paraId="18185AF0" w14:textId="77777777" w:rsidR="0080061E" w:rsidRPr="0080061E" w:rsidRDefault="0080061E" w:rsidP="0080061E">
      <w:pPr>
        <w:numPr>
          <w:ilvl w:val="1"/>
          <w:numId w:val="5"/>
        </w:numPr>
        <w:jc w:val="both"/>
      </w:pPr>
      <w:r w:rsidRPr="0080061E">
        <w:t>Internal Processes</w:t>
      </w:r>
    </w:p>
    <w:p w14:paraId="7965655A" w14:textId="7BCFACDC" w:rsidR="0080061E" w:rsidRPr="0080061E" w:rsidRDefault="0080061E" w:rsidP="0080061E">
      <w:pPr>
        <w:numPr>
          <w:ilvl w:val="1"/>
          <w:numId w:val="5"/>
        </w:numPr>
        <w:jc w:val="both"/>
      </w:pPr>
      <w:r w:rsidRPr="0080061E">
        <w:t>Organi</w:t>
      </w:r>
      <w:r w:rsidR="004F0CCE">
        <w:t>s</w:t>
      </w:r>
      <w:r w:rsidRPr="0080061E">
        <w:t>ational Capacity</w:t>
      </w:r>
    </w:p>
    <w:p w14:paraId="41EE286E" w14:textId="22A890E1" w:rsidR="0080061E" w:rsidRPr="0080061E" w:rsidRDefault="0080061E" w:rsidP="0080061E">
      <w:pPr>
        <w:numPr>
          <w:ilvl w:val="0"/>
          <w:numId w:val="5"/>
        </w:numPr>
        <w:jc w:val="both"/>
      </w:pPr>
      <w:r w:rsidRPr="0080061E">
        <w:rPr>
          <w:b/>
          <w:bCs/>
        </w:rPr>
        <w:t>Operational Measures, </w:t>
      </w:r>
      <w:r w:rsidRPr="0080061E">
        <w:t>which are focused on operations and tactics, and designed to inform better decisions around day-to-day product / service delivery or other operational functions</w:t>
      </w:r>
      <w:r w:rsidR="004F0CCE">
        <w:t>.</w:t>
      </w:r>
    </w:p>
    <w:p w14:paraId="6891CBD1" w14:textId="59E0DDC4" w:rsidR="0080061E" w:rsidRPr="0080061E" w:rsidRDefault="0080061E" w:rsidP="0080061E">
      <w:pPr>
        <w:numPr>
          <w:ilvl w:val="0"/>
          <w:numId w:val="5"/>
        </w:numPr>
        <w:jc w:val="both"/>
      </w:pPr>
      <w:r w:rsidRPr="0080061E">
        <w:rPr>
          <w:b/>
          <w:bCs/>
        </w:rPr>
        <w:t>Project Measures,</w:t>
      </w:r>
      <w:r w:rsidRPr="0080061E">
        <w:t> which are focused on project progress and effectiveness</w:t>
      </w:r>
      <w:r w:rsidR="004F0CCE">
        <w:t>.</w:t>
      </w:r>
    </w:p>
    <w:p w14:paraId="3C44F22F" w14:textId="1DE44968" w:rsidR="0080061E" w:rsidRPr="0080061E" w:rsidRDefault="0080061E" w:rsidP="0080061E">
      <w:pPr>
        <w:numPr>
          <w:ilvl w:val="0"/>
          <w:numId w:val="5"/>
        </w:numPr>
        <w:jc w:val="both"/>
      </w:pPr>
      <w:r w:rsidRPr="0080061E">
        <w:rPr>
          <w:b/>
          <w:bCs/>
        </w:rPr>
        <w:t>Risk Measures,</w:t>
      </w:r>
      <w:r w:rsidRPr="0080061E">
        <w:t> which are focused on the risk factors that can threaten our success</w:t>
      </w:r>
      <w:r w:rsidR="004F0CCE">
        <w:t>.</w:t>
      </w:r>
    </w:p>
    <w:p w14:paraId="3C0BC613" w14:textId="58D27BCD" w:rsidR="0080061E" w:rsidRDefault="0080061E" w:rsidP="0080061E">
      <w:pPr>
        <w:numPr>
          <w:ilvl w:val="0"/>
          <w:numId w:val="5"/>
        </w:numPr>
        <w:jc w:val="both"/>
      </w:pPr>
      <w:r w:rsidRPr="0080061E">
        <w:rPr>
          <w:b/>
          <w:bCs/>
        </w:rPr>
        <w:t>Employee Measures</w:t>
      </w:r>
      <w:r w:rsidRPr="0080061E">
        <w:t xml:space="preserve">, which are focused on the human </w:t>
      </w:r>
      <w:r w:rsidR="004F0CCE" w:rsidRPr="0080061E">
        <w:t>behaviour</w:t>
      </w:r>
      <w:r w:rsidRPr="0080061E">
        <w:t>, skills, or performance needed to execute strategy</w:t>
      </w:r>
      <w:r w:rsidR="004F0CCE">
        <w:t>.</w:t>
      </w:r>
    </w:p>
    <w:p w14:paraId="6627A713" w14:textId="77777777" w:rsidR="00DE03FB" w:rsidRDefault="00DE03FB" w:rsidP="00DE03FB">
      <w:pPr>
        <w:jc w:val="both"/>
      </w:pPr>
    </w:p>
    <w:p w14:paraId="5C118D07" w14:textId="6105C692" w:rsidR="00DE03FB" w:rsidRPr="0080061E" w:rsidRDefault="00DE03FB" w:rsidP="00DE03FB">
      <w:pPr>
        <w:jc w:val="both"/>
        <w:rPr>
          <w:b/>
          <w:bCs/>
        </w:rPr>
      </w:pPr>
      <w:r w:rsidRPr="0099761B">
        <w:rPr>
          <w:b/>
          <w:bCs/>
        </w:rPr>
        <w:t>Why KPIs are important for measuring quality outcomes?</w:t>
      </w:r>
    </w:p>
    <w:p w14:paraId="34183EDF" w14:textId="7A0C3D37" w:rsidR="00385FED" w:rsidRDefault="0099761B" w:rsidP="0099761B">
      <w:pPr>
        <w:jc w:val="both"/>
      </w:pPr>
      <w:r w:rsidRPr="0099761B">
        <w:t xml:space="preserve">Key Performance Indicators (KPIs) are essential for measuring quality outcomes because they provide </w:t>
      </w:r>
      <w:r w:rsidRPr="0099761B">
        <w:rPr>
          <w:b/>
          <w:bCs/>
        </w:rPr>
        <w:t>quantifiable</w:t>
      </w:r>
      <w:r w:rsidRPr="0099761B">
        <w:t xml:space="preserve"> and </w:t>
      </w:r>
      <w:r w:rsidRPr="0099761B">
        <w:rPr>
          <w:b/>
          <w:bCs/>
        </w:rPr>
        <w:t>objective</w:t>
      </w:r>
      <w:r w:rsidRPr="0099761B">
        <w:t xml:space="preserve"> metrics that help organi</w:t>
      </w:r>
      <w:r w:rsidR="003D6709">
        <w:t>s</w:t>
      </w:r>
      <w:r w:rsidRPr="0099761B">
        <w:t>ations track, evaluate, and improve quality-related performance.</w:t>
      </w:r>
    </w:p>
    <w:p w14:paraId="284CF4A3" w14:textId="77777777" w:rsidR="008E2557" w:rsidRPr="008E2557" w:rsidRDefault="0099761B" w:rsidP="008E2557">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99761B">
        <w:rPr>
          <w:rFonts w:eastAsia="Times New Roman" w:cs="Times New Roman"/>
          <w:b/>
          <w:bCs/>
          <w:kern w:val="0"/>
          <w14:ligatures w14:val="none"/>
        </w:rPr>
        <w:t>Objective Measurement</w:t>
      </w:r>
      <w:r>
        <w:rPr>
          <w:rFonts w:eastAsia="Times New Roman" w:cs="Times New Roman"/>
          <w:b/>
          <w:bCs/>
          <w:kern w:val="0"/>
          <w14:ligatures w14:val="none"/>
        </w:rPr>
        <w:t xml:space="preserve">: </w:t>
      </w:r>
      <w:r w:rsidRPr="0099761B">
        <w:rPr>
          <w:rFonts w:eastAsia="Times New Roman" w:cs="Times New Roman"/>
          <w:kern w:val="0"/>
          <w14:ligatures w14:val="none"/>
        </w:rPr>
        <w:t>KPIs offer clear, measurable benchmarks to assess quality rather than relying on subjective opinions.</w:t>
      </w:r>
    </w:p>
    <w:p w14:paraId="55226590" w14:textId="77777777" w:rsidR="008E2557" w:rsidRPr="008E2557" w:rsidRDefault="008E2557" w:rsidP="008E2557">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8E2557">
        <w:rPr>
          <w:rFonts w:eastAsia="Times New Roman" w:cs="Times New Roman"/>
          <w:b/>
          <w:bCs/>
          <w:kern w:val="0"/>
          <w14:ligatures w14:val="none"/>
        </w:rPr>
        <w:t>Continuous Improvement:</w:t>
      </w:r>
      <w:r w:rsidRPr="008E2557">
        <w:rPr>
          <w:rFonts w:eastAsia="Times New Roman" w:cs="Times New Roman"/>
          <w:kern w:val="0"/>
          <w14:ligatures w14:val="none"/>
        </w:rPr>
        <w:t xml:space="preserve"> By tracking KPIs over time, organizations can identify trends and make data-driven decisions to improve quality</w:t>
      </w:r>
      <w:r>
        <w:rPr>
          <w:rFonts w:eastAsia="Times New Roman" w:cs="Times New Roman"/>
          <w:kern w:val="0"/>
          <w14:ligatures w14:val="none"/>
        </w:rPr>
        <w:t>.</w:t>
      </w:r>
    </w:p>
    <w:p w14:paraId="40774AD6" w14:textId="77777777" w:rsidR="00F74137" w:rsidRPr="00F74137" w:rsidRDefault="008E2557" w:rsidP="00F74137">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8E2557">
        <w:rPr>
          <w:rFonts w:eastAsia="Times New Roman" w:cs="Times New Roman"/>
          <w:b/>
          <w:bCs/>
          <w:kern w:val="0"/>
          <w14:ligatures w14:val="none"/>
        </w:rPr>
        <w:t xml:space="preserve">Accountability &amp; Transparency: </w:t>
      </w:r>
      <w:r w:rsidRPr="008E2557">
        <w:rPr>
          <w:rFonts w:eastAsia="Times New Roman" w:cs="Times New Roman"/>
          <w:kern w:val="0"/>
          <w14:ligatures w14:val="none"/>
        </w:rPr>
        <w:t>KPIs set clear expectations and hold teams accountable for achieving quality goals.</w:t>
      </w:r>
    </w:p>
    <w:p w14:paraId="7A5705F5" w14:textId="77777777" w:rsidR="00F74137" w:rsidRPr="00F74137" w:rsidRDefault="00F74137" w:rsidP="00F74137">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F74137">
        <w:rPr>
          <w:rFonts w:eastAsia="Times New Roman" w:cs="Times New Roman"/>
          <w:b/>
          <w:bCs/>
          <w:kern w:val="0"/>
          <w14:ligatures w14:val="none"/>
        </w:rPr>
        <w:t xml:space="preserve">Early Issue Detection: </w:t>
      </w:r>
      <w:r w:rsidRPr="00F74137">
        <w:rPr>
          <w:rFonts w:eastAsia="Times New Roman" w:cs="Times New Roman"/>
          <w:kern w:val="0"/>
          <w14:ligatures w14:val="none"/>
        </w:rPr>
        <w:t>Leading quality KPIs act as early warning systems to detect problems before they escalate.</w:t>
      </w:r>
    </w:p>
    <w:p w14:paraId="31A01C77" w14:textId="77777777" w:rsidR="00E74331" w:rsidRPr="00E74331" w:rsidRDefault="00F74137" w:rsidP="00E74331">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F74137">
        <w:rPr>
          <w:rFonts w:eastAsia="Times New Roman" w:cs="Times New Roman"/>
          <w:b/>
          <w:bCs/>
          <w:kern w:val="0"/>
          <w14:ligatures w14:val="none"/>
        </w:rPr>
        <w:t xml:space="preserve">Customer Satisfaction &amp; Retention: </w:t>
      </w:r>
      <w:r w:rsidRPr="00F74137">
        <w:rPr>
          <w:rFonts w:eastAsia="Times New Roman" w:cs="Times New Roman"/>
          <w:kern w:val="0"/>
          <w14:ligatures w14:val="none"/>
        </w:rPr>
        <w:t>Quality-focused KPIs ensure that products/services meet customer expectations, driving loyalty and retention.</w:t>
      </w:r>
    </w:p>
    <w:p w14:paraId="7E10934A" w14:textId="77777777" w:rsidR="00E74331" w:rsidRPr="00E74331" w:rsidRDefault="00E74331" w:rsidP="00E74331">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E74331">
        <w:rPr>
          <w:rFonts w:eastAsia="Times New Roman" w:cs="Times New Roman"/>
          <w:b/>
          <w:bCs/>
          <w:kern w:val="0"/>
          <w14:ligatures w14:val="none"/>
        </w:rPr>
        <w:lastRenderedPageBreak/>
        <w:t xml:space="preserve">Regulatory &amp; Compliance Adherence: </w:t>
      </w:r>
      <w:r w:rsidRPr="00E74331">
        <w:rPr>
          <w:rFonts w:eastAsia="Times New Roman" w:cs="Times New Roman"/>
          <w:kern w:val="0"/>
          <w14:ligatures w14:val="none"/>
        </w:rPr>
        <w:t>Many industries require compliance with quality standards (ISO, Six Sigma, FDA, etc.), which KPIs help measure.</w:t>
      </w:r>
    </w:p>
    <w:p w14:paraId="093E2E75" w14:textId="53755F64" w:rsidR="00251E30" w:rsidRPr="003D6709" w:rsidRDefault="00E74331" w:rsidP="003D6709">
      <w:pPr>
        <w:pStyle w:val="ListParagraph"/>
        <w:numPr>
          <w:ilvl w:val="0"/>
          <w:numId w:val="9"/>
        </w:numPr>
        <w:spacing w:before="100" w:beforeAutospacing="1" w:after="100" w:afterAutospacing="1" w:line="240" w:lineRule="auto"/>
        <w:jc w:val="both"/>
        <w:outlineLvl w:val="2"/>
        <w:rPr>
          <w:rFonts w:eastAsia="Times New Roman" w:cs="Times New Roman"/>
          <w:b/>
          <w:bCs/>
          <w:kern w:val="0"/>
          <w14:ligatures w14:val="none"/>
        </w:rPr>
      </w:pPr>
      <w:r w:rsidRPr="00E74331">
        <w:rPr>
          <w:rFonts w:eastAsia="Times New Roman" w:cs="Times New Roman"/>
          <w:b/>
          <w:bCs/>
          <w:kern w:val="0"/>
          <w14:ligatures w14:val="none"/>
        </w:rPr>
        <w:t xml:space="preserve">Operational Efficiency &amp; Cost Savings: </w:t>
      </w:r>
      <w:r w:rsidRPr="00E74331">
        <w:rPr>
          <w:rFonts w:eastAsia="Times New Roman" w:cs="Times New Roman"/>
          <w:kern w:val="0"/>
          <w14:ligatures w14:val="none"/>
        </w:rPr>
        <w:t>Tracking quality-related KPIs helps reduce waste, inefficiencies, and costs.</w:t>
      </w:r>
    </w:p>
    <w:p w14:paraId="780B4BD3" w14:textId="0A423C95" w:rsidR="00811979" w:rsidRPr="00196E6D" w:rsidRDefault="003D6709" w:rsidP="00196E6D">
      <w:pPr>
        <w:spacing w:before="100" w:beforeAutospacing="1" w:after="100" w:afterAutospacing="1" w:line="240" w:lineRule="auto"/>
        <w:jc w:val="both"/>
        <w:outlineLvl w:val="2"/>
        <w:rPr>
          <w:rFonts w:eastAsia="Times New Roman" w:cs="Times New Roman"/>
          <w:kern w:val="0"/>
          <w14:ligatures w14:val="none"/>
        </w:rPr>
      </w:pPr>
      <w:r w:rsidRPr="003D6709">
        <w:rPr>
          <w:rFonts w:eastAsia="Times New Roman" w:cs="Times New Roman"/>
          <w:kern w:val="0"/>
          <w14:ligatures w14:val="none"/>
        </w:rPr>
        <w:t>KPIs transform quality management from a vague concept into a structured, measurable, and improvable process. By defining the right KPIs, organi</w:t>
      </w:r>
      <w:r>
        <w:rPr>
          <w:rFonts w:eastAsia="Times New Roman" w:cs="Times New Roman"/>
          <w:kern w:val="0"/>
          <w14:ligatures w14:val="none"/>
        </w:rPr>
        <w:t>s</w:t>
      </w:r>
      <w:r w:rsidRPr="003D6709">
        <w:rPr>
          <w:rFonts w:eastAsia="Times New Roman" w:cs="Times New Roman"/>
          <w:kern w:val="0"/>
          <w14:ligatures w14:val="none"/>
        </w:rPr>
        <w:t>ations can systematically enhance quality, ensure compliance, and improve customer satisfaction while optimi</w:t>
      </w:r>
      <w:r w:rsidR="00196E6D">
        <w:rPr>
          <w:rFonts w:eastAsia="Times New Roman" w:cs="Times New Roman"/>
          <w:kern w:val="0"/>
          <w14:ligatures w14:val="none"/>
        </w:rPr>
        <w:t>s</w:t>
      </w:r>
      <w:r w:rsidRPr="003D6709">
        <w:rPr>
          <w:rFonts w:eastAsia="Times New Roman" w:cs="Times New Roman"/>
          <w:kern w:val="0"/>
          <w14:ligatures w14:val="none"/>
        </w:rPr>
        <w:t>ing costs.</w:t>
      </w:r>
    </w:p>
    <w:p w14:paraId="4F2D5DCA" w14:textId="38E2BC54" w:rsidR="00196E6D" w:rsidRPr="00196E6D" w:rsidRDefault="00196E6D" w:rsidP="0085534E">
      <w:pPr>
        <w:jc w:val="both"/>
        <w:rPr>
          <w:b/>
          <w:bCs/>
        </w:rPr>
      </w:pPr>
      <w:r w:rsidRPr="00196E6D">
        <w:rPr>
          <w:b/>
          <w:bCs/>
        </w:rPr>
        <w:t>KPIs used in healthcare</w:t>
      </w:r>
    </w:p>
    <w:p w14:paraId="2C47C289" w14:textId="307AA435" w:rsidR="00196E6D" w:rsidRDefault="00196E6D" w:rsidP="00196E6D">
      <w:pPr>
        <w:jc w:val="both"/>
      </w:pPr>
      <w:r w:rsidRPr="00196E6D">
        <w:t xml:space="preserve">In healthcare, </w:t>
      </w:r>
      <w:r w:rsidRPr="00196E6D">
        <w:rPr>
          <w:b/>
          <w:bCs/>
        </w:rPr>
        <w:t>Key Performance Indicators (KPIs)</w:t>
      </w:r>
      <w:r w:rsidRPr="00196E6D">
        <w:t xml:space="preserve"> help measure quality, efficiency, patient satisfaction, and safety.</w:t>
      </w:r>
    </w:p>
    <w:p w14:paraId="046DDB4A" w14:textId="77777777" w:rsidR="00192E05" w:rsidRPr="00192E05" w:rsidRDefault="00192E05" w:rsidP="00192E05">
      <w:pPr>
        <w:pStyle w:val="ListParagraph"/>
        <w:numPr>
          <w:ilvl w:val="0"/>
          <w:numId w:val="17"/>
        </w:numPr>
        <w:jc w:val="both"/>
        <w:rPr>
          <w:b/>
          <w:bCs/>
        </w:rPr>
      </w:pPr>
      <w:r w:rsidRPr="00192E05">
        <w:rPr>
          <w:b/>
          <w:bCs/>
        </w:rPr>
        <w:t>Patient Safety &amp; Quality of Care KPIs</w:t>
      </w:r>
    </w:p>
    <w:p w14:paraId="058266A0" w14:textId="77777777" w:rsidR="00192E05" w:rsidRPr="00192E05" w:rsidRDefault="00192E05" w:rsidP="00192E05">
      <w:pPr>
        <w:numPr>
          <w:ilvl w:val="0"/>
          <w:numId w:val="16"/>
        </w:numPr>
        <w:tabs>
          <w:tab w:val="num" w:pos="720"/>
        </w:tabs>
        <w:jc w:val="both"/>
      </w:pPr>
      <w:r w:rsidRPr="00192E05">
        <w:rPr>
          <w:b/>
          <w:bCs/>
        </w:rPr>
        <w:t>Hospital-Acquired Infection Rate (HAI Rate):</w:t>
      </w:r>
      <w:r w:rsidRPr="00192E05">
        <w:t xml:space="preserve"> Measures infections acquired during hospital stays, such as MRSA or C. difficile.</w:t>
      </w:r>
    </w:p>
    <w:p w14:paraId="76A7B933" w14:textId="77777777" w:rsidR="00192E05" w:rsidRPr="00192E05" w:rsidRDefault="00192E05" w:rsidP="00192E05">
      <w:pPr>
        <w:numPr>
          <w:ilvl w:val="0"/>
          <w:numId w:val="16"/>
        </w:numPr>
        <w:tabs>
          <w:tab w:val="num" w:pos="720"/>
        </w:tabs>
        <w:jc w:val="both"/>
      </w:pPr>
      <w:r w:rsidRPr="00192E05">
        <w:rPr>
          <w:b/>
          <w:bCs/>
        </w:rPr>
        <w:t>Patient Readmission Rate:</w:t>
      </w:r>
      <w:r w:rsidRPr="00192E05">
        <w:t xml:space="preserve"> Tracks the percentage of patients who return to the hospital within 30 days of discharge, indicating care quality.</w:t>
      </w:r>
    </w:p>
    <w:p w14:paraId="1B78D8C2" w14:textId="77777777" w:rsidR="00192E05" w:rsidRPr="00192E05" w:rsidRDefault="00192E05" w:rsidP="00192E05">
      <w:pPr>
        <w:numPr>
          <w:ilvl w:val="0"/>
          <w:numId w:val="16"/>
        </w:numPr>
        <w:tabs>
          <w:tab w:val="num" w:pos="720"/>
        </w:tabs>
        <w:jc w:val="both"/>
      </w:pPr>
      <w:r w:rsidRPr="00192E05">
        <w:rPr>
          <w:b/>
          <w:bCs/>
        </w:rPr>
        <w:t>Medication Error Rate:</w:t>
      </w:r>
      <w:r w:rsidRPr="00192E05">
        <w:t xml:space="preserve"> Measures the frequency of medication-related errors, impacting patient safety.</w:t>
      </w:r>
    </w:p>
    <w:p w14:paraId="06204E71" w14:textId="77777777" w:rsidR="00192E05" w:rsidRDefault="00192E05" w:rsidP="00192E05">
      <w:pPr>
        <w:numPr>
          <w:ilvl w:val="0"/>
          <w:numId w:val="16"/>
        </w:numPr>
        <w:tabs>
          <w:tab w:val="num" w:pos="720"/>
        </w:tabs>
        <w:jc w:val="both"/>
      </w:pPr>
      <w:r w:rsidRPr="00192E05">
        <w:rPr>
          <w:b/>
          <w:bCs/>
        </w:rPr>
        <w:t>Surgical Complication Rate:</w:t>
      </w:r>
      <w:r w:rsidRPr="00192E05">
        <w:t xml:space="preserve"> Assesses post-surgery complications to ensure quality surgical procedures.</w:t>
      </w:r>
    </w:p>
    <w:p w14:paraId="1CD5C8E3" w14:textId="77777777" w:rsidR="006130A0" w:rsidRPr="006130A0" w:rsidRDefault="006130A0" w:rsidP="006130A0">
      <w:pPr>
        <w:pStyle w:val="ListParagraph"/>
        <w:numPr>
          <w:ilvl w:val="0"/>
          <w:numId w:val="17"/>
        </w:numPr>
        <w:spacing w:before="100" w:beforeAutospacing="1" w:after="100" w:afterAutospacing="1" w:line="240" w:lineRule="auto"/>
        <w:jc w:val="both"/>
        <w:outlineLvl w:val="2"/>
        <w:rPr>
          <w:rFonts w:eastAsia="Times New Roman" w:cs="Times New Roman"/>
          <w:b/>
          <w:bCs/>
          <w:kern w:val="0"/>
          <w14:ligatures w14:val="none"/>
        </w:rPr>
      </w:pPr>
      <w:r w:rsidRPr="006130A0">
        <w:rPr>
          <w:rFonts w:eastAsia="Times New Roman" w:cs="Times New Roman"/>
          <w:b/>
          <w:bCs/>
          <w:kern w:val="0"/>
          <w14:ligatures w14:val="none"/>
        </w:rPr>
        <w:t>Patient Satisfaction &amp; Experience KPIs</w:t>
      </w:r>
    </w:p>
    <w:p w14:paraId="50886183" w14:textId="77777777" w:rsidR="006130A0" w:rsidRPr="006130A0" w:rsidRDefault="006130A0" w:rsidP="006130A0">
      <w:pPr>
        <w:pStyle w:val="ListParagraph"/>
        <w:numPr>
          <w:ilvl w:val="0"/>
          <w:numId w:val="19"/>
        </w:numPr>
        <w:spacing w:before="100" w:beforeAutospacing="1" w:after="100" w:afterAutospacing="1" w:line="240" w:lineRule="auto"/>
        <w:jc w:val="both"/>
        <w:rPr>
          <w:rFonts w:eastAsia="Times New Roman" w:cs="Times New Roman"/>
          <w:kern w:val="0"/>
          <w14:ligatures w14:val="none"/>
        </w:rPr>
      </w:pPr>
      <w:r w:rsidRPr="006130A0">
        <w:rPr>
          <w:rFonts w:eastAsia="Times New Roman" w:cs="Times New Roman"/>
          <w:b/>
          <w:bCs/>
          <w:kern w:val="0"/>
          <w14:ligatures w14:val="none"/>
        </w:rPr>
        <w:t>Net Promoter Score (NPS):</w:t>
      </w:r>
      <w:r w:rsidRPr="006130A0">
        <w:rPr>
          <w:rFonts w:eastAsia="Times New Roman" w:cs="Times New Roman"/>
          <w:kern w:val="0"/>
          <w14:ligatures w14:val="none"/>
        </w:rPr>
        <w:t xml:space="preserve"> Measures patient willingness to recommend the healthcare facility.</w:t>
      </w:r>
    </w:p>
    <w:p w14:paraId="1B11CF82" w14:textId="66E6DA9F" w:rsidR="006130A0" w:rsidRPr="006130A0" w:rsidRDefault="006130A0" w:rsidP="006130A0">
      <w:pPr>
        <w:pStyle w:val="ListParagraph"/>
        <w:numPr>
          <w:ilvl w:val="0"/>
          <w:numId w:val="19"/>
        </w:numPr>
        <w:spacing w:before="100" w:beforeAutospacing="1" w:after="100" w:afterAutospacing="1" w:line="240" w:lineRule="auto"/>
        <w:jc w:val="both"/>
        <w:rPr>
          <w:rFonts w:eastAsia="Times New Roman" w:cs="Times New Roman"/>
          <w:kern w:val="0"/>
          <w14:ligatures w14:val="none"/>
        </w:rPr>
      </w:pPr>
      <w:r w:rsidRPr="006130A0">
        <w:rPr>
          <w:rFonts w:eastAsia="Times New Roman" w:cs="Times New Roman"/>
          <w:b/>
          <w:bCs/>
          <w:kern w:val="0"/>
          <w14:ligatures w14:val="none"/>
        </w:rPr>
        <w:t>Patient Satisfaction Score (CSAT):</w:t>
      </w:r>
      <w:r w:rsidRPr="006130A0">
        <w:rPr>
          <w:rFonts w:eastAsia="Times New Roman" w:cs="Times New Roman"/>
          <w:kern w:val="0"/>
          <w14:ligatures w14:val="none"/>
        </w:rPr>
        <w:t xml:space="preserve"> Based on surveys, evaluates patient experience regarding care, cleanliness, and staff behavio</w:t>
      </w:r>
      <w:r w:rsidR="00AA77F6">
        <w:rPr>
          <w:rFonts w:eastAsia="Times New Roman" w:cs="Times New Roman"/>
          <w:kern w:val="0"/>
          <w14:ligatures w14:val="none"/>
        </w:rPr>
        <w:t>u</w:t>
      </w:r>
      <w:r w:rsidRPr="006130A0">
        <w:rPr>
          <w:rFonts w:eastAsia="Times New Roman" w:cs="Times New Roman"/>
          <w:kern w:val="0"/>
          <w14:ligatures w14:val="none"/>
        </w:rPr>
        <w:t>r.</w:t>
      </w:r>
    </w:p>
    <w:p w14:paraId="15527DCE" w14:textId="77777777" w:rsidR="006130A0" w:rsidRPr="006130A0" w:rsidRDefault="006130A0" w:rsidP="006130A0">
      <w:pPr>
        <w:pStyle w:val="ListParagraph"/>
        <w:numPr>
          <w:ilvl w:val="0"/>
          <w:numId w:val="19"/>
        </w:numPr>
        <w:spacing w:before="100" w:beforeAutospacing="1" w:after="100" w:afterAutospacing="1" w:line="240" w:lineRule="auto"/>
        <w:jc w:val="both"/>
        <w:rPr>
          <w:rFonts w:eastAsia="Times New Roman" w:cs="Times New Roman"/>
          <w:kern w:val="0"/>
          <w14:ligatures w14:val="none"/>
        </w:rPr>
      </w:pPr>
      <w:r w:rsidRPr="006130A0">
        <w:rPr>
          <w:rFonts w:eastAsia="Times New Roman" w:cs="Times New Roman"/>
          <w:b/>
          <w:bCs/>
          <w:kern w:val="0"/>
          <w14:ligatures w14:val="none"/>
        </w:rPr>
        <w:t>Average Wait Time:</w:t>
      </w:r>
      <w:r w:rsidRPr="006130A0">
        <w:rPr>
          <w:rFonts w:eastAsia="Times New Roman" w:cs="Times New Roman"/>
          <w:kern w:val="0"/>
          <w14:ligatures w14:val="none"/>
        </w:rPr>
        <w:t xml:space="preserve"> Tracks how long patients wait for appointments, ER visits, or treatments.</w:t>
      </w:r>
    </w:p>
    <w:p w14:paraId="12A4186B" w14:textId="77777777" w:rsidR="00AA77F6" w:rsidRPr="00AA77F6" w:rsidRDefault="00AA77F6" w:rsidP="00AA77F6">
      <w:pPr>
        <w:pStyle w:val="ListParagraph"/>
        <w:numPr>
          <w:ilvl w:val="0"/>
          <w:numId w:val="17"/>
        </w:numPr>
        <w:spacing w:before="100" w:beforeAutospacing="1" w:after="100" w:afterAutospacing="1" w:line="240" w:lineRule="auto"/>
        <w:outlineLvl w:val="2"/>
        <w:rPr>
          <w:rFonts w:eastAsia="Times New Roman" w:cs="Times New Roman"/>
          <w:b/>
          <w:bCs/>
          <w:kern w:val="0"/>
          <w14:ligatures w14:val="none"/>
        </w:rPr>
      </w:pPr>
      <w:r w:rsidRPr="00AA77F6">
        <w:rPr>
          <w:rFonts w:eastAsia="Times New Roman" w:cs="Times New Roman"/>
          <w:b/>
          <w:bCs/>
          <w:kern w:val="0"/>
          <w14:ligatures w14:val="none"/>
        </w:rPr>
        <w:t>Operational &amp; Efficiency KPIs</w:t>
      </w:r>
    </w:p>
    <w:p w14:paraId="3C496E6E" w14:textId="77777777" w:rsidR="00AA77F6" w:rsidRPr="00AA77F6" w:rsidRDefault="00AA77F6" w:rsidP="00AA77F6">
      <w:pPr>
        <w:pStyle w:val="ListParagraph"/>
        <w:numPr>
          <w:ilvl w:val="0"/>
          <w:numId w:val="21"/>
        </w:numPr>
        <w:spacing w:before="100" w:beforeAutospacing="1" w:after="100" w:afterAutospacing="1" w:line="240" w:lineRule="auto"/>
        <w:ind w:left="1080"/>
        <w:rPr>
          <w:rFonts w:eastAsia="Times New Roman" w:cs="Times New Roman"/>
          <w:kern w:val="0"/>
          <w14:ligatures w14:val="none"/>
        </w:rPr>
      </w:pPr>
      <w:r w:rsidRPr="00AA77F6">
        <w:rPr>
          <w:rFonts w:eastAsia="Times New Roman" w:cs="Times New Roman"/>
          <w:b/>
          <w:bCs/>
          <w:kern w:val="0"/>
          <w14:ligatures w14:val="none"/>
        </w:rPr>
        <w:t>Bed Occupancy Rate:</w:t>
      </w:r>
      <w:r w:rsidRPr="00AA77F6">
        <w:rPr>
          <w:rFonts w:eastAsia="Times New Roman" w:cs="Times New Roman"/>
          <w:kern w:val="0"/>
          <w14:ligatures w14:val="none"/>
        </w:rPr>
        <w:t xml:space="preserve"> Measures the percentage of hospital beds in use at a given time.</w:t>
      </w:r>
    </w:p>
    <w:p w14:paraId="681E3638" w14:textId="77777777" w:rsidR="00AA77F6" w:rsidRPr="00AA77F6" w:rsidRDefault="00AA77F6" w:rsidP="00AA77F6">
      <w:pPr>
        <w:pStyle w:val="ListParagraph"/>
        <w:numPr>
          <w:ilvl w:val="0"/>
          <w:numId w:val="21"/>
        </w:numPr>
        <w:spacing w:before="100" w:beforeAutospacing="1" w:after="100" w:afterAutospacing="1" w:line="240" w:lineRule="auto"/>
        <w:ind w:left="1080"/>
        <w:rPr>
          <w:rFonts w:eastAsia="Times New Roman" w:cs="Times New Roman"/>
          <w:kern w:val="0"/>
          <w14:ligatures w14:val="none"/>
        </w:rPr>
      </w:pPr>
      <w:r w:rsidRPr="00AA77F6">
        <w:rPr>
          <w:rFonts w:eastAsia="Times New Roman" w:cs="Times New Roman"/>
          <w:b/>
          <w:bCs/>
          <w:kern w:val="0"/>
          <w14:ligatures w14:val="none"/>
        </w:rPr>
        <w:t>Average Length of Stay (ALOS):</w:t>
      </w:r>
      <w:r w:rsidRPr="00AA77F6">
        <w:rPr>
          <w:rFonts w:eastAsia="Times New Roman" w:cs="Times New Roman"/>
          <w:kern w:val="0"/>
          <w14:ligatures w14:val="none"/>
        </w:rPr>
        <w:t xml:space="preserve"> Tracks the average number of days a patient stays in the hospital.</w:t>
      </w:r>
    </w:p>
    <w:p w14:paraId="6A12EE63" w14:textId="77777777" w:rsidR="00AA77F6" w:rsidRDefault="00AA77F6" w:rsidP="00AA77F6">
      <w:pPr>
        <w:pStyle w:val="ListParagraph"/>
        <w:numPr>
          <w:ilvl w:val="0"/>
          <w:numId w:val="21"/>
        </w:numPr>
        <w:spacing w:before="100" w:beforeAutospacing="1" w:after="100" w:afterAutospacing="1" w:line="240" w:lineRule="auto"/>
        <w:ind w:left="1080"/>
        <w:rPr>
          <w:rFonts w:eastAsia="Times New Roman" w:cs="Times New Roman"/>
          <w:kern w:val="0"/>
          <w14:ligatures w14:val="none"/>
        </w:rPr>
      </w:pPr>
      <w:r w:rsidRPr="00AA77F6">
        <w:rPr>
          <w:rFonts w:eastAsia="Times New Roman" w:cs="Times New Roman"/>
          <w:b/>
          <w:bCs/>
          <w:kern w:val="0"/>
          <w14:ligatures w14:val="none"/>
        </w:rPr>
        <w:t>Emergency Room (ER) Waiting Time:</w:t>
      </w:r>
      <w:r w:rsidRPr="00AA77F6">
        <w:rPr>
          <w:rFonts w:eastAsia="Times New Roman" w:cs="Times New Roman"/>
          <w:kern w:val="0"/>
          <w14:ligatures w14:val="none"/>
        </w:rPr>
        <w:t xml:space="preserve"> Assesses the time taken for a patient to receive care after arriving at the ER.</w:t>
      </w:r>
    </w:p>
    <w:p w14:paraId="1DCFEE33" w14:textId="77777777" w:rsidR="00BD1EB8" w:rsidRPr="00BD1EB8" w:rsidRDefault="00BD1EB8" w:rsidP="00BD1EB8">
      <w:pPr>
        <w:pStyle w:val="ListParagraph"/>
        <w:numPr>
          <w:ilvl w:val="0"/>
          <w:numId w:val="17"/>
        </w:numPr>
        <w:spacing w:before="100" w:beforeAutospacing="1" w:after="100" w:afterAutospacing="1" w:line="240" w:lineRule="auto"/>
        <w:jc w:val="both"/>
        <w:outlineLvl w:val="2"/>
        <w:rPr>
          <w:rFonts w:eastAsia="Times New Roman" w:cs="Times New Roman"/>
          <w:b/>
          <w:bCs/>
          <w:kern w:val="0"/>
          <w14:ligatures w14:val="none"/>
        </w:rPr>
      </w:pPr>
      <w:r w:rsidRPr="00BD1EB8">
        <w:rPr>
          <w:rFonts w:eastAsia="Times New Roman" w:cs="Times New Roman"/>
          <w:b/>
          <w:bCs/>
          <w:kern w:val="0"/>
          <w14:ligatures w14:val="none"/>
        </w:rPr>
        <w:t>Financial &amp; Compliance KPIs</w:t>
      </w:r>
    </w:p>
    <w:p w14:paraId="4CF1EE4C" w14:textId="77777777" w:rsidR="00BD1EB8" w:rsidRPr="00BD1EB8" w:rsidRDefault="00BD1EB8" w:rsidP="00BD1EB8">
      <w:pPr>
        <w:pStyle w:val="ListParagraph"/>
        <w:numPr>
          <w:ilvl w:val="0"/>
          <w:numId w:val="23"/>
        </w:numPr>
        <w:spacing w:before="100" w:beforeAutospacing="1" w:after="100" w:afterAutospacing="1" w:line="240" w:lineRule="auto"/>
        <w:jc w:val="both"/>
        <w:rPr>
          <w:rFonts w:eastAsia="Times New Roman" w:cs="Times New Roman"/>
          <w:kern w:val="0"/>
          <w14:ligatures w14:val="none"/>
        </w:rPr>
      </w:pPr>
      <w:r w:rsidRPr="00BD1EB8">
        <w:rPr>
          <w:rFonts w:eastAsia="Times New Roman" w:cs="Times New Roman"/>
          <w:b/>
          <w:bCs/>
          <w:kern w:val="0"/>
          <w14:ligatures w14:val="none"/>
        </w:rPr>
        <w:t>Cost per Patient:</w:t>
      </w:r>
      <w:r w:rsidRPr="00BD1EB8">
        <w:rPr>
          <w:rFonts w:eastAsia="Times New Roman" w:cs="Times New Roman"/>
          <w:kern w:val="0"/>
          <w14:ligatures w14:val="none"/>
        </w:rPr>
        <w:t xml:space="preserve"> Measures the average cost of treating a patient.</w:t>
      </w:r>
    </w:p>
    <w:p w14:paraId="784FB64B" w14:textId="77777777" w:rsidR="00BD1EB8" w:rsidRPr="00BD1EB8" w:rsidRDefault="00BD1EB8" w:rsidP="00BD1EB8">
      <w:pPr>
        <w:pStyle w:val="ListParagraph"/>
        <w:numPr>
          <w:ilvl w:val="0"/>
          <w:numId w:val="23"/>
        </w:numPr>
        <w:spacing w:before="100" w:beforeAutospacing="1" w:after="100" w:afterAutospacing="1" w:line="240" w:lineRule="auto"/>
        <w:jc w:val="both"/>
        <w:rPr>
          <w:rFonts w:eastAsia="Times New Roman" w:cs="Times New Roman"/>
          <w:kern w:val="0"/>
          <w14:ligatures w14:val="none"/>
        </w:rPr>
      </w:pPr>
      <w:r w:rsidRPr="00BD1EB8">
        <w:rPr>
          <w:rFonts w:eastAsia="Times New Roman" w:cs="Times New Roman"/>
          <w:b/>
          <w:bCs/>
          <w:kern w:val="0"/>
          <w14:ligatures w14:val="none"/>
        </w:rPr>
        <w:t>Claims Denial Rate:</w:t>
      </w:r>
      <w:r w:rsidRPr="00BD1EB8">
        <w:rPr>
          <w:rFonts w:eastAsia="Times New Roman" w:cs="Times New Roman"/>
          <w:kern w:val="0"/>
          <w14:ligatures w14:val="none"/>
        </w:rPr>
        <w:t xml:space="preserve"> Tracks the percentage of denied insurance claims, highlighting revenue cycle efficiency.</w:t>
      </w:r>
    </w:p>
    <w:p w14:paraId="25114F89" w14:textId="77777777" w:rsidR="00BD1EB8" w:rsidRPr="00BD1EB8" w:rsidRDefault="00BD1EB8" w:rsidP="00BD1EB8">
      <w:pPr>
        <w:pStyle w:val="ListParagraph"/>
        <w:numPr>
          <w:ilvl w:val="0"/>
          <w:numId w:val="23"/>
        </w:numPr>
        <w:spacing w:before="100" w:beforeAutospacing="1" w:after="100" w:afterAutospacing="1" w:line="240" w:lineRule="auto"/>
        <w:jc w:val="both"/>
        <w:rPr>
          <w:rFonts w:eastAsia="Times New Roman" w:cs="Times New Roman"/>
          <w:kern w:val="0"/>
          <w14:ligatures w14:val="none"/>
        </w:rPr>
      </w:pPr>
      <w:r w:rsidRPr="00BD1EB8">
        <w:rPr>
          <w:rFonts w:eastAsia="Times New Roman" w:cs="Times New Roman"/>
          <w:b/>
          <w:bCs/>
          <w:kern w:val="0"/>
          <w14:ligatures w14:val="none"/>
        </w:rPr>
        <w:lastRenderedPageBreak/>
        <w:t>Regulatory Compliance Rate:</w:t>
      </w:r>
      <w:r w:rsidRPr="00BD1EB8">
        <w:rPr>
          <w:rFonts w:eastAsia="Times New Roman" w:cs="Times New Roman"/>
          <w:kern w:val="0"/>
          <w14:ligatures w14:val="none"/>
        </w:rPr>
        <w:t xml:space="preserve"> Ensures adherence to healthcare regulations (e.g., HIPAA, Joint Commission).</w:t>
      </w:r>
    </w:p>
    <w:p w14:paraId="0B9DD9C0" w14:textId="77777777" w:rsidR="00113C27" w:rsidRPr="00113C27" w:rsidRDefault="00113C27" w:rsidP="00113C27">
      <w:pPr>
        <w:pStyle w:val="ListParagraph"/>
        <w:numPr>
          <w:ilvl w:val="0"/>
          <w:numId w:val="17"/>
        </w:numPr>
        <w:spacing w:before="100" w:beforeAutospacing="1" w:after="100" w:afterAutospacing="1" w:line="240" w:lineRule="auto"/>
        <w:outlineLvl w:val="2"/>
        <w:rPr>
          <w:rFonts w:eastAsia="Times New Roman" w:cs="Times New Roman"/>
          <w:kern w:val="0"/>
          <w14:ligatures w14:val="none"/>
        </w:rPr>
      </w:pPr>
      <w:r w:rsidRPr="00113C27">
        <w:rPr>
          <w:rFonts w:eastAsia="Times New Roman" w:cs="Times New Roman"/>
          <w:b/>
          <w:bCs/>
          <w:kern w:val="0"/>
          <w14:ligatures w14:val="none"/>
        </w:rPr>
        <w:t>Clinical Effectiveness KPIs</w:t>
      </w:r>
    </w:p>
    <w:p w14:paraId="0B6197A6" w14:textId="1032E592" w:rsidR="00113C27" w:rsidRPr="00113C27" w:rsidRDefault="00113C27" w:rsidP="008869FB">
      <w:pPr>
        <w:pStyle w:val="ListParagraph"/>
        <w:numPr>
          <w:ilvl w:val="0"/>
          <w:numId w:val="25"/>
        </w:numPr>
        <w:spacing w:before="100" w:beforeAutospacing="1" w:after="100" w:afterAutospacing="1" w:line="240" w:lineRule="auto"/>
        <w:outlineLvl w:val="2"/>
        <w:rPr>
          <w:rFonts w:eastAsia="Times New Roman" w:cs="Times New Roman"/>
          <w:kern w:val="0"/>
          <w14:ligatures w14:val="none"/>
        </w:rPr>
      </w:pPr>
      <w:r w:rsidRPr="00113C27">
        <w:rPr>
          <w:rFonts w:eastAsia="Times New Roman" w:cs="Times New Roman"/>
          <w:b/>
          <w:bCs/>
          <w:kern w:val="0"/>
          <w14:ligatures w14:val="none"/>
        </w:rPr>
        <w:t>Mortality Rate:</w:t>
      </w:r>
      <w:r w:rsidRPr="00113C27">
        <w:rPr>
          <w:rFonts w:eastAsia="Times New Roman" w:cs="Times New Roman"/>
          <w:kern w:val="0"/>
          <w14:ligatures w14:val="none"/>
        </w:rPr>
        <w:t xml:space="preserve"> Measures the percentage of patients who die while in care.</w:t>
      </w:r>
    </w:p>
    <w:p w14:paraId="3A036B8F" w14:textId="77777777" w:rsidR="00113C27" w:rsidRPr="00113C27" w:rsidRDefault="00113C27" w:rsidP="00113C27">
      <w:pPr>
        <w:numPr>
          <w:ilvl w:val="0"/>
          <w:numId w:val="25"/>
        </w:numPr>
        <w:spacing w:before="100" w:beforeAutospacing="1" w:after="100" w:afterAutospacing="1" w:line="240" w:lineRule="auto"/>
        <w:rPr>
          <w:rFonts w:eastAsia="Times New Roman" w:cs="Times New Roman"/>
          <w:kern w:val="0"/>
          <w14:ligatures w14:val="none"/>
        </w:rPr>
      </w:pPr>
      <w:r w:rsidRPr="00113C27">
        <w:rPr>
          <w:rFonts w:eastAsia="Times New Roman" w:cs="Times New Roman"/>
          <w:b/>
          <w:bCs/>
          <w:kern w:val="0"/>
          <w14:ligatures w14:val="none"/>
        </w:rPr>
        <w:t>Treatment Adherence Rate:</w:t>
      </w:r>
      <w:r w:rsidRPr="00113C27">
        <w:rPr>
          <w:rFonts w:eastAsia="Times New Roman" w:cs="Times New Roman"/>
          <w:kern w:val="0"/>
          <w14:ligatures w14:val="none"/>
        </w:rPr>
        <w:t xml:space="preserve"> Tracks whether patients follow prescribed treatment plans.</w:t>
      </w:r>
    </w:p>
    <w:p w14:paraId="304225E4" w14:textId="77777777" w:rsidR="00113C27" w:rsidRPr="00113C27" w:rsidRDefault="00113C27" w:rsidP="00113C27">
      <w:pPr>
        <w:numPr>
          <w:ilvl w:val="0"/>
          <w:numId w:val="25"/>
        </w:numPr>
        <w:spacing w:before="100" w:beforeAutospacing="1" w:after="100" w:afterAutospacing="1" w:line="240" w:lineRule="auto"/>
        <w:rPr>
          <w:rFonts w:eastAsia="Times New Roman" w:cs="Times New Roman"/>
          <w:kern w:val="0"/>
          <w14:ligatures w14:val="none"/>
        </w:rPr>
      </w:pPr>
      <w:r w:rsidRPr="00113C27">
        <w:rPr>
          <w:rFonts w:eastAsia="Times New Roman" w:cs="Times New Roman"/>
          <w:b/>
          <w:bCs/>
          <w:kern w:val="0"/>
          <w14:ligatures w14:val="none"/>
        </w:rPr>
        <w:t>Vaccination Coverage Rate:</w:t>
      </w:r>
      <w:r w:rsidRPr="00113C27">
        <w:rPr>
          <w:rFonts w:eastAsia="Times New Roman" w:cs="Times New Roman"/>
          <w:kern w:val="0"/>
          <w14:ligatures w14:val="none"/>
        </w:rPr>
        <w:t xml:space="preserve"> Measures the percentage of eligible patients receiving vaccines (e.g., flu, COVID-19).</w:t>
      </w:r>
    </w:p>
    <w:p w14:paraId="060D753C" w14:textId="334A4668" w:rsidR="00AA77F6" w:rsidRPr="00113C27" w:rsidRDefault="00551071" w:rsidP="00551071">
      <w:pPr>
        <w:spacing w:before="100" w:beforeAutospacing="1" w:after="100" w:afterAutospacing="1" w:line="240" w:lineRule="auto"/>
        <w:jc w:val="both"/>
        <w:rPr>
          <w:rFonts w:eastAsia="Times New Roman" w:cs="Times New Roman"/>
          <w:kern w:val="0"/>
          <w14:ligatures w14:val="none"/>
        </w:rPr>
      </w:pPr>
      <w:r w:rsidRPr="00551071">
        <w:rPr>
          <w:rFonts w:eastAsia="Times New Roman" w:cs="Times New Roman"/>
          <w:kern w:val="0"/>
          <w14:ligatures w14:val="none"/>
        </w:rPr>
        <w:t xml:space="preserve">By monitoring these KPIs, healthcare providers can enhance </w:t>
      </w:r>
      <w:r w:rsidRPr="00551071">
        <w:rPr>
          <w:rFonts w:eastAsia="Times New Roman" w:cs="Times New Roman"/>
          <w:b/>
          <w:bCs/>
          <w:kern w:val="0"/>
          <w14:ligatures w14:val="none"/>
        </w:rPr>
        <w:t>patient safety, operational efficiency, and overall quality of care.</w:t>
      </w:r>
    </w:p>
    <w:p w14:paraId="24A517EE" w14:textId="77777777" w:rsidR="000C48EC" w:rsidRPr="00113C27" w:rsidRDefault="000C48EC" w:rsidP="00AA77F6">
      <w:pPr>
        <w:ind w:left="360"/>
        <w:jc w:val="both"/>
      </w:pPr>
    </w:p>
    <w:p w14:paraId="15E01404" w14:textId="77777777" w:rsidR="00192E05" w:rsidRPr="00A937CD" w:rsidRDefault="00192E05" w:rsidP="00196E6D">
      <w:pPr>
        <w:jc w:val="both"/>
      </w:pPr>
    </w:p>
    <w:sectPr w:rsidR="00192E05" w:rsidRPr="00A93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41DED"/>
    <w:multiLevelType w:val="multilevel"/>
    <w:tmpl w:val="62E42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372E4"/>
    <w:multiLevelType w:val="multilevel"/>
    <w:tmpl w:val="E802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3918AE"/>
    <w:multiLevelType w:val="multilevel"/>
    <w:tmpl w:val="206C1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F769E"/>
    <w:multiLevelType w:val="hybridMultilevel"/>
    <w:tmpl w:val="9FB8E3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104EB1"/>
    <w:multiLevelType w:val="hybridMultilevel"/>
    <w:tmpl w:val="AA32EB32"/>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0D385FBE"/>
    <w:multiLevelType w:val="multilevel"/>
    <w:tmpl w:val="90548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532F03"/>
    <w:multiLevelType w:val="multilevel"/>
    <w:tmpl w:val="8DF6ADA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19DA775C"/>
    <w:multiLevelType w:val="hybridMultilevel"/>
    <w:tmpl w:val="9E50D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0EAC"/>
    <w:multiLevelType w:val="multilevel"/>
    <w:tmpl w:val="1A660F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0272C0"/>
    <w:multiLevelType w:val="multilevel"/>
    <w:tmpl w:val="1E40F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64775"/>
    <w:multiLevelType w:val="multilevel"/>
    <w:tmpl w:val="0AB40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7225A5"/>
    <w:multiLevelType w:val="hybridMultilevel"/>
    <w:tmpl w:val="D018D9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2996EE0"/>
    <w:multiLevelType w:val="hybridMultilevel"/>
    <w:tmpl w:val="98C43C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64A30BE"/>
    <w:multiLevelType w:val="multilevel"/>
    <w:tmpl w:val="36BA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626F92"/>
    <w:multiLevelType w:val="hybridMultilevel"/>
    <w:tmpl w:val="FB8CF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8B538E"/>
    <w:multiLevelType w:val="hybridMultilevel"/>
    <w:tmpl w:val="50821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FD4D6A"/>
    <w:multiLevelType w:val="multilevel"/>
    <w:tmpl w:val="561AB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C71612"/>
    <w:multiLevelType w:val="hybridMultilevel"/>
    <w:tmpl w:val="F0E4F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E21CDE"/>
    <w:multiLevelType w:val="multilevel"/>
    <w:tmpl w:val="43301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EF0F99"/>
    <w:multiLevelType w:val="multilevel"/>
    <w:tmpl w:val="4268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770C9D"/>
    <w:multiLevelType w:val="multilevel"/>
    <w:tmpl w:val="1570A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EE4029"/>
    <w:multiLevelType w:val="hybridMultilevel"/>
    <w:tmpl w:val="B41C2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CB2DF9"/>
    <w:multiLevelType w:val="multilevel"/>
    <w:tmpl w:val="E464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0F6733"/>
    <w:multiLevelType w:val="multilevel"/>
    <w:tmpl w:val="C22CC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A5618B"/>
    <w:multiLevelType w:val="hybridMultilevel"/>
    <w:tmpl w:val="F7E4A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958807">
    <w:abstractNumId w:val="21"/>
  </w:num>
  <w:num w:numId="2" w16cid:durableId="910382460">
    <w:abstractNumId w:val="18"/>
  </w:num>
  <w:num w:numId="3" w16cid:durableId="1069116167">
    <w:abstractNumId w:val="15"/>
  </w:num>
  <w:num w:numId="4" w16cid:durableId="886525158">
    <w:abstractNumId w:val="1"/>
  </w:num>
  <w:num w:numId="5" w16cid:durableId="1157571407">
    <w:abstractNumId w:val="8"/>
  </w:num>
  <w:num w:numId="6" w16cid:durableId="1556547638">
    <w:abstractNumId w:val="14"/>
  </w:num>
  <w:num w:numId="7" w16cid:durableId="673337765">
    <w:abstractNumId w:val="20"/>
  </w:num>
  <w:num w:numId="8" w16cid:durableId="1073888863">
    <w:abstractNumId w:val="3"/>
  </w:num>
  <w:num w:numId="9" w16cid:durableId="1434394873">
    <w:abstractNumId w:val="7"/>
  </w:num>
  <w:num w:numId="10" w16cid:durableId="173954922">
    <w:abstractNumId w:val="10"/>
  </w:num>
  <w:num w:numId="11" w16cid:durableId="9458342">
    <w:abstractNumId w:val="23"/>
  </w:num>
  <w:num w:numId="12" w16cid:durableId="360521056">
    <w:abstractNumId w:val="22"/>
  </w:num>
  <w:num w:numId="13" w16cid:durableId="155153360">
    <w:abstractNumId w:val="0"/>
  </w:num>
  <w:num w:numId="14" w16cid:durableId="762452529">
    <w:abstractNumId w:val="2"/>
  </w:num>
  <w:num w:numId="15" w16cid:durableId="78335287">
    <w:abstractNumId w:val="13"/>
  </w:num>
  <w:num w:numId="16" w16cid:durableId="1202592309">
    <w:abstractNumId w:val="6"/>
  </w:num>
  <w:num w:numId="17" w16cid:durableId="225067742">
    <w:abstractNumId w:val="24"/>
  </w:num>
  <w:num w:numId="18" w16cid:durableId="1085809974">
    <w:abstractNumId w:val="16"/>
  </w:num>
  <w:num w:numId="19" w16cid:durableId="473566679">
    <w:abstractNumId w:val="12"/>
  </w:num>
  <w:num w:numId="20" w16cid:durableId="1588267699">
    <w:abstractNumId w:val="5"/>
  </w:num>
  <w:num w:numId="21" w16cid:durableId="1037392656">
    <w:abstractNumId w:val="17"/>
  </w:num>
  <w:num w:numId="22" w16cid:durableId="522983734">
    <w:abstractNumId w:val="9"/>
  </w:num>
  <w:num w:numId="23" w16cid:durableId="471560683">
    <w:abstractNumId w:val="11"/>
  </w:num>
  <w:num w:numId="24" w16cid:durableId="646476080">
    <w:abstractNumId w:val="19"/>
  </w:num>
  <w:num w:numId="25" w16cid:durableId="2653811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9D9"/>
    <w:rsid w:val="00020E78"/>
    <w:rsid w:val="00092D52"/>
    <w:rsid w:val="000C48EC"/>
    <w:rsid w:val="00113C27"/>
    <w:rsid w:val="00170E74"/>
    <w:rsid w:val="00192E05"/>
    <w:rsid w:val="00196E6D"/>
    <w:rsid w:val="001A184D"/>
    <w:rsid w:val="001B2D03"/>
    <w:rsid w:val="001D15FF"/>
    <w:rsid w:val="00251E30"/>
    <w:rsid w:val="002D64A3"/>
    <w:rsid w:val="003036C4"/>
    <w:rsid w:val="00347FA9"/>
    <w:rsid w:val="0037710D"/>
    <w:rsid w:val="003853BF"/>
    <w:rsid w:val="00385FED"/>
    <w:rsid w:val="003D310B"/>
    <w:rsid w:val="003D6709"/>
    <w:rsid w:val="00417F33"/>
    <w:rsid w:val="00460B74"/>
    <w:rsid w:val="00472C05"/>
    <w:rsid w:val="00481498"/>
    <w:rsid w:val="004F0CCE"/>
    <w:rsid w:val="004F6F6C"/>
    <w:rsid w:val="00551071"/>
    <w:rsid w:val="005570F6"/>
    <w:rsid w:val="00572E9F"/>
    <w:rsid w:val="00593C4D"/>
    <w:rsid w:val="005E69D9"/>
    <w:rsid w:val="005F74EA"/>
    <w:rsid w:val="006130A0"/>
    <w:rsid w:val="00664C8B"/>
    <w:rsid w:val="006E6B5A"/>
    <w:rsid w:val="006F2D24"/>
    <w:rsid w:val="00716185"/>
    <w:rsid w:val="00777648"/>
    <w:rsid w:val="00787E06"/>
    <w:rsid w:val="007915CC"/>
    <w:rsid w:val="0080061E"/>
    <w:rsid w:val="0080777B"/>
    <w:rsid w:val="00811979"/>
    <w:rsid w:val="0085534E"/>
    <w:rsid w:val="008E2557"/>
    <w:rsid w:val="009049A7"/>
    <w:rsid w:val="00971975"/>
    <w:rsid w:val="0099761B"/>
    <w:rsid w:val="009B68EB"/>
    <w:rsid w:val="009F645A"/>
    <w:rsid w:val="00A937CD"/>
    <w:rsid w:val="00AA77F6"/>
    <w:rsid w:val="00BD1EB8"/>
    <w:rsid w:val="00BD5F60"/>
    <w:rsid w:val="00BE104D"/>
    <w:rsid w:val="00CF5E31"/>
    <w:rsid w:val="00D26141"/>
    <w:rsid w:val="00D5014D"/>
    <w:rsid w:val="00DA6A83"/>
    <w:rsid w:val="00DB2461"/>
    <w:rsid w:val="00DE03FB"/>
    <w:rsid w:val="00E738BB"/>
    <w:rsid w:val="00E74331"/>
    <w:rsid w:val="00EC5D70"/>
    <w:rsid w:val="00F17E1F"/>
    <w:rsid w:val="00F45DC9"/>
    <w:rsid w:val="00F74137"/>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91A50"/>
  <w15:chartTrackingRefBased/>
  <w15:docId w15:val="{8C7168B5-ABD0-4B2A-88E1-8F0EB184F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6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6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6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6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6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6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6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6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6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6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6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6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69D9"/>
    <w:rPr>
      <w:rFonts w:eastAsiaTheme="majorEastAsia" w:cstheme="majorBidi"/>
      <w:color w:val="272727" w:themeColor="text1" w:themeTint="D8"/>
    </w:rPr>
  </w:style>
  <w:style w:type="paragraph" w:styleId="Title">
    <w:name w:val="Title"/>
    <w:basedOn w:val="Normal"/>
    <w:next w:val="Normal"/>
    <w:link w:val="TitleChar"/>
    <w:uiPriority w:val="10"/>
    <w:qFormat/>
    <w:rsid w:val="005E6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6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6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6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9D9"/>
    <w:pPr>
      <w:spacing w:before="160"/>
      <w:jc w:val="center"/>
    </w:pPr>
    <w:rPr>
      <w:i/>
      <w:iCs/>
      <w:color w:val="404040" w:themeColor="text1" w:themeTint="BF"/>
    </w:rPr>
  </w:style>
  <w:style w:type="character" w:customStyle="1" w:styleId="QuoteChar">
    <w:name w:val="Quote Char"/>
    <w:basedOn w:val="DefaultParagraphFont"/>
    <w:link w:val="Quote"/>
    <w:uiPriority w:val="29"/>
    <w:rsid w:val="005E69D9"/>
    <w:rPr>
      <w:i/>
      <w:iCs/>
      <w:color w:val="404040" w:themeColor="text1" w:themeTint="BF"/>
    </w:rPr>
  </w:style>
  <w:style w:type="paragraph" w:styleId="ListParagraph">
    <w:name w:val="List Paragraph"/>
    <w:basedOn w:val="Normal"/>
    <w:uiPriority w:val="34"/>
    <w:qFormat/>
    <w:rsid w:val="005E69D9"/>
    <w:pPr>
      <w:ind w:left="720"/>
      <w:contextualSpacing/>
    </w:pPr>
  </w:style>
  <w:style w:type="character" w:styleId="IntenseEmphasis">
    <w:name w:val="Intense Emphasis"/>
    <w:basedOn w:val="DefaultParagraphFont"/>
    <w:uiPriority w:val="21"/>
    <w:qFormat/>
    <w:rsid w:val="005E69D9"/>
    <w:rPr>
      <w:i/>
      <w:iCs/>
      <w:color w:val="0F4761" w:themeColor="accent1" w:themeShade="BF"/>
    </w:rPr>
  </w:style>
  <w:style w:type="paragraph" w:styleId="IntenseQuote">
    <w:name w:val="Intense Quote"/>
    <w:basedOn w:val="Normal"/>
    <w:next w:val="Normal"/>
    <w:link w:val="IntenseQuoteChar"/>
    <w:uiPriority w:val="30"/>
    <w:qFormat/>
    <w:rsid w:val="005E6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69D9"/>
    <w:rPr>
      <w:i/>
      <w:iCs/>
      <w:color w:val="0F4761" w:themeColor="accent1" w:themeShade="BF"/>
    </w:rPr>
  </w:style>
  <w:style w:type="character" w:styleId="IntenseReference">
    <w:name w:val="Intense Reference"/>
    <w:basedOn w:val="DefaultParagraphFont"/>
    <w:uiPriority w:val="32"/>
    <w:qFormat/>
    <w:rsid w:val="005E69D9"/>
    <w:rPr>
      <w:b/>
      <w:bCs/>
      <w:smallCaps/>
      <w:color w:val="0F4761" w:themeColor="accent1" w:themeShade="BF"/>
      <w:spacing w:val="5"/>
    </w:rPr>
  </w:style>
  <w:style w:type="character" w:styleId="Hyperlink">
    <w:name w:val="Hyperlink"/>
    <w:basedOn w:val="DefaultParagraphFont"/>
    <w:uiPriority w:val="99"/>
    <w:unhideWhenUsed/>
    <w:rsid w:val="00251E30"/>
    <w:rPr>
      <w:color w:val="467886" w:themeColor="hyperlink"/>
      <w:u w:val="single"/>
    </w:rPr>
  </w:style>
  <w:style w:type="character" w:styleId="UnresolvedMention">
    <w:name w:val="Unresolved Mention"/>
    <w:basedOn w:val="DefaultParagraphFont"/>
    <w:uiPriority w:val="99"/>
    <w:semiHidden/>
    <w:unhideWhenUsed/>
    <w:rsid w:val="00251E30"/>
    <w:rPr>
      <w:color w:val="605E5C"/>
      <w:shd w:val="clear" w:color="auto" w:fill="E1DFDD"/>
    </w:rPr>
  </w:style>
  <w:style w:type="character" w:styleId="FollowedHyperlink">
    <w:name w:val="FollowedHyperlink"/>
    <w:basedOn w:val="DefaultParagraphFont"/>
    <w:uiPriority w:val="99"/>
    <w:semiHidden/>
    <w:unhideWhenUsed/>
    <w:rsid w:val="003853BF"/>
    <w:rPr>
      <w:color w:val="96607D" w:themeColor="followedHyperlink"/>
      <w:u w:val="single"/>
    </w:rPr>
  </w:style>
  <w:style w:type="character" w:styleId="Strong">
    <w:name w:val="Strong"/>
    <w:basedOn w:val="DefaultParagraphFont"/>
    <w:uiPriority w:val="22"/>
    <w:qFormat/>
    <w:rsid w:val="009976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366315">
      <w:bodyDiv w:val="1"/>
      <w:marLeft w:val="0"/>
      <w:marRight w:val="0"/>
      <w:marTop w:val="0"/>
      <w:marBottom w:val="0"/>
      <w:divBdr>
        <w:top w:val="none" w:sz="0" w:space="0" w:color="auto"/>
        <w:left w:val="none" w:sz="0" w:space="0" w:color="auto"/>
        <w:bottom w:val="none" w:sz="0" w:space="0" w:color="auto"/>
        <w:right w:val="none" w:sz="0" w:space="0" w:color="auto"/>
      </w:divBdr>
    </w:div>
    <w:div w:id="117991754">
      <w:bodyDiv w:val="1"/>
      <w:marLeft w:val="0"/>
      <w:marRight w:val="0"/>
      <w:marTop w:val="0"/>
      <w:marBottom w:val="0"/>
      <w:divBdr>
        <w:top w:val="none" w:sz="0" w:space="0" w:color="auto"/>
        <w:left w:val="none" w:sz="0" w:space="0" w:color="auto"/>
        <w:bottom w:val="none" w:sz="0" w:space="0" w:color="auto"/>
        <w:right w:val="none" w:sz="0" w:space="0" w:color="auto"/>
      </w:divBdr>
    </w:div>
    <w:div w:id="121191461">
      <w:bodyDiv w:val="1"/>
      <w:marLeft w:val="0"/>
      <w:marRight w:val="0"/>
      <w:marTop w:val="0"/>
      <w:marBottom w:val="0"/>
      <w:divBdr>
        <w:top w:val="none" w:sz="0" w:space="0" w:color="auto"/>
        <w:left w:val="none" w:sz="0" w:space="0" w:color="auto"/>
        <w:bottom w:val="none" w:sz="0" w:space="0" w:color="auto"/>
        <w:right w:val="none" w:sz="0" w:space="0" w:color="auto"/>
      </w:divBdr>
    </w:div>
    <w:div w:id="191387640">
      <w:bodyDiv w:val="1"/>
      <w:marLeft w:val="0"/>
      <w:marRight w:val="0"/>
      <w:marTop w:val="0"/>
      <w:marBottom w:val="0"/>
      <w:divBdr>
        <w:top w:val="none" w:sz="0" w:space="0" w:color="auto"/>
        <w:left w:val="none" w:sz="0" w:space="0" w:color="auto"/>
        <w:bottom w:val="none" w:sz="0" w:space="0" w:color="auto"/>
        <w:right w:val="none" w:sz="0" w:space="0" w:color="auto"/>
      </w:divBdr>
    </w:div>
    <w:div w:id="409232400">
      <w:bodyDiv w:val="1"/>
      <w:marLeft w:val="0"/>
      <w:marRight w:val="0"/>
      <w:marTop w:val="0"/>
      <w:marBottom w:val="0"/>
      <w:divBdr>
        <w:top w:val="none" w:sz="0" w:space="0" w:color="auto"/>
        <w:left w:val="none" w:sz="0" w:space="0" w:color="auto"/>
        <w:bottom w:val="none" w:sz="0" w:space="0" w:color="auto"/>
        <w:right w:val="none" w:sz="0" w:space="0" w:color="auto"/>
      </w:divBdr>
    </w:div>
    <w:div w:id="461578520">
      <w:bodyDiv w:val="1"/>
      <w:marLeft w:val="0"/>
      <w:marRight w:val="0"/>
      <w:marTop w:val="0"/>
      <w:marBottom w:val="0"/>
      <w:divBdr>
        <w:top w:val="none" w:sz="0" w:space="0" w:color="auto"/>
        <w:left w:val="none" w:sz="0" w:space="0" w:color="auto"/>
        <w:bottom w:val="none" w:sz="0" w:space="0" w:color="auto"/>
        <w:right w:val="none" w:sz="0" w:space="0" w:color="auto"/>
      </w:divBdr>
    </w:div>
    <w:div w:id="581449681">
      <w:bodyDiv w:val="1"/>
      <w:marLeft w:val="0"/>
      <w:marRight w:val="0"/>
      <w:marTop w:val="0"/>
      <w:marBottom w:val="0"/>
      <w:divBdr>
        <w:top w:val="none" w:sz="0" w:space="0" w:color="auto"/>
        <w:left w:val="none" w:sz="0" w:space="0" w:color="auto"/>
        <w:bottom w:val="none" w:sz="0" w:space="0" w:color="auto"/>
        <w:right w:val="none" w:sz="0" w:space="0" w:color="auto"/>
      </w:divBdr>
    </w:div>
    <w:div w:id="716591616">
      <w:bodyDiv w:val="1"/>
      <w:marLeft w:val="0"/>
      <w:marRight w:val="0"/>
      <w:marTop w:val="0"/>
      <w:marBottom w:val="0"/>
      <w:divBdr>
        <w:top w:val="none" w:sz="0" w:space="0" w:color="auto"/>
        <w:left w:val="none" w:sz="0" w:space="0" w:color="auto"/>
        <w:bottom w:val="none" w:sz="0" w:space="0" w:color="auto"/>
        <w:right w:val="none" w:sz="0" w:space="0" w:color="auto"/>
      </w:divBdr>
    </w:div>
    <w:div w:id="834800666">
      <w:bodyDiv w:val="1"/>
      <w:marLeft w:val="0"/>
      <w:marRight w:val="0"/>
      <w:marTop w:val="0"/>
      <w:marBottom w:val="0"/>
      <w:divBdr>
        <w:top w:val="none" w:sz="0" w:space="0" w:color="auto"/>
        <w:left w:val="none" w:sz="0" w:space="0" w:color="auto"/>
        <w:bottom w:val="none" w:sz="0" w:space="0" w:color="auto"/>
        <w:right w:val="none" w:sz="0" w:space="0" w:color="auto"/>
      </w:divBdr>
    </w:div>
    <w:div w:id="873227816">
      <w:bodyDiv w:val="1"/>
      <w:marLeft w:val="0"/>
      <w:marRight w:val="0"/>
      <w:marTop w:val="0"/>
      <w:marBottom w:val="0"/>
      <w:divBdr>
        <w:top w:val="none" w:sz="0" w:space="0" w:color="auto"/>
        <w:left w:val="none" w:sz="0" w:space="0" w:color="auto"/>
        <w:bottom w:val="none" w:sz="0" w:space="0" w:color="auto"/>
        <w:right w:val="none" w:sz="0" w:space="0" w:color="auto"/>
      </w:divBdr>
    </w:div>
    <w:div w:id="874734850">
      <w:bodyDiv w:val="1"/>
      <w:marLeft w:val="0"/>
      <w:marRight w:val="0"/>
      <w:marTop w:val="0"/>
      <w:marBottom w:val="0"/>
      <w:divBdr>
        <w:top w:val="none" w:sz="0" w:space="0" w:color="auto"/>
        <w:left w:val="none" w:sz="0" w:space="0" w:color="auto"/>
        <w:bottom w:val="none" w:sz="0" w:space="0" w:color="auto"/>
        <w:right w:val="none" w:sz="0" w:space="0" w:color="auto"/>
      </w:divBdr>
    </w:div>
    <w:div w:id="922495464">
      <w:bodyDiv w:val="1"/>
      <w:marLeft w:val="0"/>
      <w:marRight w:val="0"/>
      <w:marTop w:val="0"/>
      <w:marBottom w:val="0"/>
      <w:divBdr>
        <w:top w:val="none" w:sz="0" w:space="0" w:color="auto"/>
        <w:left w:val="none" w:sz="0" w:space="0" w:color="auto"/>
        <w:bottom w:val="none" w:sz="0" w:space="0" w:color="auto"/>
        <w:right w:val="none" w:sz="0" w:space="0" w:color="auto"/>
      </w:divBdr>
    </w:div>
    <w:div w:id="1096442339">
      <w:bodyDiv w:val="1"/>
      <w:marLeft w:val="0"/>
      <w:marRight w:val="0"/>
      <w:marTop w:val="0"/>
      <w:marBottom w:val="0"/>
      <w:divBdr>
        <w:top w:val="none" w:sz="0" w:space="0" w:color="auto"/>
        <w:left w:val="none" w:sz="0" w:space="0" w:color="auto"/>
        <w:bottom w:val="none" w:sz="0" w:space="0" w:color="auto"/>
        <w:right w:val="none" w:sz="0" w:space="0" w:color="auto"/>
      </w:divBdr>
    </w:div>
    <w:div w:id="1129321954">
      <w:bodyDiv w:val="1"/>
      <w:marLeft w:val="0"/>
      <w:marRight w:val="0"/>
      <w:marTop w:val="0"/>
      <w:marBottom w:val="0"/>
      <w:divBdr>
        <w:top w:val="none" w:sz="0" w:space="0" w:color="auto"/>
        <w:left w:val="none" w:sz="0" w:space="0" w:color="auto"/>
        <w:bottom w:val="none" w:sz="0" w:space="0" w:color="auto"/>
        <w:right w:val="none" w:sz="0" w:space="0" w:color="auto"/>
      </w:divBdr>
    </w:div>
    <w:div w:id="1170563274">
      <w:bodyDiv w:val="1"/>
      <w:marLeft w:val="0"/>
      <w:marRight w:val="0"/>
      <w:marTop w:val="0"/>
      <w:marBottom w:val="0"/>
      <w:divBdr>
        <w:top w:val="none" w:sz="0" w:space="0" w:color="auto"/>
        <w:left w:val="none" w:sz="0" w:space="0" w:color="auto"/>
        <w:bottom w:val="none" w:sz="0" w:space="0" w:color="auto"/>
        <w:right w:val="none" w:sz="0" w:space="0" w:color="auto"/>
      </w:divBdr>
    </w:div>
    <w:div w:id="1174488915">
      <w:bodyDiv w:val="1"/>
      <w:marLeft w:val="0"/>
      <w:marRight w:val="0"/>
      <w:marTop w:val="0"/>
      <w:marBottom w:val="0"/>
      <w:divBdr>
        <w:top w:val="none" w:sz="0" w:space="0" w:color="auto"/>
        <w:left w:val="none" w:sz="0" w:space="0" w:color="auto"/>
        <w:bottom w:val="none" w:sz="0" w:space="0" w:color="auto"/>
        <w:right w:val="none" w:sz="0" w:space="0" w:color="auto"/>
      </w:divBdr>
    </w:div>
    <w:div w:id="1247687904">
      <w:bodyDiv w:val="1"/>
      <w:marLeft w:val="0"/>
      <w:marRight w:val="0"/>
      <w:marTop w:val="0"/>
      <w:marBottom w:val="0"/>
      <w:divBdr>
        <w:top w:val="none" w:sz="0" w:space="0" w:color="auto"/>
        <w:left w:val="none" w:sz="0" w:space="0" w:color="auto"/>
        <w:bottom w:val="none" w:sz="0" w:space="0" w:color="auto"/>
        <w:right w:val="none" w:sz="0" w:space="0" w:color="auto"/>
      </w:divBdr>
    </w:div>
    <w:div w:id="1292204903">
      <w:bodyDiv w:val="1"/>
      <w:marLeft w:val="0"/>
      <w:marRight w:val="0"/>
      <w:marTop w:val="0"/>
      <w:marBottom w:val="0"/>
      <w:divBdr>
        <w:top w:val="none" w:sz="0" w:space="0" w:color="auto"/>
        <w:left w:val="none" w:sz="0" w:space="0" w:color="auto"/>
        <w:bottom w:val="none" w:sz="0" w:space="0" w:color="auto"/>
        <w:right w:val="none" w:sz="0" w:space="0" w:color="auto"/>
      </w:divBdr>
    </w:div>
    <w:div w:id="1338074805">
      <w:bodyDiv w:val="1"/>
      <w:marLeft w:val="0"/>
      <w:marRight w:val="0"/>
      <w:marTop w:val="0"/>
      <w:marBottom w:val="0"/>
      <w:divBdr>
        <w:top w:val="none" w:sz="0" w:space="0" w:color="auto"/>
        <w:left w:val="none" w:sz="0" w:space="0" w:color="auto"/>
        <w:bottom w:val="none" w:sz="0" w:space="0" w:color="auto"/>
        <w:right w:val="none" w:sz="0" w:space="0" w:color="auto"/>
      </w:divBdr>
    </w:div>
    <w:div w:id="1350376015">
      <w:bodyDiv w:val="1"/>
      <w:marLeft w:val="0"/>
      <w:marRight w:val="0"/>
      <w:marTop w:val="0"/>
      <w:marBottom w:val="0"/>
      <w:divBdr>
        <w:top w:val="none" w:sz="0" w:space="0" w:color="auto"/>
        <w:left w:val="none" w:sz="0" w:space="0" w:color="auto"/>
        <w:bottom w:val="none" w:sz="0" w:space="0" w:color="auto"/>
        <w:right w:val="none" w:sz="0" w:space="0" w:color="auto"/>
      </w:divBdr>
    </w:div>
    <w:div w:id="1358383640">
      <w:bodyDiv w:val="1"/>
      <w:marLeft w:val="0"/>
      <w:marRight w:val="0"/>
      <w:marTop w:val="0"/>
      <w:marBottom w:val="0"/>
      <w:divBdr>
        <w:top w:val="none" w:sz="0" w:space="0" w:color="auto"/>
        <w:left w:val="none" w:sz="0" w:space="0" w:color="auto"/>
        <w:bottom w:val="none" w:sz="0" w:space="0" w:color="auto"/>
        <w:right w:val="none" w:sz="0" w:space="0" w:color="auto"/>
      </w:divBdr>
    </w:div>
    <w:div w:id="1638609830">
      <w:bodyDiv w:val="1"/>
      <w:marLeft w:val="0"/>
      <w:marRight w:val="0"/>
      <w:marTop w:val="0"/>
      <w:marBottom w:val="0"/>
      <w:divBdr>
        <w:top w:val="none" w:sz="0" w:space="0" w:color="auto"/>
        <w:left w:val="none" w:sz="0" w:space="0" w:color="auto"/>
        <w:bottom w:val="none" w:sz="0" w:space="0" w:color="auto"/>
        <w:right w:val="none" w:sz="0" w:space="0" w:color="auto"/>
      </w:divBdr>
    </w:div>
    <w:div w:id="1709602738">
      <w:bodyDiv w:val="1"/>
      <w:marLeft w:val="0"/>
      <w:marRight w:val="0"/>
      <w:marTop w:val="0"/>
      <w:marBottom w:val="0"/>
      <w:divBdr>
        <w:top w:val="none" w:sz="0" w:space="0" w:color="auto"/>
        <w:left w:val="none" w:sz="0" w:space="0" w:color="auto"/>
        <w:bottom w:val="none" w:sz="0" w:space="0" w:color="auto"/>
        <w:right w:val="none" w:sz="0" w:space="0" w:color="auto"/>
      </w:divBdr>
    </w:div>
    <w:div w:id="1766874405">
      <w:bodyDiv w:val="1"/>
      <w:marLeft w:val="0"/>
      <w:marRight w:val="0"/>
      <w:marTop w:val="0"/>
      <w:marBottom w:val="0"/>
      <w:divBdr>
        <w:top w:val="none" w:sz="0" w:space="0" w:color="auto"/>
        <w:left w:val="none" w:sz="0" w:space="0" w:color="auto"/>
        <w:bottom w:val="none" w:sz="0" w:space="0" w:color="auto"/>
        <w:right w:val="none" w:sz="0" w:space="0" w:color="auto"/>
      </w:divBdr>
    </w:div>
    <w:div w:id="1815634571">
      <w:bodyDiv w:val="1"/>
      <w:marLeft w:val="0"/>
      <w:marRight w:val="0"/>
      <w:marTop w:val="0"/>
      <w:marBottom w:val="0"/>
      <w:divBdr>
        <w:top w:val="none" w:sz="0" w:space="0" w:color="auto"/>
        <w:left w:val="none" w:sz="0" w:space="0" w:color="auto"/>
        <w:bottom w:val="none" w:sz="0" w:space="0" w:color="auto"/>
        <w:right w:val="none" w:sz="0" w:space="0" w:color="auto"/>
      </w:divBdr>
    </w:div>
    <w:div w:id="1827552380">
      <w:bodyDiv w:val="1"/>
      <w:marLeft w:val="0"/>
      <w:marRight w:val="0"/>
      <w:marTop w:val="0"/>
      <w:marBottom w:val="0"/>
      <w:divBdr>
        <w:top w:val="none" w:sz="0" w:space="0" w:color="auto"/>
        <w:left w:val="none" w:sz="0" w:space="0" w:color="auto"/>
        <w:bottom w:val="none" w:sz="0" w:space="0" w:color="auto"/>
        <w:right w:val="none" w:sz="0" w:space="0" w:color="auto"/>
      </w:divBdr>
    </w:div>
    <w:div w:id="1841701921">
      <w:bodyDiv w:val="1"/>
      <w:marLeft w:val="0"/>
      <w:marRight w:val="0"/>
      <w:marTop w:val="0"/>
      <w:marBottom w:val="0"/>
      <w:divBdr>
        <w:top w:val="none" w:sz="0" w:space="0" w:color="auto"/>
        <w:left w:val="none" w:sz="0" w:space="0" w:color="auto"/>
        <w:bottom w:val="none" w:sz="0" w:space="0" w:color="auto"/>
        <w:right w:val="none" w:sz="0" w:space="0" w:color="auto"/>
      </w:divBdr>
    </w:div>
    <w:div w:id="1866090084">
      <w:bodyDiv w:val="1"/>
      <w:marLeft w:val="0"/>
      <w:marRight w:val="0"/>
      <w:marTop w:val="0"/>
      <w:marBottom w:val="0"/>
      <w:divBdr>
        <w:top w:val="none" w:sz="0" w:space="0" w:color="auto"/>
        <w:left w:val="none" w:sz="0" w:space="0" w:color="auto"/>
        <w:bottom w:val="none" w:sz="0" w:space="0" w:color="auto"/>
        <w:right w:val="none" w:sz="0" w:space="0" w:color="auto"/>
      </w:divBdr>
    </w:div>
    <w:div w:id="1874464987">
      <w:bodyDiv w:val="1"/>
      <w:marLeft w:val="0"/>
      <w:marRight w:val="0"/>
      <w:marTop w:val="0"/>
      <w:marBottom w:val="0"/>
      <w:divBdr>
        <w:top w:val="none" w:sz="0" w:space="0" w:color="auto"/>
        <w:left w:val="none" w:sz="0" w:space="0" w:color="auto"/>
        <w:bottom w:val="none" w:sz="0" w:space="0" w:color="auto"/>
        <w:right w:val="none" w:sz="0" w:space="0" w:color="auto"/>
      </w:divBdr>
    </w:div>
    <w:div w:id="1920944914">
      <w:bodyDiv w:val="1"/>
      <w:marLeft w:val="0"/>
      <w:marRight w:val="0"/>
      <w:marTop w:val="0"/>
      <w:marBottom w:val="0"/>
      <w:divBdr>
        <w:top w:val="none" w:sz="0" w:space="0" w:color="auto"/>
        <w:left w:val="none" w:sz="0" w:space="0" w:color="auto"/>
        <w:bottom w:val="none" w:sz="0" w:space="0" w:color="auto"/>
        <w:right w:val="none" w:sz="0" w:space="0" w:color="auto"/>
      </w:divBdr>
    </w:div>
    <w:div w:id="201996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comprehensive-model-of-personalised-care/" TargetMode="External"/><Relationship Id="rId3" Type="http://schemas.openxmlformats.org/officeDocument/2006/relationships/settings" Target="settings.xml"/><Relationship Id="rId7" Type="http://schemas.openxmlformats.org/officeDocument/2006/relationships/hyperlink" Target="https://pubmed.ncbi.nlm.nih.gov/1912059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forhealth.org.uk/?s=code+of+conduct" TargetMode="External"/><Relationship Id="rId11" Type="http://schemas.openxmlformats.org/officeDocument/2006/relationships/theme" Target="theme/theme1.xml"/><Relationship Id="rId5" Type="http://schemas.openxmlformats.org/officeDocument/2006/relationships/hyperlink" Target="https://www.cqc.org.uk/guidance-providers/regulations/regulation-9-person-centred-car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forhealth.org.uk/resources/person-centred-approaches-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2294</Words>
  <Characters>13076</Characters>
  <Application>Microsoft Office Word</Application>
  <DocSecurity>0</DocSecurity>
  <Lines>108</Lines>
  <Paragraphs>30</Paragraphs>
  <ScaleCrop>false</ScaleCrop>
  <Company>University of Wales Trinity Saint David</Company>
  <LinksUpToDate>false</LinksUpToDate>
  <CharactersWithSpaces>15340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heather davies</cp:lastModifiedBy>
  <cp:revision>2</cp:revision>
  <dcterms:created xsi:type="dcterms:W3CDTF">2026-03-11T16:49:00Z</dcterms:created>
  <dcterms:modified xsi:type="dcterms:W3CDTF">2026-03-11T16:49:00Z</dcterms:modified>
</cp:coreProperties>
</file>