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D34A7F" w:rsidR="006C5E1B" w:rsidP="00D34A7F" w:rsidRDefault="00000000" w14:paraId="68E73EB9" w14:textId="77777777">
      <w:pPr>
        <w:spacing w:before="1200"/>
        <w:jc w:val="center"/>
        <w:rPr>
          <w:rFonts w:cs="Arial"/>
          <w:color w:val="000000" w:themeColor="text1"/>
          <w:sz w:val="28"/>
          <w:szCs w:val="28"/>
        </w:rPr>
      </w:pPr>
      <w:r w:rsidRPr="00D34A7F">
        <w:rPr>
          <w:rFonts w:cs="Arial"/>
          <w:color w:val="000000" w:themeColor="text1"/>
          <w:sz w:val="28"/>
          <w:szCs w:val="28"/>
        </w:rPr>
        <w:t>A Critical Systems and Leadership Analysis of the Lucy Letby Case</w:t>
      </w:r>
    </w:p>
    <w:p w:rsidRPr="00D34A7F" w:rsidR="006C5E1B" w:rsidP="00D34A7F" w:rsidRDefault="00000000" w14:paraId="0A5E2843" w14:textId="77777777">
      <w:pPr>
        <w:spacing w:before="360"/>
        <w:jc w:val="center"/>
        <w:rPr>
          <w:rFonts w:cs="Arial"/>
          <w:color w:val="000000" w:themeColor="text1"/>
          <w:sz w:val="28"/>
          <w:szCs w:val="28"/>
        </w:rPr>
      </w:pPr>
      <w:r w:rsidRPr="00D34A7F">
        <w:rPr>
          <w:rFonts w:cs="Arial"/>
          <w:color w:val="000000" w:themeColor="text1"/>
          <w:sz w:val="28"/>
          <w:szCs w:val="28"/>
        </w:rPr>
        <w:t>Countess of Chester Hospital NHS Foundation Trust</w:t>
      </w:r>
    </w:p>
    <w:p w:rsidRPr="00D34A7F" w:rsidR="006C5E1B" w:rsidP="00D34A7F" w:rsidRDefault="006C5E1B" w14:paraId="4FFE0B1A" w14:textId="77777777">
      <w:pPr>
        <w:rPr>
          <w:rFonts w:cs="Arial"/>
          <w:color w:val="000000" w:themeColor="text1"/>
        </w:rPr>
      </w:pPr>
    </w:p>
    <w:p w:rsidRPr="00D34A7F" w:rsidR="006C5E1B" w:rsidP="00D34A7F" w:rsidRDefault="006C5E1B" w14:paraId="5FFCB1FF" w14:textId="77777777">
      <w:pPr>
        <w:rPr>
          <w:rFonts w:cs="Arial"/>
          <w:color w:val="000000" w:themeColor="text1"/>
        </w:rPr>
      </w:pPr>
    </w:p>
    <w:tbl>
      <w:tblPr>
        <w:tblW w:w="0" w:type="auto"/>
        <w:jc w:val="center"/>
        <w:tblLook w:val="04A0" w:firstRow="1" w:lastRow="0" w:firstColumn="1" w:lastColumn="0" w:noHBand="0" w:noVBand="1"/>
      </w:tblPr>
      <w:tblGrid>
        <w:gridCol w:w="2381"/>
        <w:gridCol w:w="5953"/>
      </w:tblGrid>
      <w:tr w:rsidRPr="00D34A7F" w:rsidR="006C5E1B" w:rsidTr="3021CC61" w14:paraId="500D99D9" w14:textId="77777777">
        <w:trPr>
          <w:tblHeader/>
          <w:jc w:val="center"/>
        </w:trPr>
        <w:tc>
          <w:tcPr>
            <w:tcW w:w="2381" w:type="dxa"/>
            <w:shd w:val="clear" w:color="auto" w:fill="D9EAF7"/>
            <w:tcMar/>
            <w:vAlign w:val="center"/>
          </w:tcPr>
          <w:p w:rsidRPr="00D34A7F" w:rsidR="006C5E1B" w:rsidP="00D34A7F" w:rsidRDefault="00000000" w14:paraId="7C455D66" w14:textId="77777777">
            <w:pPr>
              <w:spacing w:after="0"/>
              <w:rPr>
                <w:rFonts w:cs="Arial"/>
                <w:color w:val="000000" w:themeColor="text1"/>
              </w:rPr>
            </w:pPr>
            <w:proofErr w:type="spellStart"/>
            <w:r w:rsidRPr="00D34A7F">
              <w:rPr>
                <w:rFonts w:cs="Arial"/>
                <w:b/>
                <w:color w:val="000000" w:themeColor="text1"/>
              </w:rPr>
              <w:t>Programme</w:t>
            </w:r>
            <w:proofErr w:type="spellEnd"/>
          </w:p>
        </w:tc>
        <w:tc>
          <w:tcPr>
            <w:tcW w:w="5953" w:type="dxa"/>
            <w:shd w:val="clear" w:color="auto" w:fill="D9EAF7"/>
            <w:tcMar/>
            <w:vAlign w:val="center"/>
          </w:tcPr>
          <w:p w:rsidRPr="00D34A7F" w:rsidR="006C5E1B" w:rsidP="00D34A7F" w:rsidRDefault="00000000" w14:paraId="0C1D0320" w14:textId="77777777">
            <w:pPr>
              <w:spacing w:after="0"/>
              <w:rPr>
                <w:rFonts w:cs="Arial"/>
                <w:color w:val="000000" w:themeColor="text1"/>
              </w:rPr>
            </w:pPr>
            <w:r w:rsidRPr="00D34A7F">
              <w:rPr>
                <w:rFonts w:cs="Arial"/>
                <w:b/>
                <w:color w:val="000000" w:themeColor="text1"/>
              </w:rPr>
              <w:t>MSc Public Health and Social Care in Practice</w:t>
            </w:r>
          </w:p>
        </w:tc>
      </w:tr>
      <w:tr w:rsidRPr="00D34A7F" w:rsidR="006C5E1B" w:rsidTr="3021CC61" w14:paraId="180B2440" w14:textId="77777777">
        <w:trPr>
          <w:jc w:val="center"/>
        </w:trPr>
        <w:tc>
          <w:tcPr>
            <w:tcW w:w="2381" w:type="dxa"/>
            <w:tcMar/>
            <w:vAlign w:val="center"/>
          </w:tcPr>
          <w:p w:rsidRPr="00D34A7F" w:rsidR="006C5E1B" w:rsidP="00D34A7F" w:rsidRDefault="00000000" w14:paraId="34D3EEA7" w14:textId="77777777">
            <w:pPr>
              <w:spacing w:after="0"/>
              <w:rPr>
                <w:rFonts w:cs="Arial"/>
                <w:color w:val="000000" w:themeColor="text1"/>
              </w:rPr>
            </w:pPr>
            <w:r w:rsidRPr="00D34A7F">
              <w:rPr>
                <w:rFonts w:cs="Arial"/>
                <w:b/>
                <w:color w:val="000000" w:themeColor="text1"/>
              </w:rPr>
              <w:t>Module</w:t>
            </w:r>
          </w:p>
        </w:tc>
        <w:tc>
          <w:tcPr>
            <w:tcW w:w="5953" w:type="dxa"/>
            <w:tcMar/>
            <w:vAlign w:val="center"/>
          </w:tcPr>
          <w:p w:rsidRPr="00D34A7F" w:rsidR="006C5E1B" w:rsidP="00D34A7F" w:rsidRDefault="00000000" w14:paraId="417747D2" w14:textId="77777777">
            <w:pPr>
              <w:spacing w:after="0"/>
              <w:rPr>
                <w:rFonts w:cs="Arial"/>
                <w:color w:val="000000" w:themeColor="text1"/>
              </w:rPr>
            </w:pPr>
            <w:r w:rsidRPr="00D34A7F">
              <w:rPr>
                <w:rFonts w:cs="Arial"/>
                <w:color w:val="000000" w:themeColor="text1"/>
              </w:rPr>
              <w:t>Health Care System Organisation and Leadership</w:t>
            </w:r>
          </w:p>
        </w:tc>
      </w:tr>
      <w:tr w:rsidRPr="00D34A7F" w:rsidR="006C5E1B" w:rsidTr="3021CC61" w14:paraId="44AB5882" w14:textId="77777777">
        <w:trPr>
          <w:jc w:val="center"/>
        </w:trPr>
        <w:tc>
          <w:tcPr>
            <w:tcW w:w="2381" w:type="dxa"/>
            <w:tcMar/>
            <w:vAlign w:val="center"/>
          </w:tcPr>
          <w:p w:rsidRPr="00D34A7F" w:rsidR="006C5E1B" w:rsidP="00D34A7F" w:rsidRDefault="00000000" w14:paraId="7E7A605F" w14:textId="77777777">
            <w:pPr>
              <w:spacing w:after="0"/>
              <w:rPr>
                <w:rFonts w:cs="Arial"/>
                <w:color w:val="000000" w:themeColor="text1"/>
              </w:rPr>
            </w:pPr>
            <w:r w:rsidRPr="00D34A7F">
              <w:rPr>
                <w:rFonts w:cs="Arial"/>
                <w:b/>
                <w:color w:val="000000" w:themeColor="text1"/>
              </w:rPr>
              <w:t>Module code</w:t>
            </w:r>
          </w:p>
        </w:tc>
        <w:tc>
          <w:tcPr>
            <w:tcW w:w="5953" w:type="dxa"/>
            <w:tcMar/>
            <w:vAlign w:val="center"/>
          </w:tcPr>
          <w:p w:rsidRPr="00D34A7F" w:rsidR="006C5E1B" w:rsidP="00D34A7F" w:rsidRDefault="00000000" w14:paraId="37D01466" w14:textId="77777777">
            <w:pPr>
              <w:spacing w:after="0"/>
              <w:rPr>
                <w:rFonts w:cs="Arial"/>
                <w:color w:val="000000" w:themeColor="text1"/>
              </w:rPr>
            </w:pPr>
            <w:r w:rsidRPr="00D34A7F">
              <w:rPr>
                <w:rFonts w:cs="Arial"/>
                <w:color w:val="000000" w:themeColor="text1"/>
              </w:rPr>
              <w:t>LCHS7002</w:t>
            </w:r>
          </w:p>
        </w:tc>
      </w:tr>
      <w:tr w:rsidRPr="00D34A7F" w:rsidR="006C5E1B" w:rsidTr="3021CC61" w14:paraId="276BFF38" w14:textId="77777777">
        <w:trPr>
          <w:jc w:val="center"/>
        </w:trPr>
        <w:tc>
          <w:tcPr>
            <w:tcW w:w="2381" w:type="dxa"/>
            <w:tcMar/>
            <w:vAlign w:val="center"/>
          </w:tcPr>
          <w:p w:rsidRPr="00D34A7F" w:rsidR="006C5E1B" w:rsidP="00D34A7F" w:rsidRDefault="00000000" w14:paraId="7C6F49B1" w14:textId="77777777">
            <w:pPr>
              <w:spacing w:after="0"/>
              <w:rPr>
                <w:rFonts w:cs="Arial"/>
                <w:color w:val="000000" w:themeColor="text1"/>
              </w:rPr>
            </w:pPr>
            <w:r w:rsidRPr="00D34A7F">
              <w:rPr>
                <w:rFonts w:cs="Arial"/>
                <w:b/>
                <w:color w:val="000000" w:themeColor="text1"/>
              </w:rPr>
              <w:t>Assignment</w:t>
            </w:r>
          </w:p>
        </w:tc>
        <w:tc>
          <w:tcPr>
            <w:tcW w:w="5953" w:type="dxa"/>
            <w:tcMar/>
            <w:vAlign w:val="center"/>
          </w:tcPr>
          <w:p w:rsidRPr="00D34A7F" w:rsidR="006C5E1B" w:rsidP="00D34A7F" w:rsidRDefault="00000000" w14:paraId="546AFCAB" w14:textId="77777777">
            <w:pPr>
              <w:rPr>
                <w:rFonts w:cs="Arial"/>
                <w:color w:val="000000" w:themeColor="text1"/>
              </w:rPr>
            </w:pPr>
            <w:r w:rsidRPr="00D34A7F">
              <w:rPr>
                <w:rFonts w:cs="Arial"/>
                <w:color w:val="000000" w:themeColor="text1"/>
              </w:rPr>
              <w:t>Critical Case Study Analysis Report</w:t>
            </w:r>
          </w:p>
        </w:tc>
      </w:tr>
      <w:tr w:rsidRPr="00D34A7F" w:rsidR="006C5E1B" w:rsidTr="3021CC61" w14:paraId="48DF573B" w14:textId="77777777">
        <w:trPr>
          <w:jc w:val="center"/>
        </w:trPr>
        <w:tc>
          <w:tcPr>
            <w:tcW w:w="2381" w:type="dxa"/>
            <w:tcMar/>
            <w:vAlign w:val="center"/>
          </w:tcPr>
          <w:p w:rsidRPr="00D34A7F" w:rsidR="006C5E1B" w:rsidP="00D34A7F" w:rsidRDefault="00000000" w14:paraId="752ACBAD" w14:textId="41EF0A28">
            <w:pPr>
              <w:spacing w:after="0"/>
              <w:rPr>
                <w:rFonts w:cs="Arial"/>
                <w:color w:val="000000" w:themeColor="text1"/>
              </w:rPr>
            </w:pPr>
            <w:r w:rsidRPr="00D34A7F">
              <w:rPr>
                <w:rFonts w:cs="Arial"/>
                <w:b/>
                <w:color w:val="000000" w:themeColor="text1"/>
              </w:rPr>
              <w:t xml:space="preserve">Student </w:t>
            </w:r>
            <w:r w:rsidRPr="00D34A7F" w:rsidR="00874CE4">
              <w:rPr>
                <w:rFonts w:cs="Arial"/>
                <w:b/>
                <w:color w:val="000000" w:themeColor="text1"/>
              </w:rPr>
              <w:t>N</w:t>
            </w:r>
            <w:r w:rsidRPr="00D34A7F">
              <w:rPr>
                <w:rFonts w:cs="Arial"/>
                <w:b/>
                <w:color w:val="000000" w:themeColor="text1"/>
              </w:rPr>
              <w:t>ame</w:t>
            </w:r>
          </w:p>
        </w:tc>
        <w:tc>
          <w:tcPr>
            <w:tcW w:w="5953" w:type="dxa"/>
            <w:tcMar/>
            <w:vAlign w:val="center"/>
          </w:tcPr>
          <w:p w:rsidRPr="00D34A7F" w:rsidR="006C5E1B" w:rsidP="00D34A7F" w:rsidRDefault="006C5E1B" w14:paraId="05D49EDE" w14:textId="4A85BF62">
            <w:pPr>
              <w:spacing w:after="0"/>
            </w:pPr>
            <w:r w:rsidRPr="3021CC61" w:rsidR="0A15EDA2">
              <w:rPr>
                <w:rFonts w:cs="Arial"/>
                <w:color w:val="000000" w:themeColor="text1" w:themeTint="FF" w:themeShade="FF"/>
              </w:rPr>
              <w:t>Amreen Akhtar</w:t>
            </w:r>
          </w:p>
        </w:tc>
      </w:tr>
      <w:tr w:rsidRPr="00D34A7F" w:rsidR="006C5E1B" w:rsidTr="3021CC61" w14:paraId="29063F93" w14:textId="77777777">
        <w:trPr>
          <w:jc w:val="center"/>
        </w:trPr>
        <w:tc>
          <w:tcPr>
            <w:tcW w:w="2381" w:type="dxa"/>
            <w:tcMar/>
            <w:vAlign w:val="center"/>
          </w:tcPr>
          <w:p w:rsidRPr="00D34A7F" w:rsidR="006C5E1B" w:rsidP="00D34A7F" w:rsidRDefault="00000000" w14:paraId="3B224F32" w14:textId="1E1A4477">
            <w:pPr>
              <w:spacing w:after="0"/>
              <w:rPr>
                <w:rFonts w:cs="Arial"/>
                <w:color w:val="000000" w:themeColor="text1"/>
              </w:rPr>
            </w:pPr>
            <w:r w:rsidRPr="00D34A7F">
              <w:rPr>
                <w:rFonts w:cs="Arial"/>
                <w:b/>
                <w:color w:val="000000" w:themeColor="text1"/>
              </w:rPr>
              <w:t xml:space="preserve">Student </w:t>
            </w:r>
            <w:r w:rsidRPr="00D34A7F" w:rsidR="00874CE4">
              <w:rPr>
                <w:rFonts w:cs="Arial"/>
                <w:b/>
                <w:color w:val="000000" w:themeColor="text1"/>
              </w:rPr>
              <w:t>ID</w:t>
            </w:r>
          </w:p>
        </w:tc>
        <w:tc>
          <w:tcPr>
            <w:tcW w:w="5953" w:type="dxa"/>
            <w:tcMar/>
            <w:vAlign w:val="center"/>
          </w:tcPr>
          <w:p w:rsidRPr="00D34A7F" w:rsidR="006C5E1B" w:rsidP="00D34A7F" w:rsidRDefault="006C5E1B" w14:paraId="2E45060F" w14:textId="144BA29D">
            <w:pPr>
              <w:spacing w:after="0"/>
            </w:pPr>
            <w:r w:rsidRPr="3021CC61" w:rsidR="0A7D1144">
              <w:rPr>
                <w:rFonts w:cs="Arial"/>
                <w:color w:val="000000" w:themeColor="text1" w:themeTint="FF" w:themeShade="FF"/>
              </w:rPr>
              <w:t>2214675</w:t>
            </w:r>
          </w:p>
        </w:tc>
      </w:tr>
    </w:tbl>
    <w:p w:rsidRPr="00D34A7F" w:rsidR="006C5E1B" w:rsidP="00D34A7F" w:rsidRDefault="00000000" w14:paraId="51509810" w14:textId="77777777">
      <w:pPr>
        <w:rPr>
          <w:rFonts w:cs="Arial"/>
          <w:color w:val="000000" w:themeColor="text1"/>
        </w:rPr>
      </w:pPr>
      <w:r w:rsidRPr="00D34A7F">
        <w:rPr>
          <w:rFonts w:cs="Arial"/>
          <w:color w:val="000000" w:themeColor="text1"/>
        </w:rPr>
        <w:br w:type="page"/>
      </w:r>
    </w:p>
    <w:p w:rsidRPr="00D34A7F" w:rsidR="006C5E1B" w:rsidP="00D34A7F" w:rsidRDefault="00000000" w14:paraId="1BE673FC" w14:textId="77777777">
      <w:pPr>
        <w:pStyle w:val="Heading1"/>
        <w:rPr>
          <w:rFonts w:ascii="Arial" w:hAnsi="Arial" w:cs="Arial"/>
          <w:color w:val="000000" w:themeColor="text1"/>
          <w:sz w:val="22"/>
          <w:szCs w:val="22"/>
        </w:rPr>
      </w:pPr>
      <w:r w:rsidRPr="00D34A7F">
        <w:rPr>
          <w:rFonts w:ascii="Arial" w:hAnsi="Arial" w:eastAsia="Arial" w:cs="Arial"/>
          <w:color w:val="000000" w:themeColor="text1"/>
          <w:sz w:val="22"/>
          <w:szCs w:val="22"/>
        </w:rPr>
        <w:lastRenderedPageBreak/>
        <w:t>Table of Contents</w:t>
      </w:r>
    </w:p>
    <w:tbl>
      <w:tblPr>
        <w:tblW w:w="0" w:type="auto"/>
        <w:jc w:val="center"/>
        <w:tblLook w:val="04A0" w:firstRow="1" w:lastRow="0" w:firstColumn="1" w:lastColumn="0" w:noHBand="0" w:noVBand="1"/>
      </w:tblPr>
      <w:tblGrid>
        <w:gridCol w:w="7937"/>
        <w:gridCol w:w="850"/>
      </w:tblGrid>
      <w:tr w:rsidRPr="00D34A7F" w:rsidR="006C5E1B" w:rsidTr="00D34A7F" w14:paraId="4031AFED" w14:textId="77777777">
        <w:trPr>
          <w:tblHeader/>
          <w:jc w:val="center"/>
        </w:trPr>
        <w:tc>
          <w:tcPr>
            <w:tcW w:w="7937" w:type="dxa"/>
            <w:vAlign w:val="center"/>
          </w:tcPr>
          <w:p w:rsidRPr="00D34A7F" w:rsidR="006C5E1B" w:rsidP="00D34A7F" w:rsidRDefault="00000000" w14:paraId="72FC39AD" w14:textId="77777777">
            <w:pPr>
              <w:rPr>
                <w:rFonts w:cs="Arial"/>
                <w:color w:val="000000" w:themeColor="text1"/>
              </w:rPr>
            </w:pPr>
            <w:r w:rsidRPr="00D34A7F">
              <w:rPr>
                <w:rFonts w:cs="Arial"/>
                <w:color w:val="000000" w:themeColor="text1"/>
              </w:rPr>
              <w:t>1. Introduction</w:t>
            </w:r>
          </w:p>
        </w:tc>
        <w:tc>
          <w:tcPr>
            <w:tcW w:w="850" w:type="dxa"/>
            <w:vAlign w:val="center"/>
          </w:tcPr>
          <w:p w:rsidRPr="00D34A7F" w:rsidR="006C5E1B" w:rsidP="00D34A7F" w:rsidRDefault="00000000" w14:paraId="513D855A" w14:textId="77777777">
            <w:pPr>
              <w:rPr>
                <w:rFonts w:cs="Arial"/>
                <w:color w:val="000000" w:themeColor="text1"/>
              </w:rPr>
            </w:pPr>
            <w:r w:rsidRPr="00D34A7F">
              <w:rPr>
                <w:rFonts w:cs="Arial"/>
                <w:color w:val="000000" w:themeColor="text1"/>
              </w:rPr>
              <w:t>3</w:t>
            </w:r>
          </w:p>
        </w:tc>
      </w:tr>
      <w:tr w:rsidRPr="00D34A7F" w:rsidR="006C5E1B" w:rsidTr="00D34A7F" w14:paraId="55569FFC" w14:textId="77777777">
        <w:trPr>
          <w:jc w:val="center"/>
        </w:trPr>
        <w:tc>
          <w:tcPr>
            <w:tcW w:w="7937" w:type="dxa"/>
            <w:vAlign w:val="center"/>
          </w:tcPr>
          <w:p w:rsidRPr="00D34A7F" w:rsidR="006C5E1B" w:rsidP="00D34A7F" w:rsidRDefault="00000000" w14:paraId="4D36F5F5" w14:textId="77777777">
            <w:pPr>
              <w:rPr>
                <w:rFonts w:cs="Arial"/>
                <w:color w:val="000000" w:themeColor="text1"/>
              </w:rPr>
            </w:pPr>
            <w:r w:rsidRPr="00D34A7F">
              <w:rPr>
                <w:rFonts w:cs="Arial"/>
                <w:color w:val="000000" w:themeColor="text1"/>
              </w:rPr>
              <w:t>2. Main Body and Analysis</w:t>
            </w:r>
          </w:p>
        </w:tc>
        <w:tc>
          <w:tcPr>
            <w:tcW w:w="850" w:type="dxa"/>
            <w:vAlign w:val="center"/>
          </w:tcPr>
          <w:p w:rsidRPr="00D34A7F" w:rsidR="006C5E1B" w:rsidP="00D34A7F" w:rsidRDefault="00000000" w14:paraId="50869032" w14:textId="77777777">
            <w:pPr>
              <w:rPr>
                <w:rFonts w:cs="Arial"/>
                <w:color w:val="000000" w:themeColor="text1"/>
              </w:rPr>
            </w:pPr>
            <w:r w:rsidRPr="00D34A7F">
              <w:rPr>
                <w:rFonts w:cs="Arial"/>
                <w:color w:val="000000" w:themeColor="text1"/>
              </w:rPr>
              <w:t>4</w:t>
            </w:r>
          </w:p>
        </w:tc>
      </w:tr>
      <w:tr w:rsidRPr="00D34A7F" w:rsidR="006C5E1B" w:rsidTr="00D34A7F" w14:paraId="580CC613" w14:textId="77777777">
        <w:trPr>
          <w:jc w:val="center"/>
        </w:trPr>
        <w:tc>
          <w:tcPr>
            <w:tcW w:w="7937" w:type="dxa"/>
            <w:vAlign w:val="center"/>
          </w:tcPr>
          <w:p w:rsidRPr="00D34A7F" w:rsidR="006C5E1B" w:rsidP="00D34A7F" w:rsidRDefault="00000000" w14:paraId="77446DDF" w14:textId="77777777">
            <w:pPr>
              <w:rPr>
                <w:rFonts w:cs="Arial"/>
                <w:color w:val="000000" w:themeColor="text1"/>
              </w:rPr>
            </w:pPr>
            <w:r w:rsidRPr="00D34A7F">
              <w:rPr>
                <w:rFonts w:cs="Arial"/>
                <w:color w:val="000000" w:themeColor="text1"/>
              </w:rPr>
              <w:t>2.1 Identifying the Problem and Setting the System Context</w:t>
            </w:r>
          </w:p>
        </w:tc>
        <w:tc>
          <w:tcPr>
            <w:tcW w:w="850" w:type="dxa"/>
            <w:vAlign w:val="center"/>
          </w:tcPr>
          <w:p w:rsidRPr="00D34A7F" w:rsidR="006C5E1B" w:rsidP="00D34A7F" w:rsidRDefault="00000000" w14:paraId="1737F05C" w14:textId="77777777">
            <w:pPr>
              <w:rPr>
                <w:rFonts w:cs="Arial"/>
                <w:color w:val="000000" w:themeColor="text1"/>
              </w:rPr>
            </w:pPr>
            <w:r w:rsidRPr="00D34A7F">
              <w:rPr>
                <w:rFonts w:cs="Arial"/>
                <w:color w:val="000000" w:themeColor="text1"/>
              </w:rPr>
              <w:t>4</w:t>
            </w:r>
          </w:p>
        </w:tc>
      </w:tr>
      <w:tr w:rsidRPr="00D34A7F" w:rsidR="006C5E1B" w:rsidTr="00D34A7F" w14:paraId="133B904D" w14:textId="77777777">
        <w:trPr>
          <w:jc w:val="center"/>
        </w:trPr>
        <w:tc>
          <w:tcPr>
            <w:tcW w:w="7937" w:type="dxa"/>
            <w:vAlign w:val="center"/>
          </w:tcPr>
          <w:p w:rsidRPr="00D34A7F" w:rsidR="006C5E1B" w:rsidP="00D34A7F" w:rsidRDefault="00000000" w14:paraId="7D1799C5" w14:textId="77777777">
            <w:pPr>
              <w:rPr>
                <w:rFonts w:cs="Arial"/>
                <w:color w:val="000000" w:themeColor="text1"/>
              </w:rPr>
            </w:pPr>
            <w:r w:rsidRPr="00D34A7F">
              <w:rPr>
                <w:rFonts w:cs="Arial"/>
                <w:color w:val="000000" w:themeColor="text1"/>
              </w:rPr>
              <w:t xml:space="preserve">2.2 </w:t>
            </w:r>
            <w:proofErr w:type="spellStart"/>
            <w:r w:rsidRPr="00D34A7F">
              <w:rPr>
                <w:rFonts w:cs="Arial"/>
                <w:color w:val="000000" w:themeColor="text1"/>
              </w:rPr>
              <w:t>Centralisation</w:t>
            </w:r>
            <w:proofErr w:type="spellEnd"/>
            <w:r w:rsidRPr="00D34A7F">
              <w:rPr>
                <w:rFonts w:cs="Arial"/>
                <w:color w:val="000000" w:themeColor="text1"/>
              </w:rPr>
              <w:t xml:space="preserve"> and </w:t>
            </w:r>
            <w:proofErr w:type="spellStart"/>
            <w:r w:rsidRPr="00D34A7F">
              <w:rPr>
                <w:rFonts w:cs="Arial"/>
                <w:color w:val="000000" w:themeColor="text1"/>
              </w:rPr>
              <w:t>Decentralisation</w:t>
            </w:r>
            <w:proofErr w:type="spellEnd"/>
            <w:r w:rsidRPr="00D34A7F">
              <w:rPr>
                <w:rFonts w:cs="Arial"/>
                <w:color w:val="000000" w:themeColor="text1"/>
              </w:rPr>
              <w:t xml:space="preserve"> within the Case</w:t>
            </w:r>
          </w:p>
        </w:tc>
        <w:tc>
          <w:tcPr>
            <w:tcW w:w="850" w:type="dxa"/>
            <w:vAlign w:val="center"/>
          </w:tcPr>
          <w:p w:rsidRPr="00D34A7F" w:rsidR="006C5E1B" w:rsidP="00D34A7F" w:rsidRDefault="00000000" w14:paraId="0D7316BA" w14:textId="77777777">
            <w:pPr>
              <w:rPr>
                <w:rFonts w:cs="Arial"/>
                <w:color w:val="000000" w:themeColor="text1"/>
              </w:rPr>
            </w:pPr>
            <w:r w:rsidRPr="00D34A7F">
              <w:rPr>
                <w:rFonts w:cs="Arial"/>
                <w:color w:val="000000" w:themeColor="text1"/>
              </w:rPr>
              <w:t>7</w:t>
            </w:r>
          </w:p>
        </w:tc>
      </w:tr>
      <w:tr w:rsidRPr="00D34A7F" w:rsidR="006C5E1B" w:rsidTr="00D34A7F" w14:paraId="3B914EE2" w14:textId="77777777">
        <w:trPr>
          <w:jc w:val="center"/>
        </w:trPr>
        <w:tc>
          <w:tcPr>
            <w:tcW w:w="7937" w:type="dxa"/>
            <w:vAlign w:val="center"/>
          </w:tcPr>
          <w:p w:rsidRPr="00D34A7F" w:rsidR="006C5E1B" w:rsidP="00D34A7F" w:rsidRDefault="00000000" w14:paraId="6F1B8C52" w14:textId="77777777">
            <w:pPr>
              <w:rPr>
                <w:rFonts w:cs="Arial"/>
                <w:color w:val="000000" w:themeColor="text1"/>
              </w:rPr>
            </w:pPr>
            <w:r w:rsidRPr="00D34A7F">
              <w:rPr>
                <w:rFonts w:cs="Arial"/>
                <w:color w:val="000000" w:themeColor="text1"/>
              </w:rPr>
              <w:t>2.3 Leadership Theories and Application to the Case</w:t>
            </w:r>
          </w:p>
        </w:tc>
        <w:tc>
          <w:tcPr>
            <w:tcW w:w="850" w:type="dxa"/>
            <w:vAlign w:val="center"/>
          </w:tcPr>
          <w:p w:rsidRPr="00D34A7F" w:rsidR="006C5E1B" w:rsidP="00D34A7F" w:rsidRDefault="00000000" w14:paraId="0EE32864" w14:textId="77777777">
            <w:pPr>
              <w:rPr>
                <w:rFonts w:cs="Arial"/>
                <w:color w:val="000000" w:themeColor="text1"/>
              </w:rPr>
            </w:pPr>
            <w:r w:rsidRPr="00D34A7F">
              <w:rPr>
                <w:rFonts w:cs="Arial"/>
                <w:color w:val="000000" w:themeColor="text1"/>
              </w:rPr>
              <w:t>9</w:t>
            </w:r>
          </w:p>
        </w:tc>
      </w:tr>
      <w:tr w:rsidRPr="00D34A7F" w:rsidR="006C5E1B" w:rsidTr="00D34A7F" w14:paraId="1236C114" w14:textId="77777777">
        <w:trPr>
          <w:jc w:val="center"/>
        </w:trPr>
        <w:tc>
          <w:tcPr>
            <w:tcW w:w="7937" w:type="dxa"/>
            <w:vAlign w:val="center"/>
          </w:tcPr>
          <w:p w:rsidRPr="00D34A7F" w:rsidR="006C5E1B" w:rsidP="00D34A7F" w:rsidRDefault="00000000" w14:paraId="508C03AD" w14:textId="77777777">
            <w:pPr>
              <w:rPr>
                <w:rFonts w:cs="Arial"/>
                <w:color w:val="000000" w:themeColor="text1"/>
              </w:rPr>
            </w:pPr>
            <w:r w:rsidRPr="00D34A7F">
              <w:rPr>
                <w:rFonts w:cs="Arial"/>
                <w:color w:val="000000" w:themeColor="text1"/>
              </w:rPr>
              <w:t>2.4 Improvements and Lessons Learned</w:t>
            </w:r>
          </w:p>
        </w:tc>
        <w:tc>
          <w:tcPr>
            <w:tcW w:w="850" w:type="dxa"/>
            <w:vAlign w:val="center"/>
          </w:tcPr>
          <w:p w:rsidRPr="00D34A7F" w:rsidR="006C5E1B" w:rsidP="00D34A7F" w:rsidRDefault="00000000" w14:paraId="2675D9F1" w14:textId="77777777">
            <w:pPr>
              <w:rPr>
                <w:rFonts w:cs="Arial"/>
                <w:color w:val="000000" w:themeColor="text1"/>
              </w:rPr>
            </w:pPr>
            <w:r w:rsidRPr="00D34A7F">
              <w:rPr>
                <w:rFonts w:cs="Arial"/>
                <w:color w:val="000000" w:themeColor="text1"/>
              </w:rPr>
              <w:t>12</w:t>
            </w:r>
          </w:p>
        </w:tc>
      </w:tr>
      <w:tr w:rsidRPr="00D34A7F" w:rsidR="006C5E1B" w:rsidTr="00D34A7F" w14:paraId="35560AF0" w14:textId="77777777">
        <w:trPr>
          <w:jc w:val="center"/>
        </w:trPr>
        <w:tc>
          <w:tcPr>
            <w:tcW w:w="7937" w:type="dxa"/>
            <w:vAlign w:val="center"/>
          </w:tcPr>
          <w:p w:rsidRPr="00D34A7F" w:rsidR="006C5E1B" w:rsidP="00D34A7F" w:rsidRDefault="00000000" w14:paraId="5999DD87" w14:textId="77777777">
            <w:pPr>
              <w:rPr>
                <w:rFonts w:cs="Arial"/>
                <w:color w:val="000000" w:themeColor="text1"/>
              </w:rPr>
            </w:pPr>
            <w:r w:rsidRPr="00D34A7F">
              <w:rPr>
                <w:rFonts w:cs="Arial"/>
                <w:color w:val="000000" w:themeColor="text1"/>
              </w:rPr>
              <w:t>3. Recommendations</w:t>
            </w:r>
          </w:p>
        </w:tc>
        <w:tc>
          <w:tcPr>
            <w:tcW w:w="850" w:type="dxa"/>
            <w:vAlign w:val="center"/>
          </w:tcPr>
          <w:p w:rsidRPr="00D34A7F" w:rsidR="006C5E1B" w:rsidP="00D34A7F" w:rsidRDefault="00000000" w14:paraId="7ED465E5" w14:textId="77777777">
            <w:pPr>
              <w:rPr>
                <w:rFonts w:cs="Arial"/>
                <w:color w:val="000000" w:themeColor="text1"/>
              </w:rPr>
            </w:pPr>
            <w:r w:rsidRPr="00D34A7F">
              <w:rPr>
                <w:rFonts w:cs="Arial"/>
                <w:color w:val="000000" w:themeColor="text1"/>
              </w:rPr>
              <w:t>14</w:t>
            </w:r>
          </w:p>
        </w:tc>
      </w:tr>
      <w:tr w:rsidRPr="00D34A7F" w:rsidR="006C5E1B" w:rsidTr="00D34A7F" w14:paraId="2E3B5095" w14:textId="77777777">
        <w:trPr>
          <w:jc w:val="center"/>
        </w:trPr>
        <w:tc>
          <w:tcPr>
            <w:tcW w:w="7937" w:type="dxa"/>
            <w:vAlign w:val="center"/>
          </w:tcPr>
          <w:p w:rsidRPr="00D34A7F" w:rsidR="006C5E1B" w:rsidP="00D34A7F" w:rsidRDefault="00000000" w14:paraId="40EE5FB2" w14:textId="77777777">
            <w:pPr>
              <w:rPr>
                <w:rFonts w:cs="Arial"/>
                <w:color w:val="000000" w:themeColor="text1"/>
              </w:rPr>
            </w:pPr>
            <w:r w:rsidRPr="00D34A7F">
              <w:rPr>
                <w:rFonts w:cs="Arial"/>
                <w:color w:val="000000" w:themeColor="text1"/>
              </w:rPr>
              <w:t>4. Conclusion</w:t>
            </w:r>
          </w:p>
        </w:tc>
        <w:tc>
          <w:tcPr>
            <w:tcW w:w="850" w:type="dxa"/>
            <w:vAlign w:val="center"/>
          </w:tcPr>
          <w:p w:rsidRPr="00D34A7F" w:rsidR="006C5E1B" w:rsidP="00D34A7F" w:rsidRDefault="00000000" w14:paraId="13DA0695" w14:textId="77777777">
            <w:pPr>
              <w:rPr>
                <w:rFonts w:cs="Arial"/>
                <w:color w:val="000000" w:themeColor="text1"/>
              </w:rPr>
            </w:pPr>
            <w:r w:rsidRPr="00D34A7F">
              <w:rPr>
                <w:rFonts w:cs="Arial"/>
                <w:color w:val="000000" w:themeColor="text1"/>
              </w:rPr>
              <w:t>16</w:t>
            </w:r>
          </w:p>
        </w:tc>
      </w:tr>
      <w:tr w:rsidRPr="00D34A7F" w:rsidR="006C5E1B" w:rsidTr="00D34A7F" w14:paraId="154828A0" w14:textId="77777777">
        <w:trPr>
          <w:jc w:val="center"/>
        </w:trPr>
        <w:tc>
          <w:tcPr>
            <w:tcW w:w="7937" w:type="dxa"/>
            <w:vAlign w:val="center"/>
          </w:tcPr>
          <w:p w:rsidRPr="00D34A7F" w:rsidR="006C5E1B" w:rsidP="00D34A7F" w:rsidRDefault="00000000" w14:paraId="348F1E6D" w14:textId="77777777">
            <w:pPr>
              <w:rPr>
                <w:rFonts w:cs="Arial"/>
                <w:color w:val="000000" w:themeColor="text1"/>
              </w:rPr>
            </w:pPr>
            <w:r w:rsidRPr="00D34A7F">
              <w:rPr>
                <w:rFonts w:cs="Arial"/>
                <w:color w:val="000000" w:themeColor="text1"/>
              </w:rPr>
              <w:t>References</w:t>
            </w:r>
          </w:p>
        </w:tc>
        <w:tc>
          <w:tcPr>
            <w:tcW w:w="850" w:type="dxa"/>
            <w:vAlign w:val="center"/>
          </w:tcPr>
          <w:p w:rsidRPr="00D34A7F" w:rsidR="006C5E1B" w:rsidP="00D34A7F" w:rsidRDefault="00000000" w14:paraId="718EFB36" w14:textId="77777777">
            <w:pPr>
              <w:rPr>
                <w:rFonts w:cs="Arial"/>
                <w:color w:val="000000" w:themeColor="text1"/>
              </w:rPr>
            </w:pPr>
            <w:r w:rsidRPr="00D34A7F">
              <w:rPr>
                <w:rFonts w:cs="Arial"/>
                <w:color w:val="000000" w:themeColor="text1"/>
              </w:rPr>
              <w:t>18</w:t>
            </w:r>
          </w:p>
        </w:tc>
      </w:tr>
    </w:tbl>
    <w:p w:rsidRPr="00D34A7F" w:rsidR="006C5E1B" w:rsidP="00D34A7F" w:rsidRDefault="00000000" w14:paraId="18E19471" w14:textId="77777777">
      <w:pPr>
        <w:rPr>
          <w:rFonts w:cs="Arial"/>
          <w:color w:val="000000" w:themeColor="text1"/>
        </w:rPr>
      </w:pPr>
      <w:r w:rsidRPr="00D34A7F">
        <w:rPr>
          <w:rFonts w:cs="Arial"/>
          <w:color w:val="000000" w:themeColor="text1"/>
        </w:rPr>
        <w:br w:type="page"/>
      </w:r>
    </w:p>
    <w:p w:rsidRPr="00D34A7F" w:rsidR="006C5E1B" w:rsidP="00D34A7F" w:rsidRDefault="00000000" w14:paraId="21086A20" w14:textId="77777777">
      <w:pPr>
        <w:pStyle w:val="Heading1"/>
        <w:rPr>
          <w:rFonts w:ascii="Arial" w:hAnsi="Arial" w:cs="Arial"/>
          <w:color w:val="000000" w:themeColor="text1"/>
          <w:sz w:val="22"/>
          <w:szCs w:val="22"/>
        </w:rPr>
      </w:pPr>
      <w:r w:rsidRPr="00D34A7F">
        <w:rPr>
          <w:rFonts w:ascii="Arial" w:hAnsi="Arial" w:eastAsia="Arial" w:cs="Arial"/>
          <w:color w:val="000000" w:themeColor="text1"/>
          <w:sz w:val="22"/>
          <w:szCs w:val="22"/>
        </w:rPr>
        <w:lastRenderedPageBreak/>
        <w:t>1. Introduction</w:t>
      </w:r>
    </w:p>
    <w:p w:rsidRPr="00D34A7F" w:rsidR="00365306" w:rsidP="00D34A7F" w:rsidRDefault="00365306" w14:paraId="0B51464B" w14:textId="07911633">
      <w:pPr>
        <w:jc w:val="both"/>
        <w:rPr>
          <w:rFonts w:cs="Arial"/>
          <w:color w:val="000000" w:themeColor="text1"/>
        </w:rPr>
      </w:pPr>
      <w:r w:rsidRPr="00D34A7F">
        <w:rPr>
          <w:rFonts w:cs="Arial"/>
          <w:color w:val="000000" w:themeColor="text1"/>
        </w:rPr>
        <w:t>The Judiciary of England and Wales (2024) states that Lucy Letby was found guilty of seven murders and eight attempted murders at the Countess of Chester Hospital from June 2015 to June 2016. These convictions set up individual responsibility. They fail to give reasons for organisational safeguards not to have identified, contained and referred the risk earlier. The Thirlwall Inquiry was set up to investigate the experience of families, hospital behaviour and overall governance of the NHS (Thirlwall Inquiry, 2024a; 2026). This report separates judicial facts from allegations and inquiry submissions</w:t>
      </w:r>
      <w:r w:rsidRPr="00D34A7F" w:rsidR="00D43BC5">
        <w:rPr>
          <w:rFonts w:cs="Arial"/>
          <w:color w:val="000000" w:themeColor="text1"/>
        </w:rPr>
        <w:t>, as</w:t>
      </w:r>
      <w:r w:rsidRPr="00D34A7F">
        <w:rPr>
          <w:rFonts w:cs="Arial"/>
          <w:color w:val="000000" w:themeColor="text1"/>
        </w:rPr>
        <w:t xml:space="preserve"> the final report has not yet been published.</w:t>
      </w:r>
    </w:p>
    <w:p w:rsidRPr="00D34A7F" w:rsidR="00365306" w:rsidP="00D34A7F" w:rsidRDefault="00365306" w14:paraId="48024FBC" w14:textId="4A8ADBD9">
      <w:pPr>
        <w:jc w:val="both"/>
        <w:rPr>
          <w:rFonts w:cs="Arial"/>
          <w:color w:val="000000" w:themeColor="text1"/>
        </w:rPr>
      </w:pPr>
      <w:r w:rsidRPr="00D34A7F">
        <w:rPr>
          <w:rFonts w:cs="Arial"/>
          <w:color w:val="000000" w:themeColor="text1"/>
        </w:rPr>
        <w:t>Leadership in health and social care is a relational and accountable process which affects collective action to achieve safe and ethical aims. While Northouse (2022) focuses on influence and shared goal</w:t>
      </w:r>
      <w:r w:rsidRPr="00D34A7F" w:rsidR="00D43BC5">
        <w:rPr>
          <w:rFonts w:cs="Arial"/>
          <w:color w:val="000000" w:themeColor="text1"/>
        </w:rPr>
        <w:t>s</w:t>
      </w:r>
      <w:r w:rsidRPr="00D34A7F">
        <w:rPr>
          <w:rFonts w:cs="Arial"/>
          <w:color w:val="000000" w:themeColor="text1"/>
        </w:rPr>
        <w:t>, Yukl and Gardner (2020) highlight the nature of dialogue among leaders, followers and situations. Definitions, however, are purely verbal if not accompanied by measurable responsibilities. Leadership in a safety</w:t>
      </w:r>
      <w:r w:rsidRPr="00D34A7F" w:rsidR="00D43BC5">
        <w:rPr>
          <w:rFonts w:cs="Arial"/>
          <w:color w:val="000000" w:themeColor="text1"/>
        </w:rPr>
        <w:t>-</w:t>
      </w:r>
      <w:r w:rsidRPr="00D34A7F">
        <w:rPr>
          <w:rFonts w:cs="Arial"/>
          <w:color w:val="000000" w:themeColor="text1"/>
        </w:rPr>
        <w:t>critical hospital is shown by escalation, reasoned decision</w:t>
      </w:r>
      <w:r w:rsidRPr="00D34A7F" w:rsidR="00D43BC5">
        <w:rPr>
          <w:rFonts w:cs="Arial"/>
          <w:color w:val="000000" w:themeColor="text1"/>
        </w:rPr>
        <w:t>-</w:t>
      </w:r>
      <w:r w:rsidRPr="00D34A7F">
        <w:rPr>
          <w:rFonts w:cs="Arial"/>
          <w:color w:val="000000" w:themeColor="text1"/>
        </w:rPr>
        <w:t>making, safeguarding patients, challenging and learning appropriately. So, contemporary reviews seek to build the concept of leadership beyond simply the executive role to include clinical, organisational and system roles (Figueroa et al., 2019; Messenger and Pollard, 2022). Thus, leaders should not be assessed based on statements of values alone but on the movement of information, the protection of dissent, and the enactment of proportionate decisions in the face of uncertainty.</w:t>
      </w:r>
    </w:p>
    <w:p w:rsidRPr="00D34A7F" w:rsidR="00365306" w:rsidP="00D34A7F" w:rsidRDefault="00365306" w14:paraId="1BB9CABF" w14:textId="2254EF64">
      <w:pPr>
        <w:jc w:val="both"/>
        <w:rPr>
          <w:rFonts w:cs="Arial"/>
          <w:color w:val="000000" w:themeColor="text1"/>
        </w:rPr>
      </w:pPr>
      <w:r w:rsidRPr="00D34A7F">
        <w:rPr>
          <w:rFonts w:cs="Arial"/>
          <w:color w:val="000000" w:themeColor="text1"/>
        </w:rPr>
        <w:t xml:space="preserve">The English NHS is a system of </w:t>
      </w:r>
      <w:proofErr w:type="spellStart"/>
      <w:r w:rsidRPr="00D34A7F">
        <w:rPr>
          <w:rFonts w:cs="Arial"/>
          <w:color w:val="000000" w:themeColor="text1"/>
        </w:rPr>
        <w:t>centralisation</w:t>
      </w:r>
      <w:proofErr w:type="spellEnd"/>
      <w:r w:rsidRPr="00D34A7F">
        <w:rPr>
          <w:rFonts w:cs="Arial"/>
          <w:color w:val="000000" w:themeColor="text1"/>
        </w:rPr>
        <w:t xml:space="preserve"> and </w:t>
      </w:r>
      <w:proofErr w:type="spellStart"/>
      <w:r w:rsidRPr="00D34A7F">
        <w:rPr>
          <w:rFonts w:cs="Arial"/>
          <w:color w:val="000000" w:themeColor="text1"/>
        </w:rPr>
        <w:t>decentralisation</w:t>
      </w:r>
      <w:proofErr w:type="spellEnd"/>
      <w:r w:rsidRPr="00D34A7F">
        <w:rPr>
          <w:rFonts w:cs="Arial"/>
          <w:color w:val="000000" w:themeColor="text1"/>
        </w:rPr>
        <w:t>. National law, NHS England policy and professional regulation set out shared expectations</w:t>
      </w:r>
      <w:r w:rsidRPr="00D34A7F" w:rsidR="00D43BC5">
        <w:rPr>
          <w:rFonts w:cs="Arial"/>
          <w:color w:val="000000" w:themeColor="text1"/>
        </w:rPr>
        <w:t>,</w:t>
      </w:r>
      <w:r w:rsidRPr="00D34A7F">
        <w:rPr>
          <w:rFonts w:cs="Arial"/>
          <w:color w:val="000000" w:themeColor="text1"/>
        </w:rPr>
        <w:t xml:space="preserve"> and foundation-trust boards have more power over local staffing, governance, incident response and referral. Oikonomou et al. (2019) outline a highly entrenched system of rules governing patient safety. In practice, however, the regulatory density does not ensure integrated oversight due to the fact that each regulatory body could be provided with only a limited amount of information. </w:t>
      </w:r>
    </w:p>
    <w:p w:rsidRPr="00D34A7F" w:rsidR="006C5E1B" w:rsidP="00D34A7F" w:rsidRDefault="00365306" w14:paraId="73F8B59F" w14:textId="0F22534A">
      <w:pPr>
        <w:jc w:val="both"/>
        <w:rPr>
          <w:rFonts w:cs="Arial"/>
          <w:color w:val="000000" w:themeColor="text1"/>
        </w:rPr>
      </w:pPr>
      <w:r w:rsidRPr="00D34A7F">
        <w:rPr>
          <w:rFonts w:cs="Arial"/>
          <w:color w:val="000000" w:themeColor="text1"/>
        </w:rPr>
        <w:t xml:space="preserve">This report </w:t>
      </w:r>
      <w:proofErr w:type="spellStart"/>
      <w:r w:rsidRPr="00D34A7F">
        <w:rPr>
          <w:rFonts w:cs="Arial"/>
          <w:color w:val="000000" w:themeColor="text1"/>
        </w:rPr>
        <w:t>utilises</w:t>
      </w:r>
      <w:proofErr w:type="spellEnd"/>
      <w:r w:rsidRPr="00D34A7F">
        <w:rPr>
          <w:rFonts w:cs="Arial"/>
          <w:color w:val="000000" w:themeColor="text1"/>
        </w:rPr>
        <w:t xml:space="preserve"> systems thinking and governance analysis, along with the existing literature on leadership. It employs a Rich Picture to focus on actors, structures, emotions, dependencies and feedback loops, and to evaluate the centralised versus decentralised decisions, along with perspectives from behavioural, contingency, Path-Goal, leadership-continuum, transformational and purpose-driven. But no theory is given full rein as an explanation. They a</w:t>
      </w:r>
      <w:r w:rsidRPr="00D34A7F" w:rsidR="00D43BC5">
        <w:rPr>
          <w:rFonts w:cs="Arial"/>
          <w:color w:val="000000" w:themeColor="text1"/>
        </w:rPr>
        <w:t>re all</w:t>
      </w:r>
      <w:r w:rsidRPr="00D34A7F">
        <w:rPr>
          <w:rFonts w:cs="Arial"/>
          <w:color w:val="000000" w:themeColor="text1"/>
        </w:rPr>
        <w:t xml:space="preserve"> challenged by case evidence and the methodological constraints of the case. The report then suggests a Neonatal Safety and Escalation </w:t>
      </w:r>
      <w:proofErr w:type="spellStart"/>
      <w:r w:rsidRPr="00D34A7F">
        <w:rPr>
          <w:rFonts w:cs="Arial"/>
          <w:color w:val="000000" w:themeColor="text1"/>
        </w:rPr>
        <w:t>Programme</w:t>
      </w:r>
      <w:proofErr w:type="spellEnd"/>
      <w:r w:rsidRPr="00D34A7F">
        <w:rPr>
          <w:rFonts w:cs="Arial"/>
          <w:color w:val="000000" w:themeColor="text1"/>
        </w:rPr>
        <w:t xml:space="preserve"> in order to enhance accountability, family involvement, efficiency and learning.</w:t>
      </w:r>
    </w:p>
    <w:p w:rsidRPr="00D34A7F" w:rsidR="006C5E1B" w:rsidP="00D34A7F" w:rsidRDefault="00000000" w14:paraId="275C8F92" w14:textId="77777777">
      <w:pPr>
        <w:pStyle w:val="Heading1"/>
        <w:rPr>
          <w:rFonts w:ascii="Arial" w:hAnsi="Arial" w:cs="Arial"/>
          <w:color w:val="000000" w:themeColor="text1"/>
          <w:sz w:val="22"/>
          <w:szCs w:val="22"/>
        </w:rPr>
      </w:pPr>
      <w:r w:rsidRPr="00D34A7F">
        <w:rPr>
          <w:rFonts w:ascii="Arial" w:hAnsi="Arial" w:eastAsia="Arial" w:cs="Arial"/>
          <w:color w:val="000000" w:themeColor="text1"/>
          <w:sz w:val="22"/>
          <w:szCs w:val="22"/>
        </w:rPr>
        <w:lastRenderedPageBreak/>
        <w:t>2. Main Body and Analysis</w:t>
      </w:r>
    </w:p>
    <w:p w:rsidRPr="00D34A7F" w:rsidR="006C5E1B" w:rsidP="00D34A7F" w:rsidRDefault="00000000" w14:paraId="24FCA2CA" w14:textId="77777777">
      <w:pPr>
        <w:pStyle w:val="Heading2"/>
        <w:rPr>
          <w:rFonts w:ascii="Arial" w:hAnsi="Arial" w:cs="Arial"/>
          <w:color w:val="000000" w:themeColor="text1"/>
          <w:sz w:val="22"/>
          <w:szCs w:val="22"/>
        </w:rPr>
      </w:pPr>
      <w:r w:rsidRPr="00D34A7F">
        <w:rPr>
          <w:rFonts w:ascii="Arial" w:hAnsi="Arial" w:eastAsia="Arial" w:cs="Arial"/>
          <w:color w:val="000000" w:themeColor="text1"/>
          <w:sz w:val="22"/>
          <w:szCs w:val="22"/>
        </w:rPr>
        <w:t>2.1 Identifying the Problem and Setting the System Context</w:t>
      </w:r>
    </w:p>
    <w:p w:rsidRPr="00D34A7F" w:rsidR="00713C1E" w:rsidP="00D34A7F" w:rsidRDefault="00713C1E" w14:paraId="3540902E" w14:textId="1F1B8FFD">
      <w:pPr>
        <w:jc w:val="both"/>
        <w:rPr>
          <w:rFonts w:cs="Arial"/>
          <w:color w:val="000000" w:themeColor="text1"/>
        </w:rPr>
      </w:pPr>
      <w:r w:rsidRPr="00D34A7F">
        <w:rPr>
          <w:rFonts w:cs="Arial"/>
          <w:color w:val="000000" w:themeColor="text1"/>
        </w:rPr>
        <w:t xml:space="preserve">The problem with the central system was that repeated neonatal deaths, collapses and professional concerns were not being converted in a timely manner into the central system and integrated into an independent safety response. The Trust's opening statement outlines the conversations around death and potential deliberate harm (Thirlwall Inquiry, 2024b). It was a statement of a participant, however, and not a finding, and former managers told a different story (Thirlwall Inquiry, 2024c). This disagreement is significant in its own right as a reliable system should have one auditable record which documents what was reported, to whom, when, and with what evidence, and what action was taken. </w:t>
      </w:r>
    </w:p>
    <w:p w:rsidRPr="00D34A7F" w:rsidR="00D43BC5" w:rsidP="00D34A7F" w:rsidRDefault="00713C1E" w14:paraId="1ABD49E0" w14:textId="39D89322">
      <w:pPr>
        <w:jc w:val="both"/>
        <w:rPr>
          <w:rFonts w:cs="Arial"/>
          <w:color w:val="000000" w:themeColor="text1"/>
        </w:rPr>
      </w:pPr>
      <w:r w:rsidRPr="00D34A7F">
        <w:rPr>
          <w:rFonts w:cs="Arial"/>
          <w:color w:val="000000" w:themeColor="text1"/>
        </w:rPr>
        <w:t>Letby was pulled from clinical roles in July 2016</w:t>
      </w:r>
      <w:r w:rsidRPr="00D34A7F" w:rsidR="00D43BC5">
        <w:rPr>
          <w:rFonts w:cs="Arial"/>
          <w:color w:val="000000" w:themeColor="text1"/>
        </w:rPr>
        <w:t>,</w:t>
      </w:r>
      <w:r w:rsidRPr="00D34A7F">
        <w:rPr>
          <w:rFonts w:cs="Arial"/>
          <w:color w:val="000000" w:themeColor="text1"/>
        </w:rPr>
        <w:t xml:space="preserve"> but in May 2017 police were called. Internal management, </w:t>
      </w:r>
      <w:proofErr w:type="spellStart"/>
      <w:r w:rsidRPr="00D34A7F">
        <w:rPr>
          <w:rFonts w:cs="Arial"/>
          <w:color w:val="000000" w:themeColor="text1"/>
        </w:rPr>
        <w:t>RCPCH</w:t>
      </w:r>
      <w:proofErr w:type="spellEnd"/>
      <w:r w:rsidRPr="00D34A7F">
        <w:rPr>
          <w:rFonts w:cs="Arial"/>
          <w:color w:val="000000" w:themeColor="text1"/>
        </w:rPr>
        <w:t xml:space="preserve"> review, case note review</w:t>
      </w:r>
      <w:r w:rsidRPr="00D34A7F" w:rsidR="00D43BC5">
        <w:rPr>
          <w:rFonts w:cs="Arial"/>
          <w:color w:val="000000" w:themeColor="text1"/>
        </w:rPr>
        <w:t>,</w:t>
      </w:r>
      <w:r w:rsidRPr="00D34A7F">
        <w:rPr>
          <w:rFonts w:cs="Arial"/>
          <w:color w:val="000000" w:themeColor="text1"/>
        </w:rPr>
        <w:t xml:space="preserve"> legal advice and employment procedures were in place during this time. The Trust subsequently reported that these processes revealed communication, staffing, </w:t>
      </w:r>
      <w:r w:rsidRPr="00D34A7F" w:rsidR="00D43BC5">
        <w:rPr>
          <w:rFonts w:cs="Arial"/>
          <w:color w:val="000000" w:themeColor="text1"/>
        </w:rPr>
        <w:t xml:space="preserve">and </w:t>
      </w:r>
      <w:r w:rsidRPr="00D34A7F">
        <w:rPr>
          <w:rFonts w:cs="Arial"/>
          <w:color w:val="000000" w:themeColor="text1"/>
        </w:rPr>
        <w:t>incident-review problems (Thirlwall Inquiry, 2025a). But it</w:t>
      </w:r>
      <w:r w:rsidRPr="00D34A7F" w:rsidR="005B2722">
        <w:rPr>
          <w:rFonts w:cs="Arial"/>
          <w:color w:val="000000" w:themeColor="text1"/>
        </w:rPr>
        <w:t xml:space="preserve"> i</w:t>
      </w:r>
      <w:r w:rsidRPr="00D34A7F">
        <w:rPr>
          <w:rFonts w:cs="Arial"/>
          <w:color w:val="000000" w:themeColor="text1"/>
        </w:rPr>
        <w:t xml:space="preserve">s not a risk control process. The </w:t>
      </w:r>
      <w:proofErr w:type="spellStart"/>
      <w:r w:rsidRPr="00D34A7F">
        <w:rPr>
          <w:rFonts w:cs="Arial"/>
          <w:color w:val="000000" w:themeColor="text1"/>
        </w:rPr>
        <w:t>RCPCH</w:t>
      </w:r>
      <w:proofErr w:type="spellEnd"/>
      <w:r w:rsidRPr="00D34A7F">
        <w:rPr>
          <w:rFonts w:cs="Arial"/>
          <w:color w:val="000000" w:themeColor="text1"/>
        </w:rPr>
        <w:t xml:space="preserve"> admitted it failed to carry out a thorough investigation and </w:t>
      </w:r>
      <w:r w:rsidRPr="00D34A7F" w:rsidR="00D43BC5">
        <w:rPr>
          <w:rFonts w:cs="Arial"/>
          <w:color w:val="000000" w:themeColor="text1"/>
        </w:rPr>
        <w:t xml:space="preserve">that </w:t>
      </w:r>
      <w:r w:rsidRPr="00D34A7F">
        <w:rPr>
          <w:rFonts w:cs="Arial"/>
          <w:color w:val="000000" w:themeColor="text1"/>
        </w:rPr>
        <w:t xml:space="preserve">its review was rushed, and that it was unable to establish the cause of the rise in deaths (Thirlwall Inquiry, 2025b). Thus, the leaders </w:t>
      </w:r>
      <w:r w:rsidRPr="00D34A7F" w:rsidR="00D43BC5">
        <w:rPr>
          <w:rFonts w:cs="Arial"/>
          <w:color w:val="000000" w:themeColor="text1"/>
        </w:rPr>
        <w:t xml:space="preserve">were </w:t>
      </w:r>
      <w:r w:rsidRPr="00D34A7F">
        <w:rPr>
          <w:rFonts w:cs="Arial"/>
          <w:color w:val="000000" w:themeColor="text1"/>
        </w:rPr>
        <w:t xml:space="preserve">required to establish restrictions on the review process and to refer any unresolved suspicions to an authority that was empowered to do so. </w:t>
      </w:r>
    </w:p>
    <w:p w:rsidRPr="00D34A7F" w:rsidR="006C5E1B" w:rsidP="00D34A7F" w:rsidRDefault="00000000" w14:paraId="6B490AFC" w14:textId="77777777">
      <w:pPr>
        <w:jc w:val="center"/>
        <w:rPr>
          <w:rFonts w:cs="Arial"/>
          <w:color w:val="000000" w:themeColor="text1"/>
        </w:rPr>
      </w:pPr>
      <w:r w:rsidRPr="00D34A7F">
        <w:rPr>
          <w:rFonts w:cs="Arial"/>
          <w:b/>
          <w:color w:val="000000" w:themeColor="text1"/>
        </w:rPr>
        <w:t>Table 1. Key chronology and critical leadership significance</w:t>
      </w:r>
    </w:p>
    <w:tbl>
      <w:tblPr>
        <w:tblStyle w:val="TableGrid"/>
        <w:tblW w:w="0" w:type="auto"/>
        <w:jc w:val="center"/>
        <w:tblLook w:val="04A0" w:firstRow="1" w:lastRow="0" w:firstColumn="1" w:lastColumn="0" w:noHBand="0" w:noVBand="1"/>
      </w:tblPr>
      <w:tblGrid>
        <w:gridCol w:w="3009"/>
        <w:gridCol w:w="3009"/>
        <w:gridCol w:w="3009"/>
      </w:tblGrid>
      <w:tr w:rsidRPr="00D34A7F" w:rsidR="006C5E1B" w14:paraId="5F0C3101" w14:textId="77777777">
        <w:trPr>
          <w:tblHeader/>
          <w:jc w:val="center"/>
        </w:trPr>
        <w:tc>
          <w:tcPr>
            <w:tcW w:w="3009" w:type="dxa"/>
            <w:shd w:val="clear" w:color="auto" w:fill="D9EAF7"/>
            <w:vAlign w:val="center"/>
          </w:tcPr>
          <w:p w:rsidRPr="00D34A7F" w:rsidR="006C5E1B" w:rsidP="00D34A7F" w:rsidRDefault="00000000" w14:paraId="6C3747C7" w14:textId="77777777">
            <w:pPr>
              <w:rPr>
                <w:rFonts w:cs="Arial"/>
                <w:color w:val="000000" w:themeColor="text1"/>
              </w:rPr>
            </w:pPr>
            <w:r w:rsidRPr="00D34A7F">
              <w:rPr>
                <w:rFonts w:cs="Arial"/>
                <w:color w:val="000000" w:themeColor="text1"/>
              </w:rPr>
              <w:t>Period</w:t>
            </w:r>
          </w:p>
        </w:tc>
        <w:tc>
          <w:tcPr>
            <w:tcW w:w="3009" w:type="dxa"/>
            <w:shd w:val="clear" w:color="auto" w:fill="D9EAF7"/>
            <w:vAlign w:val="center"/>
          </w:tcPr>
          <w:p w:rsidRPr="00D34A7F" w:rsidR="006C5E1B" w:rsidP="00D34A7F" w:rsidRDefault="00000000" w14:paraId="1FC97C3B" w14:textId="77777777">
            <w:pPr>
              <w:rPr>
                <w:rFonts w:cs="Arial"/>
                <w:color w:val="000000" w:themeColor="text1"/>
              </w:rPr>
            </w:pPr>
            <w:r w:rsidRPr="00D34A7F">
              <w:rPr>
                <w:rFonts w:cs="Arial"/>
                <w:color w:val="000000" w:themeColor="text1"/>
              </w:rPr>
              <w:t>Documented development</w:t>
            </w:r>
          </w:p>
        </w:tc>
        <w:tc>
          <w:tcPr>
            <w:tcW w:w="3009" w:type="dxa"/>
            <w:shd w:val="clear" w:color="auto" w:fill="D9EAF7"/>
            <w:vAlign w:val="center"/>
          </w:tcPr>
          <w:p w:rsidRPr="00D34A7F" w:rsidR="006C5E1B" w:rsidP="00D34A7F" w:rsidRDefault="00000000" w14:paraId="0FAF9C4F" w14:textId="77777777">
            <w:pPr>
              <w:rPr>
                <w:rFonts w:cs="Arial"/>
                <w:color w:val="000000" w:themeColor="text1"/>
              </w:rPr>
            </w:pPr>
            <w:r w:rsidRPr="00D34A7F">
              <w:rPr>
                <w:rFonts w:cs="Arial"/>
                <w:color w:val="000000" w:themeColor="text1"/>
              </w:rPr>
              <w:t>Critical significance</w:t>
            </w:r>
          </w:p>
        </w:tc>
      </w:tr>
      <w:tr w:rsidRPr="00D34A7F" w:rsidR="006C5E1B" w14:paraId="6DDE97F9" w14:textId="77777777">
        <w:trPr>
          <w:jc w:val="center"/>
        </w:trPr>
        <w:tc>
          <w:tcPr>
            <w:tcW w:w="3009" w:type="dxa"/>
            <w:vAlign w:val="center"/>
          </w:tcPr>
          <w:p w:rsidRPr="00D34A7F" w:rsidR="006C5E1B" w:rsidP="00D34A7F" w:rsidRDefault="00000000" w14:paraId="71C0D6F1" w14:textId="77777777">
            <w:pPr>
              <w:rPr>
                <w:rFonts w:cs="Arial"/>
                <w:color w:val="000000" w:themeColor="text1"/>
              </w:rPr>
            </w:pPr>
            <w:r w:rsidRPr="00D34A7F">
              <w:rPr>
                <w:rFonts w:cs="Arial"/>
                <w:color w:val="000000" w:themeColor="text1"/>
              </w:rPr>
              <w:t>2015-early 2016</w:t>
            </w:r>
          </w:p>
        </w:tc>
        <w:tc>
          <w:tcPr>
            <w:tcW w:w="3009" w:type="dxa"/>
            <w:vAlign w:val="center"/>
          </w:tcPr>
          <w:p w:rsidRPr="00D34A7F" w:rsidR="006C5E1B" w:rsidP="00D34A7F" w:rsidRDefault="00000000" w14:paraId="0E02C4C1" w14:textId="77777777">
            <w:pPr>
              <w:rPr>
                <w:rFonts w:cs="Arial"/>
                <w:color w:val="000000" w:themeColor="text1"/>
              </w:rPr>
            </w:pPr>
            <w:r w:rsidRPr="00D34A7F">
              <w:rPr>
                <w:rFonts w:cs="Arial"/>
                <w:color w:val="000000" w:themeColor="text1"/>
              </w:rPr>
              <w:t>Unexpected deaths and collapses accumulated; clinician concern emerged.</w:t>
            </w:r>
          </w:p>
        </w:tc>
        <w:tc>
          <w:tcPr>
            <w:tcW w:w="3009" w:type="dxa"/>
            <w:vAlign w:val="center"/>
          </w:tcPr>
          <w:p w:rsidRPr="00D34A7F" w:rsidR="006C5E1B" w:rsidP="00D34A7F" w:rsidRDefault="00000000" w14:paraId="1B42D47E" w14:textId="77777777">
            <w:pPr>
              <w:rPr>
                <w:rFonts w:cs="Arial"/>
                <w:color w:val="000000" w:themeColor="text1"/>
              </w:rPr>
            </w:pPr>
            <w:r w:rsidRPr="00D34A7F">
              <w:rPr>
                <w:rFonts w:cs="Arial"/>
                <w:color w:val="000000" w:themeColor="text1"/>
              </w:rPr>
              <w:t>Weak signals required trend review, although chronology remained contested.</w:t>
            </w:r>
          </w:p>
        </w:tc>
      </w:tr>
      <w:tr w:rsidRPr="00D34A7F" w:rsidR="006C5E1B" w14:paraId="28504891" w14:textId="77777777">
        <w:trPr>
          <w:jc w:val="center"/>
        </w:trPr>
        <w:tc>
          <w:tcPr>
            <w:tcW w:w="3009" w:type="dxa"/>
            <w:vAlign w:val="center"/>
          </w:tcPr>
          <w:p w:rsidRPr="00D34A7F" w:rsidR="006C5E1B" w:rsidP="00D34A7F" w:rsidRDefault="00000000" w14:paraId="0F792020" w14:textId="77777777">
            <w:pPr>
              <w:rPr>
                <w:rFonts w:cs="Arial"/>
                <w:color w:val="000000" w:themeColor="text1"/>
              </w:rPr>
            </w:pPr>
            <w:r w:rsidRPr="00D34A7F">
              <w:rPr>
                <w:rFonts w:cs="Arial"/>
                <w:color w:val="000000" w:themeColor="text1"/>
              </w:rPr>
              <w:t>Feb-Jun 2016</w:t>
            </w:r>
          </w:p>
        </w:tc>
        <w:tc>
          <w:tcPr>
            <w:tcW w:w="3009" w:type="dxa"/>
            <w:vAlign w:val="center"/>
          </w:tcPr>
          <w:p w:rsidRPr="00D34A7F" w:rsidR="006C5E1B" w:rsidP="00D34A7F" w:rsidRDefault="00000000" w14:paraId="34D2180F" w14:textId="77777777">
            <w:pPr>
              <w:rPr>
                <w:rFonts w:cs="Arial"/>
                <w:color w:val="000000" w:themeColor="text1"/>
              </w:rPr>
            </w:pPr>
            <w:r w:rsidRPr="00D34A7F">
              <w:rPr>
                <w:rFonts w:cs="Arial"/>
                <w:color w:val="000000" w:themeColor="text1"/>
              </w:rPr>
              <w:t>CQC identified staffing risk; later meetings addressed mortality and possible harm.</w:t>
            </w:r>
          </w:p>
        </w:tc>
        <w:tc>
          <w:tcPr>
            <w:tcW w:w="3009" w:type="dxa"/>
            <w:vAlign w:val="center"/>
          </w:tcPr>
          <w:p w:rsidRPr="00D34A7F" w:rsidR="006C5E1B" w:rsidP="00D34A7F" w:rsidRDefault="00000000" w14:paraId="7AF1C645" w14:textId="77777777">
            <w:pPr>
              <w:rPr>
                <w:rFonts w:cs="Arial"/>
                <w:color w:val="000000" w:themeColor="text1"/>
              </w:rPr>
            </w:pPr>
            <w:r w:rsidRPr="00D34A7F">
              <w:rPr>
                <w:rFonts w:cs="Arial"/>
                <w:color w:val="000000" w:themeColor="text1"/>
              </w:rPr>
              <w:t>Broad assurance coexisted with local risk.</w:t>
            </w:r>
          </w:p>
        </w:tc>
      </w:tr>
      <w:tr w:rsidRPr="00D34A7F" w:rsidR="006C5E1B" w14:paraId="3FCCF378" w14:textId="77777777">
        <w:trPr>
          <w:jc w:val="center"/>
        </w:trPr>
        <w:tc>
          <w:tcPr>
            <w:tcW w:w="3009" w:type="dxa"/>
            <w:vAlign w:val="center"/>
          </w:tcPr>
          <w:p w:rsidRPr="00D34A7F" w:rsidR="006C5E1B" w:rsidP="00D34A7F" w:rsidRDefault="00000000" w14:paraId="2AFCB420" w14:textId="77777777">
            <w:pPr>
              <w:rPr>
                <w:rFonts w:cs="Arial"/>
                <w:color w:val="000000" w:themeColor="text1"/>
              </w:rPr>
            </w:pPr>
            <w:r w:rsidRPr="00D34A7F">
              <w:rPr>
                <w:rFonts w:cs="Arial"/>
                <w:color w:val="000000" w:themeColor="text1"/>
              </w:rPr>
              <w:t>July 2016</w:t>
            </w:r>
          </w:p>
        </w:tc>
        <w:tc>
          <w:tcPr>
            <w:tcW w:w="3009" w:type="dxa"/>
            <w:vAlign w:val="center"/>
          </w:tcPr>
          <w:p w:rsidRPr="00D34A7F" w:rsidR="006C5E1B" w:rsidP="00D34A7F" w:rsidRDefault="00000000" w14:paraId="3B96F41C" w14:textId="3113D00D">
            <w:pPr>
              <w:rPr>
                <w:rFonts w:cs="Arial"/>
                <w:color w:val="000000" w:themeColor="text1"/>
              </w:rPr>
            </w:pPr>
            <w:r w:rsidRPr="00D34A7F">
              <w:rPr>
                <w:rFonts w:cs="Arial"/>
                <w:color w:val="000000" w:themeColor="text1"/>
              </w:rPr>
              <w:t>Letby was removed</w:t>
            </w:r>
            <w:r w:rsidRPr="00D34A7F" w:rsidR="00F00E07">
              <w:rPr>
                <w:rFonts w:cs="Arial"/>
                <w:color w:val="000000" w:themeColor="text1"/>
              </w:rPr>
              <w:t>,</w:t>
            </w:r>
            <w:r w:rsidRPr="00D34A7F">
              <w:rPr>
                <w:rFonts w:cs="Arial"/>
                <w:color w:val="000000" w:themeColor="text1"/>
              </w:rPr>
              <w:t xml:space="preserve"> and reviews followed.</w:t>
            </w:r>
          </w:p>
        </w:tc>
        <w:tc>
          <w:tcPr>
            <w:tcW w:w="3009" w:type="dxa"/>
            <w:vAlign w:val="center"/>
          </w:tcPr>
          <w:p w:rsidRPr="00D34A7F" w:rsidR="006C5E1B" w:rsidP="00D34A7F" w:rsidRDefault="00000000" w14:paraId="291FB0C3" w14:textId="77777777">
            <w:pPr>
              <w:rPr>
                <w:rFonts w:cs="Arial"/>
                <w:color w:val="000000" w:themeColor="text1"/>
              </w:rPr>
            </w:pPr>
            <w:r w:rsidRPr="00D34A7F">
              <w:rPr>
                <w:rFonts w:cs="Arial"/>
                <w:color w:val="000000" w:themeColor="text1"/>
              </w:rPr>
              <w:t>Containment occurred, but review purposes remained fragmented.</w:t>
            </w:r>
          </w:p>
        </w:tc>
      </w:tr>
      <w:tr w:rsidRPr="00D34A7F" w:rsidR="006C5E1B" w14:paraId="6DFCB8D8" w14:textId="77777777">
        <w:trPr>
          <w:jc w:val="center"/>
        </w:trPr>
        <w:tc>
          <w:tcPr>
            <w:tcW w:w="3009" w:type="dxa"/>
            <w:vAlign w:val="center"/>
          </w:tcPr>
          <w:p w:rsidRPr="00D34A7F" w:rsidR="006C5E1B" w:rsidP="00D34A7F" w:rsidRDefault="00000000" w14:paraId="34A51923" w14:textId="77777777">
            <w:pPr>
              <w:rPr>
                <w:rFonts w:cs="Arial"/>
                <w:color w:val="000000" w:themeColor="text1"/>
              </w:rPr>
            </w:pPr>
            <w:r w:rsidRPr="00D34A7F">
              <w:rPr>
                <w:rFonts w:cs="Arial"/>
                <w:color w:val="000000" w:themeColor="text1"/>
              </w:rPr>
              <w:t>Feb 2017</w:t>
            </w:r>
          </w:p>
        </w:tc>
        <w:tc>
          <w:tcPr>
            <w:tcW w:w="3009" w:type="dxa"/>
            <w:vAlign w:val="center"/>
          </w:tcPr>
          <w:p w:rsidRPr="00D34A7F" w:rsidR="006C5E1B" w:rsidP="00D34A7F" w:rsidRDefault="00000000" w14:paraId="3CC225B0" w14:textId="77777777">
            <w:pPr>
              <w:rPr>
                <w:rFonts w:cs="Arial"/>
                <w:color w:val="000000" w:themeColor="text1"/>
              </w:rPr>
            </w:pPr>
            <w:r w:rsidRPr="00D34A7F">
              <w:rPr>
                <w:rFonts w:cs="Arial"/>
                <w:color w:val="000000" w:themeColor="text1"/>
              </w:rPr>
              <w:t>Employment processes continued while risk questions were unresolved.</w:t>
            </w:r>
          </w:p>
        </w:tc>
        <w:tc>
          <w:tcPr>
            <w:tcW w:w="3009" w:type="dxa"/>
            <w:vAlign w:val="center"/>
          </w:tcPr>
          <w:p w:rsidRPr="00D34A7F" w:rsidR="006C5E1B" w:rsidP="00D34A7F" w:rsidRDefault="00000000" w14:paraId="7F2C9FD5" w14:textId="77777777">
            <w:pPr>
              <w:rPr>
                <w:rFonts w:cs="Arial"/>
                <w:color w:val="000000" w:themeColor="text1"/>
              </w:rPr>
            </w:pPr>
            <w:r w:rsidRPr="00D34A7F">
              <w:rPr>
                <w:rFonts w:cs="Arial"/>
                <w:color w:val="000000" w:themeColor="text1"/>
              </w:rPr>
              <w:t>Fairness was necessary but should not determine safety referral.</w:t>
            </w:r>
          </w:p>
        </w:tc>
      </w:tr>
      <w:tr w:rsidRPr="00D34A7F" w:rsidR="006C5E1B" w14:paraId="255674F0" w14:textId="77777777">
        <w:trPr>
          <w:jc w:val="center"/>
        </w:trPr>
        <w:tc>
          <w:tcPr>
            <w:tcW w:w="3009" w:type="dxa"/>
            <w:vAlign w:val="center"/>
          </w:tcPr>
          <w:p w:rsidRPr="00D34A7F" w:rsidR="006C5E1B" w:rsidP="00D34A7F" w:rsidRDefault="00000000" w14:paraId="134C2A16" w14:textId="77777777">
            <w:pPr>
              <w:rPr>
                <w:rFonts w:cs="Arial"/>
                <w:color w:val="000000" w:themeColor="text1"/>
              </w:rPr>
            </w:pPr>
            <w:r w:rsidRPr="00D34A7F">
              <w:rPr>
                <w:rFonts w:cs="Arial"/>
                <w:color w:val="000000" w:themeColor="text1"/>
              </w:rPr>
              <w:lastRenderedPageBreak/>
              <w:t>May 2017 onwards</w:t>
            </w:r>
          </w:p>
        </w:tc>
        <w:tc>
          <w:tcPr>
            <w:tcW w:w="3009" w:type="dxa"/>
            <w:vAlign w:val="center"/>
          </w:tcPr>
          <w:p w:rsidRPr="00D34A7F" w:rsidR="006C5E1B" w:rsidP="00D34A7F" w:rsidRDefault="00000000" w14:paraId="6BF74BF5" w14:textId="77777777">
            <w:pPr>
              <w:rPr>
                <w:rFonts w:cs="Arial"/>
                <w:color w:val="000000" w:themeColor="text1"/>
              </w:rPr>
            </w:pPr>
            <w:r w:rsidRPr="00D34A7F">
              <w:rPr>
                <w:rFonts w:cs="Arial"/>
                <w:color w:val="000000" w:themeColor="text1"/>
              </w:rPr>
              <w:t>Police referral led to investigation and convictions.</w:t>
            </w:r>
          </w:p>
        </w:tc>
        <w:tc>
          <w:tcPr>
            <w:tcW w:w="3009" w:type="dxa"/>
            <w:vAlign w:val="center"/>
          </w:tcPr>
          <w:p w:rsidRPr="00D34A7F" w:rsidR="006C5E1B" w:rsidP="00D34A7F" w:rsidRDefault="00000000" w14:paraId="0929D82A" w14:textId="77777777">
            <w:pPr>
              <w:rPr>
                <w:rFonts w:cs="Arial"/>
                <w:color w:val="000000" w:themeColor="text1"/>
              </w:rPr>
            </w:pPr>
            <w:r w:rsidRPr="00D34A7F">
              <w:rPr>
                <w:rFonts w:cs="Arial"/>
                <w:color w:val="000000" w:themeColor="text1"/>
              </w:rPr>
              <w:t>External investigation supplied powers unavailable to internal review.</w:t>
            </w:r>
          </w:p>
        </w:tc>
      </w:tr>
      <w:tr w:rsidRPr="00D34A7F" w:rsidR="006C5E1B" w14:paraId="1C1CBCCB" w14:textId="77777777">
        <w:trPr>
          <w:jc w:val="center"/>
        </w:trPr>
        <w:tc>
          <w:tcPr>
            <w:tcW w:w="3009" w:type="dxa"/>
            <w:vAlign w:val="center"/>
          </w:tcPr>
          <w:p w:rsidRPr="00D34A7F" w:rsidR="006C5E1B" w:rsidP="00D34A7F" w:rsidRDefault="00000000" w14:paraId="00D0DF14" w14:textId="77777777">
            <w:pPr>
              <w:rPr>
                <w:rFonts w:cs="Arial"/>
                <w:color w:val="000000" w:themeColor="text1"/>
              </w:rPr>
            </w:pPr>
            <w:r w:rsidRPr="00D34A7F">
              <w:rPr>
                <w:rFonts w:cs="Arial"/>
                <w:color w:val="000000" w:themeColor="text1"/>
              </w:rPr>
              <w:t>2023-2026</w:t>
            </w:r>
          </w:p>
        </w:tc>
        <w:tc>
          <w:tcPr>
            <w:tcW w:w="3009" w:type="dxa"/>
            <w:vAlign w:val="center"/>
          </w:tcPr>
          <w:p w:rsidRPr="00D34A7F" w:rsidR="006C5E1B" w:rsidP="00D34A7F" w:rsidRDefault="00000000" w14:paraId="680AA51B" w14:textId="77777777">
            <w:pPr>
              <w:rPr>
                <w:rFonts w:cs="Arial"/>
                <w:color w:val="000000" w:themeColor="text1"/>
              </w:rPr>
            </w:pPr>
            <w:r w:rsidRPr="00D34A7F">
              <w:rPr>
                <w:rFonts w:cs="Arial"/>
                <w:color w:val="000000" w:themeColor="text1"/>
              </w:rPr>
              <w:t>The Thirlwall Inquiry examined hospital and system conduct.</w:t>
            </w:r>
          </w:p>
        </w:tc>
        <w:tc>
          <w:tcPr>
            <w:tcW w:w="3009" w:type="dxa"/>
            <w:vAlign w:val="center"/>
          </w:tcPr>
          <w:p w:rsidRPr="00D34A7F" w:rsidR="006C5E1B" w:rsidP="00D34A7F" w:rsidRDefault="00000000" w14:paraId="7B6CE867" w14:textId="77777777">
            <w:pPr>
              <w:rPr>
                <w:rFonts w:cs="Arial"/>
                <w:color w:val="000000" w:themeColor="text1"/>
              </w:rPr>
            </w:pPr>
            <w:r w:rsidRPr="00D34A7F">
              <w:rPr>
                <w:rFonts w:cs="Arial"/>
                <w:color w:val="000000" w:themeColor="text1"/>
              </w:rPr>
              <w:t>The awaited final report requires cautious use of submissions.</w:t>
            </w:r>
          </w:p>
        </w:tc>
      </w:tr>
    </w:tbl>
    <w:p w:rsidRPr="00D34A7F" w:rsidR="006C5E1B" w:rsidP="00D34A7F" w:rsidRDefault="006C5E1B" w14:paraId="15837783" w14:textId="775BE81D">
      <w:pPr>
        <w:jc w:val="both"/>
        <w:rPr>
          <w:rFonts w:cs="Arial"/>
          <w:color w:val="000000" w:themeColor="text1"/>
        </w:rPr>
      </w:pPr>
    </w:p>
    <w:p w:rsidRPr="00D34A7F" w:rsidR="00713C1E" w:rsidP="00D34A7F" w:rsidRDefault="00713C1E" w14:paraId="7199E525" w14:textId="2B9196C3">
      <w:pPr>
        <w:jc w:val="both"/>
        <w:rPr>
          <w:rFonts w:cs="Arial"/>
          <w:color w:val="000000" w:themeColor="text1"/>
        </w:rPr>
      </w:pPr>
      <w:r w:rsidRPr="00D34A7F">
        <w:rPr>
          <w:rFonts w:cs="Arial"/>
          <w:color w:val="000000" w:themeColor="text1"/>
        </w:rPr>
        <w:t>WHO (2023) found that 1 in 10 patients is harmed by the health care they receive</w:t>
      </w:r>
      <w:r w:rsidRPr="00D34A7F" w:rsidR="00F00E07">
        <w:rPr>
          <w:rFonts w:cs="Arial"/>
          <w:color w:val="000000" w:themeColor="text1"/>
        </w:rPr>
        <w:t>;</w:t>
      </w:r>
      <w:r w:rsidRPr="00D34A7F">
        <w:rPr>
          <w:rFonts w:cs="Arial"/>
          <w:color w:val="000000" w:themeColor="text1"/>
        </w:rPr>
        <w:t xml:space="preserve"> many of these harms are preventable. However, the global numbers are based on various settings and methods and cannot be directly translated to another neonatal unit. They create this awareness that the problem of patient harm is more of a public health and governance problem than just a single clinical mistake. Leaders, reliable systems, workforce competence, patient involvement and information for learning are the key principles of the Global Patient Safety Action Plan (WHO, 2021). There is a lot of relevance in the case as weaknesses were present across all these domains.</w:t>
      </w:r>
    </w:p>
    <w:p w:rsidRPr="00D34A7F" w:rsidR="00713C1E" w:rsidP="00D34A7F" w:rsidRDefault="00713C1E" w14:paraId="37F8B514" w14:textId="666F0491">
      <w:pPr>
        <w:jc w:val="both"/>
        <w:rPr>
          <w:rFonts w:cs="Arial"/>
          <w:color w:val="000000" w:themeColor="text1"/>
        </w:rPr>
      </w:pPr>
      <w:r w:rsidRPr="00D34A7F">
        <w:rPr>
          <w:rFonts w:cs="Arial"/>
          <w:color w:val="000000" w:themeColor="text1"/>
        </w:rPr>
        <w:t>The ONS (2025) estimated that in England &amp; Wales, there were 3.0 neonatal deaths for every 1,000 live births in 2023. But "crude" rates are affected by gestation, congenital conditions, case mix and referral patterns and can</w:t>
      </w:r>
      <w:r w:rsidRPr="00D34A7F" w:rsidR="005B2722">
        <w:rPr>
          <w:rFonts w:cs="Arial"/>
          <w:color w:val="000000" w:themeColor="text1"/>
        </w:rPr>
        <w:t>no</w:t>
      </w:r>
      <w:r w:rsidRPr="00D34A7F">
        <w:rPr>
          <w:rFonts w:cs="Arial"/>
          <w:color w:val="000000" w:themeColor="text1"/>
        </w:rPr>
        <w:t xml:space="preserve">t rule out a possible cluster of cases in the area. Vincent and Amalberti (2016) believe that surveillance should be quantitative and </w:t>
      </w:r>
      <w:r w:rsidRPr="00D34A7F" w:rsidR="00F00E07">
        <w:rPr>
          <w:rFonts w:cs="Arial"/>
          <w:color w:val="000000" w:themeColor="text1"/>
        </w:rPr>
        <w:t>based on</w:t>
      </w:r>
      <w:r w:rsidRPr="00D34A7F">
        <w:rPr>
          <w:rFonts w:cs="Arial"/>
          <w:color w:val="000000" w:themeColor="text1"/>
        </w:rPr>
        <w:t xml:space="preserve"> operational knowledge. Mortality charts should thus not be used instead of clinical judgement, but rather as a basis for a risk</w:t>
      </w:r>
      <w:r w:rsidRPr="00D34A7F" w:rsidR="00F00E07">
        <w:rPr>
          <w:rFonts w:cs="Arial"/>
          <w:color w:val="000000" w:themeColor="text1"/>
        </w:rPr>
        <w:t>-</w:t>
      </w:r>
      <w:r w:rsidRPr="00D34A7F">
        <w:rPr>
          <w:rFonts w:cs="Arial"/>
          <w:color w:val="000000" w:themeColor="text1"/>
        </w:rPr>
        <w:t>adjusted review. What failed is not the initial uncertainty, but the lack of adequate independent and limited investigation where the uncertainty had catastrophic consequences. Conversely, any statistical relationship to a single staff member needs to be examined with caution as exposures may be correlated due to the exposures themselves and/or due to different case allocations or complexity.</w:t>
      </w:r>
    </w:p>
    <w:p w:rsidRPr="00D34A7F" w:rsidR="006C5E1B" w:rsidP="00D34A7F" w:rsidRDefault="00713C1E" w14:paraId="16613D0B" w14:textId="1A22302B">
      <w:pPr>
        <w:jc w:val="both"/>
        <w:rPr>
          <w:rFonts w:cs="Arial"/>
          <w:color w:val="000000" w:themeColor="text1"/>
        </w:rPr>
      </w:pPr>
      <w:r w:rsidRPr="00D34A7F">
        <w:rPr>
          <w:rFonts w:cs="Arial"/>
          <w:color w:val="000000" w:themeColor="text1"/>
        </w:rPr>
        <w:t>The NHS Staff Survey 2025 shows that 71.10% would be comfortable making concerns about unsafe clinical practice known, while 60.29% would be comfortable in raising concerns in general. (NHS Staff Survey, 2026) But surveys are assessing perceptions</w:t>
      </w:r>
      <w:r w:rsidRPr="00D34A7F" w:rsidR="00F00E07">
        <w:rPr>
          <w:rFonts w:cs="Arial"/>
          <w:color w:val="000000" w:themeColor="text1"/>
        </w:rPr>
        <w:t>,</w:t>
      </w:r>
      <w:r w:rsidRPr="00D34A7F">
        <w:rPr>
          <w:rFonts w:cs="Arial"/>
          <w:color w:val="000000" w:themeColor="text1"/>
        </w:rPr>
        <w:t xml:space="preserve"> and any local context or pattern of responses will influence the outcome. They are unable to demonstrate </w:t>
      </w:r>
      <w:r w:rsidRPr="00D34A7F" w:rsidR="00F00E07">
        <w:rPr>
          <w:rFonts w:cs="Arial"/>
          <w:color w:val="000000" w:themeColor="text1"/>
        </w:rPr>
        <w:t>how</w:t>
      </w:r>
      <w:r w:rsidRPr="00D34A7F">
        <w:rPr>
          <w:rFonts w:cs="Arial"/>
          <w:color w:val="000000" w:themeColor="text1"/>
        </w:rPr>
        <w:t xml:space="preserve"> a specific concern was addressed. However, the gap is not for evaluation of the existence of policies but organisational response. Similarly, the National Guardian's Office (2024) believes that the speaking up process should lead to improvement, rather than being limited to whistleblowing. This assists in providing a dual culture test</w:t>
      </w:r>
      <w:r w:rsidRPr="00D34A7F" w:rsidR="00F00E07">
        <w:rPr>
          <w:rFonts w:cs="Arial"/>
          <w:color w:val="000000" w:themeColor="text1"/>
        </w:rPr>
        <w:t>:</w:t>
      </w:r>
      <w:r w:rsidRPr="00D34A7F">
        <w:rPr>
          <w:rFonts w:cs="Arial"/>
          <w:color w:val="000000" w:themeColor="text1"/>
        </w:rPr>
        <w:t xml:space="preserve"> the staff should be </w:t>
      </w:r>
      <w:r w:rsidRPr="00D34A7F">
        <w:rPr>
          <w:rFonts w:cs="Arial"/>
          <w:color w:val="000000" w:themeColor="text1"/>
        </w:rPr>
        <w:lastRenderedPageBreak/>
        <w:t>given the opportunity to raise concerns</w:t>
      </w:r>
      <w:r w:rsidRPr="00D34A7F" w:rsidR="00F00E07">
        <w:rPr>
          <w:rFonts w:cs="Arial"/>
          <w:color w:val="000000" w:themeColor="text1"/>
        </w:rPr>
        <w:t>,</w:t>
      </w:r>
      <w:r w:rsidRPr="00D34A7F">
        <w:rPr>
          <w:rFonts w:cs="Arial"/>
          <w:color w:val="000000" w:themeColor="text1"/>
        </w:rPr>
        <w:t xml:space="preserve"> and there should be evidence that the organisation has taken those concerns on board and responded fairly.</w:t>
      </w:r>
    </w:p>
    <w:p w:rsidRPr="00D34A7F" w:rsidR="006C5E1B" w:rsidP="00D34A7F" w:rsidRDefault="00000000" w14:paraId="2B6F9F9F" w14:textId="77777777">
      <w:pPr>
        <w:jc w:val="center"/>
        <w:rPr>
          <w:rFonts w:cs="Arial"/>
          <w:color w:val="000000" w:themeColor="text1"/>
        </w:rPr>
      </w:pPr>
      <w:r w:rsidRPr="00D34A7F">
        <w:rPr>
          <w:rFonts w:cs="Arial"/>
          <w:noProof/>
          <w:color w:val="000000" w:themeColor="text1"/>
        </w:rPr>
        <w:drawing>
          <wp:inline distT="0" distB="0" distL="0" distR="0" wp14:anchorId="6A13CCFD" wp14:editId="14ABFED9">
            <wp:extent cx="5940000" cy="40115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CHS7002_Rich_Picture.png"/>
                    <pic:cNvPicPr/>
                  </pic:nvPicPr>
                  <pic:blipFill>
                    <a:blip r:embed="rId8"/>
                    <a:stretch>
                      <a:fillRect/>
                    </a:stretch>
                  </pic:blipFill>
                  <pic:spPr>
                    <a:xfrm>
                      <a:off x="0" y="0"/>
                      <a:ext cx="5940000" cy="4011578"/>
                    </a:xfrm>
                    <a:prstGeom prst="rect">
                      <a:avLst/>
                    </a:prstGeom>
                  </pic:spPr>
                </pic:pic>
              </a:graphicData>
            </a:graphic>
          </wp:inline>
        </w:drawing>
      </w:r>
    </w:p>
    <w:p w:rsidRPr="00D34A7F" w:rsidR="006C5E1B" w:rsidP="00D34A7F" w:rsidRDefault="00000000" w14:paraId="744B7252" w14:textId="77777777">
      <w:pPr>
        <w:jc w:val="center"/>
        <w:rPr>
          <w:rFonts w:cs="Arial"/>
          <w:color w:val="000000" w:themeColor="text1"/>
        </w:rPr>
      </w:pPr>
      <w:r w:rsidRPr="00D34A7F">
        <w:rPr>
          <w:rFonts w:cs="Arial"/>
          <w:b/>
          <w:color w:val="000000" w:themeColor="text1"/>
        </w:rPr>
        <w:t>Figure 1. Rich Picture of actors, structures, emotions, dependencies and feedback loops</w:t>
      </w:r>
    </w:p>
    <w:p w:rsidRPr="00D34A7F" w:rsidR="00A063ED" w:rsidP="00D34A7F" w:rsidRDefault="00A063ED" w14:paraId="092AB9B2" w14:textId="2CB4BB2F">
      <w:pPr>
        <w:jc w:val="both"/>
        <w:rPr>
          <w:rFonts w:cs="Arial"/>
          <w:color w:val="000000" w:themeColor="text1"/>
        </w:rPr>
      </w:pPr>
      <w:r w:rsidRPr="00D34A7F">
        <w:rPr>
          <w:rFonts w:cs="Arial"/>
          <w:color w:val="000000" w:themeColor="text1"/>
        </w:rPr>
        <w:t xml:space="preserve">Figure 1 is a system of interconnected figures. The most vulnerable were babies and families; the nurse would make shift-level observations; the consultants would make clinical patterns; the executives would make decisions on workforce and referrals; and the board provided assurance. External organisations involved were </w:t>
      </w:r>
      <w:proofErr w:type="spellStart"/>
      <w:r w:rsidRPr="00D34A7F">
        <w:rPr>
          <w:rFonts w:cs="Arial"/>
          <w:color w:val="000000" w:themeColor="text1"/>
        </w:rPr>
        <w:t>RCPCH</w:t>
      </w:r>
      <w:proofErr w:type="spellEnd"/>
      <w:r w:rsidRPr="00D34A7F">
        <w:rPr>
          <w:rFonts w:cs="Arial"/>
          <w:color w:val="000000" w:themeColor="text1"/>
        </w:rPr>
        <w:t xml:space="preserve">, CQC, the coroner, regulators and police. Greenhalgh and Papoutsi (2018) and </w:t>
      </w:r>
      <w:proofErr w:type="spellStart"/>
      <w:r w:rsidRPr="00D34A7F">
        <w:rPr>
          <w:rFonts w:cs="Arial"/>
          <w:color w:val="000000" w:themeColor="text1"/>
        </w:rPr>
        <w:t>Komashie</w:t>
      </w:r>
      <w:proofErr w:type="spellEnd"/>
      <w:r w:rsidRPr="00D34A7F">
        <w:rPr>
          <w:rFonts w:cs="Arial"/>
          <w:color w:val="000000" w:themeColor="text1"/>
        </w:rPr>
        <w:t xml:space="preserve"> et al. (2021) indicate that the source of harm is often an interaction between persons, processes, resources and organisational boundaries. But systems thinking does not mean abdicat</w:t>
      </w:r>
      <w:r w:rsidRPr="00D34A7F" w:rsidR="00F00E07">
        <w:rPr>
          <w:rFonts w:cs="Arial"/>
          <w:color w:val="000000" w:themeColor="text1"/>
        </w:rPr>
        <w:t>ing</w:t>
      </w:r>
      <w:r w:rsidRPr="00D34A7F">
        <w:rPr>
          <w:rFonts w:cs="Arial"/>
          <w:color w:val="000000" w:themeColor="text1"/>
        </w:rPr>
        <w:t xml:space="preserve"> responsibility. Here it says that if individual misconduct were to occur, would the governance be able to detect and contain it?</w:t>
      </w:r>
    </w:p>
    <w:p w:rsidRPr="00D34A7F" w:rsidR="00A063ED" w:rsidP="00D34A7F" w:rsidRDefault="00A063ED" w14:paraId="4722942A" w14:textId="6FED240F">
      <w:pPr>
        <w:jc w:val="both"/>
        <w:rPr>
          <w:rFonts w:cs="Arial"/>
          <w:color w:val="000000" w:themeColor="text1"/>
        </w:rPr>
      </w:pPr>
      <w:r w:rsidRPr="00D34A7F">
        <w:rPr>
          <w:rFonts w:cs="Arial"/>
          <w:color w:val="000000" w:themeColor="text1"/>
        </w:rPr>
        <w:t xml:space="preserve">A reinforcing loop can be surmised: uncertainty and reputation concerns spurred defensive procedure; the latter eroded clinician-manager trust; antagonistic communication further extended uncertainty and created additional process. O'Donovan &amp; McAuliffe 2020a state </w:t>
      </w:r>
      <w:r w:rsidRPr="00D34A7F" w:rsidR="00F00E07">
        <w:rPr>
          <w:rFonts w:cs="Arial"/>
          <w:color w:val="000000" w:themeColor="text1"/>
        </w:rPr>
        <w:t xml:space="preserve">that </w:t>
      </w:r>
      <w:r w:rsidRPr="00D34A7F">
        <w:rPr>
          <w:rFonts w:cs="Arial"/>
          <w:color w:val="000000" w:themeColor="text1"/>
        </w:rPr>
        <w:t xml:space="preserve">inclusive leadership, clear roles and supportive relationships create psychological safety. They have, however, not presented their evidence as a homogenous body of </w:t>
      </w:r>
      <w:r w:rsidRPr="00D34A7F">
        <w:rPr>
          <w:rFonts w:cs="Arial"/>
          <w:color w:val="000000" w:themeColor="text1"/>
        </w:rPr>
        <w:lastRenderedPageBreak/>
        <w:t>evidence in order to prove that psychological safety prevents severe harm</w:t>
      </w:r>
      <w:r w:rsidRPr="00D34A7F" w:rsidR="00F00E07">
        <w:rPr>
          <w:rFonts w:cs="Arial"/>
          <w:color w:val="000000" w:themeColor="text1"/>
        </w:rPr>
        <w:t>,</w:t>
      </w:r>
      <w:r w:rsidRPr="00D34A7F">
        <w:rPr>
          <w:rFonts w:cs="Arial"/>
          <w:color w:val="000000" w:themeColor="text1"/>
        </w:rPr>
        <w:t xml:space="preserve"> and </w:t>
      </w:r>
      <w:proofErr w:type="spellStart"/>
      <w:r w:rsidRPr="00D34A7F">
        <w:rPr>
          <w:rFonts w:cs="Arial"/>
          <w:color w:val="000000" w:themeColor="text1"/>
        </w:rPr>
        <w:t>Grailey</w:t>
      </w:r>
      <w:proofErr w:type="spellEnd"/>
      <w:r w:rsidRPr="00D34A7F">
        <w:rPr>
          <w:rFonts w:cs="Arial"/>
          <w:color w:val="000000" w:themeColor="text1"/>
        </w:rPr>
        <w:t xml:space="preserve"> et al. (2021) reported large measurement variation. Communication is therefore essential for psychological safety, and must be linked to formal escalation, independent review and accountable action.</w:t>
      </w:r>
    </w:p>
    <w:p w:rsidRPr="00D34A7F" w:rsidR="006C5E1B" w:rsidP="00D34A7F" w:rsidRDefault="00A063ED" w14:paraId="5E6AD324" w14:textId="033F45E3">
      <w:pPr>
        <w:jc w:val="both"/>
        <w:rPr>
          <w:rFonts w:cs="Arial"/>
          <w:color w:val="000000" w:themeColor="text1"/>
        </w:rPr>
      </w:pPr>
      <w:r w:rsidRPr="00D34A7F">
        <w:rPr>
          <w:rFonts w:cs="Arial"/>
          <w:color w:val="000000" w:themeColor="text1"/>
        </w:rPr>
        <w:t xml:space="preserve">The Care Quality Commission (2016a) undertook </w:t>
      </w:r>
      <w:r w:rsidRPr="00D34A7F" w:rsidR="00F00E07">
        <w:rPr>
          <w:rFonts w:cs="Arial"/>
          <w:color w:val="000000" w:themeColor="text1"/>
        </w:rPr>
        <w:t xml:space="preserve">an </w:t>
      </w:r>
      <w:r w:rsidRPr="00D34A7F">
        <w:rPr>
          <w:rFonts w:cs="Arial"/>
          <w:color w:val="000000" w:themeColor="text1"/>
        </w:rPr>
        <w:t xml:space="preserve">inspection in 2016, revealing that there was a longstanding staffing risk, the number of neonatal staff below </w:t>
      </w:r>
      <w:proofErr w:type="spellStart"/>
      <w:r w:rsidRPr="00D34A7F">
        <w:rPr>
          <w:rFonts w:cs="Arial"/>
          <w:color w:val="000000" w:themeColor="text1"/>
        </w:rPr>
        <w:t>BAPM</w:t>
      </w:r>
      <w:proofErr w:type="spellEnd"/>
      <w:r w:rsidRPr="00D34A7F">
        <w:rPr>
          <w:rFonts w:cs="Arial"/>
          <w:color w:val="000000" w:themeColor="text1"/>
        </w:rPr>
        <w:t xml:space="preserve"> standards and 11 staffing and acuity incidents in the previous year. Yet this evidence also shows the capacity of organisational assurance to be limited. But there were also positive results on other domains. Mannion and Davies (2018) suggest that one rating does not provide enough information to infer an organisation's culture. But it</w:t>
      </w:r>
      <w:r w:rsidRPr="00D34A7F" w:rsidR="005B2722">
        <w:rPr>
          <w:rFonts w:cs="Arial"/>
          <w:color w:val="000000" w:themeColor="text1"/>
        </w:rPr>
        <w:t xml:space="preserve"> i</w:t>
      </w:r>
      <w:r w:rsidRPr="00D34A7F">
        <w:rPr>
          <w:rFonts w:cs="Arial"/>
          <w:color w:val="000000" w:themeColor="text1"/>
        </w:rPr>
        <w:t>s not feasible to watch for all threats that arise from time to time. Leaders need to use the inspection in conjunction with, and in relation to, live mortality, staffing, incidents and concerns from the families and professional judgement. Fragmented information, unclear thresholds, hierarchy, limited challenge and confused safety and employment processes were all cited as root causes.</w:t>
      </w:r>
    </w:p>
    <w:p w:rsidRPr="00D34A7F" w:rsidR="006C5E1B" w:rsidP="00D34A7F" w:rsidRDefault="00000000" w14:paraId="4332F5CD" w14:textId="77777777">
      <w:pPr>
        <w:pStyle w:val="Heading2"/>
        <w:rPr>
          <w:rFonts w:ascii="Arial" w:hAnsi="Arial" w:cs="Arial"/>
          <w:color w:val="000000" w:themeColor="text1"/>
          <w:sz w:val="22"/>
          <w:szCs w:val="22"/>
        </w:rPr>
      </w:pPr>
      <w:r w:rsidRPr="00D34A7F">
        <w:rPr>
          <w:rFonts w:ascii="Arial" w:hAnsi="Arial" w:eastAsia="Arial" w:cs="Arial"/>
          <w:color w:val="000000" w:themeColor="text1"/>
          <w:sz w:val="22"/>
          <w:szCs w:val="22"/>
        </w:rPr>
        <w:t xml:space="preserve">2.2 </w:t>
      </w:r>
      <w:proofErr w:type="spellStart"/>
      <w:r w:rsidRPr="00D34A7F">
        <w:rPr>
          <w:rFonts w:ascii="Arial" w:hAnsi="Arial" w:eastAsia="Arial" w:cs="Arial"/>
          <w:color w:val="000000" w:themeColor="text1"/>
          <w:sz w:val="22"/>
          <w:szCs w:val="22"/>
        </w:rPr>
        <w:t>Centralisation</w:t>
      </w:r>
      <w:proofErr w:type="spellEnd"/>
      <w:r w:rsidRPr="00D34A7F">
        <w:rPr>
          <w:rFonts w:ascii="Arial" w:hAnsi="Arial" w:eastAsia="Arial" w:cs="Arial"/>
          <w:color w:val="000000" w:themeColor="text1"/>
          <w:sz w:val="22"/>
          <w:szCs w:val="22"/>
        </w:rPr>
        <w:t xml:space="preserve"> and </w:t>
      </w:r>
      <w:proofErr w:type="spellStart"/>
      <w:r w:rsidRPr="00D34A7F">
        <w:rPr>
          <w:rFonts w:ascii="Arial" w:hAnsi="Arial" w:eastAsia="Arial" w:cs="Arial"/>
          <w:color w:val="000000" w:themeColor="text1"/>
          <w:sz w:val="22"/>
          <w:szCs w:val="22"/>
        </w:rPr>
        <w:t>Decentralisation</w:t>
      </w:r>
      <w:proofErr w:type="spellEnd"/>
      <w:r w:rsidRPr="00D34A7F">
        <w:rPr>
          <w:rFonts w:ascii="Arial" w:hAnsi="Arial" w:eastAsia="Arial" w:cs="Arial"/>
          <w:color w:val="000000" w:themeColor="text1"/>
          <w:sz w:val="22"/>
          <w:szCs w:val="22"/>
        </w:rPr>
        <w:t xml:space="preserve"> within the Case</w:t>
      </w:r>
    </w:p>
    <w:p w:rsidRPr="00D34A7F" w:rsidR="0028583B" w:rsidP="00D34A7F" w:rsidRDefault="0028583B" w14:paraId="0A1D3AA9" w14:textId="39C5728B">
      <w:pPr>
        <w:jc w:val="both"/>
        <w:rPr>
          <w:rFonts w:cs="Arial"/>
          <w:color w:val="000000" w:themeColor="text1"/>
        </w:rPr>
      </w:pPr>
      <w:r w:rsidRPr="00D34A7F">
        <w:rPr>
          <w:rFonts w:cs="Arial"/>
          <w:color w:val="000000" w:themeColor="text1"/>
        </w:rPr>
        <w:t>The hospital was a foundation trust in a nationally regulated NHS but not purely decentralised. National and system duties are set out in the Health and Care Act 2022</w:t>
      </w:r>
      <w:r w:rsidRPr="00D34A7F" w:rsidR="00F00E07">
        <w:rPr>
          <w:rFonts w:cs="Arial"/>
          <w:color w:val="000000" w:themeColor="text1"/>
        </w:rPr>
        <w:t>,</w:t>
      </w:r>
      <w:r w:rsidRPr="00D34A7F">
        <w:rPr>
          <w:rFonts w:cs="Arial"/>
          <w:color w:val="000000" w:themeColor="text1"/>
        </w:rPr>
        <w:t xml:space="preserve"> but provider boards are accountable locally. Formal accountability is</w:t>
      </w:r>
      <w:r w:rsidRPr="00D34A7F" w:rsidR="00F00E07">
        <w:rPr>
          <w:rFonts w:cs="Arial"/>
          <w:color w:val="000000" w:themeColor="text1"/>
        </w:rPr>
        <w:t>,</w:t>
      </w:r>
      <w:r w:rsidRPr="00D34A7F">
        <w:rPr>
          <w:rFonts w:cs="Arial"/>
          <w:color w:val="000000" w:themeColor="text1"/>
        </w:rPr>
        <w:t xml:space="preserve"> however</w:t>
      </w:r>
      <w:r w:rsidRPr="00D34A7F" w:rsidR="00F00E07">
        <w:rPr>
          <w:rFonts w:cs="Arial"/>
          <w:color w:val="000000" w:themeColor="text1"/>
        </w:rPr>
        <w:t>,</w:t>
      </w:r>
      <w:r w:rsidRPr="00D34A7F">
        <w:rPr>
          <w:rFonts w:cs="Arial"/>
          <w:color w:val="000000" w:themeColor="text1"/>
        </w:rPr>
        <w:t xml:space="preserve"> diminished if the information provided to the board is 'filtered' through the interpretation of the executive. There was a spectrum in neonatal governance, with 120 trusts having different arrangements, and escalation, with 60 trusts having no specific escalation procedures (Nuffield Trust 2024). The evidence was valuable</w:t>
      </w:r>
      <w:r w:rsidRPr="00D34A7F" w:rsidR="00F00E07">
        <w:rPr>
          <w:rFonts w:cs="Arial"/>
          <w:color w:val="000000" w:themeColor="text1"/>
        </w:rPr>
        <w:t>,</w:t>
      </w:r>
      <w:r w:rsidRPr="00D34A7F">
        <w:rPr>
          <w:rFonts w:cs="Arial"/>
          <w:color w:val="000000" w:themeColor="text1"/>
        </w:rPr>
        <w:t xml:space="preserve"> but responses were self-reported and thus were not independently validated. Shows variation</w:t>
      </w:r>
      <w:r w:rsidRPr="00D34A7F" w:rsidR="00F00E07">
        <w:rPr>
          <w:rFonts w:cs="Arial"/>
          <w:color w:val="000000" w:themeColor="text1"/>
        </w:rPr>
        <w:t>,</w:t>
      </w:r>
      <w:r w:rsidRPr="00D34A7F">
        <w:rPr>
          <w:rFonts w:cs="Arial"/>
          <w:color w:val="000000" w:themeColor="text1"/>
        </w:rPr>
        <w:t xml:space="preserve"> not comparative performance.</w:t>
      </w:r>
    </w:p>
    <w:p w:rsidRPr="00D34A7F" w:rsidR="0028583B" w:rsidP="00D34A7F" w:rsidRDefault="0028583B" w14:paraId="1E601D38" w14:textId="21722563">
      <w:pPr>
        <w:jc w:val="both"/>
        <w:rPr>
          <w:rFonts w:cs="Arial"/>
          <w:color w:val="000000" w:themeColor="text1"/>
        </w:rPr>
      </w:pPr>
      <w:proofErr w:type="spellStart"/>
      <w:r w:rsidRPr="00D34A7F">
        <w:rPr>
          <w:rFonts w:cs="Arial"/>
          <w:color w:val="000000" w:themeColor="text1"/>
        </w:rPr>
        <w:t>Decentralisation</w:t>
      </w:r>
      <w:proofErr w:type="spellEnd"/>
      <w:r w:rsidRPr="00D34A7F">
        <w:rPr>
          <w:rFonts w:cs="Arial"/>
          <w:color w:val="000000" w:themeColor="text1"/>
        </w:rPr>
        <w:t xml:space="preserve"> allows the identification of weak signals close to care, where safety issues can be improved. In this instance, unusual collapses were linked to staffing patterns by means of consultants. Braithwaite et al., (2018) highlight the need for adaptation and local knowledge in complex systems. But local knowledge only serves to safeguard patients if they are heard and tested by formal leaders. In this case, intelligence would be spread out while reviewers and outside referrals would have authority. </w:t>
      </w:r>
      <w:proofErr w:type="spellStart"/>
      <w:r w:rsidRPr="00D34A7F">
        <w:rPr>
          <w:rFonts w:cs="Arial"/>
          <w:color w:val="000000" w:themeColor="text1"/>
        </w:rPr>
        <w:t>Decentralisation</w:t>
      </w:r>
      <w:proofErr w:type="spellEnd"/>
      <w:r w:rsidRPr="00D34A7F">
        <w:rPr>
          <w:rFonts w:cs="Arial"/>
          <w:color w:val="000000" w:themeColor="text1"/>
        </w:rPr>
        <w:t xml:space="preserve"> was thus replaced by local response as a function of the executive gatekeeping. In practice, there needs to be a counterweight to local autonomy: those closest to the care need to be able to overlook the same hierarchy that they are objecting to.</w:t>
      </w:r>
    </w:p>
    <w:p w:rsidRPr="00D34A7F" w:rsidR="0028583B" w:rsidP="00D34A7F" w:rsidRDefault="0028583B" w14:paraId="684DAD2E" w14:textId="77777777">
      <w:pPr>
        <w:jc w:val="both"/>
        <w:rPr>
          <w:rFonts w:cs="Arial"/>
          <w:color w:val="000000" w:themeColor="text1"/>
        </w:rPr>
      </w:pPr>
      <w:r w:rsidRPr="00D34A7F">
        <w:rPr>
          <w:rFonts w:cs="Arial"/>
          <w:color w:val="000000" w:themeColor="text1"/>
        </w:rPr>
        <w:t xml:space="preserve">The primary local failure was when there </w:t>
      </w:r>
      <w:proofErr w:type="gramStart"/>
      <w:r w:rsidRPr="00D34A7F">
        <w:rPr>
          <w:rFonts w:cs="Arial"/>
          <w:color w:val="000000" w:themeColor="text1"/>
        </w:rPr>
        <w:t>was</w:t>
      </w:r>
      <w:proofErr w:type="gramEnd"/>
      <w:r w:rsidRPr="00D34A7F">
        <w:rPr>
          <w:rFonts w:cs="Arial"/>
          <w:color w:val="000000" w:themeColor="text1"/>
        </w:rPr>
        <w:t xml:space="preserve"> clinical concern and executive action. Two processes for employment grievance and patient-safety suspicion were parallel. For Dekker (2016), the key word in a just culture is arbitrary. Fairness does not mean, though, that </w:t>
      </w:r>
      <w:r w:rsidRPr="00D34A7F">
        <w:rPr>
          <w:rFonts w:cs="Arial"/>
          <w:color w:val="000000" w:themeColor="text1"/>
        </w:rPr>
        <w:lastRenderedPageBreak/>
        <w:t>proportional containment must be delayed until intent is undetermined. An individual's right to be treated lawfully is asked in employment procedure, and what independent and control measures ensure that patients are kept safe is asked in safety governance. Leaders could then limit access, keep a record and consult outside for help or assistance without admitting to being at fault. This separation also ensures that an independent safety assessment will not be as susceptible to informal conflict or organisational loyalty or reputational pressure as internal negotiation will be as far as protecting the accused employee is concerned.</w:t>
      </w:r>
    </w:p>
    <w:p w:rsidRPr="00D34A7F" w:rsidR="0028583B" w:rsidP="00D34A7F" w:rsidRDefault="0028583B" w14:paraId="06F9B4A0" w14:textId="620B68A3">
      <w:pPr>
        <w:jc w:val="both"/>
        <w:rPr>
          <w:rFonts w:cs="Arial"/>
          <w:color w:val="000000" w:themeColor="text1"/>
        </w:rPr>
      </w:pPr>
      <w:proofErr w:type="spellStart"/>
      <w:r w:rsidRPr="00D34A7F">
        <w:rPr>
          <w:rFonts w:cs="Arial"/>
          <w:color w:val="000000" w:themeColor="text1"/>
        </w:rPr>
        <w:t>Centralisation</w:t>
      </w:r>
      <w:proofErr w:type="spellEnd"/>
      <w:r w:rsidRPr="00D34A7F">
        <w:rPr>
          <w:rFonts w:cs="Arial"/>
          <w:color w:val="000000" w:themeColor="text1"/>
        </w:rPr>
        <w:t xml:space="preserve"> might have provided standard thresholds and outside expertise. NHS England (2022a) state</w:t>
      </w:r>
      <w:r w:rsidRPr="00D34A7F" w:rsidR="00F00E07">
        <w:rPr>
          <w:rFonts w:cs="Arial"/>
          <w:color w:val="000000" w:themeColor="text1"/>
        </w:rPr>
        <w:t>s</w:t>
      </w:r>
      <w:r w:rsidRPr="00D34A7F">
        <w:rPr>
          <w:rFonts w:cs="Arial"/>
          <w:color w:val="000000" w:themeColor="text1"/>
        </w:rPr>
        <w:t xml:space="preserve"> that </w:t>
      </w:r>
      <w:proofErr w:type="spellStart"/>
      <w:r w:rsidRPr="00D34A7F">
        <w:rPr>
          <w:rFonts w:cs="Arial"/>
          <w:color w:val="000000" w:themeColor="text1"/>
        </w:rPr>
        <w:t>PSIRF</w:t>
      </w:r>
      <w:proofErr w:type="spellEnd"/>
      <w:r w:rsidRPr="00D34A7F">
        <w:rPr>
          <w:rFonts w:cs="Arial"/>
          <w:color w:val="000000" w:themeColor="text1"/>
        </w:rPr>
        <w:t xml:space="preserve"> learning responses must be proportionate and system</w:t>
      </w:r>
      <w:r w:rsidRPr="00D34A7F" w:rsidR="00F00E07">
        <w:rPr>
          <w:rFonts w:cs="Arial"/>
          <w:color w:val="000000" w:themeColor="text1"/>
        </w:rPr>
        <w:t>-</w:t>
      </w:r>
      <w:r w:rsidRPr="00D34A7F">
        <w:rPr>
          <w:rFonts w:cs="Arial"/>
          <w:color w:val="000000" w:themeColor="text1"/>
        </w:rPr>
        <w:t xml:space="preserve">based. It is not, however, a criminal-investigation process, and should not take the criminal aspects of suspected deliberate harm into regular learning. Expectations for policy and oversight (NHS England, 2026) are reinforced in the 2026 response standards. National rules are not yet effective without the awareness of local staff of when normal incident review is not enough. There should be </w:t>
      </w:r>
      <w:r w:rsidRPr="00D34A7F" w:rsidR="00F00E07">
        <w:rPr>
          <w:rFonts w:cs="Arial"/>
          <w:color w:val="000000" w:themeColor="text1"/>
        </w:rPr>
        <w:t xml:space="preserve">a </w:t>
      </w:r>
      <w:r w:rsidRPr="00D34A7F">
        <w:rPr>
          <w:rFonts w:cs="Arial"/>
          <w:color w:val="000000" w:themeColor="text1"/>
        </w:rPr>
        <w:t>reduction of discretion in the use of mandatory triggers while maintaining immediate local containment. There should also be clear national guidance on the difference between learning from adverse events and when there is credible evidence of intentional harm, with a focus on evidence gathering and investigative expertise from third parties.</w:t>
      </w:r>
    </w:p>
    <w:p w:rsidRPr="00D34A7F" w:rsidR="006C5E1B" w:rsidP="00D34A7F" w:rsidRDefault="0028583B" w14:paraId="59BCCBBA" w14:textId="04669A1B">
      <w:pPr>
        <w:jc w:val="both"/>
        <w:rPr>
          <w:rFonts w:cs="Arial"/>
          <w:color w:val="000000" w:themeColor="text1"/>
        </w:rPr>
      </w:pPr>
      <w:r w:rsidRPr="00D34A7F">
        <w:rPr>
          <w:rFonts w:cs="Arial"/>
          <w:color w:val="000000" w:themeColor="text1"/>
        </w:rPr>
        <w:t>But there are drawbacks to central control. Inspection is periodic, regulators rely on referrals, coroners rely on information provided and clinical reviews are limited. Oikonomou et al. (2019) report an “ill-structured safety-regulation environment.” This mapping, however, does not establish that fragmentation is a cause of the delay</w:t>
      </w:r>
      <w:r w:rsidRPr="00D34A7F" w:rsidR="00F00E07">
        <w:rPr>
          <w:rFonts w:cs="Arial"/>
          <w:color w:val="000000" w:themeColor="text1"/>
        </w:rPr>
        <w:t>;</w:t>
      </w:r>
      <w:r w:rsidRPr="00D34A7F">
        <w:rPr>
          <w:rFonts w:cs="Arial"/>
          <w:color w:val="000000" w:themeColor="text1"/>
        </w:rPr>
        <w:t xml:space="preserve"> it establishes the reason for this. Other weaknesses that have been identified in implementing recommendations over time are also highlighted by the Thirlwall review of the past recommendations (Thirlwall Inquiry, 2024d). If </w:t>
      </w:r>
      <w:proofErr w:type="spellStart"/>
      <w:r w:rsidRPr="00D34A7F">
        <w:rPr>
          <w:rFonts w:cs="Arial"/>
          <w:color w:val="000000" w:themeColor="text1"/>
        </w:rPr>
        <w:t>no body</w:t>
      </w:r>
      <w:proofErr w:type="spellEnd"/>
      <w:r w:rsidRPr="00D34A7F">
        <w:rPr>
          <w:rFonts w:cs="Arial"/>
          <w:color w:val="000000" w:themeColor="text1"/>
        </w:rPr>
        <w:t xml:space="preserve"> has the full signal</w:t>
      </w:r>
      <w:r w:rsidRPr="00D34A7F" w:rsidR="00F00E07">
        <w:rPr>
          <w:rFonts w:cs="Arial"/>
          <w:color w:val="000000" w:themeColor="text1"/>
        </w:rPr>
        <w:t>,</w:t>
      </w:r>
      <w:r w:rsidRPr="00D34A7F">
        <w:rPr>
          <w:rFonts w:cs="Arial"/>
          <w:color w:val="000000" w:themeColor="text1"/>
        </w:rPr>
        <w:t xml:space="preserve"> then multiple bodies are of little use. Many safeguards can thus be built into a system, but it can still be weak at interfaces between systems where one system passes on responsibility, evidence or interpretation to another system.</w:t>
      </w:r>
    </w:p>
    <w:p w:rsidRPr="00D34A7F" w:rsidR="006C5E1B" w:rsidP="00D34A7F" w:rsidRDefault="00000000" w14:paraId="3AE08CF1" w14:textId="77777777">
      <w:pPr>
        <w:jc w:val="center"/>
        <w:rPr>
          <w:rFonts w:cs="Arial"/>
          <w:color w:val="000000" w:themeColor="text1"/>
        </w:rPr>
      </w:pPr>
      <w:r w:rsidRPr="00D34A7F">
        <w:rPr>
          <w:rFonts w:cs="Arial"/>
          <w:b/>
          <w:color w:val="000000" w:themeColor="text1"/>
        </w:rPr>
        <w:t>Table 2. Critical comparison of centralised and decentralised features</w:t>
      </w:r>
    </w:p>
    <w:tbl>
      <w:tblPr>
        <w:tblStyle w:val="TableGrid"/>
        <w:tblW w:w="0" w:type="auto"/>
        <w:jc w:val="center"/>
        <w:tblLook w:val="04A0" w:firstRow="1" w:lastRow="0" w:firstColumn="1" w:lastColumn="0" w:noHBand="0" w:noVBand="1"/>
      </w:tblPr>
      <w:tblGrid>
        <w:gridCol w:w="2256"/>
        <w:gridCol w:w="2256"/>
        <w:gridCol w:w="2256"/>
        <w:gridCol w:w="2256"/>
      </w:tblGrid>
      <w:tr w:rsidRPr="00D34A7F" w:rsidR="006C5E1B" w14:paraId="356A2694" w14:textId="77777777">
        <w:trPr>
          <w:tblHeader/>
          <w:jc w:val="center"/>
        </w:trPr>
        <w:tc>
          <w:tcPr>
            <w:tcW w:w="2256" w:type="dxa"/>
            <w:shd w:val="clear" w:color="auto" w:fill="D9EAF7"/>
            <w:vAlign w:val="center"/>
          </w:tcPr>
          <w:p w:rsidRPr="00D34A7F" w:rsidR="006C5E1B" w:rsidP="00D34A7F" w:rsidRDefault="00000000" w14:paraId="538BC261" w14:textId="77777777">
            <w:pPr>
              <w:rPr>
                <w:rFonts w:cs="Arial"/>
                <w:color w:val="000000" w:themeColor="text1"/>
              </w:rPr>
            </w:pPr>
            <w:r w:rsidRPr="00D34A7F">
              <w:rPr>
                <w:rFonts w:cs="Arial"/>
                <w:color w:val="000000" w:themeColor="text1"/>
              </w:rPr>
              <w:t>Feature</w:t>
            </w:r>
          </w:p>
        </w:tc>
        <w:tc>
          <w:tcPr>
            <w:tcW w:w="2256" w:type="dxa"/>
            <w:shd w:val="clear" w:color="auto" w:fill="D9EAF7"/>
            <w:vAlign w:val="center"/>
          </w:tcPr>
          <w:p w:rsidRPr="00D34A7F" w:rsidR="006C5E1B" w:rsidP="00D34A7F" w:rsidRDefault="00000000" w14:paraId="33ACF25C" w14:textId="77777777">
            <w:pPr>
              <w:rPr>
                <w:rFonts w:cs="Arial"/>
                <w:color w:val="000000" w:themeColor="text1"/>
              </w:rPr>
            </w:pPr>
            <w:r w:rsidRPr="00D34A7F">
              <w:rPr>
                <w:rFonts w:cs="Arial"/>
                <w:color w:val="000000" w:themeColor="text1"/>
              </w:rPr>
              <w:t>Benefit</w:t>
            </w:r>
          </w:p>
        </w:tc>
        <w:tc>
          <w:tcPr>
            <w:tcW w:w="2256" w:type="dxa"/>
            <w:shd w:val="clear" w:color="auto" w:fill="D9EAF7"/>
            <w:vAlign w:val="center"/>
          </w:tcPr>
          <w:p w:rsidRPr="00D34A7F" w:rsidR="006C5E1B" w:rsidP="00D34A7F" w:rsidRDefault="00000000" w14:paraId="0CDA7536" w14:textId="77777777">
            <w:pPr>
              <w:rPr>
                <w:rFonts w:cs="Arial"/>
                <w:color w:val="000000" w:themeColor="text1"/>
              </w:rPr>
            </w:pPr>
            <w:r w:rsidRPr="00D34A7F">
              <w:rPr>
                <w:rFonts w:cs="Arial"/>
                <w:color w:val="000000" w:themeColor="text1"/>
              </w:rPr>
              <w:t>Risk exposed</w:t>
            </w:r>
          </w:p>
        </w:tc>
        <w:tc>
          <w:tcPr>
            <w:tcW w:w="2256" w:type="dxa"/>
            <w:shd w:val="clear" w:color="auto" w:fill="D9EAF7"/>
            <w:vAlign w:val="center"/>
          </w:tcPr>
          <w:p w:rsidRPr="00D34A7F" w:rsidR="006C5E1B" w:rsidP="00D34A7F" w:rsidRDefault="00000000" w14:paraId="33CF5E87" w14:textId="77777777">
            <w:pPr>
              <w:rPr>
                <w:rFonts w:cs="Arial"/>
                <w:color w:val="000000" w:themeColor="text1"/>
              </w:rPr>
            </w:pPr>
            <w:r w:rsidRPr="00D34A7F">
              <w:rPr>
                <w:rFonts w:cs="Arial"/>
                <w:color w:val="000000" w:themeColor="text1"/>
              </w:rPr>
              <w:t>Design response</w:t>
            </w:r>
          </w:p>
        </w:tc>
      </w:tr>
      <w:tr w:rsidRPr="00D34A7F" w:rsidR="006C5E1B" w14:paraId="174D9C97" w14:textId="77777777">
        <w:trPr>
          <w:jc w:val="center"/>
        </w:trPr>
        <w:tc>
          <w:tcPr>
            <w:tcW w:w="2256" w:type="dxa"/>
            <w:vAlign w:val="center"/>
          </w:tcPr>
          <w:p w:rsidRPr="00D34A7F" w:rsidR="006C5E1B" w:rsidP="00D34A7F" w:rsidRDefault="00000000" w14:paraId="4456C4D2" w14:textId="77777777">
            <w:pPr>
              <w:rPr>
                <w:rFonts w:cs="Arial"/>
                <w:color w:val="000000" w:themeColor="text1"/>
              </w:rPr>
            </w:pPr>
            <w:r w:rsidRPr="00D34A7F">
              <w:rPr>
                <w:rFonts w:cs="Arial"/>
                <w:color w:val="000000" w:themeColor="text1"/>
              </w:rPr>
              <w:t>National oversight</w:t>
            </w:r>
          </w:p>
        </w:tc>
        <w:tc>
          <w:tcPr>
            <w:tcW w:w="2256" w:type="dxa"/>
            <w:vAlign w:val="center"/>
          </w:tcPr>
          <w:p w:rsidRPr="00D34A7F" w:rsidR="006C5E1B" w:rsidP="00D34A7F" w:rsidRDefault="00000000" w14:paraId="4FC989F3" w14:textId="77777777">
            <w:pPr>
              <w:rPr>
                <w:rFonts w:cs="Arial"/>
                <w:color w:val="000000" w:themeColor="text1"/>
              </w:rPr>
            </w:pPr>
            <w:r w:rsidRPr="00D34A7F">
              <w:rPr>
                <w:rFonts w:cs="Arial"/>
                <w:color w:val="000000" w:themeColor="text1"/>
              </w:rPr>
              <w:t>Consistency and external challenge</w:t>
            </w:r>
          </w:p>
        </w:tc>
        <w:tc>
          <w:tcPr>
            <w:tcW w:w="2256" w:type="dxa"/>
            <w:vAlign w:val="center"/>
          </w:tcPr>
          <w:p w:rsidRPr="00D34A7F" w:rsidR="006C5E1B" w:rsidP="00D34A7F" w:rsidRDefault="00000000" w14:paraId="01BE0B12" w14:textId="77777777">
            <w:pPr>
              <w:rPr>
                <w:rFonts w:cs="Arial"/>
                <w:color w:val="000000" w:themeColor="text1"/>
              </w:rPr>
            </w:pPr>
            <w:r w:rsidRPr="00D34A7F">
              <w:rPr>
                <w:rFonts w:cs="Arial"/>
                <w:color w:val="000000" w:themeColor="text1"/>
              </w:rPr>
              <w:t>Partial information and reliance on referral</w:t>
            </w:r>
          </w:p>
        </w:tc>
        <w:tc>
          <w:tcPr>
            <w:tcW w:w="2256" w:type="dxa"/>
            <w:vAlign w:val="center"/>
          </w:tcPr>
          <w:p w:rsidRPr="00D34A7F" w:rsidR="006C5E1B" w:rsidP="00D34A7F" w:rsidRDefault="00000000" w14:paraId="72BB5234" w14:textId="77777777">
            <w:pPr>
              <w:rPr>
                <w:rFonts w:cs="Arial"/>
                <w:color w:val="000000" w:themeColor="text1"/>
              </w:rPr>
            </w:pPr>
            <w:r w:rsidRPr="00D34A7F">
              <w:rPr>
                <w:rFonts w:cs="Arial"/>
                <w:color w:val="000000" w:themeColor="text1"/>
              </w:rPr>
              <w:t>Mandatory triggers and shared triage</w:t>
            </w:r>
          </w:p>
        </w:tc>
      </w:tr>
      <w:tr w:rsidRPr="00D34A7F" w:rsidR="006C5E1B" w14:paraId="12D1054D" w14:textId="77777777">
        <w:trPr>
          <w:jc w:val="center"/>
        </w:trPr>
        <w:tc>
          <w:tcPr>
            <w:tcW w:w="2256" w:type="dxa"/>
            <w:vAlign w:val="center"/>
          </w:tcPr>
          <w:p w:rsidRPr="00D34A7F" w:rsidR="006C5E1B" w:rsidP="00D34A7F" w:rsidRDefault="00000000" w14:paraId="177D1577" w14:textId="77777777">
            <w:pPr>
              <w:rPr>
                <w:rFonts w:cs="Arial"/>
                <w:color w:val="000000" w:themeColor="text1"/>
              </w:rPr>
            </w:pPr>
            <w:r w:rsidRPr="00D34A7F">
              <w:rPr>
                <w:rFonts w:cs="Arial"/>
                <w:color w:val="000000" w:themeColor="text1"/>
              </w:rPr>
              <w:t>Trust autonomy</w:t>
            </w:r>
          </w:p>
        </w:tc>
        <w:tc>
          <w:tcPr>
            <w:tcW w:w="2256" w:type="dxa"/>
            <w:vAlign w:val="center"/>
          </w:tcPr>
          <w:p w:rsidRPr="00D34A7F" w:rsidR="006C5E1B" w:rsidP="00D34A7F" w:rsidRDefault="00000000" w14:paraId="34AD2A15" w14:textId="77777777">
            <w:pPr>
              <w:rPr>
                <w:rFonts w:cs="Arial"/>
                <w:color w:val="000000" w:themeColor="text1"/>
              </w:rPr>
            </w:pPr>
            <w:r w:rsidRPr="00D34A7F">
              <w:rPr>
                <w:rFonts w:cs="Arial"/>
                <w:color w:val="000000" w:themeColor="text1"/>
              </w:rPr>
              <w:t>Rapid local action</w:t>
            </w:r>
          </w:p>
        </w:tc>
        <w:tc>
          <w:tcPr>
            <w:tcW w:w="2256" w:type="dxa"/>
            <w:vAlign w:val="center"/>
          </w:tcPr>
          <w:p w:rsidRPr="00D34A7F" w:rsidR="006C5E1B" w:rsidP="00D34A7F" w:rsidRDefault="00000000" w14:paraId="723435C7" w14:textId="77777777">
            <w:pPr>
              <w:rPr>
                <w:rFonts w:cs="Arial"/>
                <w:color w:val="000000" w:themeColor="text1"/>
              </w:rPr>
            </w:pPr>
            <w:r w:rsidRPr="00D34A7F">
              <w:rPr>
                <w:rFonts w:cs="Arial"/>
                <w:color w:val="000000" w:themeColor="text1"/>
              </w:rPr>
              <w:t>Executive gatekeeping and variation</w:t>
            </w:r>
          </w:p>
        </w:tc>
        <w:tc>
          <w:tcPr>
            <w:tcW w:w="2256" w:type="dxa"/>
            <w:vAlign w:val="center"/>
          </w:tcPr>
          <w:p w:rsidRPr="00D34A7F" w:rsidR="006C5E1B" w:rsidP="00D34A7F" w:rsidRDefault="00000000" w14:paraId="57FFFE70" w14:textId="77777777">
            <w:pPr>
              <w:rPr>
                <w:rFonts w:cs="Arial"/>
                <w:color w:val="000000" w:themeColor="text1"/>
              </w:rPr>
            </w:pPr>
            <w:r w:rsidRPr="00D34A7F">
              <w:rPr>
                <w:rFonts w:cs="Arial"/>
                <w:color w:val="000000" w:themeColor="text1"/>
              </w:rPr>
              <w:t>Autonomy bounded by referral criteria</w:t>
            </w:r>
          </w:p>
        </w:tc>
      </w:tr>
      <w:tr w:rsidRPr="00D34A7F" w:rsidR="006C5E1B" w14:paraId="0DF323F4" w14:textId="77777777">
        <w:trPr>
          <w:jc w:val="center"/>
        </w:trPr>
        <w:tc>
          <w:tcPr>
            <w:tcW w:w="2256" w:type="dxa"/>
            <w:vAlign w:val="center"/>
          </w:tcPr>
          <w:p w:rsidRPr="00D34A7F" w:rsidR="006C5E1B" w:rsidP="00D34A7F" w:rsidRDefault="00000000" w14:paraId="77C5230D" w14:textId="77777777">
            <w:pPr>
              <w:rPr>
                <w:rFonts w:cs="Arial"/>
                <w:color w:val="000000" w:themeColor="text1"/>
              </w:rPr>
            </w:pPr>
            <w:r w:rsidRPr="00D34A7F">
              <w:rPr>
                <w:rFonts w:cs="Arial"/>
                <w:color w:val="000000" w:themeColor="text1"/>
              </w:rPr>
              <w:lastRenderedPageBreak/>
              <w:t>Frontline judgement</w:t>
            </w:r>
          </w:p>
        </w:tc>
        <w:tc>
          <w:tcPr>
            <w:tcW w:w="2256" w:type="dxa"/>
            <w:vAlign w:val="center"/>
          </w:tcPr>
          <w:p w:rsidRPr="00D34A7F" w:rsidR="006C5E1B" w:rsidP="00D34A7F" w:rsidRDefault="00000000" w14:paraId="60DE9FE2" w14:textId="77777777">
            <w:pPr>
              <w:rPr>
                <w:rFonts w:cs="Arial"/>
                <w:color w:val="000000" w:themeColor="text1"/>
              </w:rPr>
            </w:pPr>
            <w:r w:rsidRPr="00D34A7F">
              <w:rPr>
                <w:rFonts w:cs="Arial"/>
                <w:color w:val="000000" w:themeColor="text1"/>
              </w:rPr>
              <w:t>Early weak-signal detection</w:t>
            </w:r>
          </w:p>
        </w:tc>
        <w:tc>
          <w:tcPr>
            <w:tcW w:w="2256" w:type="dxa"/>
            <w:vAlign w:val="center"/>
          </w:tcPr>
          <w:p w:rsidRPr="00D34A7F" w:rsidR="006C5E1B" w:rsidP="00D34A7F" w:rsidRDefault="00000000" w14:paraId="57A88C2C" w14:textId="77777777">
            <w:pPr>
              <w:rPr>
                <w:rFonts w:cs="Arial"/>
                <w:color w:val="000000" w:themeColor="text1"/>
              </w:rPr>
            </w:pPr>
            <w:r w:rsidRPr="00D34A7F">
              <w:rPr>
                <w:rFonts w:cs="Arial"/>
                <w:color w:val="000000" w:themeColor="text1"/>
              </w:rPr>
              <w:t>Hierarchy may recast concern as conflict</w:t>
            </w:r>
          </w:p>
        </w:tc>
        <w:tc>
          <w:tcPr>
            <w:tcW w:w="2256" w:type="dxa"/>
            <w:vAlign w:val="center"/>
          </w:tcPr>
          <w:p w:rsidRPr="00D34A7F" w:rsidR="006C5E1B" w:rsidP="00D34A7F" w:rsidRDefault="00000000" w14:paraId="78166379" w14:textId="77777777">
            <w:pPr>
              <w:rPr>
                <w:rFonts w:cs="Arial"/>
                <w:color w:val="000000" w:themeColor="text1"/>
              </w:rPr>
            </w:pPr>
            <w:r w:rsidRPr="00D34A7F">
              <w:rPr>
                <w:rFonts w:cs="Arial"/>
                <w:color w:val="000000" w:themeColor="text1"/>
              </w:rPr>
              <w:t>Protected escalation and independent review</w:t>
            </w:r>
          </w:p>
        </w:tc>
      </w:tr>
      <w:tr w:rsidRPr="00D34A7F" w:rsidR="006C5E1B" w14:paraId="10E8D5DC" w14:textId="77777777">
        <w:trPr>
          <w:jc w:val="center"/>
        </w:trPr>
        <w:tc>
          <w:tcPr>
            <w:tcW w:w="2256" w:type="dxa"/>
            <w:vAlign w:val="center"/>
          </w:tcPr>
          <w:p w:rsidRPr="00D34A7F" w:rsidR="006C5E1B" w:rsidP="00D34A7F" w:rsidRDefault="00000000" w14:paraId="43B6F905" w14:textId="77777777">
            <w:pPr>
              <w:rPr>
                <w:rFonts w:cs="Arial"/>
                <w:color w:val="000000" w:themeColor="text1"/>
              </w:rPr>
            </w:pPr>
            <w:r w:rsidRPr="00D34A7F">
              <w:rPr>
                <w:rFonts w:cs="Arial"/>
                <w:color w:val="000000" w:themeColor="text1"/>
              </w:rPr>
              <w:t>Board accountability</w:t>
            </w:r>
          </w:p>
        </w:tc>
        <w:tc>
          <w:tcPr>
            <w:tcW w:w="2256" w:type="dxa"/>
            <w:vAlign w:val="center"/>
          </w:tcPr>
          <w:p w:rsidRPr="00D34A7F" w:rsidR="006C5E1B" w:rsidP="00D34A7F" w:rsidRDefault="00000000" w14:paraId="5D7C0331" w14:textId="77777777">
            <w:pPr>
              <w:rPr>
                <w:rFonts w:cs="Arial"/>
                <w:color w:val="000000" w:themeColor="text1"/>
              </w:rPr>
            </w:pPr>
            <w:r w:rsidRPr="00D34A7F">
              <w:rPr>
                <w:rFonts w:cs="Arial"/>
                <w:color w:val="000000" w:themeColor="text1"/>
              </w:rPr>
              <w:t>Organisational ownership</w:t>
            </w:r>
          </w:p>
        </w:tc>
        <w:tc>
          <w:tcPr>
            <w:tcW w:w="2256" w:type="dxa"/>
            <w:vAlign w:val="center"/>
          </w:tcPr>
          <w:p w:rsidRPr="00D34A7F" w:rsidR="006C5E1B" w:rsidP="00D34A7F" w:rsidRDefault="00000000" w14:paraId="7993487D" w14:textId="77777777">
            <w:pPr>
              <w:rPr>
                <w:rFonts w:cs="Arial"/>
                <w:color w:val="000000" w:themeColor="text1"/>
              </w:rPr>
            </w:pPr>
            <w:r w:rsidRPr="00D34A7F">
              <w:rPr>
                <w:rFonts w:cs="Arial"/>
                <w:color w:val="000000" w:themeColor="text1"/>
              </w:rPr>
              <w:t>Assurance may be filtered</w:t>
            </w:r>
          </w:p>
        </w:tc>
        <w:tc>
          <w:tcPr>
            <w:tcW w:w="2256" w:type="dxa"/>
            <w:vAlign w:val="center"/>
          </w:tcPr>
          <w:p w:rsidRPr="00D34A7F" w:rsidR="006C5E1B" w:rsidP="00D34A7F" w:rsidRDefault="00000000" w14:paraId="2250CD83" w14:textId="77777777">
            <w:pPr>
              <w:rPr>
                <w:rFonts w:cs="Arial"/>
                <w:color w:val="000000" w:themeColor="text1"/>
              </w:rPr>
            </w:pPr>
            <w:r w:rsidRPr="00D34A7F">
              <w:rPr>
                <w:rFonts w:cs="Arial"/>
                <w:color w:val="000000" w:themeColor="text1"/>
              </w:rPr>
              <w:t>Raw data and non-executive challenge</w:t>
            </w:r>
          </w:p>
        </w:tc>
      </w:tr>
    </w:tbl>
    <w:p w:rsidRPr="00D34A7F" w:rsidR="0028583B" w:rsidP="00D34A7F" w:rsidRDefault="0028583B" w14:paraId="5C8DDA8B" w14:textId="4C19F4D4">
      <w:pPr>
        <w:jc w:val="both"/>
        <w:rPr>
          <w:rFonts w:cs="Arial"/>
          <w:color w:val="000000" w:themeColor="text1"/>
        </w:rPr>
      </w:pPr>
      <w:r w:rsidRPr="00D34A7F">
        <w:rPr>
          <w:rFonts w:cs="Arial"/>
          <w:color w:val="000000" w:themeColor="text1"/>
        </w:rPr>
        <w:t xml:space="preserve">The preferred design is bounded </w:t>
      </w:r>
      <w:proofErr w:type="spellStart"/>
      <w:r w:rsidRPr="00D34A7F">
        <w:rPr>
          <w:rFonts w:cs="Arial"/>
          <w:color w:val="000000" w:themeColor="text1"/>
        </w:rPr>
        <w:t>decentralisation</w:t>
      </w:r>
      <w:proofErr w:type="spellEnd"/>
      <w:r w:rsidRPr="00D34A7F">
        <w:rPr>
          <w:rFonts w:cs="Arial"/>
          <w:color w:val="000000" w:themeColor="text1"/>
        </w:rPr>
        <w:t>. Immediate safeguards should be implemented by front</w:t>
      </w:r>
      <w:r w:rsidRPr="00D34A7F" w:rsidR="00372ACB">
        <w:rPr>
          <w:rFonts w:cs="Arial"/>
          <w:color w:val="000000" w:themeColor="text1"/>
        </w:rPr>
        <w:t>-</w:t>
      </w:r>
      <w:r w:rsidRPr="00D34A7F">
        <w:rPr>
          <w:rFonts w:cs="Arial"/>
          <w:color w:val="000000" w:themeColor="text1"/>
        </w:rPr>
        <w:t>line staff and defined red flags trigger a compulsory external triage response. These should consist of mortality clusters, recurring unexplained collapse, credible concerns of deliberate harm, and unusual person</w:t>
      </w:r>
      <w:r w:rsidRPr="00D34A7F" w:rsidR="00372ACB">
        <w:rPr>
          <w:rFonts w:cs="Arial"/>
          <w:color w:val="000000" w:themeColor="text1"/>
        </w:rPr>
        <w:t>-</w:t>
      </w:r>
      <w:r w:rsidRPr="00D34A7F">
        <w:rPr>
          <w:rFonts w:cs="Arial"/>
          <w:color w:val="000000" w:themeColor="text1"/>
        </w:rPr>
        <w:t>time places with persistent clinician-executive disagreement. Thresholds should not, however, be interpreted as proof and estimates of rare events may be subject to change. The activation should not be a judgment but an independent assessment. Proportionate next steps to be determined by an external neonatologist, safeguarding specialist and relevant authority. The design is better than every incident with a statistical anomaly automatically being referred to the police</w:t>
      </w:r>
      <w:r w:rsidRPr="00D34A7F" w:rsidR="00372ACB">
        <w:rPr>
          <w:rFonts w:cs="Arial"/>
          <w:color w:val="000000" w:themeColor="text1"/>
        </w:rPr>
        <w:t>,</w:t>
      </w:r>
      <w:r w:rsidRPr="00D34A7F">
        <w:rPr>
          <w:rFonts w:cs="Arial"/>
          <w:color w:val="000000" w:themeColor="text1"/>
        </w:rPr>
        <w:t xml:space="preserve"> as it could lead to </w:t>
      </w:r>
      <w:proofErr w:type="spellStart"/>
      <w:r w:rsidRPr="00D34A7F">
        <w:rPr>
          <w:rFonts w:cs="Arial"/>
          <w:color w:val="000000" w:themeColor="text1"/>
        </w:rPr>
        <w:t>criminalisation</w:t>
      </w:r>
      <w:proofErr w:type="spellEnd"/>
      <w:r w:rsidRPr="00D34A7F">
        <w:rPr>
          <w:rFonts w:cs="Arial"/>
          <w:color w:val="000000" w:themeColor="text1"/>
        </w:rPr>
        <w:t xml:space="preserve"> of normal variation and clinical uncertainty.</w:t>
      </w:r>
    </w:p>
    <w:p w:rsidRPr="00D34A7F" w:rsidR="0028583B" w:rsidP="00D34A7F" w:rsidRDefault="0028583B" w14:paraId="4905E1C2" w14:textId="0E44C9C7">
      <w:pPr>
        <w:jc w:val="both"/>
        <w:rPr>
          <w:rFonts w:cs="Arial"/>
          <w:color w:val="000000" w:themeColor="text1"/>
        </w:rPr>
      </w:pPr>
      <w:r w:rsidRPr="00D34A7F">
        <w:rPr>
          <w:rFonts w:cs="Arial"/>
          <w:color w:val="000000" w:themeColor="text1"/>
        </w:rPr>
        <w:t xml:space="preserve">In order for accountability to work, there needs to be vertical and horizontal integration. All worries about wards should be directed to the divisional leaders, executives, non-executives and external bodies, following a well-documented trail of events with a time-stamp. All medical, nursing &amp; safeguarding, data, HR &amp; legal staff should have one safety record, but have separate roles. NHS England's Fit and Proper Person Test Framework enhances accountability of individual boards (NHS England, 2023a). Appraisal </w:t>
      </w:r>
      <w:proofErr w:type="spellStart"/>
      <w:r w:rsidRPr="00D34A7F">
        <w:rPr>
          <w:rFonts w:cs="Arial"/>
          <w:color w:val="000000" w:themeColor="text1"/>
        </w:rPr>
        <w:t>can not</w:t>
      </w:r>
      <w:proofErr w:type="spellEnd"/>
      <w:r w:rsidRPr="00D34A7F">
        <w:rPr>
          <w:rFonts w:cs="Arial"/>
          <w:color w:val="000000" w:themeColor="text1"/>
        </w:rPr>
        <w:t>, however, guarantee the completeness of board information. It</w:t>
      </w:r>
      <w:r w:rsidRPr="00D34A7F" w:rsidR="005B2722">
        <w:rPr>
          <w:rFonts w:cs="Arial"/>
          <w:color w:val="000000" w:themeColor="text1"/>
        </w:rPr>
        <w:t xml:space="preserve"> i</w:t>
      </w:r>
      <w:r w:rsidRPr="00D34A7F">
        <w:rPr>
          <w:rFonts w:cs="Arial"/>
          <w:color w:val="000000" w:themeColor="text1"/>
        </w:rPr>
        <w:t xml:space="preserve">s important for boards to test actual concern pathways, review raw trends and document other possible explanations for the trend. A shared record should also record questions not answered and conflicting professional opinions, so as </w:t>
      </w:r>
      <w:r w:rsidRPr="00D34A7F" w:rsidR="00372ACB">
        <w:rPr>
          <w:rFonts w:cs="Arial"/>
          <w:color w:val="000000" w:themeColor="text1"/>
        </w:rPr>
        <w:t>not to</w:t>
      </w:r>
      <w:r w:rsidRPr="00D34A7F">
        <w:rPr>
          <w:rFonts w:cs="Arial"/>
          <w:color w:val="000000" w:themeColor="text1"/>
        </w:rPr>
        <w:t xml:space="preserve"> obscure important minority concern.</w:t>
      </w:r>
    </w:p>
    <w:p w:rsidRPr="00D34A7F" w:rsidR="006C5E1B" w:rsidP="00D34A7F" w:rsidRDefault="0028583B" w14:paraId="06BA1F06" w14:textId="2BDE1AB1">
      <w:pPr>
        <w:jc w:val="both"/>
        <w:rPr>
          <w:rFonts w:cs="Arial"/>
          <w:color w:val="000000" w:themeColor="text1"/>
        </w:rPr>
      </w:pPr>
      <w:r w:rsidRPr="00D34A7F">
        <w:rPr>
          <w:rFonts w:cs="Arial"/>
          <w:color w:val="000000" w:themeColor="text1"/>
        </w:rPr>
        <w:t>The case does not lend itself to local autonomy or to a centrali</w:t>
      </w:r>
      <w:r w:rsidRPr="00D34A7F" w:rsidR="00D43BC5">
        <w:rPr>
          <w:rFonts w:cs="Arial"/>
          <w:color w:val="000000" w:themeColor="text1"/>
        </w:rPr>
        <w:t>s</w:t>
      </w:r>
      <w:r w:rsidRPr="00D34A7F">
        <w:rPr>
          <w:rFonts w:cs="Arial"/>
          <w:color w:val="000000" w:themeColor="text1"/>
        </w:rPr>
        <w:t>ed solution. As part of the Hewitt Review (2023)</w:t>
      </w:r>
      <w:r w:rsidRPr="00D34A7F" w:rsidR="00372ACB">
        <w:rPr>
          <w:rFonts w:cs="Arial"/>
          <w:color w:val="000000" w:themeColor="text1"/>
        </w:rPr>
        <w:t>,</w:t>
      </w:r>
      <w:r w:rsidRPr="00D34A7F">
        <w:rPr>
          <w:rFonts w:cs="Arial"/>
          <w:color w:val="000000" w:themeColor="text1"/>
        </w:rPr>
        <w:t xml:space="preserve"> subsidiarity with accountability is preferred. If a local decision can squelch a local challenge to catastrophic risk, however, subsidiarity is not safe. The necessary interface has to be local detection, reversible containment, independent verification and national learning. National policy to set triggers, local teams to trigger, boards to take unfiltered evidence</w:t>
      </w:r>
      <w:r w:rsidRPr="00D34A7F" w:rsidR="00372ACB">
        <w:rPr>
          <w:rFonts w:cs="Arial"/>
          <w:color w:val="000000" w:themeColor="text1"/>
        </w:rPr>
        <w:t>,</w:t>
      </w:r>
      <w:r w:rsidRPr="00D34A7F">
        <w:rPr>
          <w:rFonts w:cs="Arial"/>
          <w:color w:val="000000" w:themeColor="text1"/>
        </w:rPr>
        <w:t xml:space="preserve"> and regulators to cross</w:t>
      </w:r>
      <w:r w:rsidRPr="00D34A7F" w:rsidR="00372ACB">
        <w:rPr>
          <w:rFonts w:cs="Arial"/>
          <w:color w:val="000000" w:themeColor="text1"/>
        </w:rPr>
        <w:t>-</w:t>
      </w:r>
      <w:r w:rsidRPr="00D34A7F">
        <w:rPr>
          <w:rFonts w:cs="Arial"/>
          <w:color w:val="000000" w:themeColor="text1"/>
        </w:rPr>
        <w:t xml:space="preserve">check local explanations against independent data. </w:t>
      </w:r>
    </w:p>
    <w:p w:rsidRPr="00D34A7F" w:rsidR="006C5E1B" w:rsidP="00D34A7F" w:rsidRDefault="00000000" w14:paraId="2D44DFF4" w14:textId="77777777">
      <w:pPr>
        <w:pStyle w:val="Heading2"/>
        <w:rPr>
          <w:rFonts w:ascii="Arial" w:hAnsi="Arial" w:cs="Arial"/>
          <w:color w:val="000000" w:themeColor="text1"/>
          <w:sz w:val="22"/>
          <w:szCs w:val="22"/>
        </w:rPr>
      </w:pPr>
      <w:r w:rsidRPr="00D34A7F">
        <w:rPr>
          <w:rFonts w:ascii="Arial" w:hAnsi="Arial" w:eastAsia="Arial" w:cs="Arial"/>
          <w:color w:val="000000" w:themeColor="text1"/>
          <w:sz w:val="22"/>
          <w:szCs w:val="22"/>
        </w:rPr>
        <w:lastRenderedPageBreak/>
        <w:t>2.3 Leadership Theories and Application to the Case</w:t>
      </w:r>
    </w:p>
    <w:p w:rsidRPr="00D34A7F" w:rsidR="00980B84" w:rsidP="00D34A7F" w:rsidRDefault="00980B84" w14:paraId="094BF881" w14:textId="6FA4374A">
      <w:pPr>
        <w:jc w:val="both"/>
        <w:rPr>
          <w:rFonts w:cs="Arial"/>
          <w:color w:val="000000" w:themeColor="text1"/>
        </w:rPr>
      </w:pPr>
      <w:r w:rsidRPr="00D34A7F">
        <w:rPr>
          <w:rFonts w:cs="Arial"/>
          <w:color w:val="000000" w:themeColor="text1"/>
        </w:rPr>
        <w:t>Behavioural Theory identifies two forms of leadership: task-oriented and relationship-oriented. Workforce outcomes are superior with relational leadership styles than with passive and task-oriented styles, according to Cummings et al. (2018). Independent effects on patient outcomes, however, can only be demonstrated by primarily observational evidence. Executes reviews, meetings, mediation and legal consultation, which did not result in timely safety decision</w:t>
      </w:r>
      <w:r w:rsidRPr="00D34A7F" w:rsidR="00D34A7F">
        <w:rPr>
          <w:rFonts w:cs="Arial"/>
          <w:color w:val="000000" w:themeColor="text1"/>
        </w:rPr>
        <w:t>s</w:t>
      </w:r>
      <w:r w:rsidRPr="00D34A7F">
        <w:rPr>
          <w:rFonts w:cs="Arial"/>
          <w:color w:val="000000" w:themeColor="text1"/>
        </w:rPr>
        <w:t>. Relationships with consultants worsened as well. This failure was one of being unable to combine operational control with credible listening and shared interpretation.</w:t>
      </w:r>
    </w:p>
    <w:p w:rsidRPr="00D34A7F" w:rsidR="00980B84" w:rsidP="00D34A7F" w:rsidRDefault="00980B84" w14:paraId="42891673" w14:textId="4B3841A7">
      <w:pPr>
        <w:jc w:val="both"/>
        <w:rPr>
          <w:rFonts w:cs="Arial"/>
          <w:color w:val="000000" w:themeColor="text1"/>
        </w:rPr>
      </w:pPr>
      <w:r w:rsidRPr="00D34A7F">
        <w:rPr>
          <w:rFonts w:cs="Arial"/>
          <w:color w:val="000000" w:themeColor="text1"/>
        </w:rPr>
        <w:t>There was a mixture of autocratic and laissez</w:t>
      </w:r>
      <w:r w:rsidRPr="00D34A7F" w:rsidR="00D34A7F">
        <w:rPr>
          <w:rFonts w:cs="Arial"/>
          <w:color w:val="000000" w:themeColor="text1"/>
        </w:rPr>
        <w:t>-</w:t>
      </w:r>
      <w:r w:rsidRPr="00D34A7F">
        <w:rPr>
          <w:rFonts w:cs="Arial"/>
          <w:color w:val="000000" w:themeColor="text1"/>
        </w:rPr>
        <w:t xml:space="preserve">faire characteristics to the response. Leaders set the agenda and timeframes for concerns, and critical, independent referral was not acted on immediately. In a study by </w:t>
      </w:r>
      <w:proofErr w:type="spellStart"/>
      <w:r w:rsidRPr="00D34A7F">
        <w:rPr>
          <w:rFonts w:cs="Arial"/>
          <w:color w:val="000000" w:themeColor="text1"/>
        </w:rPr>
        <w:t>Specchia</w:t>
      </w:r>
      <w:proofErr w:type="spellEnd"/>
      <w:r w:rsidRPr="00D34A7F">
        <w:rPr>
          <w:rFonts w:cs="Arial"/>
          <w:color w:val="000000" w:themeColor="text1"/>
        </w:rPr>
        <w:t xml:space="preserve"> et al., (2021)</w:t>
      </w:r>
      <w:r w:rsidRPr="00D34A7F" w:rsidR="00D34A7F">
        <w:rPr>
          <w:rFonts w:cs="Arial"/>
          <w:color w:val="000000" w:themeColor="text1"/>
        </w:rPr>
        <w:t>,</w:t>
      </w:r>
      <w:r w:rsidRPr="00D34A7F">
        <w:rPr>
          <w:rFonts w:cs="Arial"/>
          <w:color w:val="000000" w:themeColor="text1"/>
        </w:rPr>
        <w:t xml:space="preserve"> there is a relationship between passive-avoidant leadership and low nurse satisfaction. But satisfaction is not directly a safety criterion. The contextual inference is greater: it may be safe to allow a passive delay, but not when the risk is potentially catastrophic</w:t>
      </w:r>
      <w:r w:rsidRPr="00D34A7F" w:rsidR="00D34A7F">
        <w:rPr>
          <w:rFonts w:cs="Arial"/>
          <w:color w:val="000000" w:themeColor="text1"/>
        </w:rPr>
        <w:t>,</w:t>
      </w:r>
      <w:r w:rsidRPr="00D34A7F">
        <w:rPr>
          <w:rFonts w:cs="Arial"/>
          <w:color w:val="000000" w:themeColor="text1"/>
        </w:rPr>
        <w:t xml:space="preserve"> and the patients are vulnerable, and it may be appropriate to use directive authority. A vote on criminal guilt would have been the sign of what was previously described as democratic leadership, but is now termed partisan politics. </w:t>
      </w:r>
    </w:p>
    <w:p w:rsidRPr="00D34A7F" w:rsidR="00980B84" w:rsidP="00D34A7F" w:rsidRDefault="00980B84" w14:paraId="202F0C5A" w14:textId="2DBAD0DB">
      <w:pPr>
        <w:jc w:val="both"/>
        <w:rPr>
          <w:rFonts w:cs="Arial"/>
          <w:color w:val="000000" w:themeColor="text1"/>
        </w:rPr>
      </w:pPr>
      <w:r w:rsidRPr="00D34A7F">
        <w:rPr>
          <w:rFonts w:cs="Arial"/>
          <w:color w:val="000000" w:themeColor="text1"/>
        </w:rPr>
        <w:t xml:space="preserve">In modern literature, Theory X and Theory Y continue to be opposing notions regarding followers (Northouse, 2022; Yukl and Gardner, 2020). </w:t>
      </w:r>
      <w:r w:rsidRPr="00D34A7F" w:rsidR="00D34A7F">
        <w:rPr>
          <w:rFonts w:cs="Arial"/>
          <w:color w:val="000000" w:themeColor="text1"/>
        </w:rPr>
        <w:t>A p</w:t>
      </w:r>
      <w:r w:rsidRPr="00D34A7F">
        <w:rPr>
          <w:rFonts w:cs="Arial"/>
          <w:color w:val="000000" w:themeColor="text1"/>
        </w:rPr>
        <w:t xml:space="preserve">ersistent challenge is seen as resistance in a Theory X lens and as capable contributors in a Theory Y. But motives are not entirely binary; there can be mistakes in diagnosis and tests to be performed for claims. The real question is whose burden of </w:t>
      </w:r>
      <w:proofErr w:type="gramStart"/>
      <w:r w:rsidRPr="00D34A7F">
        <w:rPr>
          <w:rFonts w:cs="Arial"/>
          <w:color w:val="000000" w:themeColor="text1"/>
        </w:rPr>
        <w:t>proof</w:t>
      </w:r>
      <w:proofErr w:type="gramEnd"/>
      <w:r w:rsidRPr="00D34A7F">
        <w:rPr>
          <w:rFonts w:cs="Arial"/>
          <w:color w:val="000000" w:themeColor="text1"/>
        </w:rPr>
        <w:t xml:space="preserve"> is it? Leaders should never wait for certainty before safeguards; they should use expertise as intelligence and independently challenge, assess and critique clinical issues and managerial explanations. A true Theory Y perspective, then, would appreciate a professional voice without the romanticism and would rely on independent data to defend against managerial dismissal and groupthink.</w:t>
      </w:r>
    </w:p>
    <w:p w:rsidRPr="00D34A7F" w:rsidR="00980B84" w:rsidP="00D34A7F" w:rsidRDefault="00980B84" w14:paraId="47F9929D" w14:textId="7CA83699">
      <w:pPr>
        <w:jc w:val="both"/>
        <w:rPr>
          <w:rFonts w:cs="Arial"/>
          <w:color w:val="000000" w:themeColor="text1"/>
        </w:rPr>
      </w:pPr>
      <w:r w:rsidRPr="00D34A7F">
        <w:rPr>
          <w:rFonts w:cs="Arial"/>
          <w:color w:val="000000" w:themeColor="text1"/>
        </w:rPr>
        <w:t>Northouse (2022) has developed contingency theory, which explains how leadership effectiveness is related to the match-up between individual elements of leadership style, task, relationships and control. It was a high</w:t>
      </w:r>
      <w:r w:rsidRPr="00D34A7F" w:rsidR="00D34A7F">
        <w:rPr>
          <w:rFonts w:cs="Arial"/>
          <w:color w:val="000000" w:themeColor="text1"/>
        </w:rPr>
        <w:t>-</w:t>
      </w:r>
      <w:r w:rsidRPr="00D34A7F">
        <w:rPr>
          <w:rFonts w:cs="Arial"/>
          <w:color w:val="000000" w:themeColor="text1"/>
        </w:rPr>
        <w:t xml:space="preserve">consequence case because the issue had high impacts, unclear cause, poor relationships and distributed knowledge, and a lack of suitability in terms of process leadership. But traditional models can be stunted since it is not easy to replace leaders during a crisis. The important learning is that where internal relationships and the context of their decision-making were not supporting the leader's reliable judgement, it was necessary for the leader to </w:t>
      </w:r>
      <w:proofErr w:type="spellStart"/>
      <w:r w:rsidRPr="00D34A7F">
        <w:rPr>
          <w:rFonts w:cs="Arial"/>
          <w:color w:val="000000" w:themeColor="text1"/>
        </w:rPr>
        <w:t>recognise</w:t>
      </w:r>
      <w:proofErr w:type="spellEnd"/>
      <w:r w:rsidRPr="00D34A7F">
        <w:rPr>
          <w:rFonts w:cs="Arial"/>
          <w:color w:val="000000" w:themeColor="text1"/>
        </w:rPr>
        <w:t xml:space="preserve"> this</w:t>
      </w:r>
      <w:r w:rsidRPr="00D34A7F" w:rsidR="00D34A7F">
        <w:rPr>
          <w:rFonts w:cs="Arial"/>
          <w:color w:val="000000" w:themeColor="text1"/>
        </w:rPr>
        <w:t>,</w:t>
      </w:r>
      <w:r w:rsidRPr="00D34A7F">
        <w:rPr>
          <w:rFonts w:cs="Arial"/>
          <w:color w:val="000000" w:themeColor="text1"/>
        </w:rPr>
        <w:t xml:space="preserve"> seek independent expert advice and change decision</w:t>
      </w:r>
      <w:r w:rsidRPr="00D34A7F" w:rsidR="00D34A7F">
        <w:rPr>
          <w:rFonts w:cs="Arial"/>
          <w:color w:val="000000" w:themeColor="text1"/>
        </w:rPr>
        <w:t>-</w:t>
      </w:r>
      <w:r w:rsidRPr="00D34A7F">
        <w:rPr>
          <w:rFonts w:cs="Arial"/>
          <w:color w:val="000000" w:themeColor="text1"/>
        </w:rPr>
        <w:t xml:space="preserve">making structures. </w:t>
      </w:r>
    </w:p>
    <w:p w:rsidRPr="00D34A7F" w:rsidR="00980B84" w:rsidP="00D34A7F" w:rsidRDefault="00980B84" w14:paraId="4C7A7A89" w14:textId="49C76FB5">
      <w:pPr>
        <w:jc w:val="both"/>
        <w:rPr>
          <w:rFonts w:cs="Arial"/>
          <w:color w:val="000000" w:themeColor="text1"/>
        </w:rPr>
      </w:pPr>
      <w:r w:rsidRPr="00D34A7F">
        <w:rPr>
          <w:rFonts w:cs="Arial"/>
          <w:color w:val="000000" w:themeColor="text1"/>
        </w:rPr>
        <w:lastRenderedPageBreak/>
        <w:t xml:space="preserve">According to Path-Goal Theory, behaviour types of </w:t>
      </w:r>
      <w:proofErr w:type="gramStart"/>
      <w:r w:rsidRPr="00D34A7F">
        <w:rPr>
          <w:rFonts w:cs="Arial"/>
          <w:color w:val="000000" w:themeColor="text1"/>
        </w:rPr>
        <w:t>Directive</w:t>
      </w:r>
      <w:proofErr w:type="gramEnd"/>
      <w:r w:rsidRPr="00D34A7F">
        <w:rPr>
          <w:rFonts w:cs="Arial"/>
          <w:color w:val="000000" w:themeColor="text1"/>
        </w:rPr>
        <w:t xml:space="preserve">, Supportive, Participative and Achievement-oriented are possible. There was a need for direction to contain, a need for time limits, a need for involvement to bring together clinical and statistical evidence, a need for support for staff and families and a need for achievement to provide for strict review. But flexible styles can be retroactive labels if not sequenced </w:t>
      </w:r>
      <w:r w:rsidRPr="00D34A7F" w:rsidR="00D34A7F">
        <w:rPr>
          <w:rFonts w:cs="Arial"/>
          <w:color w:val="000000" w:themeColor="text1"/>
        </w:rPr>
        <w:t>prospectivel</w:t>
      </w:r>
      <w:r w:rsidRPr="00D34A7F">
        <w:rPr>
          <w:rFonts w:cs="Arial"/>
          <w:color w:val="000000" w:themeColor="text1"/>
        </w:rPr>
        <w:t xml:space="preserve">y. The behaviour chosen and the time of its use should have been decided based on patient protection and truth-seeking. </w:t>
      </w:r>
    </w:p>
    <w:p w:rsidRPr="00D34A7F" w:rsidR="00980B84" w:rsidP="00D34A7F" w:rsidRDefault="00980B84" w14:paraId="11BBAA05" w14:textId="678F8808">
      <w:pPr>
        <w:jc w:val="both"/>
        <w:rPr>
          <w:rFonts w:cs="Arial"/>
          <w:color w:val="000000" w:themeColor="text1"/>
        </w:rPr>
      </w:pPr>
      <w:r w:rsidRPr="00D34A7F">
        <w:rPr>
          <w:rFonts w:cs="Arial"/>
          <w:color w:val="000000" w:themeColor="text1"/>
        </w:rPr>
        <w:t>The leadership continuum shifts from a leader-focused direction to a team's direction (Northouse, 2022). The level of risk control deemed acceptable was sufficient for direction, the level of complexity required sufficient for consultation, and the long</w:t>
      </w:r>
      <w:r w:rsidRPr="00D34A7F" w:rsidR="00D34A7F">
        <w:rPr>
          <w:rFonts w:cs="Arial"/>
          <w:color w:val="000000" w:themeColor="text1"/>
        </w:rPr>
        <w:t>-</w:t>
      </w:r>
      <w:r w:rsidRPr="00D34A7F">
        <w:rPr>
          <w:rFonts w:cs="Arial"/>
          <w:color w:val="000000" w:themeColor="text1"/>
        </w:rPr>
        <w:t xml:space="preserve">term redesign was delegated. But </w:t>
      </w:r>
      <w:r w:rsidRPr="00D34A7F" w:rsidR="00D34A7F">
        <w:rPr>
          <w:rFonts w:cs="Arial"/>
          <w:color w:val="000000" w:themeColor="text1"/>
        </w:rPr>
        <w:t>participation in consensus</w:t>
      </w:r>
      <w:r w:rsidRPr="00D34A7F">
        <w:rPr>
          <w:rFonts w:cs="Arial"/>
          <w:color w:val="000000" w:themeColor="text1"/>
        </w:rPr>
        <w:t xml:space="preserve"> should not preclude referral. The hospital seems to have brought in a </w:t>
      </w:r>
      <w:proofErr w:type="spellStart"/>
      <w:r w:rsidRPr="00D34A7F">
        <w:rPr>
          <w:rFonts w:cs="Arial"/>
          <w:color w:val="000000" w:themeColor="text1"/>
        </w:rPr>
        <w:t>centralisation</w:t>
      </w:r>
      <w:proofErr w:type="spellEnd"/>
      <w:r w:rsidRPr="00D34A7F">
        <w:rPr>
          <w:rFonts w:cs="Arial"/>
          <w:color w:val="000000" w:themeColor="text1"/>
        </w:rPr>
        <w:t xml:space="preserve"> of decisions of the kind which need challenging, and an extension of discussion around decisions of the kind which need timely containment. Effective leadership thus involved using the right authority for the right decision, and established an escalation time limit. </w:t>
      </w:r>
    </w:p>
    <w:p w:rsidRPr="00D34A7F" w:rsidR="00980B84" w:rsidP="00D34A7F" w:rsidRDefault="00980B84" w14:paraId="677649E5" w14:textId="44E34C86">
      <w:pPr>
        <w:jc w:val="both"/>
        <w:rPr>
          <w:rFonts w:cs="Arial"/>
          <w:color w:val="000000" w:themeColor="text1"/>
        </w:rPr>
      </w:pPr>
      <w:r w:rsidRPr="00D34A7F">
        <w:rPr>
          <w:rFonts w:cs="Arial"/>
          <w:color w:val="000000" w:themeColor="text1"/>
        </w:rPr>
        <w:t>Transformational leadership links vision, ethical purpose and empowerment. It</w:t>
      </w:r>
      <w:r w:rsidRPr="00D34A7F" w:rsidR="005B2722">
        <w:rPr>
          <w:rFonts w:cs="Arial"/>
          <w:color w:val="000000" w:themeColor="text1"/>
        </w:rPr>
        <w:t xml:space="preserve"> i</w:t>
      </w:r>
      <w:r w:rsidRPr="00D34A7F">
        <w:rPr>
          <w:rFonts w:cs="Arial"/>
          <w:color w:val="000000" w:themeColor="text1"/>
        </w:rPr>
        <w:t xml:space="preserve">s linked by Boamah et al. (2018) to empowerment, satisfaction, and outcomes of patient safety; and by </w:t>
      </w:r>
      <w:proofErr w:type="spellStart"/>
      <w:r w:rsidRPr="00D34A7F">
        <w:rPr>
          <w:rFonts w:cs="Arial"/>
          <w:color w:val="000000" w:themeColor="text1"/>
        </w:rPr>
        <w:t>Sfantou</w:t>
      </w:r>
      <w:proofErr w:type="spellEnd"/>
      <w:r w:rsidRPr="00D34A7F">
        <w:rPr>
          <w:rFonts w:cs="Arial"/>
          <w:color w:val="000000" w:themeColor="text1"/>
        </w:rPr>
        <w:t xml:space="preserve"> et al. (2017) to quality measures. But when it comes to cross-sectional and heterogeneous evidence, it cannot establish causality. In this instance, transformational leadership needed a compelling purpose (to look after babies and to facilitate independent truth finding) that manifested itself as controls, milestones, and permissions to challenge. </w:t>
      </w:r>
    </w:p>
    <w:p w:rsidRPr="00D34A7F" w:rsidR="00980B84" w:rsidP="00D34A7F" w:rsidRDefault="00980B84" w14:paraId="3FFDCC5B" w14:textId="2A85FDFD">
      <w:pPr>
        <w:jc w:val="both"/>
        <w:rPr>
          <w:rFonts w:cs="Arial"/>
          <w:color w:val="000000" w:themeColor="text1"/>
        </w:rPr>
      </w:pPr>
      <w:r w:rsidRPr="00D34A7F">
        <w:rPr>
          <w:rFonts w:cs="Arial"/>
          <w:color w:val="000000" w:themeColor="text1"/>
        </w:rPr>
        <w:t>The values and responsibility are highlighted with purpose-driven and servant leadership (Gandolfi and Stone, 2018; Zu, 2019). The Four Ps explain the purpose, priorities, potential and progress. Purpose, however, should</w:t>
      </w:r>
      <w:r w:rsidRPr="00D34A7F" w:rsidR="005B2722">
        <w:rPr>
          <w:rFonts w:cs="Arial"/>
          <w:color w:val="000000" w:themeColor="text1"/>
        </w:rPr>
        <w:t xml:space="preserve"> </w:t>
      </w:r>
      <w:r w:rsidRPr="00D34A7F">
        <w:rPr>
          <w:rFonts w:cs="Arial"/>
          <w:color w:val="000000" w:themeColor="text1"/>
        </w:rPr>
        <w:t>n</w:t>
      </w:r>
      <w:r w:rsidRPr="00D34A7F" w:rsidR="005B2722">
        <w:rPr>
          <w:rFonts w:cs="Arial"/>
          <w:color w:val="000000" w:themeColor="text1"/>
        </w:rPr>
        <w:t>o</w:t>
      </w:r>
      <w:r w:rsidRPr="00D34A7F">
        <w:rPr>
          <w:rFonts w:cs="Arial"/>
          <w:color w:val="000000" w:themeColor="text1"/>
        </w:rPr>
        <w:t xml:space="preserve">t be a moral certainty. One could not dispense with being fair to the employee. The defensible purpose was one which served to both protect patients and decide truth independently. Compassion needed support for the employee, clinicians and broader staff and family, but could not afford to </w:t>
      </w:r>
      <w:r w:rsidRPr="00D34A7F" w:rsidR="00D34A7F">
        <w:rPr>
          <w:rFonts w:cs="Arial"/>
          <w:color w:val="000000" w:themeColor="text1"/>
        </w:rPr>
        <w:t>ignore</w:t>
      </w:r>
      <w:r w:rsidRPr="00D34A7F">
        <w:rPr>
          <w:rFonts w:cs="Arial"/>
          <w:color w:val="000000" w:themeColor="text1"/>
        </w:rPr>
        <w:t xml:space="preserve"> challenging safeguards (West et al., 2017). This means progress is</w:t>
      </w:r>
      <w:r w:rsidRPr="00D34A7F" w:rsidR="005B2722">
        <w:rPr>
          <w:rFonts w:cs="Arial"/>
          <w:color w:val="000000" w:themeColor="text1"/>
        </w:rPr>
        <w:t xml:space="preserve"> </w:t>
      </w:r>
      <w:r w:rsidRPr="00D34A7F">
        <w:rPr>
          <w:rFonts w:cs="Arial"/>
          <w:color w:val="000000" w:themeColor="text1"/>
        </w:rPr>
        <w:t>n</w:t>
      </w:r>
      <w:r w:rsidRPr="00D34A7F" w:rsidR="005B2722">
        <w:rPr>
          <w:rFonts w:cs="Arial"/>
          <w:color w:val="000000" w:themeColor="text1"/>
        </w:rPr>
        <w:t>o</w:t>
      </w:r>
      <w:r w:rsidRPr="00D34A7F">
        <w:rPr>
          <w:rFonts w:cs="Arial"/>
          <w:color w:val="000000" w:themeColor="text1"/>
        </w:rPr>
        <w:t>t the number of meetings we have</w:t>
      </w:r>
      <w:r w:rsidRPr="00D34A7F" w:rsidR="00D34A7F">
        <w:rPr>
          <w:rFonts w:cs="Arial"/>
          <w:color w:val="000000" w:themeColor="text1"/>
        </w:rPr>
        <w:t>;</w:t>
      </w:r>
      <w:r w:rsidRPr="00D34A7F">
        <w:rPr>
          <w:rFonts w:cs="Arial"/>
          <w:color w:val="000000" w:themeColor="text1"/>
        </w:rPr>
        <w:t xml:space="preserve"> it is the reduction in unresolved risk, better communication within the families and independent actions completed.</w:t>
      </w:r>
    </w:p>
    <w:p w:rsidRPr="00D34A7F" w:rsidR="00980B84" w:rsidP="00D34A7F" w:rsidRDefault="00980B84" w14:paraId="069583B2" w14:textId="12E308F7">
      <w:pPr>
        <w:jc w:val="both"/>
        <w:rPr>
          <w:rFonts w:cs="Arial"/>
          <w:color w:val="000000" w:themeColor="text1"/>
        </w:rPr>
      </w:pPr>
      <w:r w:rsidRPr="00D34A7F">
        <w:rPr>
          <w:rFonts w:cs="Arial"/>
          <w:color w:val="000000" w:themeColor="text1"/>
        </w:rPr>
        <w:t xml:space="preserve">Trait explanations are less sound. Correct interpretations may be achieved by integrity, by courage and decisiveness, but no trait guarantees it. </w:t>
      </w:r>
      <w:proofErr w:type="spellStart"/>
      <w:r w:rsidRPr="00D34A7F">
        <w:rPr>
          <w:rFonts w:cs="Arial"/>
          <w:color w:val="000000" w:themeColor="text1"/>
        </w:rPr>
        <w:t>Sonnino</w:t>
      </w:r>
      <w:proofErr w:type="spellEnd"/>
      <w:r w:rsidRPr="00D34A7F">
        <w:rPr>
          <w:rFonts w:cs="Arial"/>
          <w:color w:val="000000" w:themeColor="text1"/>
        </w:rPr>
        <w:t xml:space="preserve"> (2016) points out some challenges with translating the concept of generic leadership development into healthcare practice. A strong executive can make decisions when </w:t>
      </w:r>
      <w:r w:rsidRPr="00D34A7F" w:rsidR="00D34A7F">
        <w:rPr>
          <w:rFonts w:cs="Arial"/>
          <w:color w:val="000000" w:themeColor="text1"/>
        </w:rPr>
        <w:t>they have</w:t>
      </w:r>
      <w:r w:rsidRPr="00D34A7F">
        <w:rPr>
          <w:rFonts w:cs="Arial"/>
          <w:color w:val="000000" w:themeColor="text1"/>
        </w:rPr>
        <w:t xml:space="preserve"> an incorrect frame. The case indicates that decisions should be based on collective intelligence along the lines of </w:t>
      </w:r>
      <w:r w:rsidRPr="00D34A7F">
        <w:rPr>
          <w:rFonts w:cs="Arial"/>
          <w:color w:val="000000" w:themeColor="text1"/>
        </w:rPr>
        <w:lastRenderedPageBreak/>
        <w:t xml:space="preserve">explicit accountability: clinical, statistical, safeguarding and legal expertise should all contribute to decisions, but one named executive should be accountable for containment and referral. Knowledge needs to be shared, not spread, through collective leadership. </w:t>
      </w:r>
    </w:p>
    <w:p w:rsidRPr="00D34A7F" w:rsidR="006C5E1B" w:rsidP="00D34A7F" w:rsidRDefault="00980B84" w14:paraId="2734E038" w14:textId="2ADBB0E4">
      <w:pPr>
        <w:jc w:val="both"/>
        <w:rPr>
          <w:rFonts w:cs="Arial"/>
          <w:color w:val="000000" w:themeColor="text1"/>
        </w:rPr>
      </w:pPr>
      <w:r w:rsidRPr="00D34A7F">
        <w:rPr>
          <w:rFonts w:cs="Arial"/>
          <w:color w:val="000000" w:themeColor="text1"/>
        </w:rPr>
        <w:t xml:space="preserve">The best combined explanation is in terms of systems and contingency perspectives. The uncertainty and non-linear interaction are part of complex problems (Greenhalgh and Papoutsi, 2018). Complexity, however, is no excuse for delay. Leaders can distinguish between reversible safeguards and irreversible attribution, for example by redeploying temporarily, maintaining evidence and seeking advice from others outside the school. The organisation reduced clinical, relationship, and employment risks. Better answers would be: pause and ask questions about reassuring explanations; defer to appropriate knowledge; maintain procedural fairness. </w:t>
      </w:r>
    </w:p>
    <w:p w:rsidRPr="00D34A7F" w:rsidR="006C5E1B" w:rsidP="00D34A7F" w:rsidRDefault="00000000" w14:paraId="328A80F6" w14:textId="77777777">
      <w:pPr>
        <w:pStyle w:val="Heading2"/>
        <w:rPr>
          <w:rFonts w:ascii="Arial" w:hAnsi="Arial" w:cs="Arial"/>
          <w:color w:val="000000" w:themeColor="text1"/>
          <w:sz w:val="22"/>
          <w:szCs w:val="22"/>
        </w:rPr>
      </w:pPr>
      <w:r w:rsidRPr="00D34A7F">
        <w:rPr>
          <w:rFonts w:ascii="Arial" w:hAnsi="Arial" w:eastAsia="Arial" w:cs="Arial"/>
          <w:color w:val="000000" w:themeColor="text1"/>
          <w:sz w:val="22"/>
          <w:szCs w:val="22"/>
        </w:rPr>
        <w:t>2.4 Improvements and Lessons Learned</w:t>
      </w:r>
    </w:p>
    <w:p w:rsidRPr="00D34A7F" w:rsidR="00B11671" w:rsidP="00D34A7F" w:rsidRDefault="00B11671" w14:paraId="4308B60E" w14:textId="7FE1AF7C">
      <w:pPr>
        <w:jc w:val="both"/>
        <w:rPr>
          <w:rFonts w:cs="Arial"/>
          <w:color w:val="000000" w:themeColor="text1"/>
        </w:rPr>
      </w:pPr>
      <w:r w:rsidRPr="00D34A7F">
        <w:rPr>
          <w:rFonts w:cs="Arial"/>
          <w:color w:val="000000" w:themeColor="text1"/>
        </w:rPr>
        <w:t>The Neonatal Safety Escalation Standard should include quantitative and qualitative triggers for independent triage. These should encompass recurring events, credible suspicion of deliberate harm, unaddressed clinician-executive disagreement and risk</w:t>
      </w:r>
      <w:r w:rsidRPr="00D34A7F" w:rsidR="00D34A7F">
        <w:rPr>
          <w:rFonts w:cs="Arial"/>
          <w:color w:val="000000" w:themeColor="text1"/>
        </w:rPr>
        <w:t>-</w:t>
      </w:r>
      <w:r w:rsidRPr="00D34A7F">
        <w:rPr>
          <w:rFonts w:cs="Arial"/>
          <w:color w:val="000000" w:themeColor="text1"/>
        </w:rPr>
        <w:t xml:space="preserve">adjusted mortality signals. </w:t>
      </w:r>
      <w:proofErr w:type="spellStart"/>
      <w:r w:rsidRPr="00D34A7F">
        <w:rPr>
          <w:rFonts w:cs="Arial"/>
          <w:color w:val="000000" w:themeColor="text1"/>
        </w:rPr>
        <w:t>Komashie</w:t>
      </w:r>
      <w:proofErr w:type="spellEnd"/>
      <w:r w:rsidRPr="00D34A7F">
        <w:rPr>
          <w:rFonts w:cs="Arial"/>
          <w:color w:val="000000" w:themeColor="text1"/>
        </w:rPr>
        <w:t xml:space="preserve"> et al. (2021) identified that effective systems approaches incorporate people, process and implementation. But interventions can</w:t>
      </w:r>
      <w:r w:rsidRPr="00D34A7F" w:rsidR="005B2722">
        <w:rPr>
          <w:rFonts w:cs="Arial"/>
          <w:color w:val="000000" w:themeColor="text1"/>
        </w:rPr>
        <w:t>no</w:t>
      </w:r>
      <w:r w:rsidRPr="00D34A7F">
        <w:rPr>
          <w:rFonts w:cs="Arial"/>
          <w:color w:val="000000" w:themeColor="text1"/>
        </w:rPr>
        <w:t xml:space="preserve">t be guaranteed to be successful when they are heterogeneous. This means that the standard should not only prescribe a dashboard, but an owner, a deadline, other parties and escalation consequences. </w:t>
      </w:r>
    </w:p>
    <w:p w:rsidRPr="00D34A7F" w:rsidR="00B11671" w:rsidP="00D34A7F" w:rsidRDefault="00B11671" w14:paraId="403D04B6" w14:textId="6DDBC53F">
      <w:pPr>
        <w:jc w:val="both"/>
        <w:rPr>
          <w:rFonts w:cs="Arial"/>
          <w:color w:val="000000" w:themeColor="text1"/>
        </w:rPr>
      </w:pPr>
      <w:r w:rsidRPr="00D34A7F">
        <w:rPr>
          <w:rFonts w:cs="Arial"/>
          <w:color w:val="000000" w:themeColor="text1"/>
        </w:rPr>
        <w:t>The dashboard should include neonatal information, mortality review, staff, medicines access, pathology, incident, complaints, referrals and status. Nuffield Trust (2024) identified some differences among trusts regarding connecting such information. The self-reported compliance may not, however, mirror the quality of decision</w:t>
      </w:r>
      <w:r w:rsidRPr="00D34A7F" w:rsidR="00D34A7F">
        <w:rPr>
          <w:rFonts w:cs="Arial"/>
          <w:color w:val="000000" w:themeColor="text1"/>
        </w:rPr>
        <w:t>-</w:t>
      </w:r>
      <w:r w:rsidRPr="00D34A7F">
        <w:rPr>
          <w:rFonts w:cs="Arial"/>
          <w:color w:val="000000" w:themeColor="text1"/>
        </w:rPr>
        <w:t>making. If statistical alerts arise, they should draw in an investigation</w:t>
      </w:r>
      <w:r w:rsidRPr="00D34A7F" w:rsidR="00D34A7F">
        <w:rPr>
          <w:rFonts w:cs="Arial"/>
          <w:color w:val="000000" w:themeColor="text1"/>
        </w:rPr>
        <w:t xml:space="preserve"> and </w:t>
      </w:r>
      <w:r w:rsidRPr="00D34A7F">
        <w:rPr>
          <w:rFonts w:cs="Arial"/>
          <w:color w:val="000000" w:themeColor="text1"/>
        </w:rPr>
        <w:t xml:space="preserve">not be used to assign blame. Every alert must be clinically interpreted, have alternative explanations and be reviewed by an analyst who is sufficiently independent from the service. </w:t>
      </w:r>
    </w:p>
    <w:p w:rsidRPr="00D34A7F" w:rsidR="00B11671" w:rsidP="00D34A7F" w:rsidRDefault="00B11671" w14:paraId="7FEA9AD9" w14:textId="2C4A0BEA">
      <w:pPr>
        <w:jc w:val="both"/>
        <w:rPr>
          <w:rFonts w:cs="Arial"/>
          <w:color w:val="000000" w:themeColor="text1"/>
        </w:rPr>
      </w:pPr>
      <w:r w:rsidRPr="00D34A7F">
        <w:rPr>
          <w:rFonts w:cs="Arial"/>
          <w:color w:val="000000" w:themeColor="text1"/>
        </w:rPr>
        <w:t xml:space="preserve">Safety process should be separate but coordinated with the employment process. </w:t>
      </w:r>
      <w:proofErr w:type="spellStart"/>
      <w:r w:rsidRPr="00D34A7F">
        <w:rPr>
          <w:rFonts w:cs="Arial"/>
          <w:color w:val="000000" w:themeColor="text1"/>
        </w:rPr>
        <w:t>PSIRF</w:t>
      </w:r>
      <w:proofErr w:type="spellEnd"/>
      <w:r w:rsidRPr="00D34A7F">
        <w:rPr>
          <w:rFonts w:cs="Arial"/>
          <w:color w:val="000000" w:themeColor="text1"/>
        </w:rPr>
        <w:t xml:space="preserve"> encourages proportionate learning and caring engagement (NHS England, 2022a) but is not a replacement for safeguarding, coronial, regulatory or criminal investigation. It should be the dual-track protocol that no one should be treated unfairly because of a safety control and that no one should be disciplined because of a safety control. A named executive has the responsibility to keep track </w:t>
      </w:r>
      <w:r w:rsidRPr="00D34A7F" w:rsidR="00D34A7F">
        <w:rPr>
          <w:rFonts w:cs="Arial"/>
          <w:color w:val="000000" w:themeColor="text1"/>
        </w:rPr>
        <w:t xml:space="preserve">of </w:t>
      </w:r>
      <w:r w:rsidRPr="00D34A7F">
        <w:rPr>
          <w:rFonts w:cs="Arial"/>
          <w:color w:val="000000" w:themeColor="text1"/>
        </w:rPr>
        <w:t xml:space="preserve">and retain evidence to </w:t>
      </w:r>
      <w:r w:rsidRPr="00D34A7F" w:rsidR="00D34A7F">
        <w:rPr>
          <w:rFonts w:cs="Arial"/>
          <w:color w:val="000000" w:themeColor="text1"/>
        </w:rPr>
        <w:t>support</w:t>
      </w:r>
      <w:r w:rsidRPr="00D34A7F">
        <w:rPr>
          <w:rFonts w:cs="Arial"/>
          <w:color w:val="000000" w:themeColor="text1"/>
        </w:rPr>
        <w:t xml:space="preserve"> referral decisions. Just culture should not seek to avoid accountability, but it should not be to the point of arbitrary blame </w:t>
      </w:r>
      <w:r w:rsidRPr="00D34A7F">
        <w:rPr>
          <w:rFonts w:cs="Arial"/>
          <w:color w:val="000000" w:themeColor="text1"/>
        </w:rPr>
        <w:lastRenderedPageBreak/>
        <w:t>(Dekker, 2016). When pathways overlap, patient protection will be used to guide temporary action and independent legal and HR advice will protect procedural rights.</w:t>
      </w:r>
    </w:p>
    <w:p w:rsidRPr="00D34A7F" w:rsidR="00B11671" w:rsidP="00D34A7F" w:rsidRDefault="00B11671" w14:paraId="664363C7" w14:textId="2FB7CEB9">
      <w:pPr>
        <w:jc w:val="both"/>
        <w:rPr>
          <w:rFonts w:cs="Arial"/>
          <w:color w:val="000000" w:themeColor="text1"/>
        </w:rPr>
      </w:pPr>
      <w:r w:rsidRPr="00D34A7F">
        <w:rPr>
          <w:rFonts w:cs="Arial"/>
          <w:color w:val="000000" w:themeColor="text1"/>
        </w:rPr>
        <w:t>Multiple routes with visible response should be combined for protected escalation. Line management, independent clinical, Freedom to Speak Up, non-executive and external options are all required for staff. There is limited research on the effectiveness of education for changing entrenched speaking up behaviour (O'Donovan &amp; McAuliffe, 2020b). This requires training to be accompanied by acknowledg</w:t>
      </w:r>
      <w:r w:rsidRPr="00D34A7F" w:rsidR="00D34A7F">
        <w:rPr>
          <w:rFonts w:cs="Arial"/>
          <w:color w:val="000000" w:themeColor="text1"/>
        </w:rPr>
        <w:t>e</w:t>
      </w:r>
      <w:r w:rsidRPr="00D34A7F">
        <w:rPr>
          <w:rFonts w:cs="Arial"/>
          <w:color w:val="000000" w:themeColor="text1"/>
        </w:rPr>
        <w:t xml:space="preserve">ment, ownership, deadlines and feedback. Huddles and </w:t>
      </w:r>
      <w:proofErr w:type="spellStart"/>
      <w:r w:rsidRPr="00D34A7F">
        <w:rPr>
          <w:rFonts w:cs="Arial"/>
          <w:color w:val="000000" w:themeColor="text1"/>
        </w:rPr>
        <w:t>walkrounds</w:t>
      </w:r>
      <w:proofErr w:type="spellEnd"/>
      <w:r w:rsidRPr="00D34A7F">
        <w:rPr>
          <w:rFonts w:cs="Arial"/>
          <w:color w:val="000000" w:themeColor="text1"/>
        </w:rPr>
        <w:t xml:space="preserve"> should result in actions that can be tracked. Whether staff talk is the key question is whether they think that action follows. </w:t>
      </w:r>
    </w:p>
    <w:p w:rsidRPr="00D34A7F" w:rsidR="00B11671" w:rsidP="00D34A7F" w:rsidRDefault="00B11671" w14:paraId="4257A754" w14:textId="212E7687">
      <w:pPr>
        <w:jc w:val="both"/>
        <w:rPr>
          <w:rFonts w:cs="Arial"/>
          <w:color w:val="000000" w:themeColor="text1"/>
        </w:rPr>
      </w:pPr>
      <w:r w:rsidRPr="00D34A7F">
        <w:rPr>
          <w:rFonts w:cs="Arial"/>
          <w:color w:val="000000" w:themeColor="text1"/>
        </w:rPr>
        <w:t>Board assurance should be based on weak signals and competing interpretations. Collapses, deaths, staffing, delayed reviews, complaints, medicine exceptions, referrals, speaking-up themes should be included in reports. NHS England (2023a) increases individual board accountability. But competence checks do</w:t>
      </w:r>
      <w:r w:rsidRPr="00D34A7F" w:rsidR="005B2722">
        <w:rPr>
          <w:rFonts w:cs="Arial"/>
          <w:color w:val="000000" w:themeColor="text1"/>
        </w:rPr>
        <w:t xml:space="preserve"> </w:t>
      </w:r>
      <w:r w:rsidRPr="00D34A7F">
        <w:rPr>
          <w:rFonts w:cs="Arial"/>
          <w:color w:val="000000" w:themeColor="text1"/>
        </w:rPr>
        <w:t>n</w:t>
      </w:r>
      <w:r w:rsidRPr="00D34A7F" w:rsidR="005B2722">
        <w:rPr>
          <w:rFonts w:cs="Arial"/>
          <w:color w:val="000000" w:themeColor="text1"/>
        </w:rPr>
        <w:t>o</w:t>
      </w:r>
      <w:r w:rsidRPr="00D34A7F">
        <w:rPr>
          <w:rFonts w:cs="Arial"/>
          <w:color w:val="000000" w:themeColor="text1"/>
        </w:rPr>
        <w:t xml:space="preserve">t guarantee completeness of information. Non-executives </w:t>
      </w:r>
      <w:r w:rsidRPr="00D34A7F" w:rsidR="00D34A7F">
        <w:rPr>
          <w:rFonts w:cs="Arial"/>
          <w:color w:val="000000" w:themeColor="text1"/>
        </w:rPr>
        <w:t xml:space="preserve">are </w:t>
      </w:r>
      <w:r w:rsidRPr="00D34A7F">
        <w:rPr>
          <w:rFonts w:cs="Arial"/>
          <w:color w:val="000000" w:themeColor="text1"/>
        </w:rPr>
        <w:t xml:space="preserve">to be provided with raw trends, test alternatives and commission independent reviews where there is disagreement between clinicians and executives. Elements of a non-escalation decision should include </w:t>
      </w:r>
      <w:r w:rsidRPr="00D34A7F" w:rsidR="00D34A7F">
        <w:rPr>
          <w:rFonts w:cs="Arial"/>
          <w:color w:val="000000" w:themeColor="text1"/>
        </w:rPr>
        <w:t>the owner's name</w:t>
      </w:r>
      <w:r w:rsidRPr="00D34A7F">
        <w:rPr>
          <w:rFonts w:cs="Arial"/>
          <w:color w:val="000000" w:themeColor="text1"/>
        </w:rPr>
        <w:t xml:space="preserve">, evidence, residual risk, </w:t>
      </w:r>
      <w:r w:rsidRPr="00D34A7F" w:rsidR="00D34A7F">
        <w:rPr>
          <w:rFonts w:cs="Arial"/>
          <w:color w:val="000000" w:themeColor="text1"/>
        </w:rPr>
        <w:t xml:space="preserve">and </w:t>
      </w:r>
      <w:r w:rsidRPr="00D34A7F">
        <w:rPr>
          <w:rFonts w:cs="Arial"/>
          <w:color w:val="000000" w:themeColor="text1"/>
        </w:rPr>
        <w:t xml:space="preserve">review date. </w:t>
      </w:r>
    </w:p>
    <w:p w:rsidRPr="00D34A7F" w:rsidR="00B11671" w:rsidP="00D34A7F" w:rsidRDefault="00B11671" w14:paraId="37BB19C8" w14:textId="4E2DD078">
      <w:pPr>
        <w:jc w:val="both"/>
        <w:rPr>
          <w:rFonts w:cs="Arial"/>
          <w:color w:val="000000" w:themeColor="text1"/>
        </w:rPr>
      </w:pPr>
      <w:r w:rsidRPr="00D34A7F">
        <w:rPr>
          <w:rFonts w:cs="Arial"/>
          <w:color w:val="000000" w:themeColor="text1"/>
        </w:rPr>
        <w:t xml:space="preserve">Families are to be safety partners. Openness and support are expected after a qualifying incident as per CQC guidance (Care Quality Commission, 2022), and compassionate involvement is required as per </w:t>
      </w:r>
      <w:proofErr w:type="spellStart"/>
      <w:r w:rsidRPr="00D34A7F">
        <w:rPr>
          <w:rFonts w:cs="Arial"/>
          <w:color w:val="000000" w:themeColor="text1"/>
        </w:rPr>
        <w:t>PSIRF</w:t>
      </w:r>
      <w:proofErr w:type="spellEnd"/>
      <w:r w:rsidRPr="00D34A7F">
        <w:rPr>
          <w:rFonts w:cs="Arial"/>
          <w:color w:val="000000" w:themeColor="text1"/>
        </w:rPr>
        <w:t xml:space="preserve"> guidance (NHS England, 2022b). However, procedural disclosure does not ensure meaningful participation. Families require a named person to communicate with, regular written reports and chances to make their observations. Their accounts should be neither definitive nor peripheral, but balanced with a sense of evidence and </w:t>
      </w:r>
      <w:proofErr w:type="spellStart"/>
      <w:r w:rsidRPr="00D34A7F">
        <w:rPr>
          <w:rFonts w:cs="Arial"/>
          <w:color w:val="000000" w:themeColor="text1"/>
        </w:rPr>
        <w:t>candour</w:t>
      </w:r>
      <w:proofErr w:type="spellEnd"/>
      <w:r w:rsidRPr="00D34A7F">
        <w:rPr>
          <w:rFonts w:cs="Arial"/>
          <w:color w:val="000000" w:themeColor="text1"/>
        </w:rPr>
        <w:t xml:space="preserve">. </w:t>
      </w:r>
    </w:p>
    <w:p w:rsidRPr="00D34A7F" w:rsidR="00B11671" w:rsidP="00D34A7F" w:rsidRDefault="00B11671" w14:paraId="1FD8E673" w14:textId="3E17FB15">
      <w:pPr>
        <w:jc w:val="both"/>
        <w:rPr>
          <w:rFonts w:cs="Arial"/>
          <w:color w:val="000000" w:themeColor="text1"/>
        </w:rPr>
      </w:pPr>
      <w:r w:rsidRPr="00D34A7F">
        <w:rPr>
          <w:rFonts w:cs="Arial"/>
          <w:color w:val="000000" w:themeColor="text1"/>
        </w:rPr>
        <w:t xml:space="preserve">Capacity to review and work needs to be increased. In 2016, CQC rated the staffing of neonatal services as below </w:t>
      </w:r>
      <w:proofErr w:type="spellStart"/>
      <w:r w:rsidRPr="00D34A7F">
        <w:rPr>
          <w:rFonts w:cs="Arial"/>
          <w:color w:val="000000" w:themeColor="text1"/>
        </w:rPr>
        <w:t>BAPM</w:t>
      </w:r>
      <w:proofErr w:type="spellEnd"/>
      <w:r w:rsidRPr="00D34A7F">
        <w:rPr>
          <w:rFonts w:cs="Arial"/>
          <w:color w:val="000000" w:themeColor="text1"/>
        </w:rPr>
        <w:t xml:space="preserve"> expectations and Nuffield Trust (2024) continued to report pressures relating to staffing and managerial capacity. The number of staff does not make the crimes. The question in the system is whether there is enough clinical, analytical and governance time to review deaths and close actions. Technical efficiency is enhanced through integrated data and standard workflows</w:t>
      </w:r>
      <w:r w:rsidRPr="00D34A7F" w:rsidR="00D34A7F">
        <w:rPr>
          <w:rFonts w:cs="Arial"/>
          <w:color w:val="000000" w:themeColor="text1"/>
        </w:rPr>
        <w:t>,</w:t>
      </w:r>
      <w:r w:rsidRPr="00D34A7F">
        <w:rPr>
          <w:rFonts w:cs="Arial"/>
          <w:color w:val="000000" w:themeColor="text1"/>
        </w:rPr>
        <w:t xml:space="preserve"> and allocative efficiency is enhanced through resources for surveillance, pathology, safeguarding, independent review and family support. </w:t>
      </w:r>
    </w:p>
    <w:p w:rsidRPr="00D34A7F" w:rsidR="00B11671" w:rsidP="00D34A7F" w:rsidRDefault="00B11671" w14:paraId="5F0D869E" w14:textId="39083789">
      <w:pPr>
        <w:jc w:val="both"/>
        <w:rPr>
          <w:rFonts w:cs="Arial"/>
          <w:color w:val="000000" w:themeColor="text1"/>
        </w:rPr>
      </w:pPr>
      <w:r w:rsidRPr="00D34A7F">
        <w:rPr>
          <w:rFonts w:cs="Arial"/>
          <w:color w:val="000000" w:themeColor="text1"/>
        </w:rPr>
        <w:t xml:space="preserve">Process, culture and outcome indicators should be used in combination when evaluating. These are things like response times, reviews that have been completed, action closure, confidence that concerns are acted upon, reports of retaliation, staffing compliance and </w:t>
      </w:r>
      <w:r w:rsidRPr="00D34A7F">
        <w:rPr>
          <w:rFonts w:cs="Arial"/>
          <w:color w:val="000000" w:themeColor="text1"/>
        </w:rPr>
        <w:lastRenderedPageBreak/>
        <w:t xml:space="preserve">family experience. But a lack of a rare and catastrophic event does not constitute safety. The WHO (2021) recommends that health care systems embrace learning from harm and learning from risk management for the future. Along with outcome monitoring, leading indicators and simulation tests are crucial. </w:t>
      </w:r>
    </w:p>
    <w:p w:rsidRPr="00D34A7F" w:rsidR="00B11671" w:rsidP="00D34A7F" w:rsidRDefault="00B11671" w14:paraId="24F2481F" w14:textId="71F4B9C6">
      <w:pPr>
        <w:jc w:val="both"/>
        <w:rPr>
          <w:rFonts w:cs="Arial"/>
          <w:color w:val="000000" w:themeColor="text1"/>
        </w:rPr>
      </w:pPr>
      <w:r w:rsidRPr="00D34A7F">
        <w:rPr>
          <w:rFonts w:cs="Arial"/>
          <w:color w:val="000000" w:themeColor="text1"/>
        </w:rPr>
        <w:t xml:space="preserve">The </w:t>
      </w:r>
      <w:r w:rsidRPr="00D34A7F" w:rsidR="00D34A7F">
        <w:rPr>
          <w:rFonts w:cs="Arial"/>
          <w:color w:val="000000" w:themeColor="text1"/>
        </w:rPr>
        <w:t>implementation risks</w:t>
      </w:r>
      <w:r w:rsidRPr="00D34A7F">
        <w:rPr>
          <w:rFonts w:cs="Arial"/>
          <w:color w:val="000000" w:themeColor="text1"/>
        </w:rPr>
        <w:t xml:space="preserve"> are alert fatigue, unfair suspicion, delayed central review, confidentiality issues, and decreased reporting. NHS England's Being Fair Tool asks to consider system contribution, rather than individual judgement (NHS England, 2023c). This, however, does not apply where the intent to harm is a real possibility. Fairness and protection can be balanced through proportionate thresholds, independent triage, role</w:t>
      </w:r>
      <w:r w:rsidRPr="00D34A7F" w:rsidR="00D34A7F">
        <w:rPr>
          <w:rFonts w:cs="Arial"/>
          <w:color w:val="000000" w:themeColor="text1"/>
        </w:rPr>
        <w:t>-</w:t>
      </w:r>
      <w:r w:rsidRPr="00D34A7F">
        <w:rPr>
          <w:rFonts w:cs="Arial"/>
          <w:color w:val="000000" w:themeColor="text1"/>
        </w:rPr>
        <w:t xml:space="preserve">based data access and audit of missed and unnecessary escalations. </w:t>
      </w:r>
    </w:p>
    <w:p w:rsidRPr="00D34A7F" w:rsidR="006C5E1B" w:rsidP="00D34A7F" w:rsidRDefault="00B11671" w14:paraId="785330B7" w14:textId="434CBEBA">
      <w:pPr>
        <w:jc w:val="both"/>
        <w:rPr>
          <w:rFonts w:cs="Arial"/>
          <w:color w:val="000000" w:themeColor="text1"/>
        </w:rPr>
      </w:pPr>
      <w:r w:rsidRPr="00D34A7F">
        <w:rPr>
          <w:rFonts w:cs="Arial"/>
          <w:color w:val="000000" w:themeColor="text1"/>
        </w:rPr>
        <w:t xml:space="preserve">Healthcare should not depend on heroic persistence. Kirkup (2022) and </w:t>
      </w:r>
      <w:proofErr w:type="spellStart"/>
      <w:r w:rsidRPr="00D34A7F">
        <w:rPr>
          <w:rFonts w:cs="Arial"/>
          <w:color w:val="000000" w:themeColor="text1"/>
        </w:rPr>
        <w:t>Ockenden</w:t>
      </w:r>
      <w:proofErr w:type="spellEnd"/>
      <w:r w:rsidRPr="00D34A7F">
        <w:rPr>
          <w:rFonts w:cs="Arial"/>
          <w:color w:val="000000" w:themeColor="text1"/>
        </w:rPr>
        <w:t xml:space="preserve"> (2022) found similar issues with listening but with a different focus, and issues with governance and a defensive culture, although it is important to note that their cases are not the same and should not be seen as representative. Their importance is repeated organisational mechanisms. Recommendations need to be made sustainable </w:t>
      </w:r>
      <w:r w:rsidRPr="00D34A7F" w:rsidR="00D34A7F">
        <w:rPr>
          <w:rFonts w:cs="Arial"/>
          <w:color w:val="000000" w:themeColor="text1"/>
        </w:rPr>
        <w:t xml:space="preserve">through </w:t>
      </w:r>
      <w:r w:rsidRPr="00D34A7F">
        <w:rPr>
          <w:rFonts w:cs="Arial"/>
          <w:color w:val="000000" w:themeColor="text1"/>
        </w:rPr>
        <w:t>learning in order to be owned, measured</w:t>
      </w:r>
      <w:r w:rsidRPr="00D34A7F" w:rsidR="00D34A7F">
        <w:rPr>
          <w:rFonts w:cs="Arial"/>
          <w:color w:val="000000" w:themeColor="text1"/>
        </w:rPr>
        <w:t>,</w:t>
      </w:r>
      <w:r w:rsidRPr="00D34A7F">
        <w:rPr>
          <w:rFonts w:cs="Arial"/>
          <w:color w:val="000000" w:themeColor="text1"/>
        </w:rPr>
        <w:t xml:space="preserve"> and independently verified processes. The Thirlwall review also indicates that mere publication is not enough to ensure implementation, in line with the earlier recommendations (Thirlwall inquiry, 2024d). The purpose of cross-case learning is, therefore, to single out </w:t>
      </w:r>
      <w:r w:rsidRPr="00D34A7F" w:rsidR="00D34A7F">
        <w:rPr>
          <w:rFonts w:cs="Arial"/>
          <w:color w:val="000000" w:themeColor="text1"/>
        </w:rPr>
        <w:t>transferable governance mechanisms from which lessons can be drawn</w:t>
      </w:r>
      <w:r w:rsidRPr="00D34A7F">
        <w:rPr>
          <w:rFonts w:cs="Arial"/>
          <w:color w:val="000000" w:themeColor="text1"/>
        </w:rPr>
        <w:t xml:space="preserve"> and not to make blanket statements of the causes of all failures to expect the birth of a child.</w:t>
      </w:r>
    </w:p>
    <w:p w:rsidRPr="00D34A7F" w:rsidR="006C5E1B" w:rsidP="00D34A7F" w:rsidRDefault="00000000" w14:paraId="2A80DB7C" w14:textId="77777777">
      <w:pPr>
        <w:pStyle w:val="Heading1"/>
        <w:rPr>
          <w:rFonts w:ascii="Arial" w:hAnsi="Arial" w:cs="Arial"/>
          <w:color w:val="000000" w:themeColor="text1"/>
          <w:sz w:val="22"/>
          <w:szCs w:val="22"/>
        </w:rPr>
      </w:pPr>
      <w:r w:rsidRPr="00D34A7F">
        <w:rPr>
          <w:rFonts w:ascii="Arial" w:hAnsi="Arial" w:eastAsia="Arial" w:cs="Arial"/>
          <w:color w:val="000000" w:themeColor="text1"/>
          <w:sz w:val="22"/>
          <w:szCs w:val="22"/>
        </w:rPr>
        <w:t>3. Recommendations</w:t>
      </w:r>
    </w:p>
    <w:p w:rsidRPr="00D34A7F" w:rsidR="00B11671" w:rsidP="00D34A7F" w:rsidRDefault="00B11671" w14:paraId="2BD4E198" w14:textId="12E2121F">
      <w:pPr>
        <w:jc w:val="both"/>
        <w:rPr>
          <w:rFonts w:cs="Arial"/>
          <w:color w:val="000000" w:themeColor="text1"/>
        </w:rPr>
      </w:pPr>
      <w:r w:rsidRPr="00D34A7F">
        <w:rPr>
          <w:rFonts w:cs="Arial"/>
          <w:color w:val="000000" w:themeColor="text1"/>
        </w:rPr>
        <w:t xml:space="preserve">The Trust should develop a Neonatal Safety and Escalation </w:t>
      </w:r>
      <w:proofErr w:type="spellStart"/>
      <w:r w:rsidRPr="00D34A7F">
        <w:rPr>
          <w:rFonts w:cs="Arial"/>
          <w:color w:val="000000" w:themeColor="text1"/>
        </w:rPr>
        <w:t>Programme</w:t>
      </w:r>
      <w:proofErr w:type="spellEnd"/>
      <w:r w:rsidRPr="00D34A7F">
        <w:rPr>
          <w:rFonts w:cs="Arial"/>
          <w:color w:val="000000" w:themeColor="text1"/>
        </w:rPr>
        <w:t xml:space="preserve">, sponsored by the board of the Trust, and linked to </w:t>
      </w:r>
      <w:proofErr w:type="spellStart"/>
      <w:r w:rsidRPr="00D34A7F">
        <w:rPr>
          <w:rFonts w:cs="Arial"/>
          <w:color w:val="000000" w:themeColor="text1"/>
        </w:rPr>
        <w:t>PSIRF</w:t>
      </w:r>
      <w:proofErr w:type="spellEnd"/>
      <w:r w:rsidRPr="00D34A7F">
        <w:rPr>
          <w:rFonts w:cs="Arial"/>
          <w:color w:val="000000" w:themeColor="text1"/>
        </w:rPr>
        <w:t>, safeguarding, coronial and police and regulatory paths. An executive director should be accountable</w:t>
      </w:r>
      <w:r w:rsidRPr="00D34A7F" w:rsidR="00D34A7F">
        <w:rPr>
          <w:rFonts w:cs="Arial"/>
          <w:color w:val="000000" w:themeColor="text1"/>
        </w:rPr>
        <w:t>,</w:t>
      </w:r>
      <w:r w:rsidRPr="00D34A7F">
        <w:rPr>
          <w:rFonts w:cs="Arial"/>
          <w:color w:val="000000" w:themeColor="text1"/>
        </w:rPr>
        <w:t xml:space="preserve"> and a non-executive lead should be challenging. Messenger and Pollard (2022) endorse leadership that is collaborative and has accountability. But another </w:t>
      </w:r>
      <w:proofErr w:type="spellStart"/>
      <w:r w:rsidRPr="00D34A7F">
        <w:rPr>
          <w:rFonts w:cs="Arial"/>
          <w:color w:val="000000" w:themeColor="text1"/>
        </w:rPr>
        <w:t>programme</w:t>
      </w:r>
      <w:proofErr w:type="spellEnd"/>
      <w:r w:rsidRPr="00D34A7F">
        <w:rPr>
          <w:rFonts w:cs="Arial"/>
          <w:color w:val="000000" w:themeColor="text1"/>
        </w:rPr>
        <w:t xml:space="preserve"> will create a bureaucracy unless it is given authority. It should have only one function</w:t>
      </w:r>
      <w:r w:rsidRPr="00D34A7F" w:rsidR="00D34A7F">
        <w:rPr>
          <w:rFonts w:cs="Arial"/>
          <w:color w:val="000000" w:themeColor="text1"/>
        </w:rPr>
        <w:t>:</w:t>
      </w:r>
      <w:r w:rsidRPr="00D34A7F">
        <w:rPr>
          <w:rFonts w:cs="Arial"/>
          <w:color w:val="000000" w:themeColor="text1"/>
        </w:rPr>
        <w:t xml:space="preserve"> detection of signals early, proportional protection during uncertainty, help for families and staff, and independence free of employment or reputational interest.</w:t>
      </w:r>
    </w:p>
    <w:p w:rsidRPr="00D34A7F" w:rsidR="003D1793" w:rsidP="00D34A7F" w:rsidRDefault="003D1793" w14:paraId="6F4EE264" w14:textId="389A31C4">
      <w:pPr>
        <w:jc w:val="both"/>
        <w:rPr>
          <w:rFonts w:cs="Arial"/>
          <w:color w:val="000000" w:themeColor="text1"/>
        </w:rPr>
      </w:pPr>
      <w:r w:rsidRPr="00D34A7F">
        <w:rPr>
          <w:rFonts w:cs="Arial"/>
          <w:color w:val="000000" w:themeColor="text1"/>
        </w:rPr>
        <w:t>First, introduce</w:t>
      </w:r>
      <w:r w:rsidRPr="00D34A7F" w:rsidR="00B11671">
        <w:rPr>
          <w:rFonts w:cs="Arial"/>
          <w:color w:val="000000" w:themeColor="text1"/>
        </w:rPr>
        <w:t xml:space="preserve"> a real</w:t>
      </w:r>
      <w:r w:rsidRPr="00D34A7F" w:rsidR="00D34A7F">
        <w:rPr>
          <w:rFonts w:cs="Arial"/>
          <w:color w:val="000000" w:themeColor="text1"/>
        </w:rPr>
        <w:t>-</w:t>
      </w:r>
      <w:r w:rsidRPr="00D34A7F" w:rsidR="00B11671">
        <w:rPr>
          <w:rFonts w:cs="Arial"/>
          <w:color w:val="000000" w:themeColor="text1"/>
        </w:rPr>
        <w:t>time dashboard with mortality, collapses, staffing, medicines access, shift allocation, incidents, complaints, pathology and referral status. High</w:t>
      </w:r>
      <w:r w:rsidRPr="00D34A7F" w:rsidR="00D34A7F">
        <w:rPr>
          <w:rFonts w:cs="Arial"/>
          <w:color w:val="000000" w:themeColor="text1"/>
        </w:rPr>
        <w:t>-</w:t>
      </w:r>
      <w:r w:rsidRPr="00D34A7F" w:rsidR="00B11671">
        <w:rPr>
          <w:rFonts w:cs="Arial"/>
          <w:color w:val="000000" w:themeColor="text1"/>
        </w:rPr>
        <w:t xml:space="preserve">consequence triggers should result in immediate review and external neonatal and safeguarding advice within 72 hours. Alerts should never say that a person is "causal. They can attract attention or preserve evidence and test alternatives. </w:t>
      </w:r>
    </w:p>
    <w:p w:rsidRPr="00D34A7F" w:rsidR="00B11671" w:rsidP="00D34A7F" w:rsidRDefault="00B11671" w14:paraId="31063B34" w14:textId="37F87BF7">
      <w:pPr>
        <w:jc w:val="both"/>
        <w:rPr>
          <w:rFonts w:cs="Arial"/>
          <w:color w:val="000000" w:themeColor="text1"/>
        </w:rPr>
      </w:pPr>
      <w:r w:rsidRPr="00D34A7F">
        <w:rPr>
          <w:rFonts w:cs="Arial"/>
          <w:color w:val="000000" w:themeColor="text1"/>
        </w:rPr>
        <w:lastRenderedPageBreak/>
        <w:t xml:space="preserve">Secondly, introduce a two-track strategy for safety and work. Temporary measures should be referred to as neutral controls rather than as findings of guilt, and the results of grievance should not preclude answering clinical-risk questions. Consultation with police, coroner, safeguarding bodies, CQC, </w:t>
      </w:r>
      <w:proofErr w:type="spellStart"/>
      <w:r w:rsidRPr="00D34A7F">
        <w:rPr>
          <w:rFonts w:cs="Arial"/>
          <w:color w:val="000000" w:themeColor="text1"/>
        </w:rPr>
        <w:t>NMC</w:t>
      </w:r>
      <w:proofErr w:type="spellEnd"/>
      <w:r w:rsidRPr="00D34A7F">
        <w:rPr>
          <w:rFonts w:cs="Arial"/>
          <w:color w:val="000000" w:themeColor="text1"/>
        </w:rPr>
        <w:t xml:space="preserve"> and GMC should be identified within the protocol. Staff are required to uphold patient safety, and to raise concerns, as outlined in professional codes (Nursing and Midwifery Council, 2018; General Medical Council, 2024). But organisations </w:t>
      </w:r>
      <w:r w:rsidRPr="00D34A7F" w:rsidR="00D34A7F">
        <w:rPr>
          <w:rFonts w:cs="Arial"/>
          <w:color w:val="000000" w:themeColor="text1"/>
        </w:rPr>
        <w:t>need</w:t>
      </w:r>
      <w:r w:rsidRPr="00D34A7F">
        <w:rPr>
          <w:rFonts w:cs="Arial"/>
          <w:color w:val="000000" w:themeColor="text1"/>
        </w:rPr>
        <w:t xml:space="preserve"> routes that act non-retaliator</w:t>
      </w:r>
      <w:r w:rsidRPr="00D34A7F" w:rsidR="00D34A7F">
        <w:rPr>
          <w:rFonts w:cs="Arial"/>
          <w:color w:val="000000" w:themeColor="text1"/>
        </w:rPr>
        <w:t>il</w:t>
      </w:r>
      <w:r w:rsidRPr="00D34A7F">
        <w:rPr>
          <w:rFonts w:cs="Arial"/>
          <w:color w:val="000000" w:themeColor="text1"/>
        </w:rPr>
        <w:t xml:space="preserve">y. </w:t>
      </w:r>
    </w:p>
    <w:p w:rsidRPr="00D34A7F" w:rsidR="00B11671" w:rsidP="00D34A7F" w:rsidRDefault="00B11671" w14:paraId="571A1228" w14:textId="43AEEFB8">
      <w:pPr>
        <w:jc w:val="both"/>
        <w:rPr>
          <w:rFonts w:cs="Arial"/>
          <w:color w:val="000000" w:themeColor="text1"/>
        </w:rPr>
      </w:pPr>
      <w:r w:rsidRPr="00D34A7F">
        <w:rPr>
          <w:rFonts w:cs="Arial"/>
          <w:color w:val="000000" w:themeColor="text1"/>
        </w:rPr>
        <w:t>Third, apply simulation for leaders using contingencies. Threats must be dealt with by directive containment and evidence preservation</w:t>
      </w:r>
      <w:r w:rsidRPr="00D34A7F" w:rsidR="00D34A7F">
        <w:rPr>
          <w:rFonts w:cs="Arial"/>
          <w:color w:val="000000" w:themeColor="text1"/>
        </w:rPr>
        <w:t>;</w:t>
      </w:r>
      <w:r w:rsidRPr="00D34A7F">
        <w:rPr>
          <w:rFonts w:cs="Arial"/>
          <w:color w:val="000000" w:themeColor="text1"/>
        </w:rPr>
        <w:t xml:space="preserve"> interpretation must involve participation and expert deferral</w:t>
      </w:r>
      <w:r w:rsidRPr="00D34A7F" w:rsidR="00D34A7F">
        <w:rPr>
          <w:rFonts w:cs="Arial"/>
          <w:color w:val="000000" w:themeColor="text1"/>
        </w:rPr>
        <w:t>,</w:t>
      </w:r>
      <w:r w:rsidRPr="00D34A7F">
        <w:rPr>
          <w:rFonts w:cs="Arial"/>
          <w:color w:val="000000" w:themeColor="text1"/>
        </w:rPr>
        <w:t xml:space="preserve"> and recovery must be approached with compassion and distributed redesign. However, if a student is present at school, this does not prove that they have demonstrated competence. Simulations should focus on mortality clusters, deliberate-harm suspicion and conflict between clinicians and documentation and escalation, not on course completion. </w:t>
      </w:r>
    </w:p>
    <w:p w:rsidRPr="00D34A7F" w:rsidR="00B11671" w:rsidP="00D34A7F" w:rsidRDefault="00B11671" w14:paraId="1E376153" w14:textId="0491261B">
      <w:pPr>
        <w:jc w:val="both"/>
        <w:rPr>
          <w:rFonts w:cs="Arial"/>
          <w:color w:val="000000" w:themeColor="text1"/>
        </w:rPr>
      </w:pPr>
      <w:r w:rsidRPr="00D34A7F">
        <w:rPr>
          <w:rFonts w:cs="Arial"/>
          <w:color w:val="000000" w:themeColor="text1"/>
        </w:rPr>
        <w:t xml:space="preserve">Fourth, establish safe pathways to the Freedom to Speak Up guardian, medical director, chief nurse, non-executive lead and regional neonatal network. Every concern must be recognised, taken responsibility for, have a timeframe and a positive response. However, information can be split up into several channels. Everyone should provide a protected concern record, maintaining confidentiality. If the teacher retaliates, pressures to pull out of concerns, or unexplained delay occurs, these are considered governance issues. </w:t>
      </w:r>
    </w:p>
    <w:p w:rsidRPr="00D34A7F" w:rsidR="006C5E1B" w:rsidP="00D34A7F" w:rsidRDefault="00B11671" w14:paraId="37BC05C5" w14:textId="6A99433D">
      <w:pPr>
        <w:jc w:val="both"/>
        <w:rPr>
          <w:rFonts w:cs="Arial"/>
          <w:color w:val="000000" w:themeColor="text1"/>
        </w:rPr>
      </w:pPr>
      <w:r w:rsidRPr="00D34A7F">
        <w:rPr>
          <w:rFonts w:cs="Arial"/>
          <w:color w:val="000000" w:themeColor="text1"/>
        </w:rPr>
        <w:t>Fifth, name a liaison for the family, communicate promptly and honestly with the family, update the investigation, and allow families to make observations. Co-ordinated bereavement and psychological support. But communication has to differentiate facts, hypotheses and questions that have not been answered. This prevents hasty assumptions and flaky comforting, and it</w:t>
      </w:r>
      <w:r w:rsidRPr="00D34A7F" w:rsidR="005B2722">
        <w:rPr>
          <w:rFonts w:cs="Arial"/>
          <w:color w:val="000000" w:themeColor="text1"/>
        </w:rPr>
        <w:t xml:space="preserve"> i</w:t>
      </w:r>
      <w:r w:rsidRPr="00D34A7F">
        <w:rPr>
          <w:rFonts w:cs="Arial"/>
          <w:color w:val="000000" w:themeColor="text1"/>
        </w:rPr>
        <w:t>s taking family experience as safety intelligence. Family representatives should also review the communication process annually (to support co-production) and ensure confidentiality of individual cases.</w:t>
      </w:r>
    </w:p>
    <w:p w:rsidRPr="00D34A7F" w:rsidR="006C5E1B" w:rsidP="00D34A7F" w:rsidRDefault="00000000" w14:paraId="126186A5" w14:textId="77777777">
      <w:pPr>
        <w:jc w:val="center"/>
        <w:rPr>
          <w:rFonts w:cs="Arial"/>
          <w:color w:val="000000" w:themeColor="text1"/>
        </w:rPr>
      </w:pPr>
      <w:r w:rsidRPr="00D34A7F">
        <w:rPr>
          <w:rFonts w:cs="Arial"/>
          <w:b/>
          <w:color w:val="000000" w:themeColor="text1"/>
        </w:rPr>
        <w:t>Table 3. Twelve-month implementation and assurance plan</w:t>
      </w:r>
    </w:p>
    <w:tbl>
      <w:tblPr>
        <w:tblStyle w:val="TableGrid"/>
        <w:tblW w:w="0" w:type="auto"/>
        <w:jc w:val="center"/>
        <w:tblLook w:val="04A0" w:firstRow="1" w:lastRow="0" w:firstColumn="1" w:lastColumn="0" w:noHBand="0" w:noVBand="1"/>
      </w:tblPr>
      <w:tblGrid>
        <w:gridCol w:w="2256"/>
        <w:gridCol w:w="2256"/>
        <w:gridCol w:w="2256"/>
        <w:gridCol w:w="2256"/>
      </w:tblGrid>
      <w:tr w:rsidRPr="00D34A7F" w:rsidR="006C5E1B" w14:paraId="4A06B65A" w14:textId="77777777">
        <w:trPr>
          <w:tblHeader/>
          <w:jc w:val="center"/>
        </w:trPr>
        <w:tc>
          <w:tcPr>
            <w:tcW w:w="2256" w:type="dxa"/>
            <w:shd w:val="clear" w:color="auto" w:fill="D9EAF7"/>
            <w:vAlign w:val="center"/>
          </w:tcPr>
          <w:p w:rsidRPr="00D34A7F" w:rsidR="006C5E1B" w:rsidP="00D34A7F" w:rsidRDefault="00000000" w14:paraId="42771C51" w14:textId="77777777">
            <w:pPr>
              <w:rPr>
                <w:rFonts w:cs="Arial"/>
                <w:color w:val="000000" w:themeColor="text1"/>
              </w:rPr>
            </w:pPr>
            <w:r w:rsidRPr="00D34A7F">
              <w:rPr>
                <w:rFonts w:cs="Arial"/>
                <w:color w:val="000000" w:themeColor="text1"/>
              </w:rPr>
              <w:t>Time</w:t>
            </w:r>
          </w:p>
        </w:tc>
        <w:tc>
          <w:tcPr>
            <w:tcW w:w="2256" w:type="dxa"/>
            <w:shd w:val="clear" w:color="auto" w:fill="D9EAF7"/>
            <w:vAlign w:val="center"/>
          </w:tcPr>
          <w:p w:rsidRPr="00D34A7F" w:rsidR="006C5E1B" w:rsidP="00D34A7F" w:rsidRDefault="00000000" w14:paraId="6E8627FD" w14:textId="77777777">
            <w:pPr>
              <w:rPr>
                <w:rFonts w:cs="Arial"/>
                <w:color w:val="000000" w:themeColor="text1"/>
              </w:rPr>
            </w:pPr>
            <w:r w:rsidRPr="00D34A7F">
              <w:rPr>
                <w:rFonts w:cs="Arial"/>
                <w:color w:val="000000" w:themeColor="text1"/>
              </w:rPr>
              <w:t>Priority</w:t>
            </w:r>
          </w:p>
        </w:tc>
        <w:tc>
          <w:tcPr>
            <w:tcW w:w="2256" w:type="dxa"/>
            <w:shd w:val="clear" w:color="auto" w:fill="D9EAF7"/>
            <w:vAlign w:val="center"/>
          </w:tcPr>
          <w:p w:rsidRPr="00D34A7F" w:rsidR="006C5E1B" w:rsidP="00D34A7F" w:rsidRDefault="00000000" w14:paraId="2BB90993" w14:textId="77777777">
            <w:pPr>
              <w:rPr>
                <w:rFonts w:cs="Arial"/>
                <w:color w:val="000000" w:themeColor="text1"/>
              </w:rPr>
            </w:pPr>
            <w:r w:rsidRPr="00D34A7F">
              <w:rPr>
                <w:rFonts w:cs="Arial"/>
                <w:color w:val="000000" w:themeColor="text1"/>
              </w:rPr>
              <w:t>Lead</w:t>
            </w:r>
          </w:p>
        </w:tc>
        <w:tc>
          <w:tcPr>
            <w:tcW w:w="2256" w:type="dxa"/>
            <w:shd w:val="clear" w:color="auto" w:fill="D9EAF7"/>
            <w:vAlign w:val="center"/>
          </w:tcPr>
          <w:p w:rsidRPr="00D34A7F" w:rsidR="006C5E1B" w:rsidP="00D34A7F" w:rsidRDefault="00000000" w14:paraId="74B11F32" w14:textId="77777777">
            <w:pPr>
              <w:rPr>
                <w:rFonts w:cs="Arial"/>
                <w:color w:val="000000" w:themeColor="text1"/>
              </w:rPr>
            </w:pPr>
            <w:r w:rsidRPr="00D34A7F">
              <w:rPr>
                <w:rFonts w:cs="Arial"/>
                <w:color w:val="000000" w:themeColor="text1"/>
              </w:rPr>
              <w:t>Evidence</w:t>
            </w:r>
          </w:p>
        </w:tc>
      </w:tr>
      <w:tr w:rsidRPr="00D34A7F" w:rsidR="006C5E1B" w14:paraId="715669B6" w14:textId="77777777">
        <w:trPr>
          <w:jc w:val="center"/>
        </w:trPr>
        <w:tc>
          <w:tcPr>
            <w:tcW w:w="2256" w:type="dxa"/>
            <w:vAlign w:val="center"/>
          </w:tcPr>
          <w:p w:rsidRPr="00D34A7F" w:rsidR="006C5E1B" w:rsidP="00D34A7F" w:rsidRDefault="00000000" w14:paraId="7E8E77D4" w14:textId="77777777">
            <w:pPr>
              <w:rPr>
                <w:rFonts w:cs="Arial"/>
                <w:color w:val="000000" w:themeColor="text1"/>
              </w:rPr>
            </w:pPr>
            <w:r w:rsidRPr="00D34A7F">
              <w:rPr>
                <w:rFonts w:cs="Arial"/>
                <w:color w:val="000000" w:themeColor="text1"/>
              </w:rPr>
              <w:t>Months 1-3</w:t>
            </w:r>
          </w:p>
        </w:tc>
        <w:tc>
          <w:tcPr>
            <w:tcW w:w="2256" w:type="dxa"/>
            <w:vAlign w:val="center"/>
          </w:tcPr>
          <w:p w:rsidRPr="00D34A7F" w:rsidR="006C5E1B" w:rsidP="00D34A7F" w:rsidRDefault="00000000" w14:paraId="3A97F7C0" w14:textId="77777777">
            <w:pPr>
              <w:rPr>
                <w:rFonts w:cs="Arial"/>
                <w:color w:val="000000" w:themeColor="text1"/>
              </w:rPr>
            </w:pPr>
            <w:r w:rsidRPr="00D34A7F">
              <w:rPr>
                <w:rFonts w:cs="Arial"/>
                <w:color w:val="000000" w:themeColor="text1"/>
              </w:rPr>
              <w:t>Approve triggers, protocol and data governance</w:t>
            </w:r>
          </w:p>
        </w:tc>
        <w:tc>
          <w:tcPr>
            <w:tcW w:w="2256" w:type="dxa"/>
            <w:vAlign w:val="center"/>
          </w:tcPr>
          <w:p w:rsidRPr="00D34A7F" w:rsidR="006C5E1B" w:rsidP="00D34A7F" w:rsidRDefault="00000000" w14:paraId="730864C7" w14:textId="77777777">
            <w:pPr>
              <w:rPr>
                <w:rFonts w:cs="Arial"/>
                <w:color w:val="000000" w:themeColor="text1"/>
              </w:rPr>
            </w:pPr>
            <w:r w:rsidRPr="00D34A7F">
              <w:rPr>
                <w:rFonts w:cs="Arial"/>
                <w:color w:val="000000" w:themeColor="text1"/>
              </w:rPr>
              <w:t>Chief Executive / Medical Director</w:t>
            </w:r>
          </w:p>
        </w:tc>
        <w:tc>
          <w:tcPr>
            <w:tcW w:w="2256" w:type="dxa"/>
            <w:vAlign w:val="center"/>
          </w:tcPr>
          <w:p w:rsidRPr="00D34A7F" w:rsidR="006C5E1B" w:rsidP="00D34A7F" w:rsidRDefault="00000000" w14:paraId="240F12F1" w14:textId="77777777">
            <w:pPr>
              <w:rPr>
                <w:rFonts w:cs="Arial"/>
                <w:color w:val="000000" w:themeColor="text1"/>
              </w:rPr>
            </w:pPr>
            <w:r w:rsidRPr="00D34A7F">
              <w:rPr>
                <w:rFonts w:cs="Arial"/>
                <w:color w:val="000000" w:themeColor="text1"/>
              </w:rPr>
              <w:t>Policies, partners and baseline</w:t>
            </w:r>
          </w:p>
        </w:tc>
      </w:tr>
      <w:tr w:rsidRPr="00D34A7F" w:rsidR="006C5E1B" w14:paraId="4FCD388D" w14:textId="77777777">
        <w:trPr>
          <w:jc w:val="center"/>
        </w:trPr>
        <w:tc>
          <w:tcPr>
            <w:tcW w:w="2256" w:type="dxa"/>
            <w:vAlign w:val="center"/>
          </w:tcPr>
          <w:p w:rsidRPr="00D34A7F" w:rsidR="006C5E1B" w:rsidP="00D34A7F" w:rsidRDefault="00000000" w14:paraId="1B2253DF" w14:textId="77777777">
            <w:pPr>
              <w:rPr>
                <w:rFonts w:cs="Arial"/>
                <w:color w:val="000000" w:themeColor="text1"/>
              </w:rPr>
            </w:pPr>
            <w:r w:rsidRPr="00D34A7F">
              <w:rPr>
                <w:rFonts w:cs="Arial"/>
                <w:color w:val="000000" w:themeColor="text1"/>
              </w:rPr>
              <w:t>Months 4-6</w:t>
            </w:r>
          </w:p>
        </w:tc>
        <w:tc>
          <w:tcPr>
            <w:tcW w:w="2256" w:type="dxa"/>
            <w:vAlign w:val="center"/>
          </w:tcPr>
          <w:p w:rsidRPr="00D34A7F" w:rsidR="006C5E1B" w:rsidP="00D34A7F" w:rsidRDefault="00000000" w14:paraId="0EF84318" w14:textId="77777777">
            <w:pPr>
              <w:rPr>
                <w:rFonts w:cs="Arial"/>
                <w:color w:val="000000" w:themeColor="text1"/>
              </w:rPr>
            </w:pPr>
            <w:r w:rsidRPr="00D34A7F">
              <w:rPr>
                <w:rFonts w:cs="Arial"/>
                <w:color w:val="000000" w:themeColor="text1"/>
              </w:rPr>
              <w:t>Pilot dashboard and simulations</w:t>
            </w:r>
          </w:p>
        </w:tc>
        <w:tc>
          <w:tcPr>
            <w:tcW w:w="2256" w:type="dxa"/>
            <w:vAlign w:val="center"/>
          </w:tcPr>
          <w:p w:rsidRPr="00D34A7F" w:rsidR="006C5E1B" w:rsidP="00D34A7F" w:rsidRDefault="00000000" w14:paraId="6532A238" w14:textId="77777777">
            <w:pPr>
              <w:rPr>
                <w:rFonts w:cs="Arial"/>
                <w:color w:val="000000" w:themeColor="text1"/>
              </w:rPr>
            </w:pPr>
            <w:r w:rsidRPr="00D34A7F">
              <w:rPr>
                <w:rFonts w:cs="Arial"/>
                <w:color w:val="000000" w:themeColor="text1"/>
              </w:rPr>
              <w:t>Chief Nurse / Clinical Lead</w:t>
            </w:r>
          </w:p>
        </w:tc>
        <w:tc>
          <w:tcPr>
            <w:tcW w:w="2256" w:type="dxa"/>
            <w:vAlign w:val="center"/>
          </w:tcPr>
          <w:p w:rsidRPr="00D34A7F" w:rsidR="006C5E1B" w:rsidP="00D34A7F" w:rsidRDefault="00000000" w14:paraId="62862884" w14:textId="77777777">
            <w:pPr>
              <w:rPr>
                <w:rFonts w:cs="Arial"/>
                <w:color w:val="000000" w:themeColor="text1"/>
              </w:rPr>
            </w:pPr>
            <w:r w:rsidRPr="00D34A7F">
              <w:rPr>
                <w:rFonts w:cs="Arial"/>
                <w:color w:val="000000" w:themeColor="text1"/>
              </w:rPr>
              <w:t>Triggers logged and gaps corrected</w:t>
            </w:r>
          </w:p>
        </w:tc>
      </w:tr>
      <w:tr w:rsidRPr="00D34A7F" w:rsidR="006C5E1B" w14:paraId="12AB1661" w14:textId="77777777">
        <w:trPr>
          <w:jc w:val="center"/>
        </w:trPr>
        <w:tc>
          <w:tcPr>
            <w:tcW w:w="2256" w:type="dxa"/>
            <w:vAlign w:val="center"/>
          </w:tcPr>
          <w:p w:rsidRPr="00D34A7F" w:rsidR="006C5E1B" w:rsidP="00D34A7F" w:rsidRDefault="00000000" w14:paraId="0EFF68F2" w14:textId="77777777">
            <w:pPr>
              <w:rPr>
                <w:rFonts w:cs="Arial"/>
                <w:color w:val="000000" w:themeColor="text1"/>
              </w:rPr>
            </w:pPr>
            <w:r w:rsidRPr="00D34A7F">
              <w:rPr>
                <w:rFonts w:cs="Arial"/>
                <w:color w:val="000000" w:themeColor="text1"/>
              </w:rPr>
              <w:lastRenderedPageBreak/>
              <w:t>Months 7-9</w:t>
            </w:r>
          </w:p>
        </w:tc>
        <w:tc>
          <w:tcPr>
            <w:tcW w:w="2256" w:type="dxa"/>
            <w:vAlign w:val="center"/>
          </w:tcPr>
          <w:p w:rsidRPr="00D34A7F" w:rsidR="006C5E1B" w:rsidP="00D34A7F" w:rsidRDefault="00000000" w14:paraId="7769B8B8" w14:textId="77777777">
            <w:pPr>
              <w:rPr>
                <w:rFonts w:cs="Arial"/>
                <w:color w:val="000000" w:themeColor="text1"/>
              </w:rPr>
            </w:pPr>
            <w:r w:rsidRPr="00D34A7F">
              <w:rPr>
                <w:rFonts w:cs="Arial"/>
                <w:color w:val="000000" w:themeColor="text1"/>
              </w:rPr>
              <w:t>Independent audit of cases, staff and families</w:t>
            </w:r>
          </w:p>
        </w:tc>
        <w:tc>
          <w:tcPr>
            <w:tcW w:w="2256" w:type="dxa"/>
            <w:vAlign w:val="center"/>
          </w:tcPr>
          <w:p w:rsidRPr="00D34A7F" w:rsidR="006C5E1B" w:rsidP="00D34A7F" w:rsidRDefault="00000000" w14:paraId="2DE05C83" w14:textId="77777777">
            <w:pPr>
              <w:rPr>
                <w:rFonts w:cs="Arial"/>
                <w:color w:val="000000" w:themeColor="text1"/>
              </w:rPr>
            </w:pPr>
            <w:r w:rsidRPr="00D34A7F">
              <w:rPr>
                <w:rFonts w:cs="Arial"/>
                <w:color w:val="000000" w:themeColor="text1"/>
              </w:rPr>
              <w:t>Non-executive Safety Lead</w:t>
            </w:r>
          </w:p>
        </w:tc>
        <w:tc>
          <w:tcPr>
            <w:tcW w:w="2256" w:type="dxa"/>
            <w:vAlign w:val="center"/>
          </w:tcPr>
          <w:p w:rsidRPr="00D34A7F" w:rsidR="006C5E1B" w:rsidP="00D34A7F" w:rsidRDefault="00000000" w14:paraId="1349D633" w14:textId="77777777">
            <w:pPr>
              <w:rPr>
                <w:rFonts w:cs="Arial"/>
                <w:color w:val="000000" w:themeColor="text1"/>
              </w:rPr>
            </w:pPr>
            <w:r w:rsidRPr="00D34A7F">
              <w:rPr>
                <w:rFonts w:cs="Arial"/>
                <w:color w:val="000000" w:themeColor="text1"/>
              </w:rPr>
              <w:t>External report and action closure</w:t>
            </w:r>
          </w:p>
        </w:tc>
      </w:tr>
      <w:tr w:rsidRPr="00D34A7F" w:rsidR="006C5E1B" w14:paraId="69955E76" w14:textId="77777777">
        <w:trPr>
          <w:jc w:val="center"/>
        </w:trPr>
        <w:tc>
          <w:tcPr>
            <w:tcW w:w="2256" w:type="dxa"/>
            <w:vAlign w:val="center"/>
          </w:tcPr>
          <w:p w:rsidRPr="00D34A7F" w:rsidR="006C5E1B" w:rsidP="00D34A7F" w:rsidRDefault="00000000" w14:paraId="48865563" w14:textId="77777777">
            <w:pPr>
              <w:rPr>
                <w:rFonts w:cs="Arial"/>
                <w:color w:val="000000" w:themeColor="text1"/>
              </w:rPr>
            </w:pPr>
            <w:r w:rsidRPr="00D34A7F">
              <w:rPr>
                <w:rFonts w:cs="Arial"/>
                <w:color w:val="000000" w:themeColor="text1"/>
              </w:rPr>
              <w:t>Months 10-12</w:t>
            </w:r>
          </w:p>
        </w:tc>
        <w:tc>
          <w:tcPr>
            <w:tcW w:w="2256" w:type="dxa"/>
            <w:vAlign w:val="center"/>
          </w:tcPr>
          <w:p w:rsidRPr="00D34A7F" w:rsidR="006C5E1B" w:rsidP="00D34A7F" w:rsidRDefault="00000000" w14:paraId="6486A21C" w14:textId="77777777">
            <w:pPr>
              <w:rPr>
                <w:rFonts w:cs="Arial"/>
                <w:color w:val="000000" w:themeColor="text1"/>
              </w:rPr>
            </w:pPr>
            <w:r w:rsidRPr="00D34A7F">
              <w:rPr>
                <w:rFonts w:cs="Arial"/>
                <w:color w:val="000000" w:themeColor="text1"/>
              </w:rPr>
              <w:t>Publish learning and spread practice</w:t>
            </w:r>
          </w:p>
        </w:tc>
        <w:tc>
          <w:tcPr>
            <w:tcW w:w="2256" w:type="dxa"/>
            <w:vAlign w:val="center"/>
          </w:tcPr>
          <w:p w:rsidRPr="00D34A7F" w:rsidR="006C5E1B" w:rsidP="00D34A7F" w:rsidRDefault="00000000" w14:paraId="1C0602A3" w14:textId="77777777">
            <w:pPr>
              <w:rPr>
                <w:rFonts w:cs="Arial"/>
                <w:color w:val="000000" w:themeColor="text1"/>
              </w:rPr>
            </w:pPr>
            <w:r w:rsidRPr="00D34A7F">
              <w:rPr>
                <w:rFonts w:cs="Arial"/>
                <w:color w:val="000000" w:themeColor="text1"/>
              </w:rPr>
              <w:t xml:space="preserve">Trust Board / </w:t>
            </w:r>
            <w:proofErr w:type="spellStart"/>
            <w:r w:rsidRPr="00D34A7F">
              <w:rPr>
                <w:rFonts w:cs="Arial"/>
                <w:color w:val="000000" w:themeColor="text1"/>
              </w:rPr>
              <w:t>ICB</w:t>
            </w:r>
            <w:proofErr w:type="spellEnd"/>
          </w:p>
        </w:tc>
        <w:tc>
          <w:tcPr>
            <w:tcW w:w="2256" w:type="dxa"/>
            <w:vAlign w:val="center"/>
          </w:tcPr>
          <w:p w:rsidRPr="00D34A7F" w:rsidR="006C5E1B" w:rsidP="00D34A7F" w:rsidRDefault="00000000" w14:paraId="2D9FE15C" w14:textId="77777777">
            <w:pPr>
              <w:rPr>
                <w:rFonts w:cs="Arial"/>
                <w:color w:val="000000" w:themeColor="text1"/>
              </w:rPr>
            </w:pPr>
            <w:r w:rsidRPr="00D34A7F">
              <w:rPr>
                <w:rFonts w:cs="Arial"/>
                <w:color w:val="000000" w:themeColor="text1"/>
              </w:rPr>
              <w:t>Transparent sustained compliance</w:t>
            </w:r>
          </w:p>
        </w:tc>
      </w:tr>
    </w:tbl>
    <w:p w:rsidRPr="00D34A7F" w:rsidR="006C5E1B" w:rsidP="00D34A7F" w:rsidRDefault="00000000" w14:paraId="2255BF1E" w14:textId="77777777">
      <w:pPr>
        <w:pStyle w:val="Heading1"/>
        <w:rPr>
          <w:rFonts w:ascii="Arial" w:hAnsi="Arial" w:cs="Arial"/>
          <w:color w:val="000000" w:themeColor="text1"/>
          <w:sz w:val="22"/>
          <w:szCs w:val="22"/>
        </w:rPr>
      </w:pPr>
      <w:r w:rsidRPr="00D34A7F">
        <w:rPr>
          <w:rFonts w:ascii="Arial" w:hAnsi="Arial" w:eastAsia="Arial" w:cs="Arial"/>
          <w:color w:val="000000" w:themeColor="text1"/>
          <w:sz w:val="22"/>
          <w:szCs w:val="22"/>
        </w:rPr>
        <w:t>4. Conclusion</w:t>
      </w:r>
    </w:p>
    <w:p w:rsidRPr="00D34A7F" w:rsidR="00B11671" w:rsidP="00D34A7F" w:rsidRDefault="00B11671" w14:paraId="7083AF90" w14:textId="584BAA87">
      <w:pPr>
        <w:jc w:val="both"/>
        <w:rPr>
          <w:rFonts w:cs="Arial"/>
          <w:color w:val="000000" w:themeColor="text1"/>
        </w:rPr>
      </w:pPr>
      <w:r w:rsidRPr="00D34A7F">
        <w:rPr>
          <w:rFonts w:cs="Arial"/>
          <w:color w:val="000000" w:themeColor="text1"/>
        </w:rPr>
        <w:t xml:space="preserve">The case is an illustration of the potential for catastrophic harm to occur alongside formal governance and inspection. Judicial findings are a matter of individual responsibility and inquiry material a matter of separate organisational questions. Delayed conversion of repeated deaths, collapses and concerns was the central systems failure. The final report of the </w:t>
      </w:r>
      <w:r w:rsidRPr="00D34A7F" w:rsidR="00D34A7F">
        <w:rPr>
          <w:rFonts w:cs="Arial"/>
          <w:color w:val="000000" w:themeColor="text1"/>
        </w:rPr>
        <w:t>i</w:t>
      </w:r>
      <w:r w:rsidRPr="00D34A7F">
        <w:rPr>
          <w:rFonts w:cs="Arial"/>
          <w:color w:val="000000" w:themeColor="text1"/>
        </w:rPr>
        <w:t xml:space="preserve">nquiry, however, was not published, meaning that final views on individual managers are preliminary. Despite this, there is reason for concern that information is not well integrated, </w:t>
      </w:r>
      <w:r w:rsidRPr="00D34A7F" w:rsidR="00D34A7F">
        <w:rPr>
          <w:rFonts w:cs="Arial"/>
          <w:color w:val="000000" w:themeColor="text1"/>
        </w:rPr>
        <w:t xml:space="preserve">that there is </w:t>
      </w:r>
      <w:r w:rsidRPr="00D34A7F">
        <w:rPr>
          <w:rFonts w:cs="Arial"/>
          <w:color w:val="000000" w:themeColor="text1"/>
        </w:rPr>
        <w:t>contestation of framing, and unclear interfaces for escalation.</w:t>
      </w:r>
      <w:r w:rsidRPr="00D34A7F" w:rsidR="00D34A7F">
        <w:rPr>
          <w:rFonts w:cs="Arial"/>
          <w:color w:val="000000" w:themeColor="text1"/>
        </w:rPr>
        <w:t xml:space="preserve"> </w:t>
      </w:r>
      <w:r w:rsidRPr="00D34A7F">
        <w:rPr>
          <w:rFonts w:cs="Arial"/>
          <w:color w:val="000000" w:themeColor="text1"/>
        </w:rPr>
        <w:t xml:space="preserve">Available evidence, however, indicates cause for concern of fragmented information, contested framing, and unclear interfaces </w:t>
      </w:r>
      <w:r w:rsidRPr="00D34A7F" w:rsidR="00D34A7F">
        <w:rPr>
          <w:rFonts w:cs="Arial"/>
          <w:color w:val="000000" w:themeColor="text1"/>
        </w:rPr>
        <w:t>for</w:t>
      </w:r>
      <w:r w:rsidRPr="00D34A7F">
        <w:rPr>
          <w:rFonts w:cs="Arial"/>
          <w:color w:val="000000" w:themeColor="text1"/>
        </w:rPr>
        <w:t xml:space="preserve"> escalation. The analysis is therefore not about bearing or reducing the responsibility of the perpetrator of the crime but the reliability of the healthcare system that surrounds him.</w:t>
      </w:r>
    </w:p>
    <w:p w:rsidRPr="00D34A7F" w:rsidR="00B11671" w:rsidP="00D34A7F" w:rsidRDefault="00B11671" w14:paraId="06F329FE" w14:textId="77777777">
      <w:pPr>
        <w:jc w:val="both"/>
        <w:rPr>
          <w:rFonts w:cs="Arial"/>
          <w:color w:val="000000" w:themeColor="text1"/>
        </w:rPr>
      </w:pPr>
      <w:r w:rsidRPr="00D34A7F">
        <w:rPr>
          <w:rFonts w:cs="Arial"/>
          <w:color w:val="000000" w:themeColor="text1"/>
        </w:rPr>
        <w:t>Excessive control over the definition of concerns, and insufficient control over the safety threat is identified by leadership analysis. Behavioural and contingency theories, and Path-Goal and continuum theories, shed light on some aspects of this pattern, but none does so entirely. Transformational and compassionate language would have been all but meaningless without directive containment, participative evidence review, family and staff support, and named accountability for referral. Sequenced leadership is the most defensible: Command to provide protection that can be reversed, Consultation to interpret, Support to those affected, Accountability to final escalation.</w:t>
      </w:r>
    </w:p>
    <w:p w:rsidRPr="00D34A7F" w:rsidR="006C5E1B" w:rsidP="00D34A7F" w:rsidRDefault="00B11671" w14:paraId="3FCEA98B" w14:textId="69D9D229">
      <w:pPr>
        <w:jc w:val="both"/>
        <w:rPr>
          <w:rFonts w:cs="Arial"/>
          <w:color w:val="000000" w:themeColor="text1"/>
        </w:rPr>
      </w:pPr>
      <w:r w:rsidRPr="00D34A7F">
        <w:rPr>
          <w:rFonts w:cs="Arial"/>
          <w:color w:val="000000" w:themeColor="text1"/>
        </w:rPr>
        <w:t>The systems thinking improvement framework supports the greatest integration of data, workforce, culture, governance, family experience and external scrutiny. Delay can be interrupted by mandatory triggers, independent triage, separate safety and employment proces</w:t>
      </w:r>
      <w:r w:rsidRPr="00D34A7F" w:rsidR="00D34A7F">
        <w:rPr>
          <w:rFonts w:cs="Arial"/>
          <w:color w:val="000000" w:themeColor="text1"/>
        </w:rPr>
        <w:t>se</w:t>
      </w:r>
      <w:r w:rsidRPr="00D34A7F">
        <w:rPr>
          <w:rFonts w:cs="Arial"/>
          <w:color w:val="000000" w:themeColor="text1"/>
        </w:rPr>
        <w:t>s, protected escalation and board-visible measures. Importantly, though, controls need to be proportionate to ensure that they do</w:t>
      </w:r>
      <w:r w:rsidRPr="00D34A7F" w:rsidR="005B2722">
        <w:rPr>
          <w:rFonts w:cs="Arial"/>
          <w:color w:val="000000" w:themeColor="text1"/>
        </w:rPr>
        <w:t xml:space="preserve"> </w:t>
      </w:r>
      <w:r w:rsidRPr="00D34A7F">
        <w:rPr>
          <w:rFonts w:cs="Arial"/>
          <w:color w:val="000000" w:themeColor="text1"/>
        </w:rPr>
        <w:t>n</w:t>
      </w:r>
      <w:r w:rsidRPr="00D34A7F" w:rsidR="005B2722">
        <w:rPr>
          <w:rFonts w:cs="Arial"/>
          <w:color w:val="000000" w:themeColor="text1"/>
        </w:rPr>
        <w:t>o</w:t>
      </w:r>
      <w:r w:rsidRPr="00D34A7F">
        <w:rPr>
          <w:rFonts w:cs="Arial"/>
          <w:color w:val="000000" w:themeColor="text1"/>
        </w:rPr>
        <w:t xml:space="preserve">t become unfairly attributed and create alert fatigue. Patient safety should therefore be implemented locally, through detection of risks, reversible containment, independent checking and national learning and not be based </w:t>
      </w:r>
      <w:r w:rsidRPr="00D34A7F">
        <w:rPr>
          <w:rFonts w:cs="Arial"/>
          <w:color w:val="000000" w:themeColor="text1"/>
        </w:rPr>
        <w:lastRenderedPageBreak/>
        <w:t>on individual persistence or reputation. This design also gives staff a more equitable process for determining placement decisions because they are made with consistent standards and with independent evidence and not based on informally raised suspicions or executive whim.</w:t>
      </w:r>
    </w:p>
    <w:p w:rsidRPr="00D34A7F" w:rsidR="006C5E1B" w:rsidP="00D34A7F" w:rsidRDefault="00000000" w14:paraId="764B0146" w14:textId="77777777">
      <w:pPr>
        <w:pStyle w:val="Heading1"/>
        <w:pageBreakBefore/>
        <w:rPr>
          <w:rFonts w:ascii="Arial" w:hAnsi="Arial" w:cs="Arial"/>
          <w:color w:val="000000" w:themeColor="text1"/>
          <w:sz w:val="22"/>
          <w:szCs w:val="22"/>
        </w:rPr>
      </w:pPr>
      <w:r w:rsidRPr="00D34A7F">
        <w:rPr>
          <w:rFonts w:ascii="Arial" w:hAnsi="Arial" w:eastAsia="Arial" w:cs="Arial"/>
          <w:color w:val="000000" w:themeColor="text1"/>
          <w:sz w:val="22"/>
          <w:szCs w:val="22"/>
        </w:rPr>
        <w:lastRenderedPageBreak/>
        <w:t>References</w:t>
      </w:r>
    </w:p>
    <w:p w:rsidRPr="00D34A7F" w:rsidR="006C5E1B" w:rsidP="00D34A7F" w:rsidRDefault="00000000" w14:paraId="367CDB15" w14:textId="77777777">
      <w:pPr>
        <w:ind w:left="432" w:hanging="432"/>
        <w:rPr>
          <w:rFonts w:cs="Arial"/>
          <w:color w:val="000000" w:themeColor="text1"/>
        </w:rPr>
      </w:pPr>
      <w:r w:rsidRPr="00D34A7F">
        <w:rPr>
          <w:rFonts w:cs="Arial"/>
          <w:color w:val="000000" w:themeColor="text1"/>
        </w:rPr>
        <w:t xml:space="preserve">Boamah, S.A., Laschinger, </w:t>
      </w:r>
      <w:proofErr w:type="spellStart"/>
      <w:r w:rsidRPr="00D34A7F">
        <w:rPr>
          <w:rFonts w:cs="Arial"/>
          <w:color w:val="000000" w:themeColor="text1"/>
        </w:rPr>
        <w:t>H.K.S</w:t>
      </w:r>
      <w:proofErr w:type="spellEnd"/>
      <w:r w:rsidRPr="00D34A7F">
        <w:rPr>
          <w:rFonts w:cs="Arial"/>
          <w:color w:val="000000" w:themeColor="text1"/>
        </w:rPr>
        <w:t xml:space="preserve">., Wong, C. and Clarke, S. (2018) 'Effect of transformational leadership on job satisfaction and patient safety outcomes', Nursing Outlook, 66(2), pp. 180-189. </w:t>
      </w:r>
      <w:proofErr w:type="spellStart"/>
      <w:r w:rsidRPr="00D34A7F">
        <w:rPr>
          <w:rFonts w:cs="Arial"/>
          <w:color w:val="000000" w:themeColor="text1"/>
        </w:rPr>
        <w:t>doi</w:t>
      </w:r>
      <w:proofErr w:type="spellEnd"/>
      <w:r w:rsidRPr="00D34A7F">
        <w:rPr>
          <w:rFonts w:cs="Arial"/>
          <w:color w:val="000000" w:themeColor="text1"/>
        </w:rPr>
        <w:t>: 10.1016/j.outlook.2017.10.004.</w:t>
      </w:r>
    </w:p>
    <w:p w:rsidRPr="00D34A7F" w:rsidR="006C5E1B" w:rsidP="00D34A7F" w:rsidRDefault="00000000" w14:paraId="6EED89D2" w14:textId="77777777">
      <w:pPr>
        <w:ind w:left="432" w:hanging="432"/>
        <w:rPr>
          <w:rFonts w:cs="Arial"/>
          <w:color w:val="000000" w:themeColor="text1"/>
        </w:rPr>
      </w:pPr>
      <w:r w:rsidRPr="00D34A7F">
        <w:rPr>
          <w:rFonts w:cs="Arial"/>
          <w:color w:val="000000" w:themeColor="text1"/>
        </w:rPr>
        <w:t xml:space="preserve">Braithwaite, J., </w:t>
      </w:r>
      <w:proofErr w:type="spellStart"/>
      <w:r w:rsidRPr="00D34A7F">
        <w:rPr>
          <w:rFonts w:cs="Arial"/>
          <w:color w:val="000000" w:themeColor="text1"/>
        </w:rPr>
        <w:t>Churruca</w:t>
      </w:r>
      <w:proofErr w:type="spellEnd"/>
      <w:r w:rsidRPr="00D34A7F">
        <w:rPr>
          <w:rFonts w:cs="Arial"/>
          <w:color w:val="000000" w:themeColor="text1"/>
        </w:rPr>
        <w:t xml:space="preserve">, K., Long, J.C., Ellis, L.A. and Herkes, J. (2018) 'When complexity science meets implementation science: a theoretical and empirical analysis of systems change', BMC Medicine, 16, 63. </w:t>
      </w:r>
      <w:proofErr w:type="spellStart"/>
      <w:r w:rsidRPr="00D34A7F">
        <w:rPr>
          <w:rFonts w:cs="Arial"/>
          <w:color w:val="000000" w:themeColor="text1"/>
        </w:rPr>
        <w:t>doi</w:t>
      </w:r>
      <w:proofErr w:type="spellEnd"/>
      <w:r w:rsidRPr="00D34A7F">
        <w:rPr>
          <w:rFonts w:cs="Arial"/>
          <w:color w:val="000000" w:themeColor="text1"/>
        </w:rPr>
        <w:t>: 10.1186/s12916-018-1057-z.</w:t>
      </w:r>
    </w:p>
    <w:p w:rsidRPr="00D34A7F" w:rsidR="006C5E1B" w:rsidP="00D34A7F" w:rsidRDefault="00000000" w14:paraId="29CD2B49" w14:textId="77777777">
      <w:pPr>
        <w:ind w:left="432" w:hanging="432"/>
        <w:rPr>
          <w:rFonts w:cs="Arial"/>
          <w:color w:val="000000" w:themeColor="text1"/>
        </w:rPr>
      </w:pPr>
      <w:r w:rsidRPr="00D34A7F">
        <w:rPr>
          <w:rFonts w:cs="Arial"/>
          <w:color w:val="000000" w:themeColor="text1"/>
        </w:rPr>
        <w:t xml:space="preserve">Braithwaite, J., Herkes, J., Ludlow, K., Testa, L. and </w:t>
      </w:r>
      <w:proofErr w:type="spellStart"/>
      <w:r w:rsidRPr="00D34A7F">
        <w:rPr>
          <w:rFonts w:cs="Arial"/>
          <w:color w:val="000000" w:themeColor="text1"/>
        </w:rPr>
        <w:t>Lamprell</w:t>
      </w:r>
      <w:proofErr w:type="spellEnd"/>
      <w:r w:rsidRPr="00D34A7F">
        <w:rPr>
          <w:rFonts w:cs="Arial"/>
          <w:color w:val="000000" w:themeColor="text1"/>
        </w:rPr>
        <w:t xml:space="preserve">, G. (2017) 'Association between organisational and workplace cultures, and patient outcomes: systematic review', BMJ Open, 7, e017708. </w:t>
      </w:r>
      <w:proofErr w:type="spellStart"/>
      <w:r w:rsidRPr="00D34A7F">
        <w:rPr>
          <w:rFonts w:cs="Arial"/>
          <w:color w:val="000000" w:themeColor="text1"/>
        </w:rPr>
        <w:t>doi</w:t>
      </w:r>
      <w:proofErr w:type="spellEnd"/>
      <w:r w:rsidRPr="00D34A7F">
        <w:rPr>
          <w:rFonts w:cs="Arial"/>
          <w:color w:val="000000" w:themeColor="text1"/>
        </w:rPr>
        <w:t>: 10.1136/bmjopen-2017-017708.</w:t>
      </w:r>
    </w:p>
    <w:p w:rsidRPr="00D34A7F" w:rsidR="006C5E1B" w:rsidP="00D34A7F" w:rsidRDefault="00000000" w14:paraId="3F025BDF" w14:textId="5ECD0F35">
      <w:pPr>
        <w:ind w:left="432" w:hanging="432"/>
        <w:rPr>
          <w:rFonts w:cs="Arial"/>
          <w:color w:val="000000" w:themeColor="text1"/>
        </w:rPr>
      </w:pPr>
      <w:r w:rsidRPr="00D34A7F">
        <w:rPr>
          <w:rFonts w:cs="Arial"/>
          <w:color w:val="000000" w:themeColor="text1"/>
        </w:rPr>
        <w:t>Care Quality Commission (2016a) The Countess of Chester Hospital Quality Report. London: CQC. Available at: https://api.cqc.org.uk/public/v1/reports/7d84e4fd-bdbe-4e99-839d-df83baa36adc (Accessed: 1</w:t>
      </w:r>
      <w:r w:rsidRPr="00D34A7F" w:rsidR="00D34A7F">
        <w:rPr>
          <w:rFonts w:cs="Arial"/>
          <w:color w:val="000000" w:themeColor="text1"/>
        </w:rPr>
        <w:t>4</w:t>
      </w:r>
      <w:r w:rsidRPr="00D34A7F">
        <w:rPr>
          <w:rFonts w:cs="Arial"/>
          <w:color w:val="000000" w:themeColor="text1"/>
        </w:rPr>
        <w:t xml:space="preserve"> July 2026).</w:t>
      </w:r>
    </w:p>
    <w:p w:rsidRPr="00D34A7F" w:rsidR="006C5E1B" w:rsidP="00D34A7F" w:rsidRDefault="00000000" w14:paraId="588B575F" w14:textId="77777777">
      <w:pPr>
        <w:ind w:left="432" w:hanging="432"/>
        <w:rPr>
          <w:rFonts w:cs="Arial"/>
          <w:color w:val="000000" w:themeColor="text1"/>
        </w:rPr>
      </w:pPr>
      <w:r w:rsidRPr="00D34A7F">
        <w:rPr>
          <w:rFonts w:cs="Arial"/>
          <w:color w:val="000000" w:themeColor="text1"/>
        </w:rPr>
        <w:t xml:space="preserve">Care Quality Commission (2016b) Learning, </w:t>
      </w:r>
      <w:proofErr w:type="spellStart"/>
      <w:r w:rsidRPr="00D34A7F">
        <w:rPr>
          <w:rFonts w:cs="Arial"/>
          <w:color w:val="000000" w:themeColor="text1"/>
        </w:rPr>
        <w:t>Candour</w:t>
      </w:r>
      <w:proofErr w:type="spellEnd"/>
      <w:r w:rsidRPr="00D34A7F">
        <w:rPr>
          <w:rFonts w:cs="Arial"/>
          <w:color w:val="000000" w:themeColor="text1"/>
        </w:rPr>
        <w:t xml:space="preserve"> and Accountability: A Review of the Way NHS Trusts Review and Investigate the Deaths of Patients in England. London: CQC.</w:t>
      </w:r>
    </w:p>
    <w:p w:rsidRPr="00D34A7F" w:rsidR="006C5E1B" w:rsidP="00D34A7F" w:rsidRDefault="00000000" w14:paraId="74A3BDC9" w14:textId="0C4CAAF6">
      <w:pPr>
        <w:ind w:left="432" w:hanging="432"/>
        <w:rPr>
          <w:rFonts w:cs="Arial"/>
          <w:color w:val="000000" w:themeColor="text1"/>
        </w:rPr>
      </w:pPr>
      <w:r w:rsidRPr="00D34A7F">
        <w:rPr>
          <w:rFonts w:cs="Arial"/>
          <w:color w:val="000000" w:themeColor="text1"/>
        </w:rPr>
        <w:t xml:space="preserve">Care Quality Commission (2022) Regulation 20: Duty of </w:t>
      </w:r>
      <w:proofErr w:type="spellStart"/>
      <w:r w:rsidRPr="00D34A7F">
        <w:rPr>
          <w:rFonts w:cs="Arial"/>
          <w:color w:val="000000" w:themeColor="text1"/>
        </w:rPr>
        <w:t>Candour</w:t>
      </w:r>
      <w:proofErr w:type="spellEnd"/>
      <w:r w:rsidRPr="00D34A7F">
        <w:rPr>
          <w:rFonts w:cs="Arial"/>
          <w:color w:val="000000" w:themeColor="text1"/>
        </w:rPr>
        <w:t xml:space="preserve"> - Guidance for Providers. London: CQC. Available at: https://www.cqc.org.uk/guidance-regulation/providers/regulations-service-providers-and-managers/health-social-care-act/regulation-20 (Accessed: 1</w:t>
      </w:r>
      <w:r w:rsidRPr="00D34A7F" w:rsidR="00D34A7F">
        <w:rPr>
          <w:rFonts w:cs="Arial"/>
          <w:color w:val="000000" w:themeColor="text1"/>
        </w:rPr>
        <w:t>4</w:t>
      </w:r>
      <w:r w:rsidRPr="00D34A7F">
        <w:rPr>
          <w:rFonts w:cs="Arial"/>
          <w:color w:val="000000" w:themeColor="text1"/>
        </w:rPr>
        <w:t xml:space="preserve"> July 2026).</w:t>
      </w:r>
    </w:p>
    <w:p w:rsidRPr="00D34A7F" w:rsidR="006C5E1B" w:rsidP="00D34A7F" w:rsidRDefault="00000000" w14:paraId="48B4C5E6" w14:textId="77777777">
      <w:pPr>
        <w:ind w:left="432" w:hanging="432"/>
        <w:rPr>
          <w:rFonts w:cs="Arial"/>
          <w:color w:val="000000" w:themeColor="text1"/>
        </w:rPr>
      </w:pPr>
      <w:r w:rsidRPr="00D34A7F">
        <w:rPr>
          <w:rFonts w:cs="Arial"/>
          <w:color w:val="000000" w:themeColor="text1"/>
        </w:rPr>
        <w:t xml:space="preserve">Cummings, G.G., Tate, K., Lee, S., Wong, C.A., Paananen, T., </w:t>
      </w:r>
      <w:proofErr w:type="spellStart"/>
      <w:r w:rsidRPr="00D34A7F">
        <w:rPr>
          <w:rFonts w:cs="Arial"/>
          <w:color w:val="000000" w:themeColor="text1"/>
        </w:rPr>
        <w:t>Micaroni</w:t>
      </w:r>
      <w:proofErr w:type="spellEnd"/>
      <w:r w:rsidRPr="00D34A7F">
        <w:rPr>
          <w:rFonts w:cs="Arial"/>
          <w:color w:val="000000" w:themeColor="text1"/>
        </w:rPr>
        <w:t xml:space="preserve">, S.P.M. and Chatterjee, G.E. (2018) 'Leadership styles and outcome patterns for the nursing workforce and work environment: a systematic review', International Journal of Nursing Studies, 85, pp. 19-60. </w:t>
      </w:r>
      <w:proofErr w:type="spellStart"/>
      <w:r w:rsidRPr="00D34A7F">
        <w:rPr>
          <w:rFonts w:cs="Arial"/>
          <w:color w:val="000000" w:themeColor="text1"/>
        </w:rPr>
        <w:t>doi</w:t>
      </w:r>
      <w:proofErr w:type="spellEnd"/>
      <w:r w:rsidRPr="00D34A7F">
        <w:rPr>
          <w:rFonts w:cs="Arial"/>
          <w:color w:val="000000" w:themeColor="text1"/>
        </w:rPr>
        <w:t>: 10.1016/j.ijnurstu.2018.04.016.</w:t>
      </w:r>
    </w:p>
    <w:p w:rsidRPr="00D34A7F" w:rsidR="006C5E1B" w:rsidP="00D34A7F" w:rsidRDefault="00000000" w14:paraId="5A18E863" w14:textId="1EB5C21D">
      <w:pPr>
        <w:ind w:left="432" w:hanging="432"/>
        <w:rPr>
          <w:rFonts w:cs="Arial"/>
          <w:color w:val="000000" w:themeColor="text1"/>
        </w:rPr>
      </w:pPr>
      <w:r w:rsidRPr="00D34A7F">
        <w:rPr>
          <w:rFonts w:cs="Arial"/>
          <w:color w:val="000000" w:themeColor="text1"/>
        </w:rPr>
        <w:t>Dekker, S. (2016) Just Culture: Restoring Trust and Accountability in Your Organi</w:t>
      </w:r>
      <w:r w:rsidRPr="00D34A7F" w:rsidR="00D43BC5">
        <w:rPr>
          <w:rFonts w:cs="Arial"/>
          <w:color w:val="000000" w:themeColor="text1"/>
        </w:rPr>
        <w:t>s</w:t>
      </w:r>
      <w:r w:rsidRPr="00D34A7F">
        <w:rPr>
          <w:rFonts w:cs="Arial"/>
          <w:color w:val="000000" w:themeColor="text1"/>
        </w:rPr>
        <w:t xml:space="preserve">ation. 3rd </w:t>
      </w:r>
      <w:proofErr w:type="spellStart"/>
      <w:r w:rsidRPr="00D34A7F">
        <w:rPr>
          <w:rFonts w:cs="Arial"/>
          <w:color w:val="000000" w:themeColor="text1"/>
        </w:rPr>
        <w:t>edn</w:t>
      </w:r>
      <w:proofErr w:type="spellEnd"/>
      <w:r w:rsidRPr="00D34A7F">
        <w:rPr>
          <w:rFonts w:cs="Arial"/>
          <w:color w:val="000000" w:themeColor="text1"/>
        </w:rPr>
        <w:t>. Boca Raton, FL: CRC Press.</w:t>
      </w:r>
    </w:p>
    <w:p w:rsidRPr="00D34A7F" w:rsidR="006C5E1B" w:rsidP="00D34A7F" w:rsidRDefault="00000000" w14:paraId="08980405" w14:textId="77777777">
      <w:pPr>
        <w:ind w:left="432" w:hanging="432"/>
        <w:rPr>
          <w:rFonts w:cs="Arial"/>
          <w:color w:val="000000" w:themeColor="text1"/>
        </w:rPr>
      </w:pPr>
      <w:r w:rsidRPr="00D34A7F">
        <w:rPr>
          <w:rFonts w:cs="Arial"/>
          <w:color w:val="000000" w:themeColor="text1"/>
        </w:rPr>
        <w:t xml:space="preserve">Figueroa, C.A., Harrison, R., Chauhan, A. and Meyer, L. (2019) 'Priorities and challenges for health leadership and workforce management globally: a rapid review', BMC Health Services Research, 19, 239. </w:t>
      </w:r>
      <w:proofErr w:type="spellStart"/>
      <w:r w:rsidRPr="00D34A7F">
        <w:rPr>
          <w:rFonts w:cs="Arial"/>
          <w:color w:val="000000" w:themeColor="text1"/>
        </w:rPr>
        <w:t>doi</w:t>
      </w:r>
      <w:proofErr w:type="spellEnd"/>
      <w:r w:rsidRPr="00D34A7F">
        <w:rPr>
          <w:rFonts w:cs="Arial"/>
          <w:color w:val="000000" w:themeColor="text1"/>
        </w:rPr>
        <w:t>: 10.1186/s12913-019-4080-7.</w:t>
      </w:r>
    </w:p>
    <w:p w:rsidRPr="00D34A7F" w:rsidR="006C5E1B" w:rsidP="00D34A7F" w:rsidRDefault="00000000" w14:paraId="4ADEF66D" w14:textId="77777777">
      <w:pPr>
        <w:ind w:left="432" w:hanging="432"/>
        <w:rPr>
          <w:rFonts w:cs="Arial"/>
          <w:color w:val="000000" w:themeColor="text1"/>
        </w:rPr>
      </w:pPr>
      <w:r w:rsidRPr="00D34A7F">
        <w:rPr>
          <w:rFonts w:cs="Arial"/>
          <w:color w:val="000000" w:themeColor="text1"/>
        </w:rPr>
        <w:t>Gandolfi, F. and Stone, S. (2018) 'Leadership, leadership styles, and servant leadership', Journal of Management Research, 18(4), pp. 261-269.</w:t>
      </w:r>
    </w:p>
    <w:p w:rsidRPr="00D34A7F" w:rsidR="006C5E1B" w:rsidP="00D34A7F" w:rsidRDefault="00000000" w14:paraId="66A09FCB" w14:textId="71FF5A95">
      <w:pPr>
        <w:ind w:left="432" w:hanging="432"/>
        <w:rPr>
          <w:rFonts w:cs="Arial"/>
          <w:color w:val="000000" w:themeColor="text1"/>
        </w:rPr>
      </w:pPr>
      <w:r w:rsidRPr="00D34A7F">
        <w:rPr>
          <w:rFonts w:cs="Arial"/>
          <w:color w:val="000000" w:themeColor="text1"/>
        </w:rPr>
        <w:lastRenderedPageBreak/>
        <w:t>General Medical Council (2024) Good Medical Practice. London: GMC. Available at: https://www.gmc-uk.org/professional-standards/good-medical-practice-2024 (Accessed: 1</w:t>
      </w:r>
      <w:r w:rsidRPr="00D34A7F" w:rsidR="00D34A7F">
        <w:rPr>
          <w:rFonts w:cs="Arial"/>
          <w:color w:val="000000" w:themeColor="text1"/>
        </w:rPr>
        <w:t>4</w:t>
      </w:r>
      <w:r w:rsidRPr="00D34A7F">
        <w:rPr>
          <w:rFonts w:cs="Arial"/>
          <w:color w:val="000000" w:themeColor="text1"/>
        </w:rPr>
        <w:t xml:space="preserve"> July 2026).</w:t>
      </w:r>
    </w:p>
    <w:p w:rsidRPr="00D34A7F" w:rsidR="006C5E1B" w:rsidP="00D34A7F" w:rsidRDefault="00000000" w14:paraId="3B1F13AD" w14:textId="77777777">
      <w:pPr>
        <w:ind w:left="432" w:hanging="432"/>
        <w:rPr>
          <w:rFonts w:cs="Arial"/>
          <w:color w:val="000000" w:themeColor="text1"/>
        </w:rPr>
      </w:pPr>
      <w:proofErr w:type="spellStart"/>
      <w:r w:rsidRPr="00D34A7F">
        <w:rPr>
          <w:rFonts w:cs="Arial"/>
          <w:color w:val="000000" w:themeColor="text1"/>
        </w:rPr>
        <w:t>Grailey</w:t>
      </w:r>
      <w:proofErr w:type="spellEnd"/>
      <w:r w:rsidRPr="00D34A7F">
        <w:rPr>
          <w:rFonts w:cs="Arial"/>
          <w:color w:val="000000" w:themeColor="text1"/>
        </w:rPr>
        <w:t xml:space="preserve">, K.E., Murray, E., Reader, T. and Brett, </w:t>
      </w:r>
      <w:proofErr w:type="spellStart"/>
      <w:r w:rsidRPr="00D34A7F">
        <w:rPr>
          <w:rFonts w:cs="Arial"/>
          <w:color w:val="000000" w:themeColor="text1"/>
        </w:rPr>
        <w:t>S.J</w:t>
      </w:r>
      <w:proofErr w:type="spellEnd"/>
      <w:r w:rsidRPr="00D34A7F">
        <w:rPr>
          <w:rFonts w:cs="Arial"/>
          <w:color w:val="000000" w:themeColor="text1"/>
        </w:rPr>
        <w:t xml:space="preserve">. (2021) 'The presence and potential impact of psychological safety in the healthcare setting: an evidence synthesis', BMC Health Services Research, 21, 773. </w:t>
      </w:r>
      <w:proofErr w:type="spellStart"/>
      <w:r w:rsidRPr="00D34A7F">
        <w:rPr>
          <w:rFonts w:cs="Arial"/>
          <w:color w:val="000000" w:themeColor="text1"/>
        </w:rPr>
        <w:t>doi</w:t>
      </w:r>
      <w:proofErr w:type="spellEnd"/>
      <w:r w:rsidRPr="00D34A7F">
        <w:rPr>
          <w:rFonts w:cs="Arial"/>
          <w:color w:val="000000" w:themeColor="text1"/>
        </w:rPr>
        <w:t>: 10.1186/s12913-021-06740-6.</w:t>
      </w:r>
    </w:p>
    <w:p w:rsidRPr="00D34A7F" w:rsidR="006C5E1B" w:rsidP="00D34A7F" w:rsidRDefault="00000000" w14:paraId="3242A106" w14:textId="77777777">
      <w:pPr>
        <w:ind w:left="432" w:hanging="432"/>
        <w:rPr>
          <w:rFonts w:cs="Arial"/>
          <w:color w:val="000000" w:themeColor="text1"/>
        </w:rPr>
      </w:pPr>
      <w:r w:rsidRPr="00D34A7F">
        <w:rPr>
          <w:rFonts w:cs="Arial"/>
          <w:color w:val="000000" w:themeColor="text1"/>
        </w:rPr>
        <w:t xml:space="preserve">Greenhalgh, T. and Papoutsi, C. (2018) 'Studying complexity in health services research: desperately seeking an overdue paradigm shift', BMC Medicine, 16, 95. </w:t>
      </w:r>
      <w:proofErr w:type="spellStart"/>
      <w:r w:rsidRPr="00D34A7F">
        <w:rPr>
          <w:rFonts w:cs="Arial"/>
          <w:color w:val="000000" w:themeColor="text1"/>
        </w:rPr>
        <w:t>doi</w:t>
      </w:r>
      <w:proofErr w:type="spellEnd"/>
      <w:r w:rsidRPr="00D34A7F">
        <w:rPr>
          <w:rFonts w:cs="Arial"/>
          <w:color w:val="000000" w:themeColor="text1"/>
        </w:rPr>
        <w:t>: 10.1186/s12916-018-1089-4.</w:t>
      </w:r>
    </w:p>
    <w:p w:rsidRPr="00D34A7F" w:rsidR="006C5E1B" w:rsidP="00D34A7F" w:rsidRDefault="00000000" w14:paraId="41284077" w14:textId="77777777">
      <w:pPr>
        <w:ind w:left="432" w:hanging="432"/>
        <w:rPr>
          <w:rFonts w:cs="Arial"/>
          <w:color w:val="000000" w:themeColor="text1"/>
        </w:rPr>
      </w:pPr>
      <w:r w:rsidRPr="00D34A7F">
        <w:rPr>
          <w:rFonts w:cs="Arial"/>
          <w:color w:val="000000" w:themeColor="text1"/>
        </w:rPr>
        <w:t>Health and Care Act 2022, c. 31. London: The Stationery Office.</w:t>
      </w:r>
    </w:p>
    <w:p w:rsidRPr="00D34A7F" w:rsidR="006C5E1B" w:rsidP="00D34A7F" w:rsidRDefault="00000000" w14:paraId="403DF48A" w14:textId="77777777">
      <w:pPr>
        <w:ind w:left="432" w:hanging="432"/>
        <w:rPr>
          <w:rFonts w:cs="Arial"/>
          <w:color w:val="000000" w:themeColor="text1"/>
        </w:rPr>
      </w:pPr>
      <w:r w:rsidRPr="00D34A7F">
        <w:rPr>
          <w:rFonts w:cs="Arial"/>
          <w:color w:val="000000" w:themeColor="text1"/>
        </w:rPr>
        <w:t>Hewitt, P. (2023) The Hewitt Review: An Independent Review of Integrated Care Systems. London: Department of Health and Social Care.</w:t>
      </w:r>
    </w:p>
    <w:p w:rsidRPr="00D34A7F" w:rsidR="006C5E1B" w:rsidP="00D34A7F" w:rsidRDefault="00000000" w14:paraId="23DB2DC6" w14:textId="6114CB1C">
      <w:pPr>
        <w:ind w:left="432" w:hanging="432"/>
        <w:rPr>
          <w:rFonts w:cs="Arial"/>
          <w:color w:val="000000" w:themeColor="text1"/>
        </w:rPr>
      </w:pPr>
      <w:r w:rsidRPr="00D34A7F">
        <w:rPr>
          <w:rFonts w:cs="Arial"/>
          <w:color w:val="000000" w:themeColor="text1"/>
        </w:rPr>
        <w:t>Judiciary of England and Wales (2024) R v Lucy Letby: Sentencing Remarks, 5 July 2024. Available at: https://www.judiciary.uk/wp-content/uploads/2024/07/LETBY-Sentencing-remarks-July-2024-Anonymised.pdf (Accessed: 1</w:t>
      </w:r>
      <w:r w:rsidRPr="00D34A7F" w:rsidR="00D34A7F">
        <w:rPr>
          <w:rFonts w:cs="Arial"/>
          <w:color w:val="000000" w:themeColor="text1"/>
        </w:rPr>
        <w:t>5</w:t>
      </w:r>
      <w:r w:rsidRPr="00D34A7F">
        <w:rPr>
          <w:rFonts w:cs="Arial"/>
          <w:color w:val="000000" w:themeColor="text1"/>
        </w:rPr>
        <w:t xml:space="preserve"> July 2026).</w:t>
      </w:r>
    </w:p>
    <w:p w:rsidRPr="00D34A7F" w:rsidR="006C5E1B" w:rsidP="00D34A7F" w:rsidRDefault="00000000" w14:paraId="2A77BE07" w14:textId="77777777">
      <w:pPr>
        <w:ind w:left="432" w:hanging="432"/>
        <w:rPr>
          <w:rFonts w:cs="Arial"/>
          <w:color w:val="000000" w:themeColor="text1"/>
        </w:rPr>
      </w:pPr>
      <w:r w:rsidRPr="00D34A7F">
        <w:rPr>
          <w:rFonts w:cs="Arial"/>
          <w:color w:val="000000" w:themeColor="text1"/>
        </w:rPr>
        <w:t>Kirkup, B. (2022) Reading the Signals: Maternity and Neonatal Services in East Kent. London: Department of Health and Social Care.</w:t>
      </w:r>
    </w:p>
    <w:p w:rsidRPr="00D34A7F" w:rsidR="006C5E1B" w:rsidP="00D34A7F" w:rsidRDefault="00000000" w14:paraId="4EC1D5C1" w14:textId="77777777">
      <w:pPr>
        <w:ind w:left="432" w:hanging="432"/>
        <w:rPr>
          <w:rFonts w:cs="Arial"/>
          <w:color w:val="000000" w:themeColor="text1"/>
        </w:rPr>
      </w:pPr>
      <w:proofErr w:type="spellStart"/>
      <w:r w:rsidRPr="00D34A7F">
        <w:rPr>
          <w:rFonts w:cs="Arial"/>
          <w:color w:val="000000" w:themeColor="text1"/>
        </w:rPr>
        <w:t>Komashie</w:t>
      </w:r>
      <w:proofErr w:type="spellEnd"/>
      <w:r w:rsidRPr="00D34A7F">
        <w:rPr>
          <w:rFonts w:cs="Arial"/>
          <w:color w:val="000000" w:themeColor="text1"/>
        </w:rPr>
        <w:t xml:space="preserve">, A., Ward, J., Bashford, T. et al. (2021) 'Systems approach to health service design, delivery and improvement: a systematic review and meta-analysis', BMJ Open, 11, e037667. </w:t>
      </w:r>
      <w:proofErr w:type="spellStart"/>
      <w:r w:rsidRPr="00D34A7F">
        <w:rPr>
          <w:rFonts w:cs="Arial"/>
          <w:color w:val="000000" w:themeColor="text1"/>
        </w:rPr>
        <w:t>doi</w:t>
      </w:r>
      <w:proofErr w:type="spellEnd"/>
      <w:r w:rsidRPr="00D34A7F">
        <w:rPr>
          <w:rFonts w:cs="Arial"/>
          <w:color w:val="000000" w:themeColor="text1"/>
        </w:rPr>
        <w:t>: 10.1136/bmjopen-2020-037667.</w:t>
      </w:r>
    </w:p>
    <w:p w:rsidRPr="00D34A7F" w:rsidR="006C5E1B" w:rsidP="00D34A7F" w:rsidRDefault="00000000" w14:paraId="7D322454" w14:textId="77777777">
      <w:pPr>
        <w:ind w:left="432" w:hanging="432"/>
        <w:rPr>
          <w:rFonts w:cs="Arial"/>
          <w:color w:val="000000" w:themeColor="text1"/>
        </w:rPr>
      </w:pPr>
      <w:r w:rsidRPr="00D34A7F">
        <w:rPr>
          <w:rFonts w:cs="Arial"/>
          <w:color w:val="000000" w:themeColor="text1"/>
        </w:rPr>
        <w:t xml:space="preserve">Mannion, R. and Davies, H. (2018) 'Understanding organisational culture for healthcare quality improvement', BMJ, 363, k4907. </w:t>
      </w:r>
      <w:proofErr w:type="spellStart"/>
      <w:r w:rsidRPr="00D34A7F">
        <w:rPr>
          <w:rFonts w:cs="Arial"/>
          <w:color w:val="000000" w:themeColor="text1"/>
        </w:rPr>
        <w:t>doi</w:t>
      </w:r>
      <w:proofErr w:type="spellEnd"/>
      <w:r w:rsidRPr="00D34A7F">
        <w:rPr>
          <w:rFonts w:cs="Arial"/>
          <w:color w:val="000000" w:themeColor="text1"/>
        </w:rPr>
        <w:t>: 10.1136/</w:t>
      </w:r>
      <w:proofErr w:type="gramStart"/>
      <w:r w:rsidRPr="00D34A7F">
        <w:rPr>
          <w:rFonts w:cs="Arial"/>
          <w:color w:val="000000" w:themeColor="text1"/>
        </w:rPr>
        <w:t>bmj.k</w:t>
      </w:r>
      <w:proofErr w:type="gramEnd"/>
      <w:r w:rsidRPr="00D34A7F">
        <w:rPr>
          <w:rFonts w:cs="Arial"/>
          <w:color w:val="000000" w:themeColor="text1"/>
        </w:rPr>
        <w:t>4907.</w:t>
      </w:r>
    </w:p>
    <w:p w:rsidRPr="00D34A7F" w:rsidR="006C5E1B" w:rsidP="00D34A7F" w:rsidRDefault="00000000" w14:paraId="07A894D8" w14:textId="77777777">
      <w:pPr>
        <w:ind w:left="432" w:hanging="432"/>
        <w:rPr>
          <w:rFonts w:cs="Arial"/>
          <w:color w:val="000000" w:themeColor="text1"/>
        </w:rPr>
      </w:pPr>
      <w:r w:rsidRPr="00D34A7F">
        <w:rPr>
          <w:rFonts w:cs="Arial"/>
          <w:color w:val="000000" w:themeColor="text1"/>
        </w:rPr>
        <w:t>Messenger, G. and Pollard, L. (2022) Health and Social Care Review: Leadership for a Collaborative and Inclusive Future. London: Department of Health and Social Care.</w:t>
      </w:r>
    </w:p>
    <w:p w:rsidRPr="00D34A7F" w:rsidR="006C5E1B" w:rsidP="00D34A7F" w:rsidRDefault="00000000" w14:paraId="6962CC5A" w14:textId="75C0D2CD">
      <w:pPr>
        <w:ind w:left="432" w:hanging="432"/>
        <w:rPr>
          <w:rFonts w:cs="Arial"/>
          <w:color w:val="000000" w:themeColor="text1"/>
        </w:rPr>
      </w:pPr>
      <w:r w:rsidRPr="00D34A7F">
        <w:rPr>
          <w:rFonts w:cs="Arial"/>
          <w:color w:val="000000" w:themeColor="text1"/>
        </w:rPr>
        <w:t>National Guardian's Office (2024) National Guardian's Office Update and Priorities for 2024/25. London: NHS England. Available at: https://www.england.nhs.uk/long-read/national-guardians-office-update-and-priorities-for-2024-25/ (Accessed: 8 July 2026).</w:t>
      </w:r>
    </w:p>
    <w:p w:rsidRPr="00D34A7F" w:rsidR="006C5E1B" w:rsidP="00D34A7F" w:rsidRDefault="00000000" w14:paraId="0E468725" w14:textId="77777777">
      <w:pPr>
        <w:ind w:left="432" w:hanging="432"/>
        <w:rPr>
          <w:rFonts w:cs="Arial"/>
          <w:color w:val="000000" w:themeColor="text1"/>
        </w:rPr>
      </w:pPr>
      <w:r w:rsidRPr="00D34A7F">
        <w:rPr>
          <w:rFonts w:cs="Arial"/>
          <w:color w:val="000000" w:themeColor="text1"/>
        </w:rPr>
        <w:t>NHS England (2019) The NHS Patient Safety Strategy: Safer Culture, Safer Systems, Safer Patients. London: NHS England.</w:t>
      </w:r>
    </w:p>
    <w:p w:rsidRPr="00D34A7F" w:rsidR="006C5E1B" w:rsidP="00D34A7F" w:rsidRDefault="00000000" w14:paraId="42BB3FE0" w14:textId="0163F651">
      <w:pPr>
        <w:ind w:left="432" w:hanging="432"/>
        <w:rPr>
          <w:rFonts w:cs="Arial"/>
          <w:color w:val="000000" w:themeColor="text1"/>
        </w:rPr>
      </w:pPr>
      <w:r w:rsidRPr="00D34A7F">
        <w:rPr>
          <w:rFonts w:cs="Arial"/>
          <w:color w:val="000000" w:themeColor="text1"/>
        </w:rPr>
        <w:t>NHS England (2022a) Patient Safety Incident Response Framework. London: NHS England. Available at: https://www.england.nhs.uk/patient-safety/patient-safety-insight/incident-response-framework/ (Accessed: 8 July 2026).</w:t>
      </w:r>
    </w:p>
    <w:p w:rsidRPr="00D34A7F" w:rsidR="006C5E1B" w:rsidP="00D34A7F" w:rsidRDefault="00000000" w14:paraId="248E5F60" w14:textId="72ED2E01">
      <w:pPr>
        <w:ind w:left="432" w:hanging="432"/>
        <w:rPr>
          <w:rFonts w:cs="Arial"/>
          <w:color w:val="000000" w:themeColor="text1"/>
        </w:rPr>
      </w:pPr>
      <w:r w:rsidRPr="00D34A7F">
        <w:rPr>
          <w:rFonts w:cs="Arial"/>
          <w:color w:val="000000" w:themeColor="text1"/>
        </w:rPr>
        <w:lastRenderedPageBreak/>
        <w:t>NHS England (2022b) Engaging and Involving Patients, Families and Staff Following a Patient Safety Incident. London: NHS England. Available at: https://www.england.nhs.uk/patient-safety/patient-safety-insight/incident-response-framework/engaging-and-involving-patients-families-and-staff-following-a-patient-safety-incident/ (Accessed: 8 July 2026).</w:t>
      </w:r>
    </w:p>
    <w:p w:rsidRPr="00D34A7F" w:rsidR="006C5E1B" w:rsidP="00D34A7F" w:rsidRDefault="00000000" w14:paraId="04EDA80A" w14:textId="77777777">
      <w:pPr>
        <w:ind w:left="432" w:hanging="432"/>
        <w:rPr>
          <w:rFonts w:cs="Arial"/>
          <w:color w:val="000000" w:themeColor="text1"/>
        </w:rPr>
      </w:pPr>
      <w:r w:rsidRPr="00D34A7F">
        <w:rPr>
          <w:rFonts w:cs="Arial"/>
          <w:color w:val="000000" w:themeColor="text1"/>
        </w:rPr>
        <w:t>NHS England (2023a) NHS England Fit and Proper Person Test Framework for Board Members. London: NHS England.</w:t>
      </w:r>
    </w:p>
    <w:p w:rsidRPr="00D34A7F" w:rsidR="006C5E1B" w:rsidP="00D34A7F" w:rsidRDefault="00000000" w14:paraId="2C544A05" w14:textId="100ADF7E">
      <w:pPr>
        <w:ind w:left="432" w:hanging="432"/>
        <w:rPr>
          <w:rFonts w:cs="Arial"/>
          <w:color w:val="000000" w:themeColor="text1"/>
        </w:rPr>
      </w:pPr>
      <w:r w:rsidRPr="00D34A7F">
        <w:rPr>
          <w:rFonts w:cs="Arial"/>
          <w:color w:val="000000" w:themeColor="text1"/>
        </w:rPr>
        <w:t>NHS England (2023b) Improving Patient Safety Culture: A Practical Guide. London: NHS England. Available at: https://www.england.nhs.uk/long-read/improving-patient-safety-culture-a-practical-guide/ (Accessed: 8 July 2026).</w:t>
      </w:r>
    </w:p>
    <w:p w:rsidRPr="00D34A7F" w:rsidR="006C5E1B" w:rsidP="00D34A7F" w:rsidRDefault="00000000" w14:paraId="38A8791C" w14:textId="26D6958B">
      <w:pPr>
        <w:ind w:left="432" w:hanging="432"/>
        <w:rPr>
          <w:rFonts w:cs="Arial"/>
          <w:color w:val="000000" w:themeColor="text1"/>
        </w:rPr>
      </w:pPr>
      <w:r w:rsidRPr="00D34A7F">
        <w:rPr>
          <w:rFonts w:cs="Arial"/>
          <w:color w:val="000000" w:themeColor="text1"/>
        </w:rPr>
        <w:t xml:space="preserve">NHS England (2023c) Being Fair Tool. London: NHS England. Available at: https://www.england.nhs.uk/patient-safety/patient-safety-culture/being-fair-tool/ (Accessed: </w:t>
      </w:r>
      <w:r w:rsidRPr="00D34A7F" w:rsidR="00D34A7F">
        <w:rPr>
          <w:rFonts w:cs="Arial"/>
          <w:color w:val="000000" w:themeColor="text1"/>
        </w:rPr>
        <w:t>9</w:t>
      </w:r>
      <w:r w:rsidRPr="00D34A7F">
        <w:rPr>
          <w:rFonts w:cs="Arial"/>
          <w:color w:val="000000" w:themeColor="text1"/>
        </w:rPr>
        <w:t xml:space="preserve"> July 2026).</w:t>
      </w:r>
    </w:p>
    <w:p w:rsidRPr="00D34A7F" w:rsidR="006C5E1B" w:rsidP="00D34A7F" w:rsidRDefault="00000000" w14:paraId="323AF21A" w14:textId="7148636B">
      <w:pPr>
        <w:ind w:left="432" w:hanging="432"/>
        <w:rPr>
          <w:rFonts w:cs="Arial"/>
          <w:color w:val="000000" w:themeColor="text1"/>
        </w:rPr>
      </w:pPr>
      <w:r w:rsidRPr="00D34A7F">
        <w:rPr>
          <w:rFonts w:cs="Arial"/>
          <w:color w:val="000000" w:themeColor="text1"/>
        </w:rPr>
        <w:t xml:space="preserve">NHS England (2026) Patient Safety Incident Response Standards. London: NHS England. Available at: https://www.england.nhs.uk/long-read/patient-safety-incident-response-standards/ (Accessed: </w:t>
      </w:r>
      <w:r w:rsidRPr="00D34A7F" w:rsidR="00D34A7F">
        <w:rPr>
          <w:rFonts w:cs="Arial"/>
          <w:color w:val="000000" w:themeColor="text1"/>
        </w:rPr>
        <w:t>9</w:t>
      </w:r>
      <w:r w:rsidRPr="00D34A7F">
        <w:rPr>
          <w:rFonts w:cs="Arial"/>
          <w:color w:val="000000" w:themeColor="text1"/>
        </w:rPr>
        <w:t xml:space="preserve"> July 2026).</w:t>
      </w:r>
    </w:p>
    <w:p w:rsidRPr="00D34A7F" w:rsidR="006C5E1B" w:rsidP="00D34A7F" w:rsidRDefault="00000000" w14:paraId="1A669B80" w14:textId="49FD9BA2">
      <w:pPr>
        <w:ind w:left="432" w:hanging="432"/>
        <w:rPr>
          <w:rFonts w:cs="Arial"/>
          <w:color w:val="000000" w:themeColor="text1"/>
        </w:rPr>
      </w:pPr>
      <w:r w:rsidRPr="00D34A7F">
        <w:rPr>
          <w:rFonts w:cs="Arial"/>
          <w:color w:val="000000" w:themeColor="text1"/>
        </w:rPr>
        <w:t xml:space="preserve">NHS Staff Survey (2026) 2025 NHS Staff Survey National Results Briefing. Available at: https://www.nhsstaffsurveys.com/static/98fbf017ea18aad1523254e02072cd02/National-Results-Briefing-2025.pdf (Accessed: </w:t>
      </w:r>
      <w:r w:rsidRPr="00D34A7F" w:rsidR="00D34A7F">
        <w:rPr>
          <w:rFonts w:cs="Arial"/>
          <w:color w:val="000000" w:themeColor="text1"/>
        </w:rPr>
        <w:t>9</w:t>
      </w:r>
      <w:r w:rsidRPr="00D34A7F">
        <w:rPr>
          <w:rFonts w:cs="Arial"/>
          <w:color w:val="000000" w:themeColor="text1"/>
        </w:rPr>
        <w:t xml:space="preserve"> July 2026).</w:t>
      </w:r>
    </w:p>
    <w:p w:rsidRPr="00D34A7F" w:rsidR="006C5E1B" w:rsidP="00D34A7F" w:rsidRDefault="00000000" w14:paraId="6D683EFC" w14:textId="788F754D">
      <w:pPr>
        <w:ind w:left="432" w:hanging="432"/>
        <w:rPr>
          <w:rFonts w:cs="Arial"/>
          <w:color w:val="000000" w:themeColor="text1"/>
        </w:rPr>
      </w:pPr>
      <w:r w:rsidRPr="00D34A7F">
        <w:rPr>
          <w:rFonts w:cs="Arial"/>
          <w:color w:val="000000" w:themeColor="text1"/>
        </w:rPr>
        <w:t xml:space="preserve">Nuffield Trust (2024) Report for the Thirlwall Inquiry: Analysis of Questionnaires from 120 NHS Trusts. London: Nuffield Trust. Available at: https://www.nuffieldtrust.org.uk/research/report-for-the-thirlwall-inquiry-analysis-of-questionnaires-from-120-nhs-trusts (Accessed: </w:t>
      </w:r>
      <w:r w:rsidRPr="00D34A7F" w:rsidR="00D34A7F">
        <w:rPr>
          <w:rFonts w:cs="Arial"/>
          <w:color w:val="000000" w:themeColor="text1"/>
        </w:rPr>
        <w:t>9</w:t>
      </w:r>
      <w:r w:rsidRPr="00D34A7F">
        <w:rPr>
          <w:rFonts w:cs="Arial"/>
          <w:color w:val="000000" w:themeColor="text1"/>
        </w:rPr>
        <w:t xml:space="preserve"> July 2026).</w:t>
      </w:r>
    </w:p>
    <w:p w:rsidRPr="00D34A7F" w:rsidR="006C5E1B" w:rsidP="00D34A7F" w:rsidRDefault="00000000" w14:paraId="5345404F" w14:textId="77777777">
      <w:pPr>
        <w:ind w:left="432" w:hanging="432"/>
        <w:rPr>
          <w:rFonts w:cs="Arial"/>
          <w:color w:val="000000" w:themeColor="text1"/>
        </w:rPr>
      </w:pPr>
      <w:r w:rsidRPr="00D34A7F">
        <w:rPr>
          <w:rFonts w:cs="Arial"/>
          <w:color w:val="000000" w:themeColor="text1"/>
        </w:rPr>
        <w:t xml:space="preserve">Nursing and Midwifery Council (2018) The Code: Professional Standards of Practice and Behaviour for Nurses, Midwives and Nursing Associates. London: </w:t>
      </w:r>
      <w:proofErr w:type="spellStart"/>
      <w:r w:rsidRPr="00D34A7F">
        <w:rPr>
          <w:rFonts w:cs="Arial"/>
          <w:color w:val="000000" w:themeColor="text1"/>
        </w:rPr>
        <w:t>NMC</w:t>
      </w:r>
      <w:proofErr w:type="spellEnd"/>
      <w:r w:rsidRPr="00D34A7F">
        <w:rPr>
          <w:rFonts w:cs="Arial"/>
          <w:color w:val="000000" w:themeColor="text1"/>
        </w:rPr>
        <w:t>.</w:t>
      </w:r>
    </w:p>
    <w:p w:rsidRPr="00D34A7F" w:rsidR="006C5E1B" w:rsidP="00D34A7F" w:rsidRDefault="00000000" w14:paraId="22C0ECCB" w14:textId="77777777">
      <w:pPr>
        <w:ind w:left="432" w:hanging="432"/>
        <w:rPr>
          <w:rFonts w:cs="Arial"/>
          <w:color w:val="000000" w:themeColor="text1"/>
        </w:rPr>
      </w:pPr>
      <w:r w:rsidRPr="00D34A7F">
        <w:rPr>
          <w:rFonts w:cs="Arial"/>
          <w:color w:val="000000" w:themeColor="text1"/>
        </w:rPr>
        <w:t xml:space="preserve">Northouse, P.G. (2022) Leadership: Theory and Practice. 9th </w:t>
      </w:r>
      <w:proofErr w:type="spellStart"/>
      <w:r w:rsidRPr="00D34A7F">
        <w:rPr>
          <w:rFonts w:cs="Arial"/>
          <w:color w:val="000000" w:themeColor="text1"/>
        </w:rPr>
        <w:t>edn</w:t>
      </w:r>
      <w:proofErr w:type="spellEnd"/>
      <w:r w:rsidRPr="00D34A7F">
        <w:rPr>
          <w:rFonts w:cs="Arial"/>
          <w:color w:val="000000" w:themeColor="text1"/>
        </w:rPr>
        <w:t>. Thousand Oaks, CA: SAGE.</w:t>
      </w:r>
    </w:p>
    <w:p w:rsidRPr="00D34A7F" w:rsidR="006C5E1B" w:rsidP="00D34A7F" w:rsidRDefault="00000000" w14:paraId="5E48F645" w14:textId="77777777">
      <w:pPr>
        <w:ind w:left="432" w:hanging="432"/>
        <w:rPr>
          <w:rFonts w:cs="Arial"/>
          <w:color w:val="000000" w:themeColor="text1"/>
        </w:rPr>
      </w:pPr>
      <w:r w:rsidRPr="00D34A7F">
        <w:rPr>
          <w:rFonts w:cs="Arial"/>
          <w:color w:val="000000" w:themeColor="text1"/>
        </w:rPr>
        <w:t xml:space="preserve">O'Donovan, R. and McAuliffe, E. (2020a) 'A systematic review of factors that enable psychological safety in healthcare teams', International Journal for Quality in Health Care, 32(4), pp. 240-250. </w:t>
      </w:r>
      <w:proofErr w:type="spellStart"/>
      <w:r w:rsidRPr="00D34A7F">
        <w:rPr>
          <w:rFonts w:cs="Arial"/>
          <w:color w:val="000000" w:themeColor="text1"/>
        </w:rPr>
        <w:t>doi</w:t>
      </w:r>
      <w:proofErr w:type="spellEnd"/>
      <w:r w:rsidRPr="00D34A7F">
        <w:rPr>
          <w:rFonts w:cs="Arial"/>
          <w:color w:val="000000" w:themeColor="text1"/>
        </w:rPr>
        <w:t>: 10.1093/</w:t>
      </w:r>
      <w:proofErr w:type="spellStart"/>
      <w:r w:rsidRPr="00D34A7F">
        <w:rPr>
          <w:rFonts w:cs="Arial"/>
          <w:color w:val="000000" w:themeColor="text1"/>
        </w:rPr>
        <w:t>intqhc</w:t>
      </w:r>
      <w:proofErr w:type="spellEnd"/>
      <w:r w:rsidRPr="00D34A7F">
        <w:rPr>
          <w:rFonts w:cs="Arial"/>
          <w:color w:val="000000" w:themeColor="text1"/>
        </w:rPr>
        <w:t>/mzaa025.</w:t>
      </w:r>
    </w:p>
    <w:p w:rsidRPr="00D34A7F" w:rsidR="006C5E1B" w:rsidP="00D34A7F" w:rsidRDefault="00000000" w14:paraId="301C9CB2" w14:textId="77777777">
      <w:pPr>
        <w:ind w:left="432" w:hanging="432"/>
        <w:rPr>
          <w:rFonts w:cs="Arial"/>
          <w:color w:val="000000" w:themeColor="text1"/>
        </w:rPr>
      </w:pPr>
      <w:r w:rsidRPr="00D34A7F">
        <w:rPr>
          <w:rFonts w:cs="Arial"/>
          <w:color w:val="000000" w:themeColor="text1"/>
        </w:rPr>
        <w:t xml:space="preserve">O'Donovan, R. and McAuliffe, E. (2020b) 'A systematic review exploring the content and outcomes of interventions to improve psychological safety, speaking up and voice behaviour', BMC Health Services Research, 20, 101. </w:t>
      </w:r>
      <w:proofErr w:type="spellStart"/>
      <w:r w:rsidRPr="00D34A7F">
        <w:rPr>
          <w:rFonts w:cs="Arial"/>
          <w:color w:val="000000" w:themeColor="text1"/>
        </w:rPr>
        <w:t>doi</w:t>
      </w:r>
      <w:proofErr w:type="spellEnd"/>
      <w:r w:rsidRPr="00D34A7F">
        <w:rPr>
          <w:rFonts w:cs="Arial"/>
          <w:color w:val="000000" w:themeColor="text1"/>
        </w:rPr>
        <w:t>: 10.1186/s12913-020-4931-2.</w:t>
      </w:r>
    </w:p>
    <w:p w:rsidRPr="00D34A7F" w:rsidR="006C5E1B" w:rsidP="00D34A7F" w:rsidRDefault="00000000" w14:paraId="54B41428" w14:textId="77777777">
      <w:pPr>
        <w:ind w:left="432" w:hanging="432"/>
        <w:rPr>
          <w:rFonts w:cs="Arial"/>
          <w:color w:val="000000" w:themeColor="text1"/>
        </w:rPr>
      </w:pPr>
      <w:r w:rsidRPr="00D34A7F">
        <w:rPr>
          <w:rFonts w:cs="Arial"/>
          <w:color w:val="000000" w:themeColor="text1"/>
        </w:rPr>
        <w:lastRenderedPageBreak/>
        <w:t xml:space="preserve">Ockenden, D. (2022) Final Report of the </w:t>
      </w:r>
      <w:proofErr w:type="spellStart"/>
      <w:r w:rsidRPr="00D34A7F">
        <w:rPr>
          <w:rFonts w:cs="Arial"/>
          <w:color w:val="000000" w:themeColor="text1"/>
        </w:rPr>
        <w:t>Ockenden</w:t>
      </w:r>
      <w:proofErr w:type="spellEnd"/>
      <w:r w:rsidRPr="00D34A7F">
        <w:rPr>
          <w:rFonts w:cs="Arial"/>
          <w:color w:val="000000" w:themeColor="text1"/>
        </w:rPr>
        <w:t xml:space="preserve"> Review: Findings, Conclusions and Essential Actions from the Independent Review of Maternity Services at the Shrewsbury and Telford Hospital NHS Trust. London: Department of Health and Social Care.</w:t>
      </w:r>
    </w:p>
    <w:p w:rsidRPr="00D34A7F" w:rsidR="006C5E1B" w:rsidP="00D34A7F" w:rsidRDefault="00000000" w14:paraId="1B7624EA" w14:textId="77777777">
      <w:pPr>
        <w:ind w:left="432" w:hanging="432"/>
        <w:rPr>
          <w:rFonts w:cs="Arial"/>
          <w:color w:val="000000" w:themeColor="text1"/>
        </w:rPr>
      </w:pPr>
      <w:r w:rsidRPr="00D34A7F">
        <w:rPr>
          <w:rFonts w:cs="Arial"/>
          <w:color w:val="000000" w:themeColor="text1"/>
        </w:rPr>
        <w:t>Office for National Statistics (2025) Child and Infant Mortality in England and Wales: 2023. Newport: ONS.</w:t>
      </w:r>
    </w:p>
    <w:p w:rsidRPr="00D34A7F" w:rsidR="006C5E1B" w:rsidP="00D34A7F" w:rsidRDefault="00000000" w14:paraId="1E72EB71" w14:textId="77777777">
      <w:pPr>
        <w:ind w:left="432" w:hanging="432"/>
        <w:rPr>
          <w:rFonts w:cs="Arial"/>
          <w:color w:val="000000" w:themeColor="text1"/>
        </w:rPr>
      </w:pPr>
      <w:r w:rsidRPr="00D34A7F">
        <w:rPr>
          <w:rFonts w:cs="Arial"/>
          <w:color w:val="000000" w:themeColor="text1"/>
        </w:rPr>
        <w:t xml:space="preserve">Oikonomou, E., </w:t>
      </w:r>
      <w:proofErr w:type="spellStart"/>
      <w:r w:rsidRPr="00D34A7F">
        <w:rPr>
          <w:rFonts w:cs="Arial"/>
          <w:color w:val="000000" w:themeColor="text1"/>
        </w:rPr>
        <w:t>Carthey</w:t>
      </w:r>
      <w:proofErr w:type="spellEnd"/>
      <w:r w:rsidRPr="00D34A7F">
        <w:rPr>
          <w:rFonts w:cs="Arial"/>
          <w:color w:val="000000" w:themeColor="text1"/>
        </w:rPr>
        <w:t xml:space="preserve">, J., Macrae, C. and Vincent, C. (2019) 'Patient safety regulation in the NHS: mapping the regulatory landscape of healthcare', BMJ Open, 9, e028663. </w:t>
      </w:r>
      <w:proofErr w:type="spellStart"/>
      <w:r w:rsidRPr="00D34A7F">
        <w:rPr>
          <w:rFonts w:cs="Arial"/>
          <w:color w:val="000000" w:themeColor="text1"/>
        </w:rPr>
        <w:t>doi</w:t>
      </w:r>
      <w:proofErr w:type="spellEnd"/>
      <w:r w:rsidRPr="00D34A7F">
        <w:rPr>
          <w:rFonts w:cs="Arial"/>
          <w:color w:val="000000" w:themeColor="text1"/>
        </w:rPr>
        <w:t>: 10.1136/bmjopen-2018-028663.</w:t>
      </w:r>
    </w:p>
    <w:p w:rsidRPr="00D34A7F" w:rsidR="006C5E1B" w:rsidP="00D34A7F" w:rsidRDefault="00000000" w14:paraId="39BF1E00" w14:textId="77777777">
      <w:pPr>
        <w:ind w:left="432" w:hanging="432"/>
        <w:rPr>
          <w:rFonts w:cs="Arial"/>
          <w:color w:val="000000" w:themeColor="text1"/>
        </w:rPr>
      </w:pPr>
      <w:r w:rsidRPr="00D34A7F">
        <w:rPr>
          <w:rFonts w:cs="Arial"/>
          <w:color w:val="000000" w:themeColor="text1"/>
        </w:rPr>
        <w:t xml:space="preserve">Sfantou, D.F., Laliotis, A., </w:t>
      </w:r>
      <w:proofErr w:type="spellStart"/>
      <w:r w:rsidRPr="00D34A7F">
        <w:rPr>
          <w:rFonts w:cs="Arial"/>
          <w:color w:val="000000" w:themeColor="text1"/>
        </w:rPr>
        <w:t>Patelarou</w:t>
      </w:r>
      <w:proofErr w:type="spellEnd"/>
      <w:r w:rsidRPr="00D34A7F">
        <w:rPr>
          <w:rFonts w:cs="Arial"/>
          <w:color w:val="000000" w:themeColor="text1"/>
        </w:rPr>
        <w:t xml:space="preserve">, A.E., Sifaki-Pistolla, D., </w:t>
      </w:r>
      <w:proofErr w:type="spellStart"/>
      <w:r w:rsidRPr="00D34A7F">
        <w:rPr>
          <w:rFonts w:cs="Arial"/>
          <w:color w:val="000000" w:themeColor="text1"/>
        </w:rPr>
        <w:t>Matalliotakis</w:t>
      </w:r>
      <w:proofErr w:type="spellEnd"/>
      <w:r w:rsidRPr="00D34A7F">
        <w:rPr>
          <w:rFonts w:cs="Arial"/>
          <w:color w:val="000000" w:themeColor="text1"/>
        </w:rPr>
        <w:t xml:space="preserve">, M. and </w:t>
      </w:r>
      <w:proofErr w:type="spellStart"/>
      <w:r w:rsidRPr="00D34A7F">
        <w:rPr>
          <w:rFonts w:cs="Arial"/>
          <w:color w:val="000000" w:themeColor="text1"/>
        </w:rPr>
        <w:t>Patelarou</w:t>
      </w:r>
      <w:proofErr w:type="spellEnd"/>
      <w:r w:rsidRPr="00D34A7F">
        <w:rPr>
          <w:rFonts w:cs="Arial"/>
          <w:color w:val="000000" w:themeColor="text1"/>
        </w:rPr>
        <w:t xml:space="preserve">, E. (2017) 'Importance of leadership style towards </w:t>
      </w:r>
      <w:proofErr w:type="gramStart"/>
      <w:r w:rsidRPr="00D34A7F">
        <w:rPr>
          <w:rFonts w:cs="Arial"/>
          <w:color w:val="000000" w:themeColor="text1"/>
        </w:rPr>
        <w:t>quality of care</w:t>
      </w:r>
      <w:proofErr w:type="gramEnd"/>
      <w:r w:rsidRPr="00D34A7F">
        <w:rPr>
          <w:rFonts w:cs="Arial"/>
          <w:color w:val="000000" w:themeColor="text1"/>
        </w:rPr>
        <w:t xml:space="preserve"> measures in healthcare settings: a systematic review', Healthcare, 5(4), 73. </w:t>
      </w:r>
      <w:proofErr w:type="spellStart"/>
      <w:r w:rsidRPr="00D34A7F">
        <w:rPr>
          <w:rFonts w:cs="Arial"/>
          <w:color w:val="000000" w:themeColor="text1"/>
        </w:rPr>
        <w:t>doi</w:t>
      </w:r>
      <w:proofErr w:type="spellEnd"/>
      <w:r w:rsidRPr="00D34A7F">
        <w:rPr>
          <w:rFonts w:cs="Arial"/>
          <w:color w:val="000000" w:themeColor="text1"/>
        </w:rPr>
        <w:t>: 10.3390/healthcare5040073.</w:t>
      </w:r>
    </w:p>
    <w:p w:rsidRPr="00D34A7F" w:rsidR="006C5E1B" w:rsidP="00D34A7F" w:rsidRDefault="00000000" w14:paraId="73EEB891" w14:textId="77777777">
      <w:pPr>
        <w:ind w:left="432" w:hanging="432"/>
        <w:rPr>
          <w:rFonts w:cs="Arial"/>
          <w:color w:val="000000" w:themeColor="text1"/>
        </w:rPr>
      </w:pPr>
      <w:proofErr w:type="spellStart"/>
      <w:r w:rsidRPr="00D34A7F">
        <w:rPr>
          <w:rFonts w:cs="Arial"/>
          <w:color w:val="000000" w:themeColor="text1"/>
        </w:rPr>
        <w:t>Sonnino</w:t>
      </w:r>
      <w:proofErr w:type="spellEnd"/>
      <w:r w:rsidRPr="00D34A7F">
        <w:rPr>
          <w:rFonts w:cs="Arial"/>
          <w:color w:val="000000" w:themeColor="text1"/>
        </w:rPr>
        <w:t xml:space="preserve">, </w:t>
      </w:r>
      <w:proofErr w:type="spellStart"/>
      <w:r w:rsidRPr="00D34A7F">
        <w:rPr>
          <w:rFonts w:cs="Arial"/>
          <w:color w:val="000000" w:themeColor="text1"/>
        </w:rPr>
        <w:t>R.E</w:t>
      </w:r>
      <w:proofErr w:type="spellEnd"/>
      <w:r w:rsidRPr="00D34A7F">
        <w:rPr>
          <w:rFonts w:cs="Arial"/>
          <w:color w:val="000000" w:themeColor="text1"/>
        </w:rPr>
        <w:t xml:space="preserve">. (2016) 'Health care leadership development and training: progress and pitfalls', Journal of Healthcare Leadership, 8, pp. 19-29. </w:t>
      </w:r>
      <w:proofErr w:type="spellStart"/>
      <w:r w:rsidRPr="00D34A7F">
        <w:rPr>
          <w:rFonts w:cs="Arial"/>
          <w:color w:val="000000" w:themeColor="text1"/>
        </w:rPr>
        <w:t>doi</w:t>
      </w:r>
      <w:proofErr w:type="spellEnd"/>
      <w:r w:rsidRPr="00D34A7F">
        <w:rPr>
          <w:rFonts w:cs="Arial"/>
          <w:color w:val="000000" w:themeColor="text1"/>
        </w:rPr>
        <w:t>: 10.2147/JHL.S68068.</w:t>
      </w:r>
    </w:p>
    <w:p w:rsidRPr="00D34A7F" w:rsidR="006C5E1B" w:rsidP="00D34A7F" w:rsidRDefault="00000000" w14:paraId="282B9953" w14:textId="77777777">
      <w:pPr>
        <w:ind w:left="432" w:hanging="432"/>
        <w:rPr>
          <w:rFonts w:cs="Arial"/>
          <w:color w:val="000000" w:themeColor="text1"/>
        </w:rPr>
      </w:pPr>
      <w:proofErr w:type="spellStart"/>
      <w:r w:rsidRPr="00D34A7F">
        <w:rPr>
          <w:rFonts w:cs="Arial"/>
          <w:color w:val="000000" w:themeColor="text1"/>
        </w:rPr>
        <w:t>Specchia</w:t>
      </w:r>
      <w:proofErr w:type="spellEnd"/>
      <w:r w:rsidRPr="00D34A7F">
        <w:rPr>
          <w:rFonts w:cs="Arial"/>
          <w:color w:val="000000" w:themeColor="text1"/>
        </w:rPr>
        <w:t xml:space="preserve">, </w:t>
      </w:r>
      <w:proofErr w:type="spellStart"/>
      <w:r w:rsidRPr="00D34A7F">
        <w:rPr>
          <w:rFonts w:cs="Arial"/>
          <w:color w:val="000000" w:themeColor="text1"/>
        </w:rPr>
        <w:t>M.L</w:t>
      </w:r>
      <w:proofErr w:type="spellEnd"/>
      <w:r w:rsidRPr="00D34A7F">
        <w:rPr>
          <w:rFonts w:cs="Arial"/>
          <w:color w:val="000000" w:themeColor="text1"/>
        </w:rPr>
        <w:t xml:space="preserve">., Cozzolino, M.R., Carini, E. et al. (2021) 'Leadership styles and nurses' job satisfaction: results of a systematic review', International Journal of Environmental Research and Public Health, 18(4), 1552. </w:t>
      </w:r>
      <w:proofErr w:type="spellStart"/>
      <w:r w:rsidRPr="00D34A7F">
        <w:rPr>
          <w:rFonts w:cs="Arial"/>
          <w:color w:val="000000" w:themeColor="text1"/>
        </w:rPr>
        <w:t>doi</w:t>
      </w:r>
      <w:proofErr w:type="spellEnd"/>
      <w:r w:rsidRPr="00D34A7F">
        <w:rPr>
          <w:rFonts w:cs="Arial"/>
          <w:color w:val="000000" w:themeColor="text1"/>
        </w:rPr>
        <w:t>: 10.3390/ijerph18041552.</w:t>
      </w:r>
    </w:p>
    <w:p w:rsidRPr="00D34A7F" w:rsidR="006C5E1B" w:rsidP="00D34A7F" w:rsidRDefault="00000000" w14:paraId="2BA5C85D" w14:textId="761B7C78">
      <w:pPr>
        <w:ind w:left="432" w:hanging="432"/>
        <w:rPr>
          <w:rFonts w:cs="Arial"/>
          <w:color w:val="000000" w:themeColor="text1"/>
        </w:rPr>
      </w:pPr>
      <w:r w:rsidRPr="00D34A7F">
        <w:rPr>
          <w:rFonts w:cs="Arial"/>
          <w:color w:val="000000" w:themeColor="text1"/>
        </w:rPr>
        <w:t>Thirlwall Inquiry (2024a) Terms of Reference. Available at: https://thirlwall.public-inquiry.uk/about/terms-of-reference/ (Accessed: 1</w:t>
      </w:r>
      <w:r w:rsidRPr="00D34A7F" w:rsidR="00D34A7F">
        <w:rPr>
          <w:rFonts w:cs="Arial"/>
          <w:color w:val="000000" w:themeColor="text1"/>
        </w:rPr>
        <w:t>0</w:t>
      </w:r>
      <w:r w:rsidRPr="00D34A7F">
        <w:rPr>
          <w:rFonts w:cs="Arial"/>
          <w:color w:val="000000" w:themeColor="text1"/>
        </w:rPr>
        <w:t xml:space="preserve"> July 2026).</w:t>
      </w:r>
    </w:p>
    <w:p w:rsidRPr="00D34A7F" w:rsidR="006C5E1B" w:rsidP="00D34A7F" w:rsidRDefault="00000000" w14:paraId="12046F01" w14:textId="77777777">
      <w:pPr>
        <w:ind w:left="432" w:hanging="432"/>
        <w:rPr>
          <w:rFonts w:cs="Arial"/>
          <w:color w:val="000000" w:themeColor="text1"/>
        </w:rPr>
      </w:pPr>
      <w:r w:rsidRPr="00D34A7F">
        <w:rPr>
          <w:rFonts w:cs="Arial"/>
          <w:color w:val="000000" w:themeColor="text1"/>
        </w:rPr>
        <w:t>Thirlwall Inquiry (2024b) Countess of Chester Hospital NHS Foundation Trust Opening Statement. London: Thirlwall Inquiry.</w:t>
      </w:r>
    </w:p>
    <w:p w:rsidRPr="00D34A7F" w:rsidR="006C5E1B" w:rsidP="00D34A7F" w:rsidRDefault="00000000" w14:paraId="4F233D53" w14:textId="77777777">
      <w:pPr>
        <w:ind w:left="432" w:hanging="432"/>
        <w:rPr>
          <w:rFonts w:cs="Arial"/>
          <w:color w:val="000000" w:themeColor="text1"/>
        </w:rPr>
      </w:pPr>
      <w:r w:rsidRPr="00D34A7F">
        <w:rPr>
          <w:rFonts w:cs="Arial"/>
          <w:color w:val="000000" w:themeColor="text1"/>
        </w:rPr>
        <w:t>Thirlwall Inquiry (2024c) Written Opening Statement of the Senior Management Team. London: Thirlwall Inquiry.</w:t>
      </w:r>
    </w:p>
    <w:p w:rsidRPr="00D34A7F" w:rsidR="006C5E1B" w:rsidP="00D34A7F" w:rsidRDefault="00000000" w14:paraId="15F46954" w14:textId="77777777">
      <w:pPr>
        <w:ind w:left="432" w:hanging="432"/>
        <w:rPr>
          <w:rFonts w:cs="Arial"/>
          <w:color w:val="000000" w:themeColor="text1"/>
        </w:rPr>
      </w:pPr>
      <w:r w:rsidRPr="00D34A7F">
        <w:rPr>
          <w:rFonts w:cs="Arial"/>
          <w:color w:val="000000" w:themeColor="text1"/>
        </w:rPr>
        <w:t>Thirlwall Inquiry (2024d) Review of Implementation of Recommendations from Previous Inquiries into Healthcare Issues. London: Thirlwall Inquiry.</w:t>
      </w:r>
    </w:p>
    <w:p w:rsidRPr="00D34A7F" w:rsidR="006C5E1B" w:rsidP="00D34A7F" w:rsidRDefault="00000000" w14:paraId="5C797CA0" w14:textId="77777777">
      <w:pPr>
        <w:ind w:left="432" w:hanging="432"/>
        <w:rPr>
          <w:rFonts w:cs="Arial"/>
          <w:color w:val="000000" w:themeColor="text1"/>
        </w:rPr>
      </w:pPr>
      <w:r w:rsidRPr="00D34A7F">
        <w:rPr>
          <w:rFonts w:cs="Arial"/>
          <w:color w:val="000000" w:themeColor="text1"/>
        </w:rPr>
        <w:t>Thirlwall Inquiry (2025a) Closing Submissions on Behalf of the Countess of Chester Hospital NHS Foundation Trust. London: Thirlwall Inquiry.</w:t>
      </w:r>
    </w:p>
    <w:p w:rsidRPr="00D34A7F" w:rsidR="006C5E1B" w:rsidP="00D34A7F" w:rsidRDefault="00000000" w14:paraId="3BAF0069" w14:textId="77777777">
      <w:pPr>
        <w:ind w:left="432" w:hanging="432"/>
        <w:rPr>
          <w:rFonts w:cs="Arial"/>
          <w:color w:val="000000" w:themeColor="text1"/>
        </w:rPr>
      </w:pPr>
      <w:r w:rsidRPr="00D34A7F">
        <w:rPr>
          <w:rFonts w:cs="Arial"/>
          <w:color w:val="000000" w:themeColor="text1"/>
        </w:rPr>
        <w:t xml:space="preserve">Thirlwall Inquiry (2025b) Written Closing Submission of the Royal College of </w:t>
      </w:r>
      <w:proofErr w:type="spellStart"/>
      <w:r w:rsidRPr="00D34A7F">
        <w:rPr>
          <w:rFonts w:cs="Arial"/>
          <w:color w:val="000000" w:themeColor="text1"/>
        </w:rPr>
        <w:t>Paediatrics</w:t>
      </w:r>
      <w:proofErr w:type="spellEnd"/>
      <w:r w:rsidRPr="00D34A7F">
        <w:rPr>
          <w:rFonts w:cs="Arial"/>
          <w:color w:val="000000" w:themeColor="text1"/>
        </w:rPr>
        <w:t xml:space="preserve"> and Child Health. London: Thirlwall Inquiry.</w:t>
      </w:r>
    </w:p>
    <w:p w:rsidRPr="00D34A7F" w:rsidR="006C5E1B" w:rsidP="00D34A7F" w:rsidRDefault="00000000" w14:paraId="43AF8068" w14:textId="171722B9">
      <w:pPr>
        <w:ind w:left="432" w:hanging="432"/>
        <w:rPr>
          <w:rFonts w:cs="Arial"/>
          <w:color w:val="000000" w:themeColor="text1"/>
        </w:rPr>
      </w:pPr>
      <w:r w:rsidRPr="00D34A7F">
        <w:rPr>
          <w:rFonts w:cs="Arial"/>
          <w:color w:val="000000" w:themeColor="text1"/>
        </w:rPr>
        <w:t>Thirlwall Inquiry (2026) May Update on Final Report. Available at: https://thirlwall.public-inquiry.uk/ (Accessed: 1</w:t>
      </w:r>
      <w:r w:rsidRPr="00D34A7F" w:rsidR="00D34A7F">
        <w:rPr>
          <w:rFonts w:cs="Arial"/>
          <w:color w:val="000000" w:themeColor="text1"/>
        </w:rPr>
        <w:t>0</w:t>
      </w:r>
      <w:r w:rsidRPr="00D34A7F">
        <w:rPr>
          <w:rFonts w:cs="Arial"/>
          <w:color w:val="000000" w:themeColor="text1"/>
        </w:rPr>
        <w:t xml:space="preserve"> July 2026).</w:t>
      </w:r>
    </w:p>
    <w:p w:rsidRPr="00D34A7F" w:rsidR="006C5E1B" w:rsidP="00D34A7F" w:rsidRDefault="00000000" w14:paraId="3EDDDB77" w14:textId="77777777">
      <w:pPr>
        <w:ind w:left="432" w:hanging="432"/>
        <w:rPr>
          <w:rFonts w:cs="Arial"/>
          <w:color w:val="000000" w:themeColor="text1"/>
        </w:rPr>
      </w:pPr>
      <w:r w:rsidRPr="00D34A7F">
        <w:rPr>
          <w:rFonts w:cs="Arial"/>
          <w:color w:val="000000" w:themeColor="text1"/>
        </w:rPr>
        <w:t>Vincent, C. and Amalberti, R. (2016) Safer Healthcare: Strategies for the Real World. Cham: Springer.</w:t>
      </w:r>
    </w:p>
    <w:p w:rsidRPr="00D34A7F" w:rsidR="006C5E1B" w:rsidP="00D34A7F" w:rsidRDefault="00000000" w14:paraId="60393B38" w14:textId="77777777">
      <w:pPr>
        <w:ind w:left="432" w:hanging="432"/>
        <w:rPr>
          <w:rFonts w:cs="Arial"/>
          <w:color w:val="000000" w:themeColor="text1"/>
        </w:rPr>
      </w:pPr>
      <w:r w:rsidRPr="00D34A7F">
        <w:rPr>
          <w:rFonts w:cs="Arial"/>
          <w:color w:val="000000" w:themeColor="text1"/>
        </w:rPr>
        <w:lastRenderedPageBreak/>
        <w:t>West, M., Eckert, R., Collins, B. and Chowla, R. (2017) Caring to Change: How Compassionate Leadership Can Stimulate Innovation in Health Care. London: The King's Fund.</w:t>
      </w:r>
    </w:p>
    <w:p w:rsidRPr="00D34A7F" w:rsidR="006C5E1B" w:rsidP="00D34A7F" w:rsidRDefault="00000000" w14:paraId="0EA1CF21" w14:textId="77777777">
      <w:pPr>
        <w:ind w:left="432" w:hanging="432"/>
        <w:rPr>
          <w:rFonts w:cs="Arial"/>
          <w:color w:val="000000" w:themeColor="text1"/>
        </w:rPr>
      </w:pPr>
      <w:r w:rsidRPr="00D34A7F">
        <w:rPr>
          <w:rFonts w:cs="Arial"/>
          <w:color w:val="000000" w:themeColor="text1"/>
        </w:rPr>
        <w:t>WHO (2021) Global Patient Safety Action Plan 2021-2030: Towards Eliminating Avoidable Harm in Health Care. Geneva: World Health Organization.</w:t>
      </w:r>
    </w:p>
    <w:p w:rsidRPr="00D34A7F" w:rsidR="006C5E1B" w:rsidP="00D34A7F" w:rsidRDefault="00000000" w14:paraId="7093DB29" w14:textId="0AE8A759">
      <w:pPr>
        <w:ind w:left="432" w:hanging="432"/>
        <w:rPr>
          <w:rFonts w:cs="Arial"/>
          <w:color w:val="000000" w:themeColor="text1"/>
        </w:rPr>
      </w:pPr>
      <w:r w:rsidRPr="00D34A7F">
        <w:rPr>
          <w:rFonts w:cs="Arial"/>
          <w:color w:val="000000" w:themeColor="text1"/>
        </w:rPr>
        <w:t>WHO (2023) Patient Safety. Geneva: World Health Organization. Available at: https://www.who.int/news-room/fact-sheets/detail/patient-safety (Accessed: 1</w:t>
      </w:r>
      <w:r w:rsidRPr="00D34A7F" w:rsidR="00D34A7F">
        <w:rPr>
          <w:rFonts w:cs="Arial"/>
          <w:color w:val="000000" w:themeColor="text1"/>
        </w:rPr>
        <w:t>0</w:t>
      </w:r>
      <w:r w:rsidRPr="00D34A7F">
        <w:rPr>
          <w:rFonts w:cs="Arial"/>
          <w:color w:val="000000" w:themeColor="text1"/>
        </w:rPr>
        <w:t xml:space="preserve"> July 2026).</w:t>
      </w:r>
    </w:p>
    <w:p w:rsidRPr="00D34A7F" w:rsidR="006C5E1B" w:rsidP="00D34A7F" w:rsidRDefault="00000000" w14:paraId="734B9A3E" w14:textId="06C1870E">
      <w:pPr>
        <w:ind w:left="432" w:hanging="432"/>
        <w:rPr>
          <w:rFonts w:cs="Arial"/>
          <w:color w:val="000000" w:themeColor="text1"/>
        </w:rPr>
      </w:pPr>
      <w:r w:rsidRPr="00D34A7F">
        <w:rPr>
          <w:rFonts w:cs="Arial"/>
          <w:color w:val="000000" w:themeColor="text1"/>
        </w:rPr>
        <w:t>Yukl, G. and Gardner, W.L. (2020) Leadership in Organi</w:t>
      </w:r>
      <w:r w:rsidRPr="00D34A7F" w:rsidR="00D43BC5">
        <w:rPr>
          <w:rFonts w:cs="Arial"/>
          <w:color w:val="000000" w:themeColor="text1"/>
        </w:rPr>
        <w:t>s</w:t>
      </w:r>
      <w:r w:rsidRPr="00D34A7F">
        <w:rPr>
          <w:rFonts w:cs="Arial"/>
          <w:color w:val="000000" w:themeColor="text1"/>
        </w:rPr>
        <w:t xml:space="preserve">ations. 9th </w:t>
      </w:r>
      <w:proofErr w:type="spellStart"/>
      <w:r w:rsidRPr="00D34A7F">
        <w:rPr>
          <w:rFonts w:cs="Arial"/>
          <w:color w:val="000000" w:themeColor="text1"/>
        </w:rPr>
        <w:t>edn</w:t>
      </w:r>
      <w:proofErr w:type="spellEnd"/>
      <w:r w:rsidRPr="00D34A7F">
        <w:rPr>
          <w:rFonts w:cs="Arial"/>
          <w:color w:val="000000" w:themeColor="text1"/>
        </w:rPr>
        <w:t>. Harlow: Pearson.</w:t>
      </w:r>
    </w:p>
    <w:p w:rsidRPr="00D34A7F" w:rsidR="006C5E1B" w:rsidP="00D34A7F" w:rsidRDefault="00000000" w14:paraId="36694186" w14:textId="77777777">
      <w:pPr>
        <w:ind w:left="432" w:hanging="432"/>
        <w:rPr>
          <w:rFonts w:cs="Arial"/>
          <w:color w:val="000000" w:themeColor="text1"/>
        </w:rPr>
      </w:pPr>
      <w:r w:rsidRPr="00D34A7F">
        <w:rPr>
          <w:rFonts w:cs="Arial"/>
          <w:color w:val="000000" w:themeColor="text1"/>
        </w:rPr>
        <w:t xml:space="preserve">Zu, L. (2019) 'Purpose-driven leadership for sustainable business: from the perspective of Taoism', International Journal of Corporate Social Responsibility, 4, 3. </w:t>
      </w:r>
      <w:proofErr w:type="spellStart"/>
      <w:r w:rsidRPr="00D34A7F">
        <w:rPr>
          <w:rFonts w:cs="Arial"/>
          <w:color w:val="000000" w:themeColor="text1"/>
        </w:rPr>
        <w:t>doi</w:t>
      </w:r>
      <w:proofErr w:type="spellEnd"/>
      <w:r w:rsidRPr="00D34A7F">
        <w:rPr>
          <w:rFonts w:cs="Arial"/>
          <w:color w:val="000000" w:themeColor="text1"/>
        </w:rPr>
        <w:t>: 10.1186/s40991-019-0041-z.</w:t>
      </w:r>
    </w:p>
    <w:p w:rsidRPr="00D34A7F" w:rsidR="006C5E1B" w:rsidP="00D34A7F" w:rsidRDefault="00000000" w14:paraId="7F037509" w14:textId="77777777">
      <w:pPr>
        <w:pStyle w:val="Heading1"/>
        <w:pageBreakBefore/>
        <w:rPr>
          <w:rFonts w:ascii="Arial" w:hAnsi="Arial" w:cs="Arial"/>
          <w:color w:val="000000" w:themeColor="text1"/>
          <w:sz w:val="22"/>
          <w:szCs w:val="22"/>
        </w:rPr>
      </w:pPr>
      <w:r w:rsidRPr="00D34A7F">
        <w:rPr>
          <w:rFonts w:ascii="Arial" w:hAnsi="Arial" w:eastAsia="Arial" w:cs="Arial"/>
          <w:color w:val="000000" w:themeColor="text1"/>
          <w:sz w:val="22"/>
          <w:szCs w:val="22"/>
        </w:rPr>
        <w:lastRenderedPageBreak/>
        <w:t xml:space="preserve">Appendix A: </w:t>
      </w:r>
      <w:proofErr w:type="spellStart"/>
      <w:r w:rsidRPr="00D34A7F">
        <w:rPr>
          <w:rFonts w:ascii="Arial" w:hAnsi="Arial" w:eastAsia="Arial" w:cs="Arial"/>
          <w:color w:val="000000" w:themeColor="text1"/>
          <w:sz w:val="22"/>
          <w:szCs w:val="22"/>
        </w:rPr>
        <w:t>CATWOE</w:t>
      </w:r>
      <w:proofErr w:type="spellEnd"/>
      <w:r w:rsidRPr="00D34A7F">
        <w:rPr>
          <w:rFonts w:ascii="Arial" w:hAnsi="Arial" w:eastAsia="Arial" w:cs="Arial"/>
          <w:color w:val="000000" w:themeColor="text1"/>
          <w:sz w:val="22"/>
          <w:szCs w:val="22"/>
        </w:rPr>
        <w:t xml:space="preserve"> Summary for the Proposed Transformation</w:t>
      </w:r>
    </w:p>
    <w:tbl>
      <w:tblPr>
        <w:tblStyle w:val="TableGrid"/>
        <w:tblW w:w="0" w:type="auto"/>
        <w:jc w:val="center"/>
        <w:tblLook w:val="04A0" w:firstRow="1" w:lastRow="0" w:firstColumn="1" w:lastColumn="0" w:noHBand="0" w:noVBand="1"/>
      </w:tblPr>
      <w:tblGrid>
        <w:gridCol w:w="4513"/>
        <w:gridCol w:w="4513"/>
      </w:tblGrid>
      <w:tr w:rsidRPr="00D34A7F" w:rsidR="006C5E1B" w14:paraId="7375A01B" w14:textId="77777777">
        <w:trPr>
          <w:tblHeader/>
          <w:jc w:val="center"/>
        </w:trPr>
        <w:tc>
          <w:tcPr>
            <w:tcW w:w="4513" w:type="dxa"/>
            <w:shd w:val="clear" w:color="auto" w:fill="D9EAF7"/>
            <w:vAlign w:val="center"/>
          </w:tcPr>
          <w:p w:rsidRPr="00D34A7F" w:rsidR="006C5E1B" w:rsidP="00D34A7F" w:rsidRDefault="00000000" w14:paraId="42ADE5C9" w14:textId="77777777">
            <w:pPr>
              <w:spacing w:after="0"/>
              <w:rPr>
                <w:rFonts w:cs="Arial"/>
                <w:color w:val="000000" w:themeColor="text1"/>
              </w:rPr>
            </w:pPr>
            <w:proofErr w:type="spellStart"/>
            <w:r w:rsidRPr="00D34A7F">
              <w:rPr>
                <w:rFonts w:cs="Arial"/>
                <w:b/>
                <w:color w:val="000000" w:themeColor="text1"/>
              </w:rPr>
              <w:t>CATWOE</w:t>
            </w:r>
            <w:proofErr w:type="spellEnd"/>
            <w:r w:rsidRPr="00D34A7F">
              <w:rPr>
                <w:rFonts w:cs="Arial"/>
                <w:b/>
                <w:color w:val="000000" w:themeColor="text1"/>
              </w:rPr>
              <w:t xml:space="preserve"> element</w:t>
            </w:r>
          </w:p>
        </w:tc>
        <w:tc>
          <w:tcPr>
            <w:tcW w:w="4513" w:type="dxa"/>
            <w:shd w:val="clear" w:color="auto" w:fill="D9EAF7"/>
            <w:vAlign w:val="center"/>
          </w:tcPr>
          <w:p w:rsidRPr="00D34A7F" w:rsidR="006C5E1B" w:rsidP="00D34A7F" w:rsidRDefault="00000000" w14:paraId="24553241" w14:textId="77777777">
            <w:pPr>
              <w:spacing w:after="0"/>
              <w:rPr>
                <w:rFonts w:cs="Arial"/>
                <w:color w:val="000000" w:themeColor="text1"/>
              </w:rPr>
            </w:pPr>
            <w:r w:rsidRPr="00D34A7F">
              <w:rPr>
                <w:rFonts w:cs="Arial"/>
                <w:b/>
                <w:color w:val="000000" w:themeColor="text1"/>
              </w:rPr>
              <w:t>Application</w:t>
            </w:r>
          </w:p>
        </w:tc>
      </w:tr>
      <w:tr w:rsidRPr="00D34A7F" w:rsidR="006C5E1B" w14:paraId="3D941882" w14:textId="77777777">
        <w:trPr>
          <w:jc w:val="center"/>
        </w:trPr>
        <w:tc>
          <w:tcPr>
            <w:tcW w:w="4513" w:type="dxa"/>
            <w:vAlign w:val="center"/>
          </w:tcPr>
          <w:p w:rsidRPr="00D34A7F" w:rsidR="006C5E1B" w:rsidP="00D34A7F" w:rsidRDefault="00000000" w14:paraId="028C2A5E" w14:textId="77777777">
            <w:pPr>
              <w:spacing w:after="0"/>
              <w:rPr>
                <w:rFonts w:cs="Arial"/>
                <w:color w:val="000000" w:themeColor="text1"/>
              </w:rPr>
            </w:pPr>
            <w:r w:rsidRPr="00D34A7F">
              <w:rPr>
                <w:rFonts w:cs="Arial"/>
                <w:b/>
                <w:color w:val="000000" w:themeColor="text1"/>
              </w:rPr>
              <w:t>Customers</w:t>
            </w:r>
          </w:p>
        </w:tc>
        <w:tc>
          <w:tcPr>
            <w:tcW w:w="4513" w:type="dxa"/>
            <w:vAlign w:val="center"/>
          </w:tcPr>
          <w:p w:rsidRPr="00D34A7F" w:rsidR="006C5E1B" w:rsidP="00D34A7F" w:rsidRDefault="00000000" w14:paraId="564203AE" w14:textId="77777777">
            <w:pPr>
              <w:spacing w:after="0"/>
              <w:rPr>
                <w:rFonts w:cs="Arial"/>
                <w:color w:val="000000" w:themeColor="text1"/>
              </w:rPr>
            </w:pPr>
            <w:r w:rsidRPr="00D34A7F">
              <w:rPr>
                <w:rFonts w:cs="Arial"/>
                <w:color w:val="000000" w:themeColor="text1"/>
              </w:rPr>
              <w:t>Babies, families, neonatal staff, the wider public and future patients who depend on trustworthy services.</w:t>
            </w:r>
          </w:p>
        </w:tc>
      </w:tr>
      <w:tr w:rsidRPr="00D34A7F" w:rsidR="006C5E1B" w14:paraId="62C4FBB7" w14:textId="77777777">
        <w:trPr>
          <w:jc w:val="center"/>
        </w:trPr>
        <w:tc>
          <w:tcPr>
            <w:tcW w:w="4513" w:type="dxa"/>
            <w:vAlign w:val="center"/>
          </w:tcPr>
          <w:p w:rsidRPr="00D34A7F" w:rsidR="006C5E1B" w:rsidP="00D34A7F" w:rsidRDefault="00000000" w14:paraId="757D0C17" w14:textId="77777777">
            <w:pPr>
              <w:spacing w:after="0"/>
              <w:rPr>
                <w:rFonts w:cs="Arial"/>
                <w:color w:val="000000" w:themeColor="text1"/>
              </w:rPr>
            </w:pPr>
            <w:r w:rsidRPr="00D34A7F">
              <w:rPr>
                <w:rFonts w:cs="Arial"/>
                <w:b/>
                <w:color w:val="000000" w:themeColor="text1"/>
              </w:rPr>
              <w:t>Actors</w:t>
            </w:r>
          </w:p>
        </w:tc>
        <w:tc>
          <w:tcPr>
            <w:tcW w:w="4513" w:type="dxa"/>
            <w:vAlign w:val="center"/>
          </w:tcPr>
          <w:p w:rsidRPr="00D34A7F" w:rsidR="006C5E1B" w:rsidP="00D34A7F" w:rsidRDefault="00000000" w14:paraId="5945B887" w14:textId="77777777">
            <w:pPr>
              <w:spacing w:after="0"/>
              <w:rPr>
                <w:rFonts w:cs="Arial"/>
                <w:color w:val="000000" w:themeColor="text1"/>
              </w:rPr>
            </w:pPr>
            <w:r w:rsidRPr="00D34A7F">
              <w:rPr>
                <w:rFonts w:cs="Arial"/>
                <w:color w:val="000000" w:themeColor="text1"/>
              </w:rPr>
              <w:t xml:space="preserve">Neonatal clinicians, managers, executives, board members, data analysts, safeguarding teams, </w:t>
            </w:r>
            <w:proofErr w:type="spellStart"/>
            <w:r w:rsidRPr="00D34A7F">
              <w:rPr>
                <w:rFonts w:cs="Arial"/>
                <w:color w:val="000000" w:themeColor="text1"/>
              </w:rPr>
              <w:t>FTSU</w:t>
            </w:r>
            <w:proofErr w:type="spellEnd"/>
            <w:r w:rsidRPr="00D34A7F">
              <w:rPr>
                <w:rFonts w:cs="Arial"/>
                <w:color w:val="000000" w:themeColor="text1"/>
              </w:rPr>
              <w:t xml:space="preserve"> guardians, regulators, coroner and police.</w:t>
            </w:r>
          </w:p>
        </w:tc>
      </w:tr>
      <w:tr w:rsidRPr="00D34A7F" w:rsidR="006C5E1B" w14:paraId="0062742B" w14:textId="77777777">
        <w:trPr>
          <w:jc w:val="center"/>
        </w:trPr>
        <w:tc>
          <w:tcPr>
            <w:tcW w:w="4513" w:type="dxa"/>
            <w:vAlign w:val="center"/>
          </w:tcPr>
          <w:p w:rsidRPr="00D34A7F" w:rsidR="006C5E1B" w:rsidP="00D34A7F" w:rsidRDefault="00000000" w14:paraId="39F9922B" w14:textId="77777777">
            <w:pPr>
              <w:spacing w:after="0"/>
              <w:rPr>
                <w:rFonts w:cs="Arial"/>
                <w:color w:val="000000" w:themeColor="text1"/>
              </w:rPr>
            </w:pPr>
            <w:r w:rsidRPr="00D34A7F">
              <w:rPr>
                <w:rFonts w:cs="Arial"/>
                <w:b/>
                <w:color w:val="000000" w:themeColor="text1"/>
              </w:rPr>
              <w:t>Transformation</w:t>
            </w:r>
          </w:p>
        </w:tc>
        <w:tc>
          <w:tcPr>
            <w:tcW w:w="4513" w:type="dxa"/>
            <w:vAlign w:val="center"/>
          </w:tcPr>
          <w:p w:rsidRPr="00D34A7F" w:rsidR="006C5E1B" w:rsidP="00D34A7F" w:rsidRDefault="00000000" w14:paraId="36694AAC" w14:textId="77777777">
            <w:pPr>
              <w:spacing w:after="0"/>
              <w:rPr>
                <w:rFonts w:cs="Arial"/>
                <w:color w:val="000000" w:themeColor="text1"/>
              </w:rPr>
            </w:pPr>
            <w:r w:rsidRPr="00D34A7F">
              <w:rPr>
                <w:rFonts w:cs="Arial"/>
                <w:color w:val="000000" w:themeColor="text1"/>
              </w:rPr>
              <w:t>Convert fragmented, disputed weak signals into timely containment, independent review, external escalation and organisational learning.</w:t>
            </w:r>
          </w:p>
        </w:tc>
      </w:tr>
      <w:tr w:rsidRPr="00D34A7F" w:rsidR="006C5E1B" w14:paraId="2CFC7749" w14:textId="77777777">
        <w:trPr>
          <w:jc w:val="center"/>
        </w:trPr>
        <w:tc>
          <w:tcPr>
            <w:tcW w:w="4513" w:type="dxa"/>
            <w:vAlign w:val="center"/>
          </w:tcPr>
          <w:p w:rsidRPr="00D34A7F" w:rsidR="006C5E1B" w:rsidP="00D34A7F" w:rsidRDefault="00000000" w14:paraId="5C0F3444" w14:textId="77777777">
            <w:pPr>
              <w:spacing w:after="0"/>
              <w:rPr>
                <w:rFonts w:cs="Arial"/>
                <w:color w:val="000000" w:themeColor="text1"/>
              </w:rPr>
            </w:pPr>
            <w:r w:rsidRPr="00D34A7F">
              <w:rPr>
                <w:rFonts w:cs="Arial"/>
                <w:b/>
                <w:color w:val="000000" w:themeColor="text1"/>
              </w:rPr>
              <w:t>Worldview</w:t>
            </w:r>
          </w:p>
        </w:tc>
        <w:tc>
          <w:tcPr>
            <w:tcW w:w="4513" w:type="dxa"/>
            <w:vAlign w:val="center"/>
          </w:tcPr>
          <w:p w:rsidRPr="00D34A7F" w:rsidR="006C5E1B" w:rsidP="00D34A7F" w:rsidRDefault="00000000" w14:paraId="4E54F9B5" w14:textId="77777777">
            <w:pPr>
              <w:spacing w:after="0"/>
              <w:rPr>
                <w:rFonts w:cs="Arial"/>
                <w:color w:val="000000" w:themeColor="text1"/>
              </w:rPr>
            </w:pPr>
            <w:r w:rsidRPr="00D34A7F">
              <w:rPr>
                <w:rFonts w:cs="Arial"/>
                <w:color w:val="000000" w:themeColor="text1"/>
              </w:rPr>
              <w:t>Patient safety and truth-seeking must take priority over reputation; uncertainty should trigger proportionate protection rather than delay.</w:t>
            </w:r>
          </w:p>
        </w:tc>
      </w:tr>
      <w:tr w:rsidRPr="00D34A7F" w:rsidR="006C5E1B" w14:paraId="335E7C2A" w14:textId="77777777">
        <w:trPr>
          <w:jc w:val="center"/>
        </w:trPr>
        <w:tc>
          <w:tcPr>
            <w:tcW w:w="4513" w:type="dxa"/>
            <w:vAlign w:val="center"/>
          </w:tcPr>
          <w:p w:rsidRPr="00D34A7F" w:rsidR="006C5E1B" w:rsidP="00D34A7F" w:rsidRDefault="00000000" w14:paraId="6C78FFE3" w14:textId="77777777">
            <w:pPr>
              <w:spacing w:after="0"/>
              <w:rPr>
                <w:rFonts w:cs="Arial"/>
                <w:color w:val="000000" w:themeColor="text1"/>
              </w:rPr>
            </w:pPr>
            <w:r w:rsidRPr="00D34A7F">
              <w:rPr>
                <w:rFonts w:cs="Arial"/>
                <w:b/>
                <w:color w:val="000000" w:themeColor="text1"/>
              </w:rPr>
              <w:t>Owners</w:t>
            </w:r>
          </w:p>
        </w:tc>
        <w:tc>
          <w:tcPr>
            <w:tcW w:w="4513" w:type="dxa"/>
            <w:vAlign w:val="center"/>
          </w:tcPr>
          <w:p w:rsidRPr="00D34A7F" w:rsidR="006C5E1B" w:rsidP="00D34A7F" w:rsidRDefault="00000000" w14:paraId="78FD9588" w14:textId="77777777">
            <w:pPr>
              <w:spacing w:after="0"/>
              <w:rPr>
                <w:rFonts w:cs="Arial"/>
                <w:color w:val="000000" w:themeColor="text1"/>
              </w:rPr>
            </w:pPr>
            <w:r w:rsidRPr="00D34A7F">
              <w:rPr>
                <w:rFonts w:cs="Arial"/>
                <w:color w:val="000000" w:themeColor="text1"/>
              </w:rPr>
              <w:t xml:space="preserve">Trust Board, Chief Executive, Medical Director and Chief Nurse, with external assurance from NHS England, </w:t>
            </w:r>
            <w:proofErr w:type="spellStart"/>
            <w:r w:rsidRPr="00D34A7F">
              <w:rPr>
                <w:rFonts w:cs="Arial"/>
                <w:color w:val="000000" w:themeColor="text1"/>
              </w:rPr>
              <w:t>ICB</w:t>
            </w:r>
            <w:proofErr w:type="spellEnd"/>
            <w:r w:rsidRPr="00D34A7F">
              <w:rPr>
                <w:rFonts w:cs="Arial"/>
                <w:color w:val="000000" w:themeColor="text1"/>
              </w:rPr>
              <w:t xml:space="preserve"> and CQC.</w:t>
            </w:r>
          </w:p>
        </w:tc>
      </w:tr>
      <w:tr w:rsidRPr="00D34A7F" w:rsidR="006C5E1B" w14:paraId="76472119" w14:textId="77777777">
        <w:trPr>
          <w:jc w:val="center"/>
        </w:trPr>
        <w:tc>
          <w:tcPr>
            <w:tcW w:w="4513" w:type="dxa"/>
            <w:vAlign w:val="center"/>
          </w:tcPr>
          <w:p w:rsidRPr="00D34A7F" w:rsidR="006C5E1B" w:rsidP="00D34A7F" w:rsidRDefault="00000000" w14:paraId="4ACE378A" w14:textId="77777777">
            <w:pPr>
              <w:spacing w:after="0"/>
              <w:rPr>
                <w:rFonts w:cs="Arial"/>
                <w:color w:val="000000" w:themeColor="text1"/>
              </w:rPr>
            </w:pPr>
            <w:r w:rsidRPr="00D34A7F">
              <w:rPr>
                <w:rFonts w:cs="Arial"/>
                <w:b/>
                <w:color w:val="000000" w:themeColor="text1"/>
              </w:rPr>
              <w:t>Environmental constraints</w:t>
            </w:r>
          </w:p>
        </w:tc>
        <w:tc>
          <w:tcPr>
            <w:tcW w:w="4513" w:type="dxa"/>
            <w:vAlign w:val="center"/>
          </w:tcPr>
          <w:p w:rsidRPr="00D34A7F" w:rsidR="006C5E1B" w:rsidP="00D34A7F" w:rsidRDefault="00000000" w14:paraId="643592A1" w14:textId="77777777">
            <w:pPr>
              <w:spacing w:after="0"/>
              <w:rPr>
                <w:rFonts w:cs="Arial"/>
                <w:color w:val="000000" w:themeColor="text1"/>
              </w:rPr>
            </w:pPr>
            <w:r w:rsidRPr="00D34A7F">
              <w:rPr>
                <w:rFonts w:cs="Arial"/>
                <w:color w:val="000000" w:themeColor="text1"/>
              </w:rPr>
              <w:t>Legal fairness, confidentiality, workforce shortages, rare-event statistics, regulatory boundaries, limited pathology capacity and the risk of blame culture.</w:t>
            </w:r>
          </w:p>
        </w:tc>
      </w:tr>
    </w:tbl>
    <w:p w:rsidRPr="00D34A7F" w:rsidR="0048691B" w:rsidP="00D34A7F" w:rsidRDefault="0048691B" w14:paraId="21CDAA87" w14:textId="77777777">
      <w:pPr>
        <w:rPr>
          <w:rFonts w:cs="Arial"/>
          <w:color w:val="000000" w:themeColor="text1"/>
        </w:rPr>
      </w:pPr>
    </w:p>
    <w:sectPr w:rsidRPr="00D34A7F" w:rsidR="0048691B" w:rsidSect="00034616">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4212E" w:rsidRDefault="00C4212E" w14:paraId="2C2DC920" w14:textId="77777777">
      <w:pPr>
        <w:spacing w:after="0" w:line="240" w:lineRule="auto"/>
      </w:pPr>
      <w:r>
        <w:separator/>
      </w:r>
    </w:p>
  </w:endnote>
  <w:endnote w:type="continuationSeparator" w:id="0">
    <w:p w:rsidR="00C4212E" w:rsidRDefault="00C4212E" w14:paraId="7E89608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4CE4" w:rsidRDefault="00874CE4" w14:paraId="58A03DD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C5E1B" w:rsidRDefault="00000000" w14:paraId="68F73CF1" w14:textId="77777777">
    <w:pPr>
      <w:pStyle w:val="Footer"/>
      <w:jc w:val="center"/>
    </w:pPr>
    <w:r>
      <w:fldChar w:fldCharType="begin"/>
    </w:r>
    <w:r>
      <w:instrText>PAGE</w:instrText>
    </w:r>
    <w:r>
      <w:fldChar w:fldCharType="separate"/>
    </w:r>
    <w:r w:rsidR="00CA590A">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4CE4" w:rsidRDefault="00874CE4" w14:paraId="00537A4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4212E" w:rsidRDefault="00C4212E" w14:paraId="19A7D584" w14:textId="77777777">
      <w:pPr>
        <w:spacing w:after="0" w:line="240" w:lineRule="auto"/>
      </w:pPr>
      <w:r>
        <w:separator/>
      </w:r>
    </w:p>
  </w:footnote>
  <w:footnote w:type="continuationSeparator" w:id="0">
    <w:p w:rsidR="00C4212E" w:rsidRDefault="00C4212E" w14:paraId="3F47843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4CE4" w:rsidRDefault="00874CE4" w14:paraId="641E8EF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874CE4" w:rsidR="006C5E1B" w:rsidP="00874CE4" w:rsidRDefault="006C5E1B" w14:paraId="22C29A36" w14:textId="29EDD2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4CE4" w:rsidRDefault="00874CE4" w14:paraId="0883489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640577245">
    <w:abstractNumId w:val="8"/>
  </w:num>
  <w:num w:numId="2" w16cid:durableId="762646951">
    <w:abstractNumId w:val="6"/>
  </w:num>
  <w:num w:numId="3" w16cid:durableId="73088699">
    <w:abstractNumId w:val="5"/>
  </w:num>
  <w:num w:numId="4" w16cid:durableId="2145419233">
    <w:abstractNumId w:val="4"/>
  </w:num>
  <w:num w:numId="5" w16cid:durableId="1917471011">
    <w:abstractNumId w:val="7"/>
  </w:num>
  <w:num w:numId="6" w16cid:durableId="1004094610">
    <w:abstractNumId w:val="3"/>
  </w:num>
  <w:num w:numId="7" w16cid:durableId="1651593059">
    <w:abstractNumId w:val="2"/>
  </w:num>
  <w:num w:numId="8" w16cid:durableId="1158301164">
    <w:abstractNumId w:val="1"/>
  </w:num>
  <w:num w:numId="9" w16cid:durableId="608898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QyNDI2M7MwNjYGspV0lIJTi4sz8/NACoxqAWRUFjYsAAAA"/>
  </w:docVars>
  <w:rsids>
    <w:rsidRoot w:val="00B47730"/>
    <w:rsid w:val="00034616"/>
    <w:rsid w:val="00050FB4"/>
    <w:rsid w:val="0006063C"/>
    <w:rsid w:val="00120EC2"/>
    <w:rsid w:val="0015074B"/>
    <w:rsid w:val="0028583B"/>
    <w:rsid w:val="0029639D"/>
    <w:rsid w:val="00326F90"/>
    <w:rsid w:val="00365306"/>
    <w:rsid w:val="00372ACB"/>
    <w:rsid w:val="003D1793"/>
    <w:rsid w:val="003F31E6"/>
    <w:rsid w:val="00433C5C"/>
    <w:rsid w:val="0048691B"/>
    <w:rsid w:val="00510250"/>
    <w:rsid w:val="00537F40"/>
    <w:rsid w:val="005B2722"/>
    <w:rsid w:val="00640891"/>
    <w:rsid w:val="006C5E1B"/>
    <w:rsid w:val="00713C1E"/>
    <w:rsid w:val="00874CE4"/>
    <w:rsid w:val="00980B84"/>
    <w:rsid w:val="00A063ED"/>
    <w:rsid w:val="00A87CD8"/>
    <w:rsid w:val="00AA1D8D"/>
    <w:rsid w:val="00AD02D8"/>
    <w:rsid w:val="00B11671"/>
    <w:rsid w:val="00B257D8"/>
    <w:rsid w:val="00B47730"/>
    <w:rsid w:val="00BF6DDB"/>
    <w:rsid w:val="00C4212E"/>
    <w:rsid w:val="00C8243B"/>
    <w:rsid w:val="00CA590A"/>
    <w:rsid w:val="00CB0664"/>
    <w:rsid w:val="00D34A7F"/>
    <w:rsid w:val="00D43BC5"/>
    <w:rsid w:val="00DF3645"/>
    <w:rsid w:val="00DF48E8"/>
    <w:rsid w:val="00F00E07"/>
    <w:rsid w:val="00FC693F"/>
    <w:rsid w:val="0A15EDA2"/>
    <w:rsid w:val="0A7D1144"/>
    <w:rsid w:val="3021CC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618BC7"/>
  <w14:defaultImageDpi w14:val="300"/>
  <w15:docId w15:val="{11673226-8BDC-4421-8848-36E806836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pPr>
    <w:rPr>
      <w:rFonts w:ascii="Arial" w:hAnsi="Arial" w:eastAsia="Arial"/>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hAnsiTheme="majorHAnsi" w:eastAsiaTheme="majorEastAsia"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hAnsiTheme="majorHAnsi" w:eastAsiaTheme="majorEastAsia" w:cstheme="majorBidi"/>
      <w:b/>
      <w:bCs/>
      <w:color w:val="2F5597"/>
      <w:sz w:val="24"/>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hAnsiTheme="majorHAnsi" w:eastAsiaTheme="majorEastAsia" w:cstheme="majorBidi"/>
      <w:b/>
      <w:bCs/>
      <w:color w:val="4472C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before="200" w:line="240" w:lineRule="auto"/>
      <w:contextualSpacing/>
    </w:pPr>
    <w:rPr>
      <w:rFonts w:asciiTheme="majorHAnsi" w:hAnsiTheme="majorHAnsi" w:eastAsiaTheme="majorEastAsia" w:cstheme="majorBidi"/>
      <w:b/>
      <w:color w:val="1F4E79"/>
      <w:spacing w:val="5"/>
      <w:kern w:val="28"/>
      <w:sz w:val="40"/>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8</revision>
  <dcterms:created xsi:type="dcterms:W3CDTF">2013-12-23T23:15:00.0000000Z</dcterms:created>
  <dcterms:modified xsi:type="dcterms:W3CDTF">2026-07-22T18:47:17.7626772Z</dcterms:modified>
  <category/>
  <lastModifiedBy>Amreen Akhtar (2214675)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3962c9bd-b4a3-4425-b1bf-ccee31f2a259</vt:lpwstr>
  </property>
</Properties>
</file>