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F3261" w14:textId="0A6F5855" w:rsidR="00EB3186" w:rsidRPr="005077D0" w:rsidRDefault="00EB3186">
      <w:pPr>
        <w:rPr>
          <w:b/>
          <w:bCs/>
          <w:u w:val="single"/>
        </w:rPr>
      </w:pPr>
    </w:p>
    <w:p w14:paraId="6F37BBA1" w14:textId="08C52C11" w:rsidR="005077D0" w:rsidRPr="00150540" w:rsidRDefault="00362DCE">
      <w:pPr>
        <w:rPr>
          <w:rFonts w:ascii="Arial" w:hAnsi="Arial" w:cs="Arial"/>
          <w:b/>
          <w:bCs/>
          <w:u w:val="single"/>
        </w:rPr>
      </w:pPr>
      <w:r w:rsidRPr="00150540">
        <w:rPr>
          <w:rFonts w:ascii="Arial" w:hAnsi="Arial" w:cs="Arial"/>
          <w:b/>
          <w:bCs/>
          <w:u w:val="single"/>
        </w:rPr>
        <w:t xml:space="preserve">Big Business Limited </w:t>
      </w:r>
      <w:r w:rsidR="00754358" w:rsidRPr="00150540">
        <w:rPr>
          <w:rFonts w:ascii="Arial" w:hAnsi="Arial" w:cs="Arial"/>
          <w:b/>
          <w:bCs/>
          <w:u w:val="single"/>
        </w:rPr>
        <w:t>(BBL) – Advice to Management Team on cancellation of Illuminate contract</w:t>
      </w:r>
    </w:p>
    <w:p w14:paraId="0F383CC7" w14:textId="7B806566" w:rsidR="005077D0" w:rsidRDefault="005077D0">
      <w:pPr>
        <w:rPr>
          <w:rFonts w:ascii="Arial" w:hAnsi="Arial" w:cs="Arial"/>
          <w:b/>
          <w:bCs/>
          <w:u w:val="single"/>
        </w:rPr>
      </w:pPr>
    </w:p>
    <w:p w14:paraId="1692C51C" w14:textId="05C5357B" w:rsidR="005077D0" w:rsidRPr="005077D0" w:rsidRDefault="005077D0">
      <w:pPr>
        <w:rPr>
          <w:rFonts w:ascii="Arial" w:hAnsi="Arial" w:cs="Arial"/>
        </w:rPr>
      </w:pPr>
      <w:r>
        <w:rPr>
          <w:rFonts w:ascii="Arial" w:hAnsi="Arial" w:cs="Arial"/>
        </w:rPr>
        <w:t>Following receipt of an email from BBL Management Team regarding termination of the existing contract with Illuminate, I have been asked to advise on the following:</w:t>
      </w:r>
    </w:p>
    <w:p w14:paraId="68CEC55F" w14:textId="77777777" w:rsidR="005077D0" w:rsidRPr="00D447E7" w:rsidRDefault="005077D0">
      <w:pPr>
        <w:rPr>
          <w:rFonts w:ascii="Arial" w:hAnsi="Arial" w:cs="Arial"/>
          <w:b/>
          <w:bCs/>
        </w:rPr>
      </w:pPr>
    </w:p>
    <w:p w14:paraId="2249F556" w14:textId="6A94B069" w:rsidR="00D447E7" w:rsidRPr="00D447E7" w:rsidRDefault="005077D0" w:rsidP="00D447E7">
      <w:pPr>
        <w:pStyle w:val="ListParagraph"/>
        <w:numPr>
          <w:ilvl w:val="0"/>
          <w:numId w:val="1"/>
        </w:numPr>
        <w:rPr>
          <w:rFonts w:ascii="Arial" w:hAnsi="Arial" w:cs="Arial"/>
        </w:rPr>
      </w:pPr>
      <w:r w:rsidRPr="00D447E7">
        <w:rPr>
          <w:rFonts w:ascii="Arial" w:hAnsi="Arial" w:cs="Arial"/>
        </w:rPr>
        <w:t>Does the cancellation of the contact instigate the Transfer of Undertakings</w:t>
      </w:r>
      <w:r w:rsidR="00D447E7" w:rsidRPr="00D447E7">
        <w:rPr>
          <w:rFonts w:ascii="Arial" w:hAnsi="Arial" w:cs="Arial"/>
        </w:rPr>
        <w:t xml:space="preserve"> (Protection of Employment) Regulations (TUPE</w:t>
      </w:r>
      <w:r w:rsidR="00DA5ABF" w:rsidRPr="00D447E7">
        <w:rPr>
          <w:rFonts w:ascii="Arial" w:hAnsi="Arial" w:cs="Arial"/>
        </w:rPr>
        <w:t>)</w:t>
      </w:r>
      <w:r w:rsidR="00DA5ABF">
        <w:rPr>
          <w:rFonts w:ascii="Arial" w:hAnsi="Arial" w:cs="Arial"/>
        </w:rPr>
        <w:t>?</w:t>
      </w:r>
    </w:p>
    <w:p w14:paraId="14C09072" w14:textId="77777777" w:rsidR="00D447E7" w:rsidRPr="00D447E7" w:rsidRDefault="00D447E7">
      <w:pPr>
        <w:rPr>
          <w:rFonts w:ascii="Arial" w:hAnsi="Arial" w:cs="Arial"/>
        </w:rPr>
      </w:pPr>
    </w:p>
    <w:p w14:paraId="5B531608" w14:textId="52E9BA95" w:rsidR="0022227D" w:rsidRDefault="00D447E7" w:rsidP="00D447E7">
      <w:pPr>
        <w:pStyle w:val="ListParagraph"/>
        <w:numPr>
          <w:ilvl w:val="0"/>
          <w:numId w:val="1"/>
        </w:numPr>
        <w:rPr>
          <w:rFonts w:ascii="Arial" w:hAnsi="Arial" w:cs="Arial"/>
        </w:rPr>
      </w:pPr>
      <w:r w:rsidRPr="00D447E7">
        <w:rPr>
          <w:rFonts w:ascii="Arial" w:hAnsi="Arial" w:cs="Arial"/>
        </w:rPr>
        <w:t>If th</w:t>
      </w:r>
      <w:r w:rsidR="00A43AD0">
        <w:rPr>
          <w:rFonts w:ascii="Arial" w:hAnsi="Arial" w:cs="Arial"/>
        </w:rPr>
        <w:t>e proposal</w:t>
      </w:r>
      <w:r w:rsidRPr="00D447E7">
        <w:rPr>
          <w:rFonts w:ascii="Arial" w:hAnsi="Arial" w:cs="Arial"/>
        </w:rPr>
        <w:t xml:space="preserve"> is deemed a TUPE transfer – what are the legal obligations for both BBL and Ill</w:t>
      </w:r>
      <w:r w:rsidR="00D819C1">
        <w:rPr>
          <w:rFonts w:ascii="Arial" w:hAnsi="Arial" w:cs="Arial"/>
        </w:rPr>
        <w:t>uminate.</w:t>
      </w:r>
    </w:p>
    <w:p w14:paraId="445D7AE8" w14:textId="77777777" w:rsidR="00D819C1" w:rsidRPr="00D819C1" w:rsidRDefault="00D819C1" w:rsidP="00D819C1">
      <w:pPr>
        <w:pStyle w:val="ListParagraph"/>
        <w:rPr>
          <w:rFonts w:ascii="Arial" w:hAnsi="Arial" w:cs="Arial"/>
        </w:rPr>
      </w:pPr>
    </w:p>
    <w:p w14:paraId="790EB5B3" w14:textId="7224A441" w:rsidR="00D819C1" w:rsidRDefault="00D819C1" w:rsidP="00D819C1">
      <w:pPr>
        <w:rPr>
          <w:rFonts w:ascii="Arial" w:hAnsi="Arial" w:cs="Arial"/>
        </w:rPr>
      </w:pPr>
      <w:r>
        <w:rPr>
          <w:rFonts w:ascii="Arial" w:hAnsi="Arial" w:cs="Arial"/>
        </w:rPr>
        <w:t>Key Legislation that will used to support advice and recommendations will be as follows:</w:t>
      </w:r>
    </w:p>
    <w:p w14:paraId="38024067" w14:textId="496D9073" w:rsidR="00D819C1" w:rsidRDefault="00D819C1" w:rsidP="00D819C1">
      <w:pPr>
        <w:rPr>
          <w:rFonts w:ascii="Arial" w:hAnsi="Arial" w:cs="Arial"/>
        </w:rPr>
      </w:pPr>
    </w:p>
    <w:p w14:paraId="0099BE4A" w14:textId="2777BA4A" w:rsidR="00D819C1" w:rsidRPr="007B0CB3" w:rsidRDefault="00D819C1" w:rsidP="008D0C9C">
      <w:pPr>
        <w:pStyle w:val="ListParagraph"/>
        <w:numPr>
          <w:ilvl w:val="0"/>
          <w:numId w:val="2"/>
        </w:numPr>
        <w:rPr>
          <w:rFonts w:ascii="Arial" w:hAnsi="Arial" w:cs="Arial"/>
        </w:rPr>
      </w:pPr>
      <w:r w:rsidRPr="007B0CB3">
        <w:rPr>
          <w:rFonts w:ascii="Arial" w:hAnsi="Arial" w:cs="Arial"/>
        </w:rPr>
        <w:t>The Transfer of Undertakings (Protection of Employment) Regulations 2006</w:t>
      </w:r>
      <w:r w:rsidR="0037272C">
        <w:rPr>
          <w:rFonts w:ascii="Arial" w:hAnsi="Arial" w:cs="Arial"/>
        </w:rPr>
        <w:t xml:space="preserve"> (As Amended)</w:t>
      </w:r>
    </w:p>
    <w:p w14:paraId="4E6FF7D8" w14:textId="555191DF" w:rsidR="007B0CB3" w:rsidRPr="007B0CB3" w:rsidRDefault="007B0CB3" w:rsidP="008D0C9C">
      <w:pPr>
        <w:pStyle w:val="ListParagraph"/>
        <w:numPr>
          <w:ilvl w:val="0"/>
          <w:numId w:val="2"/>
        </w:numPr>
        <w:rPr>
          <w:rFonts w:ascii="Arial" w:hAnsi="Arial" w:cs="Arial"/>
        </w:rPr>
      </w:pPr>
      <w:r w:rsidRPr="007B0CB3">
        <w:rPr>
          <w:rFonts w:ascii="Arial" w:hAnsi="Arial" w:cs="Arial"/>
        </w:rPr>
        <w:t>Collective Redundancies and Transfer of Undertakings (Protection of Employment) (Amendment) Regulations 2014</w:t>
      </w:r>
    </w:p>
    <w:p w14:paraId="7D3DB3C2" w14:textId="28DBD5EF" w:rsidR="0022227D" w:rsidRDefault="00D819C1" w:rsidP="008D0C9C">
      <w:pPr>
        <w:pStyle w:val="ListParagraph"/>
        <w:numPr>
          <w:ilvl w:val="0"/>
          <w:numId w:val="2"/>
        </w:numPr>
        <w:rPr>
          <w:rFonts w:ascii="Arial" w:hAnsi="Arial" w:cs="Arial"/>
        </w:rPr>
      </w:pPr>
      <w:r w:rsidRPr="008D0C9C">
        <w:rPr>
          <w:rFonts w:ascii="Arial" w:hAnsi="Arial" w:cs="Arial"/>
        </w:rPr>
        <w:t>Employment Rights Act 1996</w:t>
      </w:r>
    </w:p>
    <w:p w14:paraId="14AB091E" w14:textId="40A70FDE" w:rsidR="00CB56B3" w:rsidRDefault="00CB56B3" w:rsidP="00CB56B3">
      <w:pPr>
        <w:rPr>
          <w:rFonts w:ascii="Arial" w:hAnsi="Arial" w:cs="Arial"/>
        </w:rPr>
      </w:pPr>
    </w:p>
    <w:p w14:paraId="64188FFD" w14:textId="22D4CF20" w:rsidR="00CB56B3" w:rsidRPr="00CB56B3" w:rsidRDefault="00CB56B3" w:rsidP="00CB56B3">
      <w:pPr>
        <w:rPr>
          <w:rFonts w:ascii="Arial" w:hAnsi="Arial" w:cs="Arial"/>
          <w:u w:val="single"/>
        </w:rPr>
      </w:pPr>
      <w:r w:rsidRPr="00CB56B3">
        <w:rPr>
          <w:rFonts w:ascii="Arial" w:hAnsi="Arial" w:cs="Arial"/>
          <w:u w:val="single"/>
        </w:rPr>
        <w:t>TUPE Regulations 2006</w:t>
      </w:r>
      <w:r>
        <w:rPr>
          <w:rFonts w:ascii="Arial" w:hAnsi="Arial" w:cs="Arial"/>
          <w:u w:val="single"/>
        </w:rPr>
        <w:t xml:space="preserve"> as amended - </w:t>
      </w:r>
      <w:r w:rsidRPr="00CB56B3">
        <w:rPr>
          <w:rFonts w:ascii="Arial" w:hAnsi="Arial" w:cs="Arial"/>
          <w:u w:val="single"/>
        </w:rPr>
        <w:t>Regulation 3</w:t>
      </w:r>
    </w:p>
    <w:p w14:paraId="18CF6612" w14:textId="6FA7B699" w:rsidR="00D70EEB" w:rsidRDefault="00D70EEB" w:rsidP="00D70EEB">
      <w:pPr>
        <w:rPr>
          <w:rFonts w:ascii="Arial" w:hAnsi="Arial" w:cs="Arial"/>
        </w:rPr>
      </w:pPr>
    </w:p>
    <w:p w14:paraId="1014ECD8" w14:textId="1F07945C" w:rsidR="00D70EEB" w:rsidRPr="00D70EEB" w:rsidRDefault="00D70EEB" w:rsidP="00D70EEB">
      <w:pPr>
        <w:rPr>
          <w:rFonts w:ascii="Arial" w:hAnsi="Arial" w:cs="Arial"/>
        </w:rPr>
      </w:pPr>
      <w:r>
        <w:rPr>
          <w:rFonts w:ascii="Arial" w:hAnsi="Arial" w:cs="Arial"/>
        </w:rPr>
        <w:t>TUPE can apply under two circumstances, which is</w:t>
      </w:r>
      <w:r w:rsidR="00CB56B3">
        <w:rPr>
          <w:rFonts w:ascii="Arial" w:hAnsi="Arial" w:cs="Arial"/>
        </w:rPr>
        <w:t xml:space="preserve"> either</w:t>
      </w:r>
      <w:r>
        <w:rPr>
          <w:rFonts w:ascii="Arial" w:hAnsi="Arial" w:cs="Arial"/>
        </w:rPr>
        <w:t xml:space="preserve"> due to a business transfer or service provision changes</w:t>
      </w:r>
      <w:r w:rsidR="00CB56B3">
        <w:rPr>
          <w:rFonts w:ascii="Arial" w:hAnsi="Arial" w:cs="Arial"/>
        </w:rPr>
        <w:t>.</w:t>
      </w:r>
    </w:p>
    <w:p w14:paraId="1F495E5C" w14:textId="670E4038" w:rsidR="008D0C9C" w:rsidRDefault="008D0C9C" w:rsidP="008D0C9C">
      <w:pPr>
        <w:rPr>
          <w:rFonts w:ascii="Arial" w:hAnsi="Arial" w:cs="Arial"/>
        </w:rPr>
      </w:pPr>
    </w:p>
    <w:p w14:paraId="27CF54D9" w14:textId="77777777" w:rsidR="008760D2" w:rsidRDefault="000B338F" w:rsidP="008D0C9C">
      <w:pPr>
        <w:rPr>
          <w:rFonts w:ascii="Arial" w:hAnsi="Arial" w:cs="Arial"/>
        </w:rPr>
      </w:pPr>
      <w:r>
        <w:rPr>
          <w:rFonts w:ascii="Arial" w:hAnsi="Arial" w:cs="Arial"/>
        </w:rPr>
        <w:t xml:space="preserve">At present BBL has a contract with Illuminate which consists of a team of </w:t>
      </w:r>
      <w:r w:rsidR="00F5789F">
        <w:rPr>
          <w:rFonts w:ascii="Arial" w:hAnsi="Arial" w:cs="Arial"/>
        </w:rPr>
        <w:t xml:space="preserve">15 </w:t>
      </w:r>
      <w:r>
        <w:rPr>
          <w:rFonts w:ascii="Arial" w:hAnsi="Arial" w:cs="Arial"/>
        </w:rPr>
        <w:t xml:space="preserve">Illuminate employees </w:t>
      </w:r>
      <w:r w:rsidR="00F5789F">
        <w:rPr>
          <w:rFonts w:ascii="Arial" w:hAnsi="Arial" w:cs="Arial"/>
        </w:rPr>
        <w:t xml:space="preserve">working 85% of their time, the majority of which is at BBL sites conducting general electrical “fixing”. </w:t>
      </w:r>
    </w:p>
    <w:p w14:paraId="315220F9" w14:textId="68E5BB1A" w:rsidR="008760D2" w:rsidRDefault="008760D2" w:rsidP="008D0C9C">
      <w:pPr>
        <w:rPr>
          <w:rFonts w:ascii="Arial" w:hAnsi="Arial" w:cs="Arial"/>
        </w:rPr>
      </w:pPr>
    </w:p>
    <w:p w14:paraId="6CE9CAAB" w14:textId="51A3C4E7" w:rsidR="008760D2" w:rsidRPr="00D819C1" w:rsidRDefault="008760D2" w:rsidP="008760D2">
      <w:pPr>
        <w:rPr>
          <w:rFonts w:ascii="Arial" w:hAnsi="Arial" w:cs="Arial"/>
        </w:rPr>
      </w:pPr>
      <w:r>
        <w:rPr>
          <w:rFonts w:ascii="Arial" w:hAnsi="Arial" w:cs="Arial"/>
        </w:rPr>
        <w:t>As it is not stated in the information provided by management regarding the number of total employees that Illuminate employ working in general electrical fixing roles, my advice will be based on the requirements for TUPE as a result of a service provision change. If there are only 15 employees in total, then consideration could be made as to whether it could be TUPE under a business transfer of part of Illuminate</w:t>
      </w:r>
      <w:r w:rsidR="00CB56B3">
        <w:rPr>
          <w:rFonts w:ascii="Arial" w:hAnsi="Arial" w:cs="Arial"/>
        </w:rPr>
        <w:t>’</w:t>
      </w:r>
      <w:r>
        <w:rPr>
          <w:rFonts w:ascii="Arial" w:hAnsi="Arial" w:cs="Arial"/>
        </w:rPr>
        <w:t>s business to BBL.</w:t>
      </w:r>
    </w:p>
    <w:p w14:paraId="7EF9536C" w14:textId="77777777" w:rsidR="008760D2" w:rsidRDefault="008760D2" w:rsidP="008D0C9C">
      <w:pPr>
        <w:rPr>
          <w:rFonts w:ascii="Arial" w:hAnsi="Arial" w:cs="Arial"/>
        </w:rPr>
      </w:pPr>
    </w:p>
    <w:p w14:paraId="6066AF81" w14:textId="28E5E7A6" w:rsidR="007B0CB3" w:rsidRDefault="000E3DB0" w:rsidP="008D0C9C">
      <w:pPr>
        <w:rPr>
          <w:rFonts w:ascii="Arial" w:hAnsi="Arial" w:cs="Arial"/>
        </w:rPr>
      </w:pPr>
      <w:r>
        <w:rPr>
          <w:rFonts w:ascii="Arial" w:hAnsi="Arial" w:cs="Arial"/>
        </w:rPr>
        <w:t>Under Regulation</w:t>
      </w:r>
      <w:r w:rsidR="00CB56B3">
        <w:rPr>
          <w:rFonts w:ascii="Arial" w:hAnsi="Arial" w:cs="Arial"/>
        </w:rPr>
        <w:t xml:space="preserve"> </w:t>
      </w:r>
      <w:r>
        <w:rPr>
          <w:rFonts w:ascii="Arial" w:hAnsi="Arial" w:cs="Arial"/>
        </w:rPr>
        <w:t xml:space="preserve">3, (1)(b)(iii) a service provision change occurs </w:t>
      </w:r>
      <w:r w:rsidRPr="000E3DB0">
        <w:rPr>
          <w:rFonts w:ascii="Arial" w:hAnsi="Arial" w:cs="Arial"/>
          <w:i/>
          <w:iCs/>
        </w:rPr>
        <w:t>“when activities cease to be carried out by a contractor…</w:t>
      </w:r>
      <w:r w:rsidRPr="000E3DB0">
        <w:rPr>
          <w:i/>
          <w:iCs/>
        </w:rPr>
        <w:t xml:space="preserve"> </w:t>
      </w:r>
      <w:r w:rsidRPr="000E3DB0">
        <w:rPr>
          <w:rFonts w:ascii="Arial" w:hAnsi="Arial" w:cs="Arial"/>
          <w:i/>
          <w:iCs/>
        </w:rPr>
        <w:t>and are carried out instead by the client on his own behalf”</w:t>
      </w:r>
      <w:r w:rsidR="001F11B9">
        <w:rPr>
          <w:rFonts w:ascii="Arial" w:hAnsi="Arial" w:cs="Arial"/>
          <w:i/>
          <w:iCs/>
        </w:rPr>
        <w:t xml:space="preserve"> </w:t>
      </w:r>
      <w:r w:rsidR="001F11B9" w:rsidRPr="001F11B9">
        <w:rPr>
          <w:rFonts w:ascii="Arial" w:hAnsi="Arial" w:cs="Arial"/>
        </w:rPr>
        <w:t>(Legislation.gov.uk,2022)</w:t>
      </w:r>
      <w:r w:rsidR="001F11B9">
        <w:rPr>
          <w:rFonts w:ascii="Arial" w:hAnsi="Arial" w:cs="Arial"/>
        </w:rPr>
        <w:t xml:space="preserve">. </w:t>
      </w:r>
      <w:r w:rsidR="00824405">
        <w:rPr>
          <w:rFonts w:ascii="Arial" w:hAnsi="Arial" w:cs="Arial"/>
        </w:rPr>
        <w:t>The proposal to utilise the existing team of Specialist Electrical Engineers to undertake the general fixing work going forward,</w:t>
      </w:r>
      <w:r w:rsidR="001F11B9">
        <w:rPr>
          <w:rFonts w:ascii="Arial" w:hAnsi="Arial" w:cs="Arial"/>
        </w:rPr>
        <w:t xml:space="preserve"> </w:t>
      </w:r>
      <w:r w:rsidR="00824405">
        <w:rPr>
          <w:rFonts w:ascii="Arial" w:hAnsi="Arial" w:cs="Arial"/>
        </w:rPr>
        <w:t>could</w:t>
      </w:r>
      <w:r w:rsidR="001F11B9">
        <w:rPr>
          <w:rFonts w:ascii="Arial" w:hAnsi="Arial" w:cs="Arial"/>
        </w:rPr>
        <w:t>, therefore</w:t>
      </w:r>
      <w:r w:rsidR="00824405">
        <w:rPr>
          <w:rFonts w:ascii="Arial" w:hAnsi="Arial" w:cs="Arial"/>
        </w:rPr>
        <w:t xml:space="preserve"> be considered as a TUPE as a result of a service provision change. </w:t>
      </w:r>
    </w:p>
    <w:p w14:paraId="5CFC65DE" w14:textId="59DCDA47" w:rsidR="005715F1" w:rsidRDefault="005715F1" w:rsidP="008D0C9C">
      <w:pPr>
        <w:rPr>
          <w:rFonts w:ascii="Arial" w:hAnsi="Arial" w:cs="Arial"/>
        </w:rPr>
      </w:pPr>
    </w:p>
    <w:p w14:paraId="08AEAD76" w14:textId="732B01F9" w:rsidR="005715F1" w:rsidRDefault="005715F1" w:rsidP="008D0C9C">
      <w:pPr>
        <w:rPr>
          <w:rFonts w:ascii="Arial" w:hAnsi="Arial" w:cs="Arial"/>
        </w:rPr>
      </w:pPr>
      <w:r>
        <w:rPr>
          <w:rFonts w:ascii="Arial" w:hAnsi="Arial" w:cs="Arial"/>
        </w:rPr>
        <w:t>Additional tests that need to be met are as follows:</w:t>
      </w:r>
    </w:p>
    <w:p w14:paraId="53F7ABA3" w14:textId="5F80618E" w:rsidR="005715F1" w:rsidRDefault="005715F1" w:rsidP="008D0C9C">
      <w:pPr>
        <w:rPr>
          <w:rFonts w:ascii="Arial" w:hAnsi="Arial" w:cs="Arial"/>
        </w:rPr>
      </w:pPr>
    </w:p>
    <w:p w14:paraId="5B2B8084" w14:textId="24DA1EA8" w:rsidR="005715F1" w:rsidRDefault="005715F1" w:rsidP="008D0C9C">
      <w:pPr>
        <w:rPr>
          <w:rFonts w:ascii="Arial" w:hAnsi="Arial" w:cs="Arial"/>
        </w:rPr>
      </w:pPr>
      <w:r>
        <w:rPr>
          <w:rFonts w:ascii="Arial" w:hAnsi="Arial" w:cs="Arial"/>
        </w:rPr>
        <w:t>Regulation</w:t>
      </w:r>
      <w:r w:rsidR="00CB56B3">
        <w:rPr>
          <w:rFonts w:ascii="Arial" w:hAnsi="Arial" w:cs="Arial"/>
        </w:rPr>
        <w:t xml:space="preserve"> </w:t>
      </w:r>
      <w:r w:rsidR="003617DD">
        <w:rPr>
          <w:rFonts w:ascii="Arial" w:hAnsi="Arial" w:cs="Arial"/>
        </w:rPr>
        <w:t xml:space="preserve">3(a)(i) states </w:t>
      </w:r>
      <w:r w:rsidR="003617DD" w:rsidRPr="003617DD">
        <w:rPr>
          <w:rFonts w:ascii="Arial" w:hAnsi="Arial" w:cs="Arial"/>
          <w:i/>
          <w:iCs/>
        </w:rPr>
        <w:t>“there is an organised grouping of employees… which has as its principal purpose the carrying out of the activities concerned on behalf of the client”</w:t>
      </w:r>
      <w:r w:rsidR="008B02EF">
        <w:rPr>
          <w:rFonts w:ascii="Arial" w:hAnsi="Arial" w:cs="Arial"/>
          <w:i/>
          <w:iCs/>
        </w:rPr>
        <w:t xml:space="preserve"> </w:t>
      </w:r>
      <w:r w:rsidR="008B02EF" w:rsidRPr="008B02EF">
        <w:rPr>
          <w:rFonts w:ascii="Arial" w:hAnsi="Arial" w:cs="Arial"/>
        </w:rPr>
        <w:t>(Legislation.gov.uk)</w:t>
      </w:r>
      <w:r w:rsidR="008B02EF">
        <w:rPr>
          <w:rFonts w:ascii="Arial" w:hAnsi="Arial" w:cs="Arial"/>
        </w:rPr>
        <w:t xml:space="preserve">. </w:t>
      </w:r>
    </w:p>
    <w:p w14:paraId="64C45BAE" w14:textId="77777777" w:rsidR="00A85B11" w:rsidRPr="003617DD" w:rsidRDefault="00A85B11" w:rsidP="008D0C9C">
      <w:pPr>
        <w:rPr>
          <w:rFonts w:ascii="Arial" w:hAnsi="Arial" w:cs="Arial"/>
          <w:i/>
          <w:iCs/>
        </w:rPr>
      </w:pPr>
    </w:p>
    <w:p w14:paraId="24378BC6" w14:textId="7047021E" w:rsidR="00205D34" w:rsidRDefault="00A85B11">
      <w:pPr>
        <w:rPr>
          <w:rFonts w:ascii="Arial" w:hAnsi="Arial" w:cs="Arial"/>
        </w:rPr>
      </w:pPr>
      <w:r>
        <w:rPr>
          <w:rFonts w:ascii="Arial" w:hAnsi="Arial" w:cs="Arial"/>
        </w:rPr>
        <w:t>To be considered an organised grouping</w:t>
      </w:r>
      <w:r w:rsidR="001E5AE2">
        <w:rPr>
          <w:rFonts w:ascii="Arial" w:hAnsi="Arial" w:cs="Arial"/>
        </w:rPr>
        <w:t>,</w:t>
      </w:r>
      <w:r>
        <w:rPr>
          <w:rFonts w:ascii="Arial" w:hAnsi="Arial" w:cs="Arial"/>
        </w:rPr>
        <w:t xml:space="preserve"> the Illuminate employees must be dedicated to working for BBL</w:t>
      </w:r>
      <w:r w:rsidR="00066AA0">
        <w:rPr>
          <w:rFonts w:ascii="Arial" w:hAnsi="Arial" w:cs="Arial"/>
        </w:rPr>
        <w:t xml:space="preserve">, if the 15 employees working for BBL </w:t>
      </w:r>
      <w:r w:rsidR="00CB56B3">
        <w:rPr>
          <w:rFonts w:ascii="Arial" w:hAnsi="Arial" w:cs="Arial"/>
        </w:rPr>
        <w:t xml:space="preserve">are </w:t>
      </w:r>
      <w:r w:rsidR="00066AA0">
        <w:rPr>
          <w:rFonts w:ascii="Arial" w:hAnsi="Arial" w:cs="Arial"/>
        </w:rPr>
        <w:t>not considered an organised grouping</w:t>
      </w:r>
      <w:r w:rsidR="00CB56B3">
        <w:rPr>
          <w:rFonts w:ascii="Arial" w:hAnsi="Arial" w:cs="Arial"/>
        </w:rPr>
        <w:t>,</w:t>
      </w:r>
      <w:r w:rsidR="0012342E">
        <w:rPr>
          <w:rFonts w:ascii="Arial" w:hAnsi="Arial" w:cs="Arial"/>
        </w:rPr>
        <w:t xml:space="preserve"> </w:t>
      </w:r>
      <w:r w:rsidR="00066AA0">
        <w:rPr>
          <w:rFonts w:ascii="Arial" w:hAnsi="Arial" w:cs="Arial"/>
        </w:rPr>
        <w:t xml:space="preserve">then TUPE regulations do not apply. This </w:t>
      </w:r>
      <w:r w:rsidR="006F79A5">
        <w:rPr>
          <w:rFonts w:ascii="Arial" w:hAnsi="Arial" w:cs="Arial"/>
        </w:rPr>
        <w:t>definition of organised grouping has been tested in the case of Eddie</w:t>
      </w:r>
      <w:r w:rsidR="0037272C">
        <w:rPr>
          <w:rFonts w:ascii="Arial" w:hAnsi="Arial" w:cs="Arial"/>
        </w:rPr>
        <w:t xml:space="preserve"> Stobart</w:t>
      </w:r>
      <w:r w:rsidR="006F79A5">
        <w:rPr>
          <w:rFonts w:ascii="Arial" w:hAnsi="Arial" w:cs="Arial"/>
        </w:rPr>
        <w:t xml:space="preserve"> v Moreman and others</w:t>
      </w:r>
      <w:r w:rsidR="00817F03">
        <w:rPr>
          <w:rFonts w:ascii="Arial" w:hAnsi="Arial" w:cs="Arial"/>
        </w:rPr>
        <w:t xml:space="preserve"> (</w:t>
      </w:r>
      <w:r w:rsidR="00150540">
        <w:rPr>
          <w:rFonts w:ascii="Arial" w:hAnsi="Arial" w:cs="Arial"/>
        </w:rPr>
        <w:t xml:space="preserve">2012) </w:t>
      </w:r>
      <w:r w:rsidR="006F79A5">
        <w:rPr>
          <w:rFonts w:ascii="Arial" w:hAnsi="Arial" w:cs="Arial"/>
        </w:rPr>
        <w:t xml:space="preserve">where it was determined that TUPE did not apply. The employees worked the majority of their time for </w:t>
      </w:r>
      <w:r w:rsidR="006F79A5">
        <w:rPr>
          <w:rFonts w:ascii="Arial" w:hAnsi="Arial" w:cs="Arial"/>
        </w:rPr>
        <w:lastRenderedPageBreak/>
        <w:t>one client due to</w:t>
      </w:r>
      <w:r w:rsidR="00817F03">
        <w:rPr>
          <w:rFonts w:ascii="Arial" w:hAnsi="Arial" w:cs="Arial"/>
        </w:rPr>
        <w:t xml:space="preserve"> the timing of their</w:t>
      </w:r>
      <w:r w:rsidR="006F79A5">
        <w:rPr>
          <w:rFonts w:ascii="Arial" w:hAnsi="Arial" w:cs="Arial"/>
        </w:rPr>
        <w:t xml:space="preserve"> shift rather than being a dedicated team</w:t>
      </w:r>
      <w:r w:rsidR="00817F03">
        <w:rPr>
          <w:rFonts w:ascii="Arial" w:hAnsi="Arial" w:cs="Arial"/>
        </w:rPr>
        <w:t xml:space="preserve"> designated by the organisation</w:t>
      </w:r>
      <w:r w:rsidR="006F79A5">
        <w:rPr>
          <w:rFonts w:ascii="Arial" w:hAnsi="Arial" w:cs="Arial"/>
        </w:rPr>
        <w:t xml:space="preserve"> for one client. </w:t>
      </w:r>
    </w:p>
    <w:p w14:paraId="7B1E9413" w14:textId="69B4DCFA" w:rsidR="006F79A5" w:rsidRDefault="006F79A5">
      <w:pPr>
        <w:rPr>
          <w:rFonts w:ascii="Arial" w:hAnsi="Arial" w:cs="Arial"/>
        </w:rPr>
      </w:pPr>
      <w:r w:rsidRPr="00817F03">
        <w:rPr>
          <w:rFonts w:ascii="Arial" w:hAnsi="Arial" w:cs="Arial"/>
        </w:rPr>
        <w:t xml:space="preserve">It is therefore important to establish how the 15 Illuminate employees are allocated to BBL to </w:t>
      </w:r>
      <w:r w:rsidR="00817F03">
        <w:rPr>
          <w:rFonts w:ascii="Arial" w:hAnsi="Arial" w:cs="Arial"/>
        </w:rPr>
        <w:t>determine</w:t>
      </w:r>
      <w:r w:rsidRPr="00817F03">
        <w:rPr>
          <w:rFonts w:ascii="Arial" w:hAnsi="Arial" w:cs="Arial"/>
        </w:rPr>
        <w:t xml:space="preserve"> organised group status</w:t>
      </w:r>
      <w:r w:rsidR="00CB56B3">
        <w:rPr>
          <w:rFonts w:ascii="Arial" w:hAnsi="Arial" w:cs="Arial"/>
        </w:rPr>
        <w:t>, due to them working 85% of their time at BBL</w:t>
      </w:r>
      <w:r w:rsidR="001B1D9B">
        <w:rPr>
          <w:rFonts w:ascii="Arial" w:hAnsi="Arial" w:cs="Arial"/>
        </w:rPr>
        <w:t xml:space="preserve"> on site, it is likely that they have been assigned to BBL as an organised group, however further information is required to clarify.</w:t>
      </w:r>
    </w:p>
    <w:p w14:paraId="695320F6" w14:textId="77777777" w:rsidR="006175BB" w:rsidRDefault="006175BB">
      <w:pPr>
        <w:rPr>
          <w:rFonts w:ascii="Arial" w:hAnsi="Arial" w:cs="Arial"/>
        </w:rPr>
      </w:pPr>
    </w:p>
    <w:p w14:paraId="253F1300" w14:textId="2238085E" w:rsidR="00C10DC8" w:rsidRPr="001B1D9B" w:rsidRDefault="001B1D9B">
      <w:pPr>
        <w:rPr>
          <w:rFonts w:ascii="Arial" w:hAnsi="Arial" w:cs="Arial"/>
        </w:rPr>
      </w:pPr>
      <w:r>
        <w:rPr>
          <w:rFonts w:ascii="Arial" w:hAnsi="Arial" w:cs="Arial"/>
        </w:rPr>
        <w:t xml:space="preserve">Due to </w:t>
      </w:r>
      <w:r w:rsidR="00817F03">
        <w:rPr>
          <w:rFonts w:ascii="Arial" w:hAnsi="Arial" w:cs="Arial"/>
        </w:rPr>
        <w:t>Illuminate employees work</w:t>
      </w:r>
      <w:r>
        <w:rPr>
          <w:rFonts w:ascii="Arial" w:hAnsi="Arial" w:cs="Arial"/>
        </w:rPr>
        <w:t>ing</w:t>
      </w:r>
      <w:r w:rsidR="00817F03">
        <w:rPr>
          <w:rFonts w:ascii="Arial" w:hAnsi="Arial" w:cs="Arial"/>
        </w:rPr>
        <w:t xml:space="preserve"> 85% of their time for BBL</w:t>
      </w:r>
      <w:r w:rsidR="00C10DC8">
        <w:rPr>
          <w:rFonts w:ascii="Arial" w:hAnsi="Arial" w:cs="Arial"/>
        </w:rPr>
        <w:t>,</w:t>
      </w:r>
      <w:r>
        <w:rPr>
          <w:rFonts w:ascii="Arial" w:hAnsi="Arial" w:cs="Arial"/>
        </w:rPr>
        <w:t xml:space="preserve"> </w:t>
      </w:r>
      <w:r w:rsidR="00C10DC8">
        <w:rPr>
          <w:rFonts w:ascii="Arial" w:hAnsi="Arial" w:cs="Arial"/>
        </w:rPr>
        <w:t xml:space="preserve">it </w:t>
      </w:r>
      <w:r w:rsidR="006175BB">
        <w:rPr>
          <w:rFonts w:ascii="Arial" w:hAnsi="Arial" w:cs="Arial"/>
        </w:rPr>
        <w:t xml:space="preserve">is recommended that </w:t>
      </w:r>
      <w:r w:rsidR="00D96A74">
        <w:rPr>
          <w:rFonts w:ascii="Arial" w:hAnsi="Arial" w:cs="Arial"/>
        </w:rPr>
        <w:t>BBL</w:t>
      </w:r>
      <w:r w:rsidR="006175BB">
        <w:rPr>
          <w:rFonts w:ascii="Arial" w:hAnsi="Arial" w:cs="Arial"/>
        </w:rPr>
        <w:t xml:space="preserve"> </w:t>
      </w:r>
      <w:r w:rsidR="00D96A74">
        <w:rPr>
          <w:rFonts w:ascii="Arial" w:hAnsi="Arial" w:cs="Arial"/>
        </w:rPr>
        <w:t xml:space="preserve">discuss </w:t>
      </w:r>
      <w:r w:rsidR="00D96A74" w:rsidRPr="001B1D9B">
        <w:rPr>
          <w:rFonts w:ascii="Arial" w:hAnsi="Arial" w:cs="Arial"/>
        </w:rPr>
        <w:t>with Illuminate whether they are to transfer to BBL full time</w:t>
      </w:r>
      <w:r w:rsidR="00C10DC8" w:rsidRPr="001B1D9B">
        <w:rPr>
          <w:rFonts w:ascii="Arial" w:hAnsi="Arial" w:cs="Arial"/>
        </w:rPr>
        <w:t>.</w:t>
      </w:r>
    </w:p>
    <w:p w14:paraId="7FE6E5A3" w14:textId="103426DB" w:rsidR="00817F03" w:rsidRDefault="00C10DC8">
      <w:pPr>
        <w:rPr>
          <w:rStyle w:val="Strong"/>
          <w:rFonts w:ascii="Arial" w:hAnsi="Arial" w:cs="Arial"/>
          <w:b w:val="0"/>
          <w:bCs w:val="0"/>
          <w:shd w:val="clear" w:color="auto" w:fill="F7F6F6"/>
        </w:rPr>
      </w:pPr>
      <w:r w:rsidRPr="001B1D9B">
        <w:rPr>
          <w:rFonts w:ascii="Arial" w:hAnsi="Arial" w:cs="Arial"/>
        </w:rPr>
        <w:t>It</w:t>
      </w:r>
      <w:r w:rsidR="00D96A74" w:rsidRPr="001B1D9B">
        <w:rPr>
          <w:rFonts w:ascii="Arial" w:hAnsi="Arial" w:cs="Arial"/>
        </w:rPr>
        <w:t xml:space="preserve"> is possible that employees could work for several employers as stated in</w:t>
      </w:r>
      <w:r w:rsidR="00D96A74" w:rsidRPr="001B1D9B">
        <w:rPr>
          <w:rFonts w:ascii="Arial" w:hAnsi="Arial" w:cs="Arial"/>
          <w:b/>
          <w:bCs/>
        </w:rPr>
        <w:t xml:space="preserve"> </w:t>
      </w:r>
      <w:r w:rsidR="00D96A74" w:rsidRPr="000410BC">
        <w:rPr>
          <w:rStyle w:val="Strong"/>
          <w:rFonts w:ascii="Arial" w:hAnsi="Arial" w:cs="Arial"/>
          <w:b w:val="0"/>
          <w:bCs w:val="0"/>
          <w:shd w:val="clear" w:color="auto" w:fill="F7F6F6"/>
        </w:rPr>
        <w:t>McTear</w:t>
      </w:r>
      <w:r w:rsidR="00D96A74" w:rsidRPr="001B1D9B">
        <w:rPr>
          <w:rStyle w:val="Strong"/>
          <w:rFonts w:ascii="Arial" w:hAnsi="Arial" w:cs="Arial"/>
          <w:b w:val="0"/>
          <w:bCs w:val="0"/>
          <w:shd w:val="clear" w:color="auto" w:fill="F7F6F6"/>
        </w:rPr>
        <w:t xml:space="preserve"> </w:t>
      </w:r>
      <w:r w:rsidR="00D96A74" w:rsidRPr="001B1D9B">
        <w:rPr>
          <w:rStyle w:val="Strong"/>
          <w:rFonts w:ascii="Arial" w:hAnsi="Arial" w:cs="Arial"/>
          <w:b w:val="0"/>
          <w:bCs w:val="0"/>
        </w:rPr>
        <w:t>Contracts Ltd v Bennett and others; Mitie Property Services UK Ltd v Bennett and others</w:t>
      </w:r>
      <w:r w:rsidRPr="001B1D9B">
        <w:rPr>
          <w:rStyle w:val="Strong"/>
          <w:rFonts w:ascii="Arial" w:hAnsi="Arial" w:cs="Arial"/>
          <w:b w:val="0"/>
          <w:bCs w:val="0"/>
        </w:rPr>
        <w:t xml:space="preserve"> (2021)</w:t>
      </w:r>
      <w:r w:rsidR="00150540" w:rsidRPr="001B1D9B">
        <w:rPr>
          <w:rStyle w:val="Strong"/>
          <w:rFonts w:ascii="Arial" w:hAnsi="Arial" w:cs="Arial"/>
          <w:b w:val="0"/>
          <w:bCs w:val="0"/>
        </w:rPr>
        <w:t xml:space="preserve"> </w:t>
      </w:r>
      <w:r w:rsidR="00D96A74" w:rsidRPr="001B1D9B">
        <w:rPr>
          <w:rStyle w:val="Strong"/>
          <w:rFonts w:ascii="Arial" w:hAnsi="Arial" w:cs="Arial"/>
          <w:b w:val="0"/>
          <w:bCs w:val="0"/>
        </w:rPr>
        <w:t xml:space="preserve">in which the tribunal applied the outcome of ISS Facility Services NV v </w:t>
      </w:r>
      <w:r w:rsidR="006175BB" w:rsidRPr="001B1D9B">
        <w:rPr>
          <w:rStyle w:val="Strong"/>
          <w:rFonts w:ascii="Arial" w:hAnsi="Arial" w:cs="Arial"/>
          <w:b w:val="0"/>
          <w:bCs w:val="0"/>
        </w:rPr>
        <w:t>Sonia Govaerts, Atalian NV, formerly Euroclean NV (2020)</w:t>
      </w:r>
      <w:r w:rsidR="006175BB" w:rsidRPr="001B1D9B">
        <w:rPr>
          <w:rStyle w:val="Strong"/>
          <w:rFonts w:ascii="Arial" w:hAnsi="Arial" w:cs="Arial"/>
        </w:rPr>
        <w:t xml:space="preserve"> </w:t>
      </w:r>
      <w:r w:rsidR="006175BB" w:rsidRPr="001B1D9B">
        <w:rPr>
          <w:rStyle w:val="Strong"/>
          <w:rFonts w:ascii="Arial" w:hAnsi="Arial" w:cs="Arial"/>
          <w:b w:val="0"/>
          <w:bCs w:val="0"/>
        </w:rPr>
        <w:t>a tribunal within the European Court of Justice which determined that employees can split contracts as long as they are defined clearly for employees (CIPD, 2022).</w:t>
      </w:r>
      <w:r w:rsidR="006175BB">
        <w:rPr>
          <w:rStyle w:val="Strong"/>
          <w:rFonts w:ascii="Arial" w:hAnsi="Arial" w:cs="Arial"/>
          <w:b w:val="0"/>
          <w:bCs w:val="0"/>
          <w:shd w:val="clear" w:color="auto" w:fill="F7F6F6"/>
        </w:rPr>
        <w:t xml:space="preserve"> </w:t>
      </w:r>
    </w:p>
    <w:p w14:paraId="3EA8BCB9" w14:textId="6A5CDAD9" w:rsidR="001E5AE2" w:rsidRDefault="001E5AE2">
      <w:pPr>
        <w:rPr>
          <w:rStyle w:val="Strong"/>
          <w:rFonts w:ascii="Arial" w:hAnsi="Arial" w:cs="Arial"/>
          <w:b w:val="0"/>
          <w:bCs w:val="0"/>
          <w:shd w:val="clear" w:color="auto" w:fill="F7F6F6"/>
        </w:rPr>
      </w:pPr>
    </w:p>
    <w:p w14:paraId="5F1A3278" w14:textId="22D1EF03" w:rsidR="00C10DC8" w:rsidRPr="000410BC" w:rsidRDefault="001E5AE2">
      <w:pPr>
        <w:rPr>
          <w:rStyle w:val="Strong"/>
          <w:rFonts w:ascii="Arial" w:hAnsi="Arial" w:cs="Arial"/>
          <w:b w:val="0"/>
          <w:bCs w:val="0"/>
          <w:shd w:val="clear" w:color="auto" w:fill="F7F6F6"/>
        </w:rPr>
      </w:pPr>
      <w:r w:rsidRPr="000410BC">
        <w:rPr>
          <w:rStyle w:val="Strong"/>
          <w:rFonts w:ascii="Arial" w:hAnsi="Arial" w:cs="Arial"/>
          <w:b w:val="0"/>
          <w:bCs w:val="0"/>
          <w:shd w:val="clear" w:color="auto" w:fill="F7F6F6"/>
        </w:rPr>
        <w:t xml:space="preserve">For TUPE to apply, the role that Illuminate employees undertake must be “essentially the same” (CIPD 2021). The proposal indicates that existing BBL employees would conduct general electrical fixings in addition to their current role of maintaining the production equipment. If Illuminate employees transfer, would BBL utilise them for general electrical fixings only or continue with </w:t>
      </w:r>
      <w:r w:rsidR="00E173B5" w:rsidRPr="000410BC">
        <w:rPr>
          <w:rStyle w:val="Strong"/>
          <w:rFonts w:ascii="Arial" w:hAnsi="Arial" w:cs="Arial"/>
          <w:b w:val="0"/>
          <w:bCs w:val="0"/>
          <w:shd w:val="clear" w:color="auto" w:fill="F7F6F6"/>
        </w:rPr>
        <w:t xml:space="preserve">the proposed </w:t>
      </w:r>
      <w:r w:rsidRPr="000410BC">
        <w:rPr>
          <w:rStyle w:val="Strong"/>
          <w:rFonts w:ascii="Arial" w:hAnsi="Arial" w:cs="Arial"/>
          <w:b w:val="0"/>
          <w:bCs w:val="0"/>
          <w:shd w:val="clear" w:color="auto" w:fill="F7F6F6"/>
        </w:rPr>
        <w:t>hybrid role</w:t>
      </w:r>
      <w:r w:rsidR="00E173B5" w:rsidRPr="000410BC">
        <w:rPr>
          <w:rStyle w:val="Strong"/>
          <w:rFonts w:ascii="Arial" w:hAnsi="Arial" w:cs="Arial"/>
          <w:b w:val="0"/>
          <w:bCs w:val="0"/>
          <w:shd w:val="clear" w:color="auto" w:fill="F7F6F6"/>
        </w:rPr>
        <w:t xml:space="preserve">? </w:t>
      </w:r>
      <w:r w:rsidR="009D5607" w:rsidRPr="000410BC">
        <w:rPr>
          <w:rStyle w:val="Strong"/>
          <w:rFonts w:ascii="Arial" w:hAnsi="Arial" w:cs="Arial"/>
          <w:b w:val="0"/>
          <w:bCs w:val="0"/>
          <w:shd w:val="clear" w:color="auto" w:fill="F7F6F6"/>
        </w:rPr>
        <w:t>Further assessment of this would be required to determine whether there would be a significant change of duties for employees.</w:t>
      </w:r>
    </w:p>
    <w:p w14:paraId="6ACB14B0" w14:textId="0BE59289" w:rsidR="00BB50D8" w:rsidRPr="000410BC" w:rsidRDefault="00BB50D8">
      <w:pPr>
        <w:rPr>
          <w:rStyle w:val="Strong"/>
          <w:rFonts w:ascii="Arial" w:hAnsi="Arial" w:cs="Arial"/>
          <w:b w:val="0"/>
          <w:bCs w:val="0"/>
          <w:shd w:val="clear" w:color="auto" w:fill="F7F6F6"/>
        </w:rPr>
      </w:pPr>
    </w:p>
    <w:p w14:paraId="01334925" w14:textId="3C529718" w:rsidR="00BB50D8" w:rsidRPr="006175BB" w:rsidRDefault="00BB50D8">
      <w:pPr>
        <w:rPr>
          <w:rStyle w:val="Strong"/>
          <w:rFonts w:ascii="Arial" w:hAnsi="Arial" w:cs="Arial"/>
          <w:b w:val="0"/>
          <w:bCs w:val="0"/>
        </w:rPr>
      </w:pPr>
      <w:r w:rsidRPr="000410BC">
        <w:rPr>
          <w:rStyle w:val="Strong"/>
          <w:rFonts w:ascii="Arial" w:hAnsi="Arial" w:cs="Arial"/>
          <w:b w:val="0"/>
          <w:bCs w:val="0"/>
          <w:shd w:val="clear" w:color="auto" w:fill="F7F6F6"/>
        </w:rPr>
        <w:t xml:space="preserve">To conclude, in lieu of further information required, my advice would be that it is likely that the proposal from </w:t>
      </w:r>
      <w:r w:rsidR="00CB51F4" w:rsidRPr="000410BC">
        <w:rPr>
          <w:rStyle w:val="Strong"/>
          <w:rFonts w:ascii="Arial" w:hAnsi="Arial" w:cs="Arial"/>
          <w:b w:val="0"/>
          <w:bCs w:val="0"/>
          <w:shd w:val="clear" w:color="auto" w:fill="F7F6F6"/>
        </w:rPr>
        <w:t>m</w:t>
      </w:r>
      <w:r w:rsidRPr="000410BC">
        <w:rPr>
          <w:rStyle w:val="Strong"/>
          <w:rFonts w:ascii="Arial" w:hAnsi="Arial" w:cs="Arial"/>
          <w:b w:val="0"/>
          <w:bCs w:val="0"/>
          <w:shd w:val="clear" w:color="auto" w:fill="F7F6F6"/>
        </w:rPr>
        <w:t>anagement would constitute a TUPE transfer due to service provision changes.</w:t>
      </w:r>
    </w:p>
    <w:p w14:paraId="708780FC" w14:textId="196C36CA" w:rsidR="00D96A74" w:rsidRDefault="00D96A74">
      <w:pPr>
        <w:rPr>
          <w:rStyle w:val="Strong"/>
          <w:rFonts w:ascii="Arial" w:hAnsi="Arial" w:cs="Arial"/>
          <w:color w:val="58595B"/>
          <w:shd w:val="clear" w:color="auto" w:fill="F7F6F6"/>
        </w:rPr>
      </w:pPr>
    </w:p>
    <w:p w14:paraId="63732F0D" w14:textId="6ABCD982" w:rsidR="00D96A74" w:rsidRDefault="007C729A">
      <w:pPr>
        <w:rPr>
          <w:rFonts w:ascii="Arial" w:hAnsi="Arial" w:cs="Arial"/>
        </w:rPr>
      </w:pPr>
      <w:r>
        <w:rPr>
          <w:rFonts w:ascii="Arial" w:hAnsi="Arial" w:cs="Arial"/>
        </w:rPr>
        <w:t>Legal obligations for both BBL and Illuminate are as follows:</w:t>
      </w:r>
    </w:p>
    <w:p w14:paraId="69F13155" w14:textId="0936C866" w:rsidR="00A76728" w:rsidRDefault="00A76728">
      <w:pPr>
        <w:rPr>
          <w:rFonts w:ascii="Arial" w:hAnsi="Arial" w:cs="Arial"/>
        </w:rPr>
      </w:pPr>
    </w:p>
    <w:p w14:paraId="7EFD627E" w14:textId="4F2FDF5F" w:rsidR="001B1D9B" w:rsidRPr="00CB56B3" w:rsidRDefault="001B1D9B" w:rsidP="001B1D9B">
      <w:pPr>
        <w:rPr>
          <w:rFonts w:ascii="Arial" w:hAnsi="Arial" w:cs="Arial"/>
          <w:u w:val="single"/>
        </w:rPr>
      </w:pPr>
      <w:r w:rsidRPr="00CB56B3">
        <w:rPr>
          <w:rFonts w:ascii="Arial" w:hAnsi="Arial" w:cs="Arial"/>
          <w:u w:val="single"/>
        </w:rPr>
        <w:t>TUPE Regulations 2006</w:t>
      </w:r>
      <w:r>
        <w:rPr>
          <w:rFonts w:ascii="Arial" w:hAnsi="Arial" w:cs="Arial"/>
          <w:u w:val="single"/>
        </w:rPr>
        <w:t xml:space="preserve"> as amended - </w:t>
      </w:r>
      <w:r w:rsidRPr="00CB56B3">
        <w:rPr>
          <w:rFonts w:ascii="Arial" w:hAnsi="Arial" w:cs="Arial"/>
          <w:u w:val="single"/>
        </w:rPr>
        <w:t xml:space="preserve">Regulation </w:t>
      </w:r>
      <w:r>
        <w:rPr>
          <w:rFonts w:ascii="Arial" w:hAnsi="Arial" w:cs="Arial"/>
          <w:u w:val="single"/>
        </w:rPr>
        <w:t>13</w:t>
      </w:r>
    </w:p>
    <w:p w14:paraId="4D205922" w14:textId="6D0854C0" w:rsidR="007C729A" w:rsidRDefault="007C729A">
      <w:pPr>
        <w:rPr>
          <w:rFonts w:ascii="Arial" w:hAnsi="Arial" w:cs="Arial"/>
        </w:rPr>
      </w:pPr>
    </w:p>
    <w:p w14:paraId="7E78E1CB" w14:textId="6DACB92B" w:rsidR="001B1D9B" w:rsidRDefault="00A76728">
      <w:pPr>
        <w:rPr>
          <w:rFonts w:ascii="Arial" w:hAnsi="Arial" w:cs="Arial"/>
        </w:rPr>
      </w:pPr>
      <w:r>
        <w:rPr>
          <w:rFonts w:ascii="Arial" w:hAnsi="Arial" w:cs="Arial"/>
        </w:rPr>
        <w:t>BBL and Illuminate m</w:t>
      </w:r>
      <w:r w:rsidR="00600E2E">
        <w:rPr>
          <w:rFonts w:ascii="Arial" w:hAnsi="Arial" w:cs="Arial"/>
        </w:rPr>
        <w:t>ust inform and consult with</w:t>
      </w:r>
      <w:r w:rsidR="0037272C">
        <w:rPr>
          <w:rFonts w:ascii="Arial" w:hAnsi="Arial" w:cs="Arial"/>
        </w:rPr>
        <w:t xml:space="preserve"> </w:t>
      </w:r>
      <w:r w:rsidR="001B1D9B">
        <w:rPr>
          <w:rFonts w:ascii="Arial" w:hAnsi="Arial" w:cs="Arial"/>
        </w:rPr>
        <w:t xml:space="preserve">all </w:t>
      </w:r>
      <w:r w:rsidR="0037272C">
        <w:rPr>
          <w:rFonts w:ascii="Arial" w:hAnsi="Arial" w:cs="Arial"/>
        </w:rPr>
        <w:t>affected</w:t>
      </w:r>
      <w:r w:rsidR="00600E2E">
        <w:rPr>
          <w:rFonts w:ascii="Arial" w:hAnsi="Arial" w:cs="Arial"/>
        </w:rPr>
        <w:t xml:space="preserve"> employee</w:t>
      </w:r>
      <w:r w:rsidR="001B1D9B">
        <w:rPr>
          <w:rFonts w:ascii="Arial" w:hAnsi="Arial" w:cs="Arial"/>
        </w:rPr>
        <w:t xml:space="preserve">s which is not limited to those transferring, it will also include BBL workers impacted by the change of team structures, consultation must </w:t>
      </w:r>
      <w:r>
        <w:rPr>
          <w:rFonts w:ascii="Arial" w:hAnsi="Arial" w:cs="Arial"/>
        </w:rPr>
        <w:t>involve</w:t>
      </w:r>
      <w:r w:rsidR="001B1D9B">
        <w:rPr>
          <w:rFonts w:ascii="Arial" w:hAnsi="Arial" w:cs="Arial"/>
        </w:rPr>
        <w:t xml:space="preserve"> established</w:t>
      </w:r>
      <w:r>
        <w:rPr>
          <w:rFonts w:ascii="Arial" w:hAnsi="Arial" w:cs="Arial"/>
        </w:rPr>
        <w:t xml:space="preserve"> trade unions (IWU and FEW)</w:t>
      </w:r>
      <w:r w:rsidR="001B1D9B">
        <w:rPr>
          <w:rFonts w:ascii="Arial" w:hAnsi="Arial" w:cs="Arial"/>
        </w:rPr>
        <w:t>. BBL and Illuminate must check whether employees are members of unions to ensure that they are properly represented. If not, an election process must take place to establish a suitable representative(s) as per Regulation 14.</w:t>
      </w:r>
    </w:p>
    <w:p w14:paraId="532A0344" w14:textId="77777777" w:rsidR="001B1D9B" w:rsidRDefault="001B1D9B">
      <w:pPr>
        <w:rPr>
          <w:rFonts w:ascii="Arial" w:hAnsi="Arial" w:cs="Arial"/>
        </w:rPr>
      </w:pPr>
    </w:p>
    <w:p w14:paraId="4B85EAF6" w14:textId="7E7B16E3" w:rsidR="00600E2E" w:rsidRDefault="00A76728">
      <w:pPr>
        <w:rPr>
          <w:rFonts w:ascii="Arial" w:hAnsi="Arial" w:cs="Arial"/>
        </w:rPr>
      </w:pPr>
      <w:r>
        <w:rPr>
          <w:rFonts w:ascii="Arial" w:hAnsi="Arial" w:cs="Arial"/>
        </w:rPr>
        <w:t>It is recommended that consultation is to be commenced at the earliest opportunity,</w:t>
      </w:r>
      <w:r w:rsidR="00600E2E">
        <w:rPr>
          <w:rFonts w:ascii="Arial" w:hAnsi="Arial" w:cs="Arial"/>
        </w:rPr>
        <w:t xml:space="preserve"> with sufficient time to allow employees to raise any queries or concerns that they may have</w:t>
      </w:r>
      <w:r w:rsidR="001D0687">
        <w:rPr>
          <w:rFonts w:ascii="Arial" w:hAnsi="Arial" w:cs="Arial"/>
        </w:rPr>
        <w:t>.</w:t>
      </w:r>
      <w:r w:rsidR="00600E2E">
        <w:rPr>
          <w:rFonts w:ascii="Arial" w:hAnsi="Arial" w:cs="Arial"/>
        </w:rPr>
        <w:t xml:space="preserve"> </w:t>
      </w:r>
      <w:r w:rsidR="001D0687">
        <w:rPr>
          <w:rFonts w:ascii="Arial" w:hAnsi="Arial" w:cs="Arial"/>
        </w:rPr>
        <w:t>Notice of</w:t>
      </w:r>
      <w:r w:rsidR="00600E2E">
        <w:rPr>
          <w:rFonts w:ascii="Arial" w:hAnsi="Arial" w:cs="Arial"/>
        </w:rPr>
        <w:t xml:space="preserve"> consultation must be given to employees in writing</w:t>
      </w:r>
      <w:r>
        <w:rPr>
          <w:rFonts w:ascii="Arial" w:hAnsi="Arial" w:cs="Arial"/>
        </w:rPr>
        <w:t xml:space="preserve"> </w:t>
      </w:r>
      <w:r w:rsidR="001D0687">
        <w:rPr>
          <w:rFonts w:ascii="Arial" w:hAnsi="Arial" w:cs="Arial"/>
        </w:rPr>
        <w:t>to include details of what the TUPE is and why, who the TUPE will impact</w:t>
      </w:r>
      <w:r w:rsidR="0012342E">
        <w:rPr>
          <w:rFonts w:ascii="Arial" w:hAnsi="Arial" w:cs="Arial"/>
        </w:rPr>
        <w:t>, any proposed changes, in this case the requirement to conduct the hybrid role of maintaining both the production equipment and general electrical fixing</w:t>
      </w:r>
      <w:r w:rsidR="001D0687">
        <w:rPr>
          <w:rFonts w:ascii="Arial" w:hAnsi="Arial" w:cs="Arial"/>
        </w:rPr>
        <w:t xml:space="preserve"> and when the transfer is to happen (ACAS, 2022).</w:t>
      </w:r>
    </w:p>
    <w:p w14:paraId="35B06946" w14:textId="1D05B51D" w:rsidR="00803AE9" w:rsidRDefault="00803AE9">
      <w:pPr>
        <w:rPr>
          <w:rFonts w:ascii="Arial" w:hAnsi="Arial" w:cs="Arial"/>
        </w:rPr>
      </w:pPr>
      <w:r>
        <w:rPr>
          <w:rFonts w:ascii="Arial" w:hAnsi="Arial" w:cs="Arial"/>
        </w:rPr>
        <w:t>It is important for BBL to ensure anyone who may be out of the business due to sickness, maternity/paternity etc are included in the consultation and any communications regarding the tr</w:t>
      </w:r>
      <w:r w:rsidR="0051370E">
        <w:rPr>
          <w:rFonts w:ascii="Arial" w:hAnsi="Arial" w:cs="Arial"/>
        </w:rPr>
        <w:t>ansfer.</w:t>
      </w:r>
    </w:p>
    <w:p w14:paraId="40906C47" w14:textId="7F96AF4A" w:rsidR="001D0687" w:rsidRDefault="001D0687">
      <w:pPr>
        <w:rPr>
          <w:rFonts w:ascii="Arial" w:hAnsi="Arial" w:cs="Arial"/>
        </w:rPr>
      </w:pPr>
    </w:p>
    <w:p w14:paraId="5837860D" w14:textId="6E9DBB5C" w:rsidR="00E174B7" w:rsidRDefault="001D0687">
      <w:pPr>
        <w:rPr>
          <w:rFonts w:ascii="Arial" w:hAnsi="Arial" w:cs="Arial"/>
        </w:rPr>
      </w:pPr>
      <w:r w:rsidRPr="00C66948">
        <w:rPr>
          <w:rFonts w:ascii="Arial" w:hAnsi="Arial" w:cs="Arial"/>
        </w:rPr>
        <w:t>Failure to consult effectively</w:t>
      </w:r>
      <w:r w:rsidR="00471BD2">
        <w:rPr>
          <w:rFonts w:ascii="Arial" w:hAnsi="Arial" w:cs="Arial"/>
        </w:rPr>
        <w:t xml:space="preserve"> as per Regulation 13 and 14</w:t>
      </w:r>
      <w:r w:rsidRPr="00C66948">
        <w:rPr>
          <w:rFonts w:ascii="Arial" w:hAnsi="Arial" w:cs="Arial"/>
        </w:rPr>
        <w:t xml:space="preserve"> by either BBL or Illuminate could leave either </w:t>
      </w:r>
      <w:r w:rsidR="00C66948" w:rsidRPr="00C66948">
        <w:rPr>
          <w:rFonts w:ascii="Arial" w:hAnsi="Arial" w:cs="Arial"/>
        </w:rPr>
        <w:t>employer liable regardless of which employer is deemed at fault (ACAS, 2022)</w:t>
      </w:r>
      <w:r w:rsidR="00D12308">
        <w:rPr>
          <w:rFonts w:ascii="Arial" w:hAnsi="Arial" w:cs="Arial"/>
        </w:rPr>
        <w:t>.</w:t>
      </w:r>
      <w:r w:rsidR="00C66948" w:rsidRPr="00C66948">
        <w:rPr>
          <w:rFonts w:ascii="Arial" w:hAnsi="Arial" w:cs="Arial"/>
        </w:rPr>
        <w:t xml:space="preserve"> </w:t>
      </w:r>
      <w:r w:rsidR="00C66948">
        <w:rPr>
          <w:rFonts w:ascii="Arial" w:hAnsi="Arial" w:cs="Arial"/>
        </w:rPr>
        <w:t>Sweetin v Coral Racing (2006)</w:t>
      </w:r>
      <w:r w:rsidR="00150540">
        <w:rPr>
          <w:rFonts w:ascii="Arial" w:hAnsi="Arial" w:cs="Arial"/>
        </w:rPr>
        <w:t xml:space="preserve"> </w:t>
      </w:r>
      <w:r w:rsidR="00C66948">
        <w:rPr>
          <w:rFonts w:ascii="Arial" w:hAnsi="Arial" w:cs="Arial"/>
        </w:rPr>
        <w:t xml:space="preserve">determined that </w:t>
      </w:r>
      <w:r w:rsidR="00D12308">
        <w:rPr>
          <w:rFonts w:ascii="Arial" w:hAnsi="Arial" w:cs="Arial"/>
        </w:rPr>
        <w:t xml:space="preserve">the compensation for failure to consult is a maximum of 13 weeks’ </w:t>
      </w:r>
      <w:r w:rsidR="00471BD2">
        <w:rPr>
          <w:rFonts w:ascii="Arial" w:hAnsi="Arial" w:cs="Arial"/>
        </w:rPr>
        <w:t xml:space="preserve">actual </w:t>
      </w:r>
      <w:r w:rsidR="00D12308">
        <w:rPr>
          <w:rFonts w:ascii="Arial" w:hAnsi="Arial" w:cs="Arial"/>
        </w:rPr>
        <w:t>pay per employee</w:t>
      </w:r>
      <w:r w:rsidR="00E174B7">
        <w:rPr>
          <w:rFonts w:ascii="Arial" w:hAnsi="Arial" w:cs="Arial"/>
        </w:rPr>
        <w:t xml:space="preserve"> (Personnel Today, 2006)</w:t>
      </w:r>
      <w:r w:rsidR="00D12308">
        <w:rPr>
          <w:rFonts w:ascii="Arial" w:hAnsi="Arial" w:cs="Arial"/>
        </w:rPr>
        <w:t xml:space="preserve">. </w:t>
      </w:r>
      <w:r w:rsidR="00E174B7">
        <w:rPr>
          <w:rFonts w:ascii="Arial" w:hAnsi="Arial" w:cs="Arial"/>
        </w:rPr>
        <w:t xml:space="preserve">Indemnity insurance can be obtained to protect against claims as a result of other </w:t>
      </w:r>
      <w:r w:rsidR="0012342E">
        <w:rPr>
          <w:rFonts w:ascii="Arial" w:hAnsi="Arial" w:cs="Arial"/>
        </w:rPr>
        <w:t>employers’</w:t>
      </w:r>
      <w:r w:rsidR="00E174B7">
        <w:rPr>
          <w:rFonts w:ascii="Arial" w:hAnsi="Arial" w:cs="Arial"/>
        </w:rPr>
        <w:t xml:space="preserve"> failure to consult</w:t>
      </w:r>
      <w:r w:rsidR="00CB51F4">
        <w:rPr>
          <w:rFonts w:ascii="Arial" w:hAnsi="Arial" w:cs="Arial"/>
        </w:rPr>
        <w:t xml:space="preserve"> (ACAS,2022)</w:t>
      </w:r>
      <w:r w:rsidR="00E174B7">
        <w:rPr>
          <w:rFonts w:ascii="Arial" w:hAnsi="Arial" w:cs="Arial"/>
        </w:rPr>
        <w:t>.</w:t>
      </w:r>
    </w:p>
    <w:p w14:paraId="2D4EF7EB" w14:textId="4989CA43" w:rsidR="0012342E" w:rsidRDefault="0012342E">
      <w:pPr>
        <w:rPr>
          <w:rFonts w:ascii="Arial" w:hAnsi="Arial" w:cs="Arial"/>
        </w:rPr>
      </w:pPr>
    </w:p>
    <w:p w14:paraId="462148A7" w14:textId="736692FA" w:rsidR="0012342E" w:rsidRDefault="00906F3C">
      <w:pPr>
        <w:rPr>
          <w:rFonts w:ascii="Arial" w:hAnsi="Arial" w:cs="Arial"/>
        </w:rPr>
      </w:pPr>
      <w:r>
        <w:rPr>
          <w:rFonts w:ascii="Arial" w:hAnsi="Arial" w:cs="Arial"/>
        </w:rPr>
        <w:lastRenderedPageBreak/>
        <w:t>At the end of consultation, formal written notice must be provided to all employees impacted by the transfer, there is not a specific time period, however it is recommended that reasonable time is given to provide a smooth transition for employees.</w:t>
      </w:r>
    </w:p>
    <w:p w14:paraId="48226609" w14:textId="6AB15257" w:rsidR="00906F3C" w:rsidRDefault="00906F3C">
      <w:pPr>
        <w:rPr>
          <w:rFonts w:ascii="Arial" w:hAnsi="Arial" w:cs="Arial"/>
        </w:rPr>
      </w:pPr>
    </w:p>
    <w:p w14:paraId="4772EC81" w14:textId="7E782BCA" w:rsidR="00B5290B" w:rsidRPr="00CB56B3" w:rsidRDefault="00B5290B" w:rsidP="00B5290B">
      <w:pPr>
        <w:rPr>
          <w:rFonts w:ascii="Arial" w:hAnsi="Arial" w:cs="Arial"/>
          <w:u w:val="single"/>
        </w:rPr>
      </w:pPr>
      <w:r w:rsidRPr="00CB56B3">
        <w:rPr>
          <w:rFonts w:ascii="Arial" w:hAnsi="Arial" w:cs="Arial"/>
          <w:u w:val="single"/>
        </w:rPr>
        <w:t>TUPE Regulations 2006</w:t>
      </w:r>
      <w:r>
        <w:rPr>
          <w:rFonts w:ascii="Arial" w:hAnsi="Arial" w:cs="Arial"/>
          <w:u w:val="single"/>
        </w:rPr>
        <w:t xml:space="preserve"> as amended – </w:t>
      </w:r>
      <w:r w:rsidRPr="00CB56B3">
        <w:rPr>
          <w:rFonts w:ascii="Arial" w:hAnsi="Arial" w:cs="Arial"/>
          <w:u w:val="single"/>
        </w:rPr>
        <w:t>Regulation</w:t>
      </w:r>
      <w:r>
        <w:rPr>
          <w:rFonts w:ascii="Arial" w:hAnsi="Arial" w:cs="Arial"/>
          <w:u w:val="single"/>
        </w:rPr>
        <w:t xml:space="preserve"> 4</w:t>
      </w:r>
    </w:p>
    <w:p w14:paraId="758D43E7" w14:textId="77777777" w:rsidR="00B5290B" w:rsidRDefault="00B5290B">
      <w:pPr>
        <w:rPr>
          <w:rFonts w:ascii="Arial" w:hAnsi="Arial" w:cs="Arial"/>
        </w:rPr>
      </w:pPr>
    </w:p>
    <w:p w14:paraId="3613E970" w14:textId="5E1E5DE0" w:rsidR="00FA50F0" w:rsidRDefault="00F75396">
      <w:pPr>
        <w:rPr>
          <w:rFonts w:ascii="Arial" w:hAnsi="Arial" w:cs="Arial"/>
        </w:rPr>
      </w:pPr>
      <w:r>
        <w:rPr>
          <w:rFonts w:ascii="Arial" w:hAnsi="Arial" w:cs="Arial"/>
        </w:rPr>
        <w:t>Employees transferring in to BBL will retain their continuous service date (start date with Illuminate) and their terms and conditions will also be protected</w:t>
      </w:r>
      <w:r w:rsidR="00FA50F0">
        <w:rPr>
          <w:rFonts w:ascii="Arial" w:hAnsi="Arial" w:cs="Arial"/>
        </w:rPr>
        <w:t xml:space="preserve"> which includes salary and annual leave entitlement</w:t>
      </w:r>
      <w:r w:rsidR="00BC30CA">
        <w:rPr>
          <w:rFonts w:ascii="Arial" w:hAnsi="Arial" w:cs="Arial"/>
        </w:rPr>
        <w:t xml:space="preserve">. </w:t>
      </w:r>
      <w:r w:rsidR="003214B9">
        <w:rPr>
          <w:rFonts w:ascii="Arial" w:hAnsi="Arial" w:cs="Arial"/>
        </w:rPr>
        <w:t>Under Regulation 10, BBL do not have to transfer the final salary pension scheme that Illuminate employees currently benefit from, however they are obliged to provide a</w:t>
      </w:r>
      <w:r w:rsidR="00BC30CA">
        <w:rPr>
          <w:rFonts w:ascii="Arial" w:hAnsi="Arial" w:cs="Arial"/>
        </w:rPr>
        <w:t>n alternative</w:t>
      </w:r>
      <w:r w:rsidR="003214B9">
        <w:rPr>
          <w:rFonts w:ascii="Arial" w:hAnsi="Arial" w:cs="Arial"/>
        </w:rPr>
        <w:t xml:space="preserve"> pension scheme</w:t>
      </w:r>
      <w:r w:rsidR="00BC30CA">
        <w:rPr>
          <w:rFonts w:ascii="Arial" w:hAnsi="Arial" w:cs="Arial"/>
        </w:rPr>
        <w:t xml:space="preserve"> under the Pensions Act 2008.</w:t>
      </w:r>
    </w:p>
    <w:p w14:paraId="4F06055D" w14:textId="77777777" w:rsidR="002E273D" w:rsidRDefault="002E273D">
      <w:pPr>
        <w:rPr>
          <w:rFonts w:ascii="Arial" w:hAnsi="Arial" w:cs="Arial"/>
        </w:rPr>
      </w:pPr>
    </w:p>
    <w:p w14:paraId="60E88E99" w14:textId="3F484AD6" w:rsidR="00E174B7" w:rsidRDefault="00FA50F0">
      <w:pPr>
        <w:rPr>
          <w:rFonts w:ascii="Arial" w:hAnsi="Arial" w:cs="Arial"/>
        </w:rPr>
      </w:pPr>
      <w:r>
        <w:rPr>
          <w:rFonts w:ascii="Arial" w:hAnsi="Arial" w:cs="Arial"/>
        </w:rPr>
        <w:t>It is noted that whilst Illuminate employees have a lower basic salary, they do have 35 days annual leave and also a profile share scheme</w:t>
      </w:r>
      <w:r w:rsidR="007160A4">
        <w:rPr>
          <w:rFonts w:ascii="Arial" w:hAnsi="Arial" w:cs="Arial"/>
        </w:rPr>
        <w:t>. BBL will need to obtain further information regarding the profit share</w:t>
      </w:r>
      <w:r w:rsidR="00685877">
        <w:rPr>
          <w:rFonts w:ascii="Arial" w:hAnsi="Arial" w:cs="Arial"/>
        </w:rPr>
        <w:t xml:space="preserve">, including how much it is worth to understand the impact that this </w:t>
      </w:r>
      <w:r w:rsidR="00685877" w:rsidRPr="002E273D">
        <w:rPr>
          <w:rFonts w:ascii="Arial" w:hAnsi="Arial" w:cs="Arial"/>
        </w:rPr>
        <w:t>will have</w:t>
      </w:r>
      <w:r w:rsidR="008969F5" w:rsidRPr="002E273D">
        <w:rPr>
          <w:rFonts w:ascii="Arial" w:hAnsi="Arial" w:cs="Arial"/>
        </w:rPr>
        <w:t xml:space="preserve"> financially. </w:t>
      </w:r>
      <w:r w:rsidR="00E80FDA" w:rsidRPr="002E273D">
        <w:rPr>
          <w:rFonts w:ascii="Arial" w:hAnsi="Arial" w:cs="Arial"/>
        </w:rPr>
        <w:t xml:space="preserve">The relevant case to understand the risk to BBL is </w:t>
      </w:r>
      <w:r w:rsidR="002E273D" w:rsidRPr="002E273D">
        <w:rPr>
          <w:rFonts w:ascii="Arial" w:hAnsi="Arial" w:cs="Arial"/>
        </w:rPr>
        <w:t>Mitie Managed Services Ltd v French</w:t>
      </w:r>
      <w:r w:rsidR="002E273D">
        <w:rPr>
          <w:rFonts w:ascii="Arial" w:hAnsi="Arial" w:cs="Arial"/>
        </w:rPr>
        <w:t xml:space="preserve"> (2002)</w:t>
      </w:r>
      <w:r w:rsidR="00150540">
        <w:rPr>
          <w:rFonts w:ascii="Arial" w:hAnsi="Arial" w:cs="Arial"/>
        </w:rPr>
        <w:t xml:space="preserve"> </w:t>
      </w:r>
      <w:r w:rsidR="002E273D">
        <w:rPr>
          <w:rFonts w:ascii="Arial" w:hAnsi="Arial" w:cs="Arial"/>
        </w:rPr>
        <w:t>which it was determined that the claimant was entitled to a scheme of “substantial equivalence”</w:t>
      </w:r>
      <w:r w:rsidR="00C52EED">
        <w:rPr>
          <w:rFonts w:ascii="Arial" w:hAnsi="Arial" w:cs="Arial"/>
        </w:rPr>
        <w:t xml:space="preserve">, therefore BBL are required to </w:t>
      </w:r>
      <w:r w:rsidR="00BB7137">
        <w:rPr>
          <w:rFonts w:ascii="Arial" w:hAnsi="Arial" w:cs="Arial"/>
        </w:rPr>
        <w:t>provide a scheme that is the same or of similar value to those employees transferring. (</w:t>
      </w:r>
      <w:r w:rsidR="002E273D">
        <w:rPr>
          <w:rFonts w:ascii="Arial" w:hAnsi="Arial" w:cs="Arial"/>
        </w:rPr>
        <w:t>Personnel Today,</w:t>
      </w:r>
      <w:r w:rsidR="00BB7137">
        <w:rPr>
          <w:rFonts w:ascii="Arial" w:hAnsi="Arial" w:cs="Arial"/>
        </w:rPr>
        <w:t xml:space="preserve"> </w:t>
      </w:r>
      <w:r w:rsidR="002E273D">
        <w:rPr>
          <w:rFonts w:ascii="Arial" w:hAnsi="Arial" w:cs="Arial"/>
        </w:rPr>
        <w:t>2002)</w:t>
      </w:r>
      <w:r w:rsidR="00B5290B">
        <w:rPr>
          <w:rFonts w:ascii="Arial" w:hAnsi="Arial" w:cs="Arial"/>
        </w:rPr>
        <w:t xml:space="preserve">. </w:t>
      </w:r>
    </w:p>
    <w:p w14:paraId="52CF9F5F" w14:textId="7FC9CF25" w:rsidR="001D0687" w:rsidRPr="00C66948" w:rsidRDefault="001D0687">
      <w:pPr>
        <w:rPr>
          <w:rFonts w:ascii="Arial" w:hAnsi="Arial" w:cs="Arial"/>
        </w:rPr>
      </w:pPr>
    </w:p>
    <w:p w14:paraId="16455AFB" w14:textId="0DAD2D03" w:rsidR="00754358" w:rsidRDefault="00B5290B">
      <w:pPr>
        <w:rPr>
          <w:rFonts w:ascii="Arial" w:hAnsi="Arial" w:cs="Arial"/>
          <w:shd w:val="clear" w:color="auto" w:fill="FFFFFF"/>
        </w:rPr>
      </w:pPr>
      <w:r>
        <w:rPr>
          <w:rFonts w:ascii="Arial" w:hAnsi="Arial" w:cs="Arial"/>
        </w:rPr>
        <w:t xml:space="preserve">BBL would not be able to make any changes to the Illuminate contracts of employment unless it meets the test under Regulation </w:t>
      </w:r>
      <w:r w:rsidR="0036125C">
        <w:rPr>
          <w:rFonts w:ascii="Arial" w:hAnsi="Arial" w:cs="Arial"/>
        </w:rPr>
        <w:t xml:space="preserve">4 (5) (a) which is that the sole reason for the variation of </w:t>
      </w:r>
      <w:r w:rsidR="0036125C" w:rsidRPr="0036125C">
        <w:rPr>
          <w:rFonts w:ascii="Arial" w:hAnsi="Arial" w:cs="Arial"/>
        </w:rPr>
        <w:t xml:space="preserve">contract is </w:t>
      </w:r>
      <w:r w:rsidR="0036125C" w:rsidRPr="0036125C">
        <w:rPr>
          <w:rFonts w:ascii="Arial" w:hAnsi="Arial" w:cs="Arial"/>
          <w:i/>
          <w:iCs/>
        </w:rPr>
        <w:t>“</w:t>
      </w:r>
      <w:r w:rsidR="0036125C" w:rsidRPr="0036125C">
        <w:rPr>
          <w:rFonts w:ascii="Arial" w:hAnsi="Arial" w:cs="Arial"/>
          <w:i/>
          <w:iCs/>
          <w:shd w:val="clear" w:color="auto" w:fill="FFFFFF"/>
        </w:rPr>
        <w:t>is an economic, technical or organisational reason”</w:t>
      </w:r>
      <w:r w:rsidR="00BC30CA">
        <w:rPr>
          <w:rFonts w:ascii="Arial" w:hAnsi="Arial" w:cs="Arial"/>
          <w:i/>
          <w:iCs/>
          <w:shd w:val="clear" w:color="auto" w:fill="FFFFFF"/>
        </w:rPr>
        <w:t xml:space="preserve">. </w:t>
      </w:r>
      <w:r w:rsidR="00BC30CA" w:rsidRPr="00BC30CA">
        <w:rPr>
          <w:rFonts w:ascii="Arial" w:hAnsi="Arial" w:cs="Arial"/>
          <w:shd w:val="clear" w:color="auto" w:fill="FFFFFF"/>
        </w:rPr>
        <w:t>(Legislation.gov.uk)</w:t>
      </w:r>
      <w:r w:rsidR="00C52EED" w:rsidRPr="00BC30CA">
        <w:rPr>
          <w:rFonts w:ascii="Arial" w:hAnsi="Arial" w:cs="Arial"/>
          <w:shd w:val="clear" w:color="auto" w:fill="FFFFFF"/>
        </w:rPr>
        <w:t xml:space="preserve"> </w:t>
      </w:r>
      <w:r w:rsidR="00C52EED">
        <w:rPr>
          <w:rFonts w:ascii="Arial" w:hAnsi="Arial" w:cs="Arial"/>
          <w:shd w:val="clear" w:color="auto" w:fill="FFFFFF"/>
        </w:rPr>
        <w:t>Kavanagh v Crystal Palace FC Ltd (2002)</w:t>
      </w:r>
      <w:r w:rsidR="00150540">
        <w:rPr>
          <w:rFonts w:ascii="Arial" w:hAnsi="Arial" w:cs="Arial"/>
          <w:shd w:val="clear" w:color="auto" w:fill="FFFFFF"/>
        </w:rPr>
        <w:t xml:space="preserve"> </w:t>
      </w:r>
      <w:r w:rsidR="00C52EED">
        <w:rPr>
          <w:rFonts w:ascii="Arial" w:hAnsi="Arial" w:cs="Arial"/>
          <w:shd w:val="clear" w:color="auto" w:fill="FFFFFF"/>
        </w:rPr>
        <w:t>determined that that the employer could make staff redundant due to economic reasons in order to prevent the club from going in to liquidation</w:t>
      </w:r>
      <w:r w:rsidR="00BC30CA">
        <w:rPr>
          <w:rFonts w:ascii="Arial" w:hAnsi="Arial" w:cs="Arial"/>
          <w:shd w:val="clear" w:color="auto" w:fill="FFFFFF"/>
        </w:rPr>
        <w:t xml:space="preserve"> (Tupe.uk.net,2013).</w:t>
      </w:r>
    </w:p>
    <w:p w14:paraId="57571134" w14:textId="423BDA7F" w:rsidR="00D82EFB" w:rsidRDefault="00D82EFB">
      <w:pPr>
        <w:rPr>
          <w:rFonts w:ascii="Arial" w:hAnsi="Arial" w:cs="Arial"/>
          <w:shd w:val="clear" w:color="auto" w:fill="FFFFFF"/>
        </w:rPr>
      </w:pPr>
    </w:p>
    <w:p w14:paraId="68EF3389" w14:textId="74E6E474" w:rsidR="00D82EFB" w:rsidRDefault="00D82EFB" w:rsidP="00D82EFB">
      <w:pPr>
        <w:rPr>
          <w:rFonts w:ascii="Arial" w:hAnsi="Arial" w:cs="Arial"/>
          <w:u w:val="single"/>
        </w:rPr>
      </w:pPr>
      <w:r w:rsidRPr="00CB56B3">
        <w:rPr>
          <w:rFonts w:ascii="Arial" w:hAnsi="Arial" w:cs="Arial"/>
          <w:u w:val="single"/>
        </w:rPr>
        <w:t>TUPE Regulations 2006</w:t>
      </w:r>
      <w:r>
        <w:rPr>
          <w:rFonts w:ascii="Arial" w:hAnsi="Arial" w:cs="Arial"/>
          <w:u w:val="single"/>
        </w:rPr>
        <w:t xml:space="preserve"> as amended – </w:t>
      </w:r>
      <w:r w:rsidRPr="00CB56B3">
        <w:rPr>
          <w:rFonts w:ascii="Arial" w:hAnsi="Arial" w:cs="Arial"/>
          <w:u w:val="single"/>
        </w:rPr>
        <w:t>Regulation</w:t>
      </w:r>
      <w:r>
        <w:rPr>
          <w:rFonts w:ascii="Arial" w:hAnsi="Arial" w:cs="Arial"/>
          <w:u w:val="single"/>
        </w:rPr>
        <w:t xml:space="preserve"> 11</w:t>
      </w:r>
    </w:p>
    <w:p w14:paraId="58D73F68" w14:textId="54A86FFE" w:rsidR="00D82EFB" w:rsidRDefault="00D82EFB" w:rsidP="00D82EFB">
      <w:pPr>
        <w:rPr>
          <w:rFonts w:ascii="Arial" w:hAnsi="Arial" w:cs="Arial"/>
          <w:u w:val="single"/>
        </w:rPr>
      </w:pPr>
    </w:p>
    <w:p w14:paraId="5CDD3CBD" w14:textId="2C5E9BB7" w:rsidR="00D82EFB" w:rsidRDefault="00BC7AF1" w:rsidP="00D82EFB">
      <w:pPr>
        <w:rPr>
          <w:rFonts w:ascii="Arial" w:hAnsi="Arial" w:cs="Arial"/>
        </w:rPr>
      </w:pPr>
      <w:r>
        <w:rPr>
          <w:rFonts w:ascii="Arial" w:hAnsi="Arial" w:cs="Arial"/>
        </w:rPr>
        <w:t>Once the transfer has been made BBL are liable for any ongoing and future employee legal challenges and also any collective agreements will also be transferred. It is therefore important that BBL conduct due diligence on information provided by Illuminate under Regulation 11.</w:t>
      </w:r>
    </w:p>
    <w:p w14:paraId="448882E3" w14:textId="44121C46" w:rsidR="00BC7AF1" w:rsidRDefault="00BC7AF1" w:rsidP="00D82EFB">
      <w:pPr>
        <w:rPr>
          <w:rFonts w:ascii="Arial" w:hAnsi="Arial" w:cs="Arial"/>
        </w:rPr>
      </w:pPr>
    </w:p>
    <w:p w14:paraId="41405CED" w14:textId="4F96FB6B" w:rsidR="001C3620" w:rsidRDefault="00BC7AF1" w:rsidP="00D82EFB">
      <w:pPr>
        <w:rPr>
          <w:rFonts w:ascii="Arial" w:hAnsi="Arial" w:cs="Arial"/>
        </w:rPr>
      </w:pPr>
      <w:r>
        <w:rPr>
          <w:rFonts w:ascii="Arial" w:hAnsi="Arial" w:cs="Arial"/>
        </w:rPr>
        <w:t xml:space="preserve">Employment Liability Information (ELI) is provided by Illuminate at least 28 days prior to the transfer and contains employee personal information, details of the terms and conditions of employment, </w:t>
      </w:r>
      <w:r w:rsidR="00295D5C">
        <w:rPr>
          <w:rFonts w:ascii="Arial" w:hAnsi="Arial" w:cs="Arial"/>
        </w:rPr>
        <w:t>ongoing</w:t>
      </w:r>
      <w:r>
        <w:rPr>
          <w:rFonts w:ascii="Arial" w:hAnsi="Arial" w:cs="Arial"/>
        </w:rPr>
        <w:t xml:space="preserve"> disciplinary or grievances cases, collective agreements and any ongoing legal claims or information relating to potential claims (ACAS,2022). </w:t>
      </w:r>
      <w:r w:rsidR="001C3620">
        <w:rPr>
          <w:rFonts w:ascii="Arial" w:hAnsi="Arial" w:cs="Arial"/>
        </w:rPr>
        <w:t>Failure of Illuminate to provide the information to BBL can result in a claim from BBL which could result in a minimum £500 fine per employee (CIPD,2021).</w:t>
      </w:r>
    </w:p>
    <w:p w14:paraId="0C6F5496" w14:textId="77777777" w:rsidR="001C3620" w:rsidRDefault="001C3620" w:rsidP="00D82EFB">
      <w:pPr>
        <w:rPr>
          <w:rFonts w:ascii="Arial" w:hAnsi="Arial" w:cs="Arial"/>
        </w:rPr>
      </w:pPr>
    </w:p>
    <w:p w14:paraId="05D39328" w14:textId="05B266DD" w:rsidR="00BC7AF1" w:rsidRPr="00852496" w:rsidRDefault="00BC7AF1" w:rsidP="00D82EFB">
      <w:pPr>
        <w:rPr>
          <w:rFonts w:ascii="Arial" w:hAnsi="Arial" w:cs="Arial"/>
          <w:i/>
          <w:iCs/>
        </w:rPr>
      </w:pPr>
      <w:r>
        <w:rPr>
          <w:rFonts w:ascii="Arial" w:hAnsi="Arial" w:cs="Arial"/>
        </w:rPr>
        <w:t xml:space="preserve">A case that highlights the importance of BBL to conduct thorough examination of the ELI is </w:t>
      </w:r>
      <w:r w:rsidR="00852496" w:rsidRPr="00852496">
        <w:rPr>
          <w:rStyle w:val="Emphasis"/>
          <w:rFonts w:ascii="Arial" w:hAnsi="Arial" w:cs="Arial"/>
          <w:i w:val="0"/>
          <w:iCs w:val="0"/>
          <w:color w:val="000000"/>
          <w:shd w:val="clear" w:color="auto" w:fill="FFFFFF"/>
        </w:rPr>
        <w:t>Born London Ltd v Spire Production Services Ltd (2017)</w:t>
      </w:r>
      <w:r w:rsidR="00150540">
        <w:rPr>
          <w:rStyle w:val="Emphasis"/>
          <w:rFonts w:ascii="Arial" w:hAnsi="Arial" w:cs="Arial"/>
          <w:i w:val="0"/>
          <w:iCs w:val="0"/>
          <w:color w:val="000000"/>
          <w:shd w:val="clear" w:color="auto" w:fill="FFFFFF"/>
        </w:rPr>
        <w:t xml:space="preserve"> </w:t>
      </w:r>
      <w:r w:rsidR="00852496">
        <w:rPr>
          <w:rStyle w:val="Emphasis"/>
          <w:rFonts w:ascii="Arial" w:hAnsi="Arial" w:cs="Arial"/>
          <w:i w:val="0"/>
          <w:iCs w:val="0"/>
          <w:color w:val="000000"/>
          <w:shd w:val="clear" w:color="auto" w:fill="FFFFFF"/>
        </w:rPr>
        <w:t>which resulted in the transferee being responsible for the payment of an annual bonus which had mistakenly been disclosed as non-contractual by the transferor (Wynn-Evans, 2017).</w:t>
      </w:r>
    </w:p>
    <w:p w14:paraId="20C41C98" w14:textId="77777777" w:rsidR="00BC7AF1" w:rsidRPr="00BC7AF1" w:rsidRDefault="00BC7AF1" w:rsidP="00D82EFB">
      <w:pPr>
        <w:rPr>
          <w:rFonts w:ascii="Arial" w:hAnsi="Arial" w:cs="Arial"/>
        </w:rPr>
      </w:pPr>
    </w:p>
    <w:p w14:paraId="1980C337" w14:textId="77777777" w:rsidR="00150540" w:rsidRDefault="00150540">
      <w:pPr>
        <w:rPr>
          <w:rFonts w:ascii="Arial" w:hAnsi="Arial" w:cs="Arial"/>
          <w:u w:val="single"/>
        </w:rPr>
      </w:pPr>
    </w:p>
    <w:p w14:paraId="223F2EC7" w14:textId="77777777" w:rsidR="00150540" w:rsidRDefault="00150540">
      <w:pPr>
        <w:rPr>
          <w:rFonts w:ascii="Arial" w:hAnsi="Arial" w:cs="Arial"/>
          <w:u w:val="single"/>
        </w:rPr>
      </w:pPr>
    </w:p>
    <w:p w14:paraId="28F38C4D" w14:textId="77777777" w:rsidR="00150540" w:rsidRDefault="00150540">
      <w:pPr>
        <w:rPr>
          <w:rFonts w:ascii="Arial" w:hAnsi="Arial" w:cs="Arial"/>
          <w:u w:val="single"/>
        </w:rPr>
      </w:pPr>
    </w:p>
    <w:p w14:paraId="7A8B6906" w14:textId="77777777" w:rsidR="00150540" w:rsidRDefault="00150540">
      <w:pPr>
        <w:rPr>
          <w:rFonts w:ascii="Arial" w:hAnsi="Arial" w:cs="Arial"/>
          <w:u w:val="single"/>
        </w:rPr>
      </w:pPr>
    </w:p>
    <w:p w14:paraId="7BF5ACF2" w14:textId="77777777" w:rsidR="00150540" w:rsidRDefault="00150540">
      <w:pPr>
        <w:rPr>
          <w:rFonts w:ascii="Arial" w:hAnsi="Arial" w:cs="Arial"/>
          <w:u w:val="single"/>
        </w:rPr>
      </w:pPr>
    </w:p>
    <w:p w14:paraId="54426CD2" w14:textId="77777777" w:rsidR="00150540" w:rsidRDefault="00150540">
      <w:pPr>
        <w:rPr>
          <w:rFonts w:ascii="Arial" w:hAnsi="Arial" w:cs="Arial"/>
          <w:u w:val="single"/>
        </w:rPr>
      </w:pPr>
    </w:p>
    <w:p w14:paraId="537F8211" w14:textId="77777777" w:rsidR="00150540" w:rsidRDefault="00150540">
      <w:pPr>
        <w:rPr>
          <w:rFonts w:ascii="Arial" w:hAnsi="Arial" w:cs="Arial"/>
          <w:u w:val="single"/>
        </w:rPr>
      </w:pPr>
    </w:p>
    <w:p w14:paraId="68B56D10" w14:textId="77777777" w:rsidR="00150540" w:rsidRDefault="00150540">
      <w:pPr>
        <w:rPr>
          <w:rFonts w:ascii="Arial" w:hAnsi="Arial" w:cs="Arial"/>
          <w:u w:val="single"/>
        </w:rPr>
      </w:pPr>
    </w:p>
    <w:p w14:paraId="351E6392" w14:textId="5DAD9EE4" w:rsidR="00754358" w:rsidRPr="00150540" w:rsidRDefault="00754358">
      <w:pPr>
        <w:rPr>
          <w:rFonts w:ascii="Arial" w:hAnsi="Arial" w:cs="Arial"/>
          <w:b/>
          <w:bCs/>
          <w:u w:val="single"/>
        </w:rPr>
      </w:pPr>
      <w:r w:rsidRPr="00150540">
        <w:rPr>
          <w:rFonts w:ascii="Arial" w:hAnsi="Arial" w:cs="Arial"/>
          <w:b/>
          <w:bCs/>
          <w:u w:val="single"/>
        </w:rPr>
        <w:lastRenderedPageBreak/>
        <w:t>Big Business Limited (BBL) – Advice to Management Team on Electrical Engineers redun</w:t>
      </w:r>
      <w:r w:rsidR="0022227D" w:rsidRPr="00150540">
        <w:rPr>
          <w:rFonts w:ascii="Arial" w:hAnsi="Arial" w:cs="Arial"/>
          <w:b/>
          <w:bCs/>
          <w:u w:val="single"/>
        </w:rPr>
        <w:t>dancy</w:t>
      </w:r>
    </w:p>
    <w:p w14:paraId="17B4BB5B" w14:textId="0B845A5E" w:rsidR="006E0713" w:rsidRDefault="006E0713">
      <w:pPr>
        <w:rPr>
          <w:rFonts w:ascii="Arial" w:hAnsi="Arial" w:cs="Arial"/>
          <w:u w:val="single"/>
        </w:rPr>
      </w:pPr>
    </w:p>
    <w:p w14:paraId="6F8B867C" w14:textId="2087E4D6" w:rsidR="006E0713" w:rsidRPr="006E0713" w:rsidRDefault="006E0713">
      <w:pPr>
        <w:rPr>
          <w:rFonts w:ascii="Arial" w:hAnsi="Arial" w:cs="Arial"/>
        </w:rPr>
      </w:pPr>
      <w:r w:rsidRPr="006E0713">
        <w:rPr>
          <w:rFonts w:ascii="Arial" w:hAnsi="Arial" w:cs="Arial"/>
        </w:rPr>
        <w:t xml:space="preserve">Following the transfer of </w:t>
      </w:r>
      <w:r>
        <w:rPr>
          <w:rFonts w:ascii="Arial" w:hAnsi="Arial" w:cs="Arial"/>
        </w:rPr>
        <w:t>15 Illuminate employees in to BBL after 9 months, BBL Management Team have established that they wish to reduce the headcount of Electrical Engineers by 23 and have asked for advice regarding a selection process in light of IWU request for a “last in, first out” approach</w:t>
      </w:r>
      <w:r w:rsidR="00CD617E">
        <w:rPr>
          <w:rFonts w:ascii="Arial" w:hAnsi="Arial" w:cs="Arial"/>
        </w:rPr>
        <w:t>.</w:t>
      </w:r>
    </w:p>
    <w:p w14:paraId="0680F416" w14:textId="1C20AE7C" w:rsidR="007274DD" w:rsidRDefault="007274DD">
      <w:pPr>
        <w:rPr>
          <w:rFonts w:ascii="Arial" w:hAnsi="Arial" w:cs="Arial"/>
          <w:u w:val="single"/>
        </w:rPr>
      </w:pPr>
    </w:p>
    <w:p w14:paraId="100C6065" w14:textId="41002430" w:rsidR="007274DD" w:rsidRDefault="007274DD" w:rsidP="007274DD">
      <w:pPr>
        <w:rPr>
          <w:rFonts w:ascii="Arial" w:hAnsi="Arial" w:cs="Arial"/>
        </w:rPr>
      </w:pPr>
      <w:r>
        <w:rPr>
          <w:rFonts w:ascii="Arial" w:hAnsi="Arial" w:cs="Arial"/>
        </w:rPr>
        <w:t>Key Legislation that will used to support advice and recommendations will be as follows:</w:t>
      </w:r>
    </w:p>
    <w:p w14:paraId="3D792ABE" w14:textId="6C6984AD" w:rsidR="007274DD" w:rsidRDefault="007274DD" w:rsidP="007274DD">
      <w:pPr>
        <w:rPr>
          <w:rFonts w:ascii="Arial" w:hAnsi="Arial" w:cs="Arial"/>
        </w:rPr>
      </w:pPr>
    </w:p>
    <w:p w14:paraId="15A1486D" w14:textId="591D6828" w:rsidR="0022227D" w:rsidRPr="007274DD" w:rsidRDefault="007274DD" w:rsidP="007274DD">
      <w:pPr>
        <w:pStyle w:val="ListParagraph"/>
        <w:numPr>
          <w:ilvl w:val="0"/>
          <w:numId w:val="4"/>
        </w:numPr>
        <w:rPr>
          <w:rFonts w:ascii="Arial" w:hAnsi="Arial" w:cs="Arial"/>
        </w:rPr>
      </w:pPr>
      <w:r>
        <w:rPr>
          <w:rFonts w:ascii="Arial" w:hAnsi="Arial" w:cs="Arial"/>
        </w:rPr>
        <w:t>Employment Rights Act 1996</w:t>
      </w:r>
    </w:p>
    <w:p w14:paraId="2E3E947A" w14:textId="7562602E" w:rsidR="002610E0" w:rsidRPr="002610E0" w:rsidRDefault="007274DD" w:rsidP="002610E0">
      <w:pPr>
        <w:pStyle w:val="ListParagraph"/>
        <w:numPr>
          <w:ilvl w:val="0"/>
          <w:numId w:val="3"/>
        </w:numPr>
        <w:rPr>
          <w:rFonts w:ascii="Arial" w:hAnsi="Arial" w:cs="Arial"/>
        </w:rPr>
      </w:pPr>
      <w:r w:rsidRPr="007274DD">
        <w:rPr>
          <w:rFonts w:ascii="Arial" w:hAnsi="Arial" w:cs="Arial"/>
        </w:rPr>
        <w:t>Equa</w:t>
      </w:r>
      <w:r>
        <w:rPr>
          <w:rFonts w:ascii="Arial" w:hAnsi="Arial" w:cs="Arial"/>
        </w:rPr>
        <w:t>lity Act 2010</w:t>
      </w:r>
    </w:p>
    <w:p w14:paraId="240A5F70" w14:textId="77777777" w:rsidR="002610E0" w:rsidRDefault="002610E0">
      <w:pPr>
        <w:rPr>
          <w:rFonts w:ascii="Arial" w:hAnsi="Arial" w:cs="Arial"/>
          <w:b/>
          <w:bCs/>
          <w:u w:val="single"/>
        </w:rPr>
      </w:pPr>
    </w:p>
    <w:p w14:paraId="7BE3586A" w14:textId="3E1D0847" w:rsidR="0022227D" w:rsidRDefault="00CD617E">
      <w:pPr>
        <w:rPr>
          <w:rFonts w:ascii="Arial" w:hAnsi="Arial" w:cs="Arial"/>
          <w:color w:val="000000"/>
          <w:shd w:val="clear" w:color="auto" w:fill="FFFFFF"/>
        </w:rPr>
      </w:pPr>
      <w:r>
        <w:rPr>
          <w:rFonts w:ascii="Arial" w:hAnsi="Arial" w:cs="Arial"/>
        </w:rPr>
        <w:t xml:space="preserve">Due to the TUPE transfer of employees 9 months previously, if the redundancy is </w:t>
      </w:r>
      <w:r w:rsidR="00185AFB">
        <w:rPr>
          <w:rFonts w:ascii="Arial" w:hAnsi="Arial" w:cs="Arial"/>
        </w:rPr>
        <w:t>directly due to the transfer, then BBL will need to establish an economical, technical or organisation reason (ACAS, 2022)</w:t>
      </w:r>
      <w:r w:rsidR="00CB51F4">
        <w:rPr>
          <w:rFonts w:ascii="Arial" w:hAnsi="Arial" w:cs="Arial"/>
        </w:rPr>
        <w:t>.</w:t>
      </w:r>
      <w:r w:rsidR="00185AFB">
        <w:rPr>
          <w:rFonts w:ascii="Arial" w:hAnsi="Arial" w:cs="Arial"/>
        </w:rPr>
        <w:t xml:space="preserve"> </w:t>
      </w:r>
      <w:r w:rsidR="00CB51F4">
        <w:rPr>
          <w:rFonts w:ascii="Arial" w:hAnsi="Arial" w:cs="Arial"/>
        </w:rPr>
        <w:t>D</w:t>
      </w:r>
      <w:r w:rsidR="00185AFB">
        <w:rPr>
          <w:rFonts w:ascii="Arial" w:hAnsi="Arial" w:cs="Arial"/>
        </w:rPr>
        <w:t xml:space="preserve">ue to the need to reduce numbers in a relatively short period after the transfer, it is likely that the transfer has been a large factor. </w:t>
      </w:r>
      <w:r w:rsidR="00DD2766">
        <w:rPr>
          <w:rFonts w:ascii="Arial" w:hAnsi="Arial" w:cs="Arial"/>
        </w:rPr>
        <w:t>T</w:t>
      </w:r>
      <w:r w:rsidR="00185AFB">
        <w:rPr>
          <w:rFonts w:ascii="Arial" w:hAnsi="Arial" w:cs="Arial"/>
        </w:rPr>
        <w:t>he redundancy</w:t>
      </w:r>
      <w:r w:rsidR="00DD2766">
        <w:rPr>
          <w:rFonts w:ascii="Arial" w:hAnsi="Arial" w:cs="Arial"/>
        </w:rPr>
        <w:t xml:space="preserve"> also needs to meet</w:t>
      </w:r>
      <w:r w:rsidR="00DD2766" w:rsidRPr="00DD2766">
        <w:rPr>
          <w:rFonts w:ascii="Arial" w:hAnsi="Arial" w:cs="Arial"/>
          <w:color w:val="000000"/>
          <w:shd w:val="clear" w:color="auto" w:fill="FFFFFF"/>
        </w:rPr>
        <w:t xml:space="preserve"> </w:t>
      </w:r>
      <w:r w:rsidR="00DD2766" w:rsidRPr="00185AFB">
        <w:rPr>
          <w:rFonts w:ascii="Arial" w:hAnsi="Arial" w:cs="Arial"/>
          <w:color w:val="000000"/>
          <w:shd w:val="clear" w:color="auto" w:fill="FFFFFF"/>
        </w:rPr>
        <w:t xml:space="preserve">Regulation 139 (1)(b)(ii) of the Employment Act 1996 </w:t>
      </w:r>
      <w:r w:rsidR="00DD2766">
        <w:rPr>
          <w:rFonts w:ascii="Arial" w:hAnsi="Arial" w:cs="Arial"/>
          <w:color w:val="000000"/>
          <w:shd w:val="clear" w:color="auto" w:fill="FFFFFF"/>
        </w:rPr>
        <w:t xml:space="preserve">which states that the redundancy </w:t>
      </w:r>
      <w:r w:rsidR="00185AFB">
        <w:rPr>
          <w:rFonts w:ascii="Arial" w:hAnsi="Arial" w:cs="Arial"/>
        </w:rPr>
        <w:t>is due to th</w:t>
      </w:r>
      <w:r w:rsidR="00DD2766">
        <w:rPr>
          <w:rFonts w:ascii="Arial" w:hAnsi="Arial" w:cs="Arial"/>
        </w:rPr>
        <w:t xml:space="preserve">e role </w:t>
      </w:r>
      <w:r w:rsidR="00185AFB">
        <w:rPr>
          <w:rFonts w:ascii="Arial" w:hAnsi="Arial" w:cs="Arial"/>
        </w:rPr>
        <w:t xml:space="preserve">conducted by the </w:t>
      </w:r>
      <w:r w:rsidR="00185AFB" w:rsidRPr="00185AFB">
        <w:rPr>
          <w:rFonts w:ascii="Arial" w:hAnsi="Arial" w:cs="Arial"/>
        </w:rPr>
        <w:t xml:space="preserve">Electrical Engineers </w:t>
      </w:r>
      <w:r w:rsidR="00DD2766">
        <w:rPr>
          <w:rFonts w:ascii="Arial" w:hAnsi="Arial" w:cs="Arial"/>
        </w:rPr>
        <w:t xml:space="preserve">having been </w:t>
      </w:r>
      <w:r w:rsidR="00185AFB" w:rsidRPr="00185AFB">
        <w:rPr>
          <w:rFonts w:ascii="Arial" w:hAnsi="Arial" w:cs="Arial"/>
        </w:rPr>
        <w:t>“</w:t>
      </w:r>
      <w:r w:rsidR="00185AFB" w:rsidRPr="00185AFB">
        <w:rPr>
          <w:rFonts w:ascii="Arial" w:hAnsi="Arial" w:cs="Arial"/>
          <w:i/>
          <w:iCs/>
          <w:color w:val="000000"/>
          <w:shd w:val="clear" w:color="auto" w:fill="FFFFFF"/>
        </w:rPr>
        <w:t>diminished or are expected to cease or diminish”</w:t>
      </w:r>
      <w:bookmarkStart w:id="0" w:name="_Hlk96248565"/>
      <w:r w:rsidR="00DD2766">
        <w:rPr>
          <w:rFonts w:ascii="Arial" w:hAnsi="Arial" w:cs="Arial"/>
          <w:color w:val="000000"/>
          <w:shd w:val="clear" w:color="auto" w:fill="FFFFFF"/>
        </w:rPr>
        <w:t>.</w:t>
      </w:r>
      <w:r w:rsidR="00DD2766" w:rsidRPr="00DD2766">
        <w:rPr>
          <w:rFonts w:ascii="Arial" w:hAnsi="Arial" w:cs="Arial"/>
          <w:color w:val="000000"/>
          <w:shd w:val="clear" w:color="auto" w:fill="FFFFFF"/>
        </w:rPr>
        <w:t xml:space="preserve"> </w:t>
      </w:r>
      <w:r w:rsidR="00DD2766" w:rsidRPr="00185AFB">
        <w:rPr>
          <w:rFonts w:ascii="Arial" w:hAnsi="Arial" w:cs="Arial"/>
          <w:color w:val="000000"/>
          <w:shd w:val="clear" w:color="auto" w:fill="FFFFFF"/>
        </w:rPr>
        <w:t>(Regulation.gov.uk,2022)</w:t>
      </w:r>
      <w:r w:rsidR="00DD2766">
        <w:rPr>
          <w:rFonts w:ascii="Arial" w:hAnsi="Arial" w:cs="Arial"/>
          <w:color w:val="000000"/>
          <w:shd w:val="clear" w:color="auto" w:fill="FFFFFF"/>
        </w:rPr>
        <w:t>.</w:t>
      </w:r>
      <w:r w:rsidR="00FC6F54">
        <w:rPr>
          <w:rFonts w:ascii="Arial" w:hAnsi="Arial" w:cs="Arial"/>
          <w:color w:val="000000"/>
          <w:shd w:val="clear" w:color="auto" w:fill="FFFFFF"/>
        </w:rPr>
        <w:t xml:space="preserve"> The reasons for redundancy should be disclosed during consultation.</w:t>
      </w:r>
    </w:p>
    <w:p w14:paraId="283F151A" w14:textId="2377CBF1" w:rsidR="00A214DE" w:rsidRDefault="00A214DE">
      <w:pPr>
        <w:rPr>
          <w:rFonts w:ascii="Arial" w:hAnsi="Arial" w:cs="Arial"/>
          <w:color w:val="000000"/>
          <w:shd w:val="clear" w:color="auto" w:fill="FFFFFF"/>
        </w:rPr>
      </w:pPr>
    </w:p>
    <w:p w14:paraId="45D7AB00" w14:textId="72055F16" w:rsidR="00A214DE" w:rsidRPr="00A214DE" w:rsidRDefault="00A214DE">
      <w:pPr>
        <w:rPr>
          <w:rFonts w:ascii="Arial" w:hAnsi="Arial" w:cs="Arial"/>
          <w:u w:val="single"/>
        </w:rPr>
      </w:pPr>
      <w:r w:rsidRPr="00A214DE">
        <w:rPr>
          <w:rFonts w:ascii="Arial" w:hAnsi="Arial" w:cs="Arial"/>
          <w:color w:val="000000"/>
          <w:u w:val="single"/>
          <w:shd w:val="clear" w:color="auto" w:fill="FFFFFF"/>
        </w:rPr>
        <w:t xml:space="preserve">Selection Pool and Consultation </w:t>
      </w:r>
    </w:p>
    <w:bookmarkEnd w:id="0"/>
    <w:p w14:paraId="048A7FC8" w14:textId="5054C71D" w:rsidR="0022227D" w:rsidRDefault="0022227D">
      <w:pPr>
        <w:rPr>
          <w:rFonts w:ascii="Arial" w:hAnsi="Arial" w:cs="Arial"/>
          <w:b/>
          <w:bCs/>
          <w:u w:val="single"/>
        </w:rPr>
      </w:pPr>
    </w:p>
    <w:p w14:paraId="5F678ADC" w14:textId="109A696F" w:rsidR="0022227D" w:rsidRPr="002603CA" w:rsidRDefault="002603CA">
      <w:pPr>
        <w:rPr>
          <w:rFonts w:ascii="Arial" w:hAnsi="Arial" w:cs="Arial"/>
        </w:rPr>
      </w:pPr>
      <w:r>
        <w:rPr>
          <w:rFonts w:ascii="Arial" w:hAnsi="Arial" w:cs="Arial"/>
        </w:rPr>
        <w:t>Due to BBL having several sites across the UK, it is important to ensure the pool that is being selected for redundancy includes all employees that carry out roles that are the same or similar to the roles that are being made redundant</w:t>
      </w:r>
      <w:r w:rsidR="009354C9">
        <w:rPr>
          <w:rFonts w:ascii="Arial" w:hAnsi="Arial" w:cs="Arial"/>
        </w:rPr>
        <w:t>. A case that highlights this is Fulcrum Pharma (Europe) Ltd vs Bonassera and another (2010)</w:t>
      </w:r>
      <w:r w:rsidR="00150540">
        <w:rPr>
          <w:rFonts w:ascii="Arial" w:hAnsi="Arial" w:cs="Arial"/>
        </w:rPr>
        <w:t xml:space="preserve"> </w:t>
      </w:r>
      <w:r w:rsidR="009354C9">
        <w:rPr>
          <w:rFonts w:ascii="Arial" w:hAnsi="Arial" w:cs="Arial"/>
        </w:rPr>
        <w:t>in which the employer failed to include all relevant employees in the pool</w:t>
      </w:r>
      <w:r>
        <w:rPr>
          <w:rFonts w:ascii="Arial" w:hAnsi="Arial" w:cs="Arial"/>
        </w:rPr>
        <w:t xml:space="preserve">. </w:t>
      </w:r>
      <w:r w:rsidR="009354C9">
        <w:rPr>
          <w:rFonts w:ascii="Arial" w:hAnsi="Arial" w:cs="Arial"/>
        </w:rPr>
        <w:t>BBL will need to demonstrate that they have selected the pool fairly in order to avoid legal challenges (Personnel Today, 2009). For BBL, this appears to impact the Southampton and Portsmouth sites where the Electrical Engineers are employed.</w:t>
      </w:r>
    </w:p>
    <w:p w14:paraId="19C85192" w14:textId="5A10BBC5" w:rsidR="0022227D" w:rsidRDefault="0022227D">
      <w:pPr>
        <w:rPr>
          <w:rFonts w:ascii="Arial" w:hAnsi="Arial" w:cs="Arial"/>
          <w:b/>
          <w:bCs/>
          <w:u w:val="single"/>
        </w:rPr>
      </w:pPr>
    </w:p>
    <w:p w14:paraId="1B38210B" w14:textId="77777777" w:rsidR="003D3E57" w:rsidRDefault="002610E0">
      <w:pPr>
        <w:rPr>
          <w:rFonts w:ascii="Arial" w:hAnsi="Arial" w:cs="Arial"/>
        </w:rPr>
      </w:pPr>
      <w:r>
        <w:rPr>
          <w:rFonts w:ascii="Arial" w:hAnsi="Arial" w:cs="Arial"/>
        </w:rPr>
        <w:t>Prior to commencing consultation, BBL will need to check terms and conditions for the previous Illuminate employees aswell as BBL contracts to see if there are any collective agreements or enhanced redundancy pay conditions</w:t>
      </w:r>
      <w:r w:rsidR="00C749C1">
        <w:rPr>
          <w:rFonts w:ascii="Arial" w:hAnsi="Arial" w:cs="Arial"/>
        </w:rPr>
        <w:t xml:space="preserve">. </w:t>
      </w:r>
    </w:p>
    <w:p w14:paraId="00AF1DFA" w14:textId="77777777" w:rsidR="003D3E57" w:rsidRDefault="003D3E57">
      <w:pPr>
        <w:rPr>
          <w:rFonts w:ascii="Arial" w:hAnsi="Arial" w:cs="Arial"/>
        </w:rPr>
      </w:pPr>
    </w:p>
    <w:p w14:paraId="4F006688" w14:textId="27E23F63" w:rsidR="002610E0" w:rsidRDefault="003D3E57">
      <w:pPr>
        <w:rPr>
          <w:rFonts w:ascii="Arial" w:hAnsi="Arial" w:cs="Arial"/>
        </w:rPr>
      </w:pPr>
      <w:r>
        <w:rPr>
          <w:rFonts w:ascii="Arial" w:hAnsi="Arial" w:cs="Arial"/>
        </w:rPr>
        <w:t>Due to the numbers that have been identified for redundancy being over 20, BBL will need to enter collective consultation with</w:t>
      </w:r>
      <w:r w:rsidR="00936D24">
        <w:rPr>
          <w:rFonts w:ascii="Arial" w:hAnsi="Arial" w:cs="Arial"/>
        </w:rPr>
        <w:t xml:space="preserve"> both of</w:t>
      </w:r>
      <w:r>
        <w:rPr>
          <w:rFonts w:ascii="Arial" w:hAnsi="Arial" w:cs="Arial"/>
        </w:rPr>
        <w:t xml:space="preserve"> the recognised unions</w:t>
      </w:r>
      <w:r w:rsidR="00936D24">
        <w:rPr>
          <w:rFonts w:ascii="Arial" w:hAnsi="Arial" w:cs="Arial"/>
        </w:rPr>
        <w:t xml:space="preserve"> </w:t>
      </w:r>
      <w:r w:rsidR="00B9504C">
        <w:rPr>
          <w:rFonts w:ascii="Arial" w:hAnsi="Arial" w:cs="Arial"/>
        </w:rPr>
        <w:t>(</w:t>
      </w:r>
      <w:r w:rsidR="00936D24">
        <w:rPr>
          <w:rFonts w:ascii="Arial" w:hAnsi="Arial" w:cs="Arial"/>
        </w:rPr>
        <w:t>IWU and FEW</w:t>
      </w:r>
      <w:r w:rsidR="00B9504C">
        <w:rPr>
          <w:rFonts w:ascii="Arial" w:hAnsi="Arial" w:cs="Arial"/>
        </w:rPr>
        <w:t>)</w:t>
      </w:r>
      <w:r>
        <w:rPr>
          <w:rFonts w:ascii="Arial" w:hAnsi="Arial" w:cs="Arial"/>
        </w:rPr>
        <w:t xml:space="preserve"> </w:t>
      </w:r>
      <w:r w:rsidR="00936D24">
        <w:rPr>
          <w:rFonts w:ascii="Arial" w:hAnsi="Arial" w:cs="Arial"/>
        </w:rPr>
        <w:t xml:space="preserve">if their members are in the pool </w:t>
      </w:r>
      <w:r w:rsidR="0008118C">
        <w:rPr>
          <w:rFonts w:ascii="Arial" w:hAnsi="Arial" w:cs="Arial"/>
        </w:rPr>
        <w:t xml:space="preserve">and this must be done at least 30 days prior to the redundancy date, however it is recommended that consultation is commenced as early as possible to allow </w:t>
      </w:r>
      <w:r w:rsidR="00936D24">
        <w:rPr>
          <w:rFonts w:ascii="Arial" w:hAnsi="Arial" w:cs="Arial"/>
        </w:rPr>
        <w:t>it to be meaningful</w:t>
      </w:r>
      <w:r w:rsidR="00D1209F">
        <w:rPr>
          <w:rFonts w:ascii="Arial" w:hAnsi="Arial" w:cs="Arial"/>
        </w:rPr>
        <w:t>,</w:t>
      </w:r>
      <w:r w:rsidR="0008118C">
        <w:rPr>
          <w:rFonts w:ascii="Arial" w:hAnsi="Arial" w:cs="Arial"/>
        </w:rPr>
        <w:t xml:space="preserve"> </w:t>
      </w:r>
      <w:r w:rsidR="00936D24">
        <w:rPr>
          <w:rFonts w:ascii="Arial" w:hAnsi="Arial" w:cs="Arial"/>
        </w:rPr>
        <w:t xml:space="preserve">including </w:t>
      </w:r>
      <w:r w:rsidR="0008118C">
        <w:rPr>
          <w:rFonts w:ascii="Arial" w:hAnsi="Arial" w:cs="Arial"/>
        </w:rPr>
        <w:t>consider</w:t>
      </w:r>
      <w:r w:rsidR="00936D24">
        <w:rPr>
          <w:rFonts w:ascii="Arial" w:hAnsi="Arial" w:cs="Arial"/>
        </w:rPr>
        <w:t>ing</w:t>
      </w:r>
      <w:r w:rsidR="0008118C">
        <w:rPr>
          <w:rFonts w:ascii="Arial" w:hAnsi="Arial" w:cs="Arial"/>
        </w:rPr>
        <w:t xml:space="preserve"> if there are alternatives to redundancy</w:t>
      </w:r>
      <w:r w:rsidR="00936D24">
        <w:rPr>
          <w:rFonts w:ascii="Arial" w:hAnsi="Arial" w:cs="Arial"/>
        </w:rPr>
        <w:t xml:space="preserve"> that are suggested</w:t>
      </w:r>
      <w:r w:rsidR="00D1209F">
        <w:rPr>
          <w:rFonts w:ascii="Arial" w:hAnsi="Arial" w:cs="Arial"/>
        </w:rPr>
        <w:t>,</w:t>
      </w:r>
      <w:r w:rsidR="0008118C">
        <w:rPr>
          <w:rFonts w:ascii="Arial" w:hAnsi="Arial" w:cs="Arial"/>
        </w:rPr>
        <w:t xml:space="preserve"> such a</w:t>
      </w:r>
      <w:r w:rsidR="00936D24">
        <w:rPr>
          <w:rFonts w:ascii="Arial" w:hAnsi="Arial" w:cs="Arial"/>
        </w:rPr>
        <w:t>s</w:t>
      </w:r>
      <w:r w:rsidR="0008118C">
        <w:rPr>
          <w:rFonts w:ascii="Arial" w:hAnsi="Arial" w:cs="Arial"/>
        </w:rPr>
        <w:t xml:space="preserve"> opportunities to re-deploy within BBL</w:t>
      </w:r>
      <w:r w:rsidR="00FC6F54">
        <w:rPr>
          <w:rFonts w:ascii="Arial" w:hAnsi="Arial" w:cs="Arial"/>
        </w:rPr>
        <w:t>.</w:t>
      </w:r>
      <w:r w:rsidR="00936D24">
        <w:rPr>
          <w:rFonts w:ascii="Arial" w:hAnsi="Arial" w:cs="Arial"/>
        </w:rPr>
        <w:t xml:space="preserve"> Although the consultation is being conducted as a collective, employees should also be offered the chance of an individual consultation</w:t>
      </w:r>
      <w:r w:rsidR="006323A0">
        <w:rPr>
          <w:rFonts w:ascii="Arial" w:hAnsi="Arial" w:cs="Arial"/>
        </w:rPr>
        <w:t xml:space="preserve"> </w:t>
      </w:r>
      <w:r w:rsidR="00936D24">
        <w:rPr>
          <w:rFonts w:ascii="Arial" w:hAnsi="Arial" w:cs="Arial"/>
        </w:rPr>
        <w:t>(ACAS,2022)</w:t>
      </w:r>
      <w:r w:rsidR="00FC6F54">
        <w:rPr>
          <w:rFonts w:ascii="Arial" w:hAnsi="Arial" w:cs="Arial"/>
        </w:rPr>
        <w:t xml:space="preserve">. </w:t>
      </w:r>
    </w:p>
    <w:p w14:paraId="578D40A4" w14:textId="43DCAE49" w:rsidR="00C749C1" w:rsidRDefault="00C749C1">
      <w:pPr>
        <w:rPr>
          <w:rFonts w:ascii="Arial" w:hAnsi="Arial" w:cs="Arial"/>
        </w:rPr>
      </w:pPr>
    </w:p>
    <w:p w14:paraId="04171185" w14:textId="217E8F4F" w:rsidR="00A214DE" w:rsidRPr="00A214DE" w:rsidRDefault="00A214DE">
      <w:pPr>
        <w:rPr>
          <w:rFonts w:ascii="Arial" w:hAnsi="Arial" w:cs="Arial"/>
          <w:u w:val="single"/>
        </w:rPr>
      </w:pPr>
      <w:r w:rsidRPr="00A214DE">
        <w:rPr>
          <w:rFonts w:ascii="Arial" w:hAnsi="Arial" w:cs="Arial"/>
          <w:u w:val="single"/>
        </w:rPr>
        <w:t xml:space="preserve">Selection Criteria </w:t>
      </w:r>
    </w:p>
    <w:p w14:paraId="4F520DC7" w14:textId="476C3524" w:rsidR="00C749C1" w:rsidRDefault="00C749C1">
      <w:pPr>
        <w:rPr>
          <w:rFonts w:ascii="Arial" w:hAnsi="Arial" w:cs="Arial"/>
        </w:rPr>
      </w:pPr>
    </w:p>
    <w:p w14:paraId="2DFB7361" w14:textId="55FADEDE" w:rsidR="00C516E8" w:rsidRDefault="00265A0C">
      <w:pPr>
        <w:rPr>
          <w:rFonts w:ascii="Arial" w:hAnsi="Arial" w:cs="Arial"/>
        </w:rPr>
      </w:pPr>
      <w:r>
        <w:rPr>
          <w:rFonts w:ascii="Arial" w:hAnsi="Arial" w:cs="Arial"/>
        </w:rPr>
        <w:t xml:space="preserve">Whilst </w:t>
      </w:r>
      <w:r w:rsidR="00C516E8">
        <w:rPr>
          <w:rFonts w:ascii="Arial" w:hAnsi="Arial" w:cs="Arial"/>
        </w:rPr>
        <w:t>t</w:t>
      </w:r>
      <w:r>
        <w:rPr>
          <w:rFonts w:ascii="Arial" w:hAnsi="Arial" w:cs="Arial"/>
        </w:rPr>
        <w:t>he request from IWU to use a “</w:t>
      </w:r>
      <w:r w:rsidR="00BC2C14">
        <w:rPr>
          <w:rFonts w:ascii="Arial" w:hAnsi="Arial" w:cs="Arial"/>
        </w:rPr>
        <w:t>last in, first out</w:t>
      </w:r>
      <w:r>
        <w:rPr>
          <w:rFonts w:ascii="Arial" w:hAnsi="Arial" w:cs="Arial"/>
        </w:rPr>
        <w:t xml:space="preserve">” criteria for selecting those to become redundant is an option, using this as the only criteria for selection could leave BBL exposed to legal challenges for </w:t>
      </w:r>
      <w:r w:rsidR="00C516E8">
        <w:rPr>
          <w:rFonts w:ascii="Arial" w:hAnsi="Arial" w:cs="Arial"/>
        </w:rPr>
        <w:t xml:space="preserve">age </w:t>
      </w:r>
      <w:r>
        <w:rPr>
          <w:rFonts w:ascii="Arial" w:hAnsi="Arial" w:cs="Arial"/>
        </w:rPr>
        <w:t xml:space="preserve">discrimination under the Equality Act 2010 as it is likely that those with the least service </w:t>
      </w:r>
      <w:r w:rsidR="00C516E8">
        <w:rPr>
          <w:rFonts w:ascii="Arial" w:hAnsi="Arial" w:cs="Arial"/>
        </w:rPr>
        <w:t xml:space="preserve">are youngest in age, therefore this method of selection in isolation should be used with caution. </w:t>
      </w:r>
      <w:r w:rsidR="00BC2C14">
        <w:rPr>
          <w:rFonts w:ascii="Arial" w:hAnsi="Arial" w:cs="Arial"/>
        </w:rPr>
        <w:t>“Last in, first out” was tested</w:t>
      </w:r>
      <w:r w:rsidR="00C516E8">
        <w:rPr>
          <w:rFonts w:ascii="Arial" w:hAnsi="Arial" w:cs="Arial"/>
        </w:rPr>
        <w:t xml:space="preserve"> Rolls Royce v Unite</w:t>
      </w:r>
      <w:r w:rsidR="00BC2C14">
        <w:rPr>
          <w:rFonts w:ascii="Arial" w:hAnsi="Arial" w:cs="Arial"/>
        </w:rPr>
        <w:t xml:space="preserve"> (2008)</w:t>
      </w:r>
      <w:r w:rsidR="005B3345">
        <w:rPr>
          <w:rFonts w:ascii="Arial" w:hAnsi="Arial" w:cs="Arial"/>
        </w:rPr>
        <w:t xml:space="preserve"> </w:t>
      </w:r>
      <w:r w:rsidR="00BC2C14">
        <w:rPr>
          <w:rFonts w:ascii="Arial" w:hAnsi="Arial" w:cs="Arial"/>
        </w:rPr>
        <w:t xml:space="preserve">where it was determined that Rolls Royce had not discriminated on age as the criteria of experience was used in conjunction with other objective criteria which was deemed a fair </w:t>
      </w:r>
      <w:r w:rsidR="00BC2C14">
        <w:rPr>
          <w:rFonts w:ascii="Arial" w:hAnsi="Arial" w:cs="Arial"/>
        </w:rPr>
        <w:lastRenderedPageBreak/>
        <w:t>and balance process (</w:t>
      </w:r>
      <w:r w:rsidR="000410BC">
        <w:rPr>
          <w:rFonts w:ascii="Arial" w:hAnsi="Arial" w:cs="Arial"/>
        </w:rPr>
        <w:t>Bradley</w:t>
      </w:r>
      <w:r w:rsidR="00BC2C14">
        <w:rPr>
          <w:rFonts w:ascii="Arial" w:hAnsi="Arial" w:cs="Arial"/>
        </w:rPr>
        <w:t xml:space="preserve">,2008). </w:t>
      </w:r>
      <w:r w:rsidR="00D1209F">
        <w:rPr>
          <w:rFonts w:ascii="Arial" w:hAnsi="Arial" w:cs="Arial"/>
        </w:rPr>
        <w:t>M</w:t>
      </w:r>
      <w:r w:rsidR="00ED437A">
        <w:rPr>
          <w:rFonts w:ascii="Arial" w:hAnsi="Arial" w:cs="Arial"/>
        </w:rPr>
        <w:t xml:space="preserve">anagement must also note that Illuminate employees will have continuous service from their time at Illuminate as a result of the TUPE transfer, therefore it may be that they do not all fall in to the pool of employees with the least service. </w:t>
      </w:r>
    </w:p>
    <w:p w14:paraId="2C5AB87E" w14:textId="1E20BE24" w:rsidR="0022227D" w:rsidRPr="00000918" w:rsidRDefault="00C516E8">
      <w:pPr>
        <w:rPr>
          <w:rFonts w:ascii="Arial" w:hAnsi="Arial" w:cs="Arial"/>
        </w:rPr>
      </w:pPr>
      <w:r>
        <w:rPr>
          <w:rFonts w:ascii="Arial" w:hAnsi="Arial" w:cs="Arial"/>
        </w:rPr>
        <w:t xml:space="preserve"> </w:t>
      </w:r>
    </w:p>
    <w:p w14:paraId="4046B3D5" w14:textId="5AB32D35" w:rsidR="0022227D" w:rsidRDefault="00A214DE">
      <w:pPr>
        <w:rPr>
          <w:rFonts w:ascii="Arial" w:hAnsi="Arial" w:cs="Arial"/>
          <w:u w:val="single"/>
        </w:rPr>
      </w:pPr>
      <w:r>
        <w:rPr>
          <w:rFonts w:ascii="Arial" w:hAnsi="Arial" w:cs="Arial"/>
          <w:u w:val="single"/>
        </w:rPr>
        <w:t>Proposed Selection Matrix</w:t>
      </w:r>
    </w:p>
    <w:p w14:paraId="26DA42BE" w14:textId="1E3F2980" w:rsidR="00A214DE" w:rsidRDefault="00A214DE">
      <w:pPr>
        <w:rPr>
          <w:rFonts w:ascii="Arial" w:hAnsi="Arial" w:cs="Arial"/>
          <w:u w:val="single"/>
        </w:rPr>
      </w:pPr>
    </w:p>
    <w:p w14:paraId="7928A97C" w14:textId="77777777" w:rsidR="00ED437A" w:rsidRDefault="00000918">
      <w:pPr>
        <w:rPr>
          <w:rFonts w:ascii="Arial" w:hAnsi="Arial" w:cs="Arial"/>
        </w:rPr>
      </w:pPr>
      <w:r>
        <w:rPr>
          <w:rFonts w:ascii="Arial" w:hAnsi="Arial" w:cs="Arial"/>
        </w:rPr>
        <w:t xml:space="preserve">As previously stated, it is recommended the selection is based on several objective criteria to ensure a fair process. </w:t>
      </w:r>
    </w:p>
    <w:p w14:paraId="601A951E" w14:textId="1AFEAFE1" w:rsidR="00ED437A" w:rsidRDefault="00ED437A">
      <w:pPr>
        <w:rPr>
          <w:rFonts w:ascii="Arial" w:hAnsi="Arial" w:cs="Arial"/>
        </w:rPr>
      </w:pPr>
      <w:r>
        <w:rPr>
          <w:rFonts w:ascii="Arial" w:hAnsi="Arial" w:cs="Arial"/>
        </w:rPr>
        <w:t>Suggested criteria are as follows:</w:t>
      </w:r>
    </w:p>
    <w:p w14:paraId="37AE1478" w14:textId="77777777" w:rsidR="00ED437A" w:rsidRDefault="00ED437A">
      <w:pPr>
        <w:rPr>
          <w:rFonts w:ascii="Arial" w:hAnsi="Arial" w:cs="Arial"/>
        </w:rPr>
      </w:pPr>
    </w:p>
    <w:p w14:paraId="77468BF7" w14:textId="3DCD9F02" w:rsidR="00ED437A" w:rsidRPr="00ED437A" w:rsidRDefault="00ED437A" w:rsidP="00ED437A">
      <w:pPr>
        <w:pStyle w:val="ListParagraph"/>
        <w:numPr>
          <w:ilvl w:val="0"/>
          <w:numId w:val="3"/>
        </w:numPr>
        <w:rPr>
          <w:rFonts w:ascii="Arial" w:hAnsi="Arial" w:cs="Arial"/>
        </w:rPr>
      </w:pPr>
      <w:r w:rsidRPr="00ED437A">
        <w:rPr>
          <w:rFonts w:ascii="Arial" w:hAnsi="Arial" w:cs="Arial"/>
        </w:rPr>
        <w:t>Qualifications - depending on the priorities of management, criteria can be weighted, for example</w:t>
      </w:r>
      <w:r w:rsidR="00D1209F">
        <w:rPr>
          <w:rFonts w:ascii="Arial" w:hAnsi="Arial" w:cs="Arial"/>
        </w:rPr>
        <w:t>,</w:t>
      </w:r>
      <w:r w:rsidRPr="00ED437A">
        <w:rPr>
          <w:rFonts w:ascii="Arial" w:hAnsi="Arial" w:cs="Arial"/>
        </w:rPr>
        <w:t xml:space="preserve"> if an employee holds a specialist qualification relevant to the role, a higher score can be applied.</w:t>
      </w:r>
    </w:p>
    <w:p w14:paraId="5428C714" w14:textId="62647553" w:rsidR="00ED437A" w:rsidRPr="00ED437A" w:rsidRDefault="00ED437A" w:rsidP="00ED437A">
      <w:pPr>
        <w:pStyle w:val="ListParagraph"/>
        <w:numPr>
          <w:ilvl w:val="0"/>
          <w:numId w:val="3"/>
        </w:numPr>
        <w:rPr>
          <w:rFonts w:ascii="Arial" w:hAnsi="Arial" w:cs="Arial"/>
        </w:rPr>
      </w:pPr>
      <w:r w:rsidRPr="00ED437A">
        <w:rPr>
          <w:rFonts w:ascii="Arial" w:hAnsi="Arial" w:cs="Arial"/>
        </w:rPr>
        <w:t>Skills and Knowledge</w:t>
      </w:r>
    </w:p>
    <w:p w14:paraId="42F5E631" w14:textId="63F84C5F" w:rsidR="00ED437A" w:rsidRPr="00ED437A" w:rsidRDefault="00ED437A" w:rsidP="00ED437A">
      <w:pPr>
        <w:pStyle w:val="ListParagraph"/>
        <w:numPr>
          <w:ilvl w:val="0"/>
          <w:numId w:val="3"/>
        </w:numPr>
        <w:rPr>
          <w:rFonts w:ascii="Arial" w:hAnsi="Arial" w:cs="Arial"/>
        </w:rPr>
      </w:pPr>
      <w:r w:rsidRPr="00ED437A">
        <w:rPr>
          <w:rFonts w:ascii="Arial" w:hAnsi="Arial" w:cs="Arial"/>
        </w:rPr>
        <w:t xml:space="preserve">Attendance Record - </w:t>
      </w:r>
      <w:r>
        <w:rPr>
          <w:rFonts w:ascii="Arial" w:hAnsi="Arial" w:cs="Arial"/>
        </w:rPr>
        <w:t xml:space="preserve">Please note, </w:t>
      </w:r>
      <w:r w:rsidRPr="00ED437A">
        <w:rPr>
          <w:rFonts w:ascii="Arial" w:hAnsi="Arial" w:cs="Arial"/>
        </w:rPr>
        <w:t>absences due to maternity or disability are not included to ensure that anyone with a protected characteristic under the Equality Act 2010 are not at a disadvantage to other employees in the pool.</w:t>
      </w:r>
    </w:p>
    <w:p w14:paraId="7D5C1890" w14:textId="6C350D03" w:rsidR="00ED437A" w:rsidRDefault="00AC1DFB" w:rsidP="00ED437A">
      <w:pPr>
        <w:pStyle w:val="ListParagraph"/>
        <w:numPr>
          <w:ilvl w:val="0"/>
          <w:numId w:val="3"/>
        </w:numPr>
        <w:rPr>
          <w:rFonts w:ascii="Arial" w:hAnsi="Arial" w:cs="Arial"/>
        </w:rPr>
      </w:pPr>
      <w:r>
        <w:rPr>
          <w:rFonts w:ascii="Arial" w:hAnsi="Arial" w:cs="Arial"/>
        </w:rPr>
        <w:t>Disciplinary</w:t>
      </w:r>
      <w:r w:rsidR="00ED437A" w:rsidRPr="00ED437A">
        <w:rPr>
          <w:rFonts w:ascii="Arial" w:hAnsi="Arial" w:cs="Arial"/>
        </w:rPr>
        <w:t xml:space="preserve"> Record</w:t>
      </w:r>
      <w:r w:rsidR="00ED437A">
        <w:rPr>
          <w:rFonts w:ascii="Arial" w:hAnsi="Arial" w:cs="Arial"/>
        </w:rPr>
        <w:t xml:space="preserve"> - Points can be deducted for poor</w:t>
      </w:r>
      <w:r>
        <w:rPr>
          <w:rFonts w:ascii="Arial" w:hAnsi="Arial" w:cs="Arial"/>
        </w:rPr>
        <w:t xml:space="preserve"> </w:t>
      </w:r>
      <w:r w:rsidR="00ED437A">
        <w:rPr>
          <w:rFonts w:ascii="Arial" w:hAnsi="Arial" w:cs="Arial"/>
        </w:rPr>
        <w:t>disciplinary record.</w:t>
      </w:r>
    </w:p>
    <w:p w14:paraId="40DDA5CE" w14:textId="07E6E871" w:rsidR="00341BD7" w:rsidRDefault="00341BD7" w:rsidP="00341BD7">
      <w:pPr>
        <w:rPr>
          <w:rFonts w:ascii="Arial" w:hAnsi="Arial" w:cs="Arial"/>
        </w:rPr>
      </w:pPr>
    </w:p>
    <w:p w14:paraId="406FDEC3" w14:textId="1444E10A" w:rsidR="00341BD7" w:rsidRPr="00341BD7" w:rsidRDefault="00341BD7" w:rsidP="00341BD7">
      <w:pPr>
        <w:rPr>
          <w:rFonts w:ascii="Arial" w:hAnsi="Arial" w:cs="Arial"/>
        </w:rPr>
      </w:pPr>
      <w:r>
        <w:rPr>
          <w:rFonts w:ascii="Arial" w:hAnsi="Arial" w:cs="Arial"/>
        </w:rPr>
        <w:t xml:space="preserve">The selection criteria must be discussed and agreed with </w:t>
      </w:r>
      <w:r w:rsidR="00D1209F">
        <w:rPr>
          <w:rFonts w:ascii="Arial" w:hAnsi="Arial" w:cs="Arial"/>
        </w:rPr>
        <w:t>tr</w:t>
      </w:r>
      <w:r>
        <w:rPr>
          <w:rFonts w:ascii="Arial" w:hAnsi="Arial" w:cs="Arial"/>
        </w:rPr>
        <w:t xml:space="preserve">ade </w:t>
      </w:r>
      <w:r w:rsidR="00D1209F">
        <w:rPr>
          <w:rFonts w:ascii="Arial" w:hAnsi="Arial" w:cs="Arial"/>
        </w:rPr>
        <w:t>u</w:t>
      </w:r>
      <w:r>
        <w:rPr>
          <w:rFonts w:ascii="Arial" w:hAnsi="Arial" w:cs="Arial"/>
        </w:rPr>
        <w:t>nions and also shared with employees so that they are aware. Scores must also be shared with employees once selection is complete</w:t>
      </w:r>
      <w:r w:rsidR="000111A7">
        <w:rPr>
          <w:rFonts w:ascii="Arial" w:hAnsi="Arial" w:cs="Arial"/>
        </w:rPr>
        <w:t xml:space="preserve"> to prevent an unfair dismissal as per </w:t>
      </w:r>
      <w:r w:rsidR="00AE1EDE">
        <w:rPr>
          <w:rFonts w:ascii="Arial" w:hAnsi="Arial" w:cs="Arial"/>
        </w:rPr>
        <w:t>Pinewood Repro Ltd t/a County Print v Page (2010)</w:t>
      </w:r>
      <w:r w:rsidR="000410BC">
        <w:rPr>
          <w:rFonts w:ascii="Arial" w:hAnsi="Arial" w:cs="Arial"/>
        </w:rPr>
        <w:t>.</w:t>
      </w:r>
    </w:p>
    <w:p w14:paraId="6DEF8E64" w14:textId="3BEC2AAF" w:rsidR="00ED437A" w:rsidRDefault="00ED437A">
      <w:pPr>
        <w:rPr>
          <w:rFonts w:ascii="Arial" w:hAnsi="Arial" w:cs="Arial"/>
        </w:rPr>
      </w:pPr>
    </w:p>
    <w:p w14:paraId="6E2E3F75" w14:textId="5D98FD1F" w:rsidR="00AE1EDE" w:rsidRDefault="00AE1EDE">
      <w:pPr>
        <w:rPr>
          <w:rFonts w:ascii="Arial" w:hAnsi="Arial" w:cs="Arial"/>
        </w:rPr>
      </w:pPr>
      <w:r>
        <w:rPr>
          <w:rFonts w:ascii="Arial" w:hAnsi="Arial" w:cs="Arial"/>
        </w:rPr>
        <w:t>Finally, whilst it is not a legal requirement</w:t>
      </w:r>
      <w:r w:rsidR="009D59AE">
        <w:rPr>
          <w:rFonts w:ascii="Arial" w:hAnsi="Arial" w:cs="Arial"/>
        </w:rPr>
        <w:t xml:space="preserve"> as demonstrated in</w:t>
      </w:r>
      <w:r w:rsidR="009D59AE" w:rsidRPr="009D59AE">
        <w:t xml:space="preserve"> </w:t>
      </w:r>
      <w:hyperlink r:id="rId8" w:tgtFrame="_blank" w:history="1">
        <w:r w:rsidR="009D59AE" w:rsidRPr="00D1209F">
          <w:rPr>
            <w:rStyle w:val="Emphasis"/>
            <w:rFonts w:ascii="Arial" w:hAnsi="Arial" w:cs="Arial"/>
            <w:i w:val="0"/>
            <w:iCs w:val="0"/>
          </w:rPr>
          <w:t>Gwynedd Council v Barratt and Hughes</w:t>
        </w:r>
      </w:hyperlink>
      <w:r w:rsidR="000410BC">
        <w:rPr>
          <w:rStyle w:val="Emphasis"/>
          <w:rFonts w:ascii="Arial" w:hAnsi="Arial" w:cs="Arial"/>
          <w:i w:val="0"/>
          <w:iCs w:val="0"/>
        </w:rPr>
        <w:t xml:space="preserve"> (2021)</w:t>
      </w:r>
      <w:r w:rsidR="009D59AE" w:rsidRPr="00D1209F">
        <w:t>,</w:t>
      </w:r>
      <w:r w:rsidR="009D59AE">
        <w:t xml:space="preserve"> </w:t>
      </w:r>
      <w:r>
        <w:rPr>
          <w:rFonts w:ascii="Arial" w:hAnsi="Arial" w:cs="Arial"/>
        </w:rPr>
        <w:t xml:space="preserve">it is recommended that BBL have an appeals process in place so that employees can make any challenges if they feel that the process has been unfair, this will then further reduce the likelihood of any legal challenges (ACAS, 2022). </w:t>
      </w:r>
    </w:p>
    <w:p w14:paraId="38C8D25D" w14:textId="77777777" w:rsidR="00ED437A" w:rsidRDefault="00ED437A">
      <w:pPr>
        <w:rPr>
          <w:rFonts w:ascii="Arial" w:hAnsi="Arial" w:cs="Arial"/>
        </w:rPr>
      </w:pPr>
    </w:p>
    <w:p w14:paraId="733360E4" w14:textId="77777777" w:rsidR="00ED437A" w:rsidRDefault="00ED437A">
      <w:pPr>
        <w:rPr>
          <w:rFonts w:ascii="Arial" w:hAnsi="Arial" w:cs="Arial"/>
        </w:rPr>
      </w:pPr>
    </w:p>
    <w:p w14:paraId="7B0B779F" w14:textId="77777777" w:rsidR="00ED437A" w:rsidRDefault="00ED437A">
      <w:pPr>
        <w:rPr>
          <w:rFonts w:ascii="Arial" w:hAnsi="Arial" w:cs="Arial"/>
        </w:rPr>
      </w:pPr>
    </w:p>
    <w:p w14:paraId="02E9844A" w14:textId="5384C3D4" w:rsidR="00A214DE" w:rsidRDefault="00A214DE">
      <w:pPr>
        <w:rPr>
          <w:rFonts w:ascii="Arial" w:hAnsi="Arial" w:cs="Arial"/>
          <w:u w:val="single"/>
        </w:rPr>
      </w:pPr>
    </w:p>
    <w:p w14:paraId="275977A8" w14:textId="2E503822" w:rsidR="00A214DE" w:rsidRDefault="00A214DE">
      <w:pPr>
        <w:rPr>
          <w:rFonts w:ascii="Arial" w:hAnsi="Arial" w:cs="Arial"/>
          <w:u w:val="single"/>
        </w:rPr>
      </w:pPr>
    </w:p>
    <w:p w14:paraId="56862A7F" w14:textId="7419222D" w:rsidR="00A214DE" w:rsidRDefault="00A214DE">
      <w:pPr>
        <w:rPr>
          <w:rFonts w:ascii="Arial" w:hAnsi="Arial" w:cs="Arial"/>
          <w:u w:val="single"/>
        </w:rPr>
      </w:pPr>
    </w:p>
    <w:p w14:paraId="0341029A" w14:textId="700D70EF" w:rsidR="00A214DE" w:rsidRDefault="00A214DE">
      <w:pPr>
        <w:rPr>
          <w:rFonts w:ascii="Arial" w:hAnsi="Arial" w:cs="Arial"/>
          <w:u w:val="single"/>
        </w:rPr>
      </w:pPr>
    </w:p>
    <w:p w14:paraId="4EB27A5C" w14:textId="300CFDCE" w:rsidR="00A214DE" w:rsidRDefault="00A214DE">
      <w:pPr>
        <w:rPr>
          <w:rFonts w:ascii="Arial" w:hAnsi="Arial" w:cs="Arial"/>
          <w:u w:val="single"/>
        </w:rPr>
      </w:pPr>
    </w:p>
    <w:p w14:paraId="7D718E44" w14:textId="77777777" w:rsidR="00A214DE" w:rsidRDefault="00A214DE">
      <w:pPr>
        <w:rPr>
          <w:rFonts w:ascii="Arial" w:hAnsi="Arial" w:cs="Arial"/>
          <w:u w:val="single"/>
        </w:rPr>
      </w:pPr>
    </w:p>
    <w:p w14:paraId="53DEED6F" w14:textId="2A478C2C" w:rsidR="0022227D" w:rsidRDefault="0022227D">
      <w:pPr>
        <w:rPr>
          <w:rFonts w:ascii="Arial" w:hAnsi="Arial" w:cs="Arial"/>
          <w:u w:val="single"/>
        </w:rPr>
      </w:pPr>
    </w:p>
    <w:p w14:paraId="15D94D74" w14:textId="4C7D09F8" w:rsidR="0022227D" w:rsidRDefault="0022227D">
      <w:pPr>
        <w:rPr>
          <w:rFonts w:ascii="Arial" w:hAnsi="Arial" w:cs="Arial"/>
          <w:u w:val="single"/>
        </w:rPr>
      </w:pPr>
    </w:p>
    <w:p w14:paraId="73F45D16" w14:textId="00A407B6" w:rsidR="0022227D" w:rsidRDefault="0022227D">
      <w:pPr>
        <w:rPr>
          <w:rFonts w:ascii="Arial" w:hAnsi="Arial" w:cs="Arial"/>
          <w:u w:val="single"/>
        </w:rPr>
      </w:pPr>
    </w:p>
    <w:p w14:paraId="2FC88831" w14:textId="3B1D86AF" w:rsidR="0022227D" w:rsidRDefault="0022227D">
      <w:pPr>
        <w:rPr>
          <w:rFonts w:ascii="Arial" w:hAnsi="Arial" w:cs="Arial"/>
          <w:u w:val="single"/>
        </w:rPr>
      </w:pPr>
    </w:p>
    <w:p w14:paraId="76C4C678" w14:textId="75FED87C" w:rsidR="0022227D" w:rsidRDefault="0022227D">
      <w:pPr>
        <w:rPr>
          <w:rFonts w:ascii="Arial" w:hAnsi="Arial" w:cs="Arial"/>
          <w:u w:val="single"/>
        </w:rPr>
      </w:pPr>
    </w:p>
    <w:p w14:paraId="4CC406A8" w14:textId="17402D61" w:rsidR="0022227D" w:rsidRDefault="0022227D">
      <w:pPr>
        <w:rPr>
          <w:rFonts w:ascii="Arial" w:hAnsi="Arial" w:cs="Arial"/>
          <w:u w:val="single"/>
        </w:rPr>
      </w:pPr>
    </w:p>
    <w:p w14:paraId="1419AD9F" w14:textId="382655E6" w:rsidR="0022227D" w:rsidRDefault="0022227D">
      <w:pPr>
        <w:rPr>
          <w:rFonts w:ascii="Arial" w:hAnsi="Arial" w:cs="Arial"/>
          <w:u w:val="single"/>
        </w:rPr>
      </w:pPr>
    </w:p>
    <w:p w14:paraId="31BA27AE" w14:textId="4D9110DB" w:rsidR="0022227D" w:rsidRDefault="0022227D">
      <w:pPr>
        <w:rPr>
          <w:rFonts w:ascii="Arial" w:hAnsi="Arial" w:cs="Arial"/>
          <w:u w:val="single"/>
        </w:rPr>
      </w:pPr>
    </w:p>
    <w:p w14:paraId="514088CF" w14:textId="33CD5294" w:rsidR="0022227D" w:rsidRDefault="0022227D">
      <w:pPr>
        <w:rPr>
          <w:rFonts w:ascii="Arial" w:hAnsi="Arial" w:cs="Arial"/>
          <w:u w:val="single"/>
        </w:rPr>
      </w:pPr>
    </w:p>
    <w:p w14:paraId="3167C8A3" w14:textId="77777777" w:rsidR="00150540" w:rsidRDefault="00150540" w:rsidP="0022227D">
      <w:pPr>
        <w:rPr>
          <w:rFonts w:ascii="Arial" w:hAnsi="Arial" w:cs="Arial"/>
          <w:u w:val="single"/>
        </w:rPr>
      </w:pPr>
    </w:p>
    <w:p w14:paraId="21561D1D" w14:textId="77777777" w:rsidR="00150540" w:rsidRDefault="00150540" w:rsidP="0022227D">
      <w:pPr>
        <w:rPr>
          <w:rFonts w:ascii="Arial" w:hAnsi="Arial" w:cs="Arial"/>
          <w:u w:val="single"/>
        </w:rPr>
      </w:pPr>
    </w:p>
    <w:p w14:paraId="5DA747C2" w14:textId="77777777" w:rsidR="00150540" w:rsidRDefault="00150540" w:rsidP="0022227D">
      <w:pPr>
        <w:rPr>
          <w:rFonts w:ascii="Arial" w:hAnsi="Arial" w:cs="Arial"/>
          <w:u w:val="single"/>
        </w:rPr>
      </w:pPr>
    </w:p>
    <w:p w14:paraId="3384EB71" w14:textId="77777777" w:rsidR="00150540" w:rsidRDefault="00150540" w:rsidP="0022227D">
      <w:pPr>
        <w:rPr>
          <w:rFonts w:ascii="Arial" w:hAnsi="Arial" w:cs="Arial"/>
          <w:u w:val="single"/>
        </w:rPr>
      </w:pPr>
    </w:p>
    <w:p w14:paraId="4B441F39" w14:textId="77777777" w:rsidR="00150540" w:rsidRDefault="00150540" w:rsidP="0022227D">
      <w:pPr>
        <w:rPr>
          <w:rFonts w:ascii="Arial" w:hAnsi="Arial" w:cs="Arial"/>
          <w:u w:val="single"/>
        </w:rPr>
      </w:pPr>
    </w:p>
    <w:p w14:paraId="23C53008" w14:textId="77777777" w:rsidR="00150540" w:rsidRDefault="00150540" w:rsidP="0022227D">
      <w:pPr>
        <w:rPr>
          <w:rFonts w:ascii="Arial" w:hAnsi="Arial" w:cs="Arial"/>
          <w:u w:val="single"/>
        </w:rPr>
      </w:pPr>
    </w:p>
    <w:p w14:paraId="3BE5A25A" w14:textId="77777777" w:rsidR="000410BC" w:rsidRDefault="000410BC" w:rsidP="0022227D">
      <w:pPr>
        <w:rPr>
          <w:rFonts w:ascii="Arial" w:hAnsi="Arial" w:cs="Arial"/>
          <w:b/>
          <w:bCs/>
          <w:u w:val="single"/>
        </w:rPr>
      </w:pPr>
    </w:p>
    <w:p w14:paraId="487CBF0A" w14:textId="77777777" w:rsidR="000410BC" w:rsidRDefault="000410BC" w:rsidP="0022227D">
      <w:pPr>
        <w:rPr>
          <w:rFonts w:ascii="Arial" w:hAnsi="Arial" w:cs="Arial"/>
          <w:b/>
          <w:bCs/>
          <w:u w:val="single"/>
        </w:rPr>
      </w:pPr>
    </w:p>
    <w:p w14:paraId="7F375056" w14:textId="73922405" w:rsidR="0022227D" w:rsidRPr="00150540" w:rsidRDefault="0022227D" w:rsidP="0022227D">
      <w:pPr>
        <w:rPr>
          <w:rFonts w:ascii="Arial" w:hAnsi="Arial" w:cs="Arial"/>
          <w:b/>
          <w:bCs/>
          <w:u w:val="single"/>
        </w:rPr>
      </w:pPr>
      <w:r w:rsidRPr="00150540">
        <w:rPr>
          <w:rFonts w:ascii="Arial" w:hAnsi="Arial" w:cs="Arial"/>
          <w:b/>
          <w:bCs/>
          <w:u w:val="single"/>
        </w:rPr>
        <w:lastRenderedPageBreak/>
        <w:t>Big Business Limited (BBL) – Advice to Management Team on changes to Terms and Conditions (Mobility Clause)</w:t>
      </w:r>
    </w:p>
    <w:p w14:paraId="4779D2E6" w14:textId="279CAC7B" w:rsidR="00BA5612" w:rsidRDefault="00BA5612" w:rsidP="0022227D">
      <w:pPr>
        <w:rPr>
          <w:rFonts w:ascii="Arial" w:hAnsi="Arial" w:cs="Arial"/>
        </w:rPr>
      </w:pPr>
    </w:p>
    <w:p w14:paraId="4091A5E1" w14:textId="0180B110" w:rsidR="00BA5612" w:rsidRPr="00BA5612" w:rsidRDefault="00BA5612" w:rsidP="0022227D">
      <w:pPr>
        <w:rPr>
          <w:rFonts w:ascii="Arial" w:hAnsi="Arial" w:cs="Arial"/>
        </w:rPr>
      </w:pPr>
      <w:r>
        <w:rPr>
          <w:rFonts w:ascii="Arial" w:hAnsi="Arial" w:cs="Arial"/>
        </w:rPr>
        <w:t xml:space="preserve">BBL Management are looking to implement a mobility clause within </w:t>
      </w:r>
      <w:r w:rsidR="00295D5C">
        <w:rPr>
          <w:rFonts w:ascii="Arial" w:hAnsi="Arial" w:cs="Arial"/>
        </w:rPr>
        <w:t>employee’s</w:t>
      </w:r>
      <w:r>
        <w:rPr>
          <w:rFonts w:ascii="Arial" w:hAnsi="Arial" w:cs="Arial"/>
        </w:rPr>
        <w:t xml:space="preserve"> terms and conditions and have requested advice on what options they have to implement this, whether a clause in the appointment letter will enable the change to be made and what the advantages and disadvantages are of each approach.</w:t>
      </w:r>
    </w:p>
    <w:p w14:paraId="1C95E73D" w14:textId="3DD4C243" w:rsidR="0022227D" w:rsidRDefault="0022227D" w:rsidP="0022227D">
      <w:pPr>
        <w:rPr>
          <w:rFonts w:ascii="Arial" w:hAnsi="Arial" w:cs="Arial"/>
          <w:b/>
          <w:bCs/>
          <w:u w:val="single"/>
        </w:rPr>
      </w:pPr>
    </w:p>
    <w:p w14:paraId="69642F5B" w14:textId="16A07B0F" w:rsidR="0022227D" w:rsidRDefault="00BA5612" w:rsidP="0022227D">
      <w:pPr>
        <w:rPr>
          <w:rFonts w:ascii="Arial" w:hAnsi="Arial" w:cs="Arial"/>
        </w:rPr>
      </w:pPr>
      <w:r>
        <w:rPr>
          <w:rFonts w:ascii="Arial" w:hAnsi="Arial" w:cs="Arial"/>
        </w:rPr>
        <w:t>Key Legislation that will used to support advice and recommendations will be as follows:</w:t>
      </w:r>
    </w:p>
    <w:p w14:paraId="259DADEA" w14:textId="2D25BE14" w:rsidR="0050433B" w:rsidRDefault="0050433B" w:rsidP="0022227D">
      <w:pPr>
        <w:rPr>
          <w:rFonts w:ascii="Arial" w:hAnsi="Arial" w:cs="Arial"/>
        </w:rPr>
      </w:pPr>
    </w:p>
    <w:p w14:paraId="1BF9D777" w14:textId="0ECD02A6" w:rsidR="0050433B" w:rsidRPr="0050433B" w:rsidRDefault="0050433B" w:rsidP="0050433B">
      <w:pPr>
        <w:pStyle w:val="ListParagraph"/>
        <w:numPr>
          <w:ilvl w:val="0"/>
          <w:numId w:val="6"/>
        </w:numPr>
        <w:rPr>
          <w:rFonts w:ascii="Arial" w:hAnsi="Arial" w:cs="Arial"/>
        </w:rPr>
      </w:pPr>
      <w:r w:rsidRPr="0050433B">
        <w:rPr>
          <w:rFonts w:ascii="Arial" w:hAnsi="Arial" w:cs="Arial"/>
        </w:rPr>
        <w:t>Employment Act 1996</w:t>
      </w:r>
    </w:p>
    <w:p w14:paraId="2DDF2AB2" w14:textId="77777777" w:rsidR="0022227D" w:rsidRPr="0022227D" w:rsidRDefault="0022227D" w:rsidP="0022227D">
      <w:pPr>
        <w:rPr>
          <w:rFonts w:ascii="Arial" w:hAnsi="Arial" w:cs="Arial"/>
        </w:rPr>
      </w:pPr>
    </w:p>
    <w:p w14:paraId="4F7AF6B2" w14:textId="43CAE977" w:rsidR="0050433B" w:rsidRDefault="00BA5612">
      <w:pPr>
        <w:rPr>
          <w:rFonts w:ascii="Arial" w:hAnsi="Arial" w:cs="Arial"/>
        </w:rPr>
      </w:pPr>
      <w:r>
        <w:rPr>
          <w:rFonts w:ascii="Arial" w:hAnsi="Arial" w:cs="Arial"/>
        </w:rPr>
        <w:t xml:space="preserve">The option which is recommended and that poses the least legal risk to BBL would be for management to successfully negotiate with </w:t>
      </w:r>
      <w:r w:rsidR="00D1209F">
        <w:rPr>
          <w:rFonts w:ascii="Arial" w:hAnsi="Arial" w:cs="Arial"/>
        </w:rPr>
        <w:t>t</w:t>
      </w:r>
      <w:r>
        <w:rPr>
          <w:rFonts w:ascii="Arial" w:hAnsi="Arial" w:cs="Arial"/>
        </w:rPr>
        <w:t xml:space="preserve">rade </w:t>
      </w:r>
      <w:r w:rsidR="00D1209F">
        <w:rPr>
          <w:rFonts w:ascii="Arial" w:hAnsi="Arial" w:cs="Arial"/>
        </w:rPr>
        <w:t>u</w:t>
      </w:r>
      <w:r>
        <w:rPr>
          <w:rFonts w:ascii="Arial" w:hAnsi="Arial" w:cs="Arial"/>
        </w:rPr>
        <w:t xml:space="preserve">nions and gain an agreement for the mobility clause to be implemented to contracts </w:t>
      </w:r>
      <w:r w:rsidR="007731B5">
        <w:rPr>
          <w:rFonts w:ascii="Arial" w:hAnsi="Arial" w:cs="Arial"/>
        </w:rPr>
        <w:t xml:space="preserve">through consultation with employees. It has been proposed by management that the clause is a pre-requisite of a pay review which may be an element which can assist with negotiations. </w:t>
      </w:r>
    </w:p>
    <w:p w14:paraId="118003E8" w14:textId="4FE80C9A" w:rsidR="0050433B" w:rsidRDefault="0050433B">
      <w:pPr>
        <w:rPr>
          <w:rFonts w:ascii="Arial" w:hAnsi="Arial" w:cs="Arial"/>
        </w:rPr>
      </w:pPr>
      <w:r>
        <w:rPr>
          <w:rFonts w:ascii="Arial" w:hAnsi="Arial" w:cs="Arial"/>
        </w:rPr>
        <w:t xml:space="preserve">Management will need to check contracts for any collective agreements that may be in place which refers to BBL making changes to terms and conditions. If this is </w:t>
      </w:r>
      <w:r w:rsidR="00FB7F91">
        <w:rPr>
          <w:rFonts w:ascii="Arial" w:hAnsi="Arial" w:cs="Arial"/>
        </w:rPr>
        <w:t>included, management</w:t>
      </w:r>
      <w:r>
        <w:rPr>
          <w:rFonts w:ascii="Arial" w:hAnsi="Arial" w:cs="Arial"/>
        </w:rPr>
        <w:t xml:space="preserve"> will only need to get union agreement to the change. (CIPD,2021)</w:t>
      </w:r>
    </w:p>
    <w:p w14:paraId="2FDEEFC1" w14:textId="77777777" w:rsidR="0050433B" w:rsidRDefault="0050433B">
      <w:pPr>
        <w:rPr>
          <w:rFonts w:ascii="Arial" w:hAnsi="Arial" w:cs="Arial"/>
        </w:rPr>
      </w:pPr>
    </w:p>
    <w:p w14:paraId="16ECE4CA" w14:textId="63E0D890" w:rsidR="007731B5" w:rsidRDefault="007731B5">
      <w:pPr>
        <w:rPr>
          <w:rFonts w:ascii="Arial" w:hAnsi="Arial" w:cs="Arial"/>
        </w:rPr>
      </w:pPr>
      <w:r>
        <w:rPr>
          <w:rFonts w:ascii="Arial" w:hAnsi="Arial" w:cs="Arial"/>
        </w:rPr>
        <w:t xml:space="preserve">Advantages to this option is that </w:t>
      </w:r>
      <w:r w:rsidR="004F7D34">
        <w:rPr>
          <w:rFonts w:ascii="Arial" w:hAnsi="Arial" w:cs="Arial"/>
        </w:rPr>
        <w:t xml:space="preserve">the clauses are likely to be implemented with a lower risk of a legal challenge if </w:t>
      </w:r>
      <w:r w:rsidR="00D1209F">
        <w:rPr>
          <w:rFonts w:ascii="Arial" w:hAnsi="Arial" w:cs="Arial"/>
        </w:rPr>
        <w:t>u</w:t>
      </w:r>
      <w:r w:rsidR="004F7D34">
        <w:rPr>
          <w:rFonts w:ascii="Arial" w:hAnsi="Arial" w:cs="Arial"/>
        </w:rPr>
        <w:t>nions</w:t>
      </w:r>
      <w:r w:rsidR="0050433B">
        <w:rPr>
          <w:rFonts w:ascii="Arial" w:hAnsi="Arial" w:cs="Arial"/>
        </w:rPr>
        <w:t xml:space="preserve"> agree to the changes</w:t>
      </w:r>
      <w:r w:rsidR="004F7D34">
        <w:rPr>
          <w:rFonts w:ascii="Arial" w:hAnsi="Arial" w:cs="Arial"/>
        </w:rPr>
        <w:t>. Disadvantages of this is that BBL may need to make compromises which may mean that the current of mobility across all BBL sites may not be achieved.</w:t>
      </w:r>
    </w:p>
    <w:p w14:paraId="5BF559B2" w14:textId="77777777" w:rsidR="007731B5" w:rsidRDefault="007731B5">
      <w:pPr>
        <w:rPr>
          <w:rFonts w:ascii="Arial" w:hAnsi="Arial" w:cs="Arial"/>
        </w:rPr>
      </w:pPr>
    </w:p>
    <w:p w14:paraId="5C23CB19" w14:textId="2A0BC555" w:rsidR="0022227D" w:rsidRDefault="007731B5">
      <w:pPr>
        <w:rPr>
          <w:rFonts w:ascii="Arial" w:hAnsi="Arial" w:cs="Arial"/>
        </w:rPr>
      </w:pPr>
      <w:r>
        <w:rPr>
          <w:rFonts w:ascii="Arial" w:hAnsi="Arial" w:cs="Arial"/>
        </w:rPr>
        <w:t xml:space="preserve">In light of the recent employee survey in which nearly all employees were hostile to the proposed changes, </w:t>
      </w:r>
      <w:r w:rsidR="00D275BB">
        <w:rPr>
          <w:rFonts w:ascii="Arial" w:hAnsi="Arial" w:cs="Arial"/>
        </w:rPr>
        <w:t>if there is a failure to gain agreement from the unions and employees, there are a further two options available</w:t>
      </w:r>
      <w:r w:rsidR="00D1209F">
        <w:rPr>
          <w:rFonts w:ascii="Arial" w:hAnsi="Arial" w:cs="Arial"/>
        </w:rPr>
        <w:t>.</w:t>
      </w:r>
    </w:p>
    <w:p w14:paraId="712CEDE3" w14:textId="62BA8BF7" w:rsidR="00993ED5" w:rsidRDefault="00993ED5" w:rsidP="00993ED5">
      <w:pPr>
        <w:rPr>
          <w:rFonts w:ascii="Arial" w:hAnsi="Arial" w:cs="Arial"/>
        </w:rPr>
      </w:pPr>
    </w:p>
    <w:p w14:paraId="29987AC4" w14:textId="0A7B1825" w:rsidR="00993ED5" w:rsidRDefault="00993ED5" w:rsidP="00993ED5">
      <w:pPr>
        <w:rPr>
          <w:rFonts w:ascii="Arial" w:hAnsi="Arial" w:cs="Arial"/>
          <w:u w:val="single"/>
        </w:rPr>
      </w:pPr>
      <w:r w:rsidRPr="00993ED5">
        <w:rPr>
          <w:rFonts w:ascii="Arial" w:hAnsi="Arial" w:cs="Arial"/>
          <w:u w:val="single"/>
        </w:rPr>
        <w:t xml:space="preserve">Imposing </w:t>
      </w:r>
      <w:r>
        <w:rPr>
          <w:rFonts w:ascii="Arial" w:hAnsi="Arial" w:cs="Arial"/>
          <w:u w:val="single"/>
        </w:rPr>
        <w:t>changes without agreement</w:t>
      </w:r>
    </w:p>
    <w:p w14:paraId="2F59FB90" w14:textId="2A149F07" w:rsidR="00993ED5" w:rsidRDefault="00993ED5" w:rsidP="00993ED5">
      <w:pPr>
        <w:rPr>
          <w:rFonts w:ascii="Arial" w:hAnsi="Arial" w:cs="Arial"/>
          <w:u w:val="single"/>
        </w:rPr>
      </w:pPr>
    </w:p>
    <w:p w14:paraId="74258F9B" w14:textId="5692A7A7" w:rsidR="00993ED5" w:rsidRDefault="00993ED5" w:rsidP="00993ED5">
      <w:pPr>
        <w:rPr>
          <w:rStyle w:val="Emphasis"/>
          <w:rFonts w:ascii="Arial" w:hAnsi="Arial" w:cs="Arial"/>
          <w:i w:val="0"/>
          <w:iCs w:val="0"/>
        </w:rPr>
      </w:pPr>
      <w:r>
        <w:rPr>
          <w:rFonts w:ascii="Arial" w:hAnsi="Arial" w:cs="Arial"/>
        </w:rPr>
        <w:t xml:space="preserve">Management have highlighted </w:t>
      </w:r>
      <w:r w:rsidR="00471CB7">
        <w:rPr>
          <w:rFonts w:ascii="Arial" w:hAnsi="Arial" w:cs="Arial"/>
        </w:rPr>
        <w:t>a clause within appointment letters which states that employees agree and accept that BBL may make changes to terms and conditions of employment. Although this is not in the terms and conditions, it could still be considered</w:t>
      </w:r>
      <w:r w:rsidR="00F7260D">
        <w:rPr>
          <w:rFonts w:ascii="Arial" w:hAnsi="Arial" w:cs="Arial"/>
        </w:rPr>
        <w:t>,</w:t>
      </w:r>
      <w:r w:rsidR="00471CB7">
        <w:rPr>
          <w:rFonts w:ascii="Arial" w:hAnsi="Arial" w:cs="Arial"/>
        </w:rPr>
        <w:t xml:space="preserve"> as demonstrated in </w:t>
      </w:r>
      <w:r w:rsidR="00471CB7" w:rsidRPr="00E7292B">
        <w:rPr>
          <w:rStyle w:val="Emphasis"/>
          <w:rFonts w:ascii="Arial" w:hAnsi="Arial" w:cs="Arial"/>
        </w:rPr>
        <w:t>Bateman v Asda Stores (2010)</w:t>
      </w:r>
      <w:r w:rsidR="00DC5225" w:rsidRPr="00E7292B">
        <w:rPr>
          <w:rStyle w:val="Emphasis"/>
          <w:rFonts w:ascii="Arial" w:hAnsi="Arial" w:cs="Arial"/>
          <w:i w:val="0"/>
          <w:iCs w:val="0"/>
        </w:rPr>
        <w:t xml:space="preserve"> </w:t>
      </w:r>
      <w:r w:rsidR="00D1209F">
        <w:rPr>
          <w:rStyle w:val="Emphasis"/>
          <w:rFonts w:ascii="Arial" w:hAnsi="Arial" w:cs="Arial"/>
          <w:i w:val="0"/>
          <w:iCs w:val="0"/>
        </w:rPr>
        <w:t>where a</w:t>
      </w:r>
      <w:r w:rsidR="00DC5225" w:rsidRPr="00E7292B">
        <w:rPr>
          <w:rStyle w:val="Emphasis"/>
          <w:rFonts w:ascii="Arial" w:hAnsi="Arial" w:cs="Arial"/>
          <w:i w:val="0"/>
          <w:iCs w:val="0"/>
        </w:rPr>
        <w:t xml:space="preserve"> staff handbook contain</w:t>
      </w:r>
      <w:r w:rsidR="00F7260D">
        <w:rPr>
          <w:rStyle w:val="Emphasis"/>
          <w:rFonts w:ascii="Arial" w:hAnsi="Arial" w:cs="Arial"/>
          <w:i w:val="0"/>
          <w:iCs w:val="0"/>
        </w:rPr>
        <w:t>ing</w:t>
      </w:r>
      <w:r w:rsidR="00DC5225" w:rsidRPr="00E7292B">
        <w:rPr>
          <w:rStyle w:val="Emphasis"/>
          <w:rFonts w:ascii="Arial" w:hAnsi="Arial" w:cs="Arial"/>
          <w:i w:val="0"/>
          <w:iCs w:val="0"/>
        </w:rPr>
        <w:t xml:space="preserve"> a generic phrase</w:t>
      </w:r>
      <w:r w:rsidR="00D50AFB" w:rsidRPr="00E7292B">
        <w:rPr>
          <w:rStyle w:val="Emphasis"/>
          <w:rFonts w:ascii="Arial" w:hAnsi="Arial" w:cs="Arial"/>
          <w:i w:val="0"/>
          <w:iCs w:val="0"/>
        </w:rPr>
        <w:t xml:space="preserve"> regarding </w:t>
      </w:r>
      <w:r w:rsidR="00EE303D">
        <w:rPr>
          <w:rStyle w:val="Emphasis"/>
          <w:rFonts w:ascii="Arial" w:hAnsi="Arial" w:cs="Arial"/>
          <w:i w:val="0"/>
          <w:iCs w:val="0"/>
        </w:rPr>
        <w:t>Asda’s rights to change policies was excepted as a contractual term. T</w:t>
      </w:r>
      <w:r w:rsidR="00EE303D" w:rsidRPr="00566B1E">
        <w:rPr>
          <w:rStyle w:val="Emphasis"/>
          <w:rFonts w:ascii="Arial" w:hAnsi="Arial" w:cs="Arial"/>
          <w:i w:val="0"/>
          <w:iCs w:val="0"/>
        </w:rPr>
        <w:t xml:space="preserve">his however was followed by </w:t>
      </w:r>
      <w:r w:rsidR="00EE303D" w:rsidRPr="00566B1E">
        <w:rPr>
          <w:rStyle w:val="Emphasis"/>
          <w:rFonts w:ascii="Arial" w:hAnsi="Arial" w:cs="Arial"/>
        </w:rPr>
        <w:t xml:space="preserve">Norman and others v National Audit Office (2014) </w:t>
      </w:r>
      <w:r w:rsidR="00EE303D" w:rsidRPr="00566B1E">
        <w:rPr>
          <w:rStyle w:val="Emphasis"/>
          <w:rFonts w:ascii="Arial" w:hAnsi="Arial" w:cs="Arial"/>
          <w:i w:val="0"/>
          <w:iCs w:val="0"/>
        </w:rPr>
        <w:t>which concluded that a</w:t>
      </w:r>
      <w:r w:rsidR="002C5797">
        <w:rPr>
          <w:rStyle w:val="Emphasis"/>
          <w:rFonts w:ascii="Arial" w:hAnsi="Arial" w:cs="Arial"/>
          <w:i w:val="0"/>
          <w:iCs w:val="0"/>
        </w:rPr>
        <w:t xml:space="preserve"> generic</w:t>
      </w:r>
      <w:r w:rsidR="00EE303D" w:rsidRPr="00566B1E">
        <w:rPr>
          <w:rStyle w:val="Emphasis"/>
          <w:rFonts w:ascii="Arial" w:hAnsi="Arial" w:cs="Arial"/>
          <w:i w:val="0"/>
          <w:iCs w:val="0"/>
        </w:rPr>
        <w:t xml:space="preserve"> variation clause was too vague to allow the organisation to make any significant changes to employee contracts</w:t>
      </w:r>
      <w:r w:rsidR="00566B1E">
        <w:rPr>
          <w:rStyle w:val="Emphasis"/>
          <w:rFonts w:ascii="Arial" w:hAnsi="Arial" w:cs="Arial"/>
          <w:i w:val="0"/>
          <w:iCs w:val="0"/>
        </w:rPr>
        <w:t>.</w:t>
      </w:r>
    </w:p>
    <w:p w14:paraId="4A41FB95" w14:textId="605D717F" w:rsidR="0008133B" w:rsidRDefault="0008133B" w:rsidP="00993ED5">
      <w:pPr>
        <w:rPr>
          <w:rStyle w:val="Emphasis"/>
          <w:rFonts w:ascii="Arial" w:hAnsi="Arial" w:cs="Arial"/>
          <w:i w:val="0"/>
          <w:iCs w:val="0"/>
        </w:rPr>
      </w:pPr>
    </w:p>
    <w:p w14:paraId="7BD80454" w14:textId="20222A4D" w:rsidR="0008133B" w:rsidRDefault="0008133B" w:rsidP="00993ED5">
      <w:pPr>
        <w:rPr>
          <w:rStyle w:val="Emphasis"/>
          <w:rFonts w:ascii="Arial" w:hAnsi="Arial" w:cs="Arial"/>
          <w:i w:val="0"/>
          <w:iCs w:val="0"/>
        </w:rPr>
      </w:pPr>
      <w:r>
        <w:rPr>
          <w:rStyle w:val="Emphasis"/>
          <w:rFonts w:ascii="Arial" w:hAnsi="Arial" w:cs="Arial"/>
          <w:i w:val="0"/>
          <w:iCs w:val="0"/>
        </w:rPr>
        <w:t xml:space="preserve">The current proposed phrase contains the four BBL sites, however there is also the addition of working </w:t>
      </w:r>
      <w:r w:rsidRPr="00F27D4F">
        <w:rPr>
          <w:rStyle w:val="Emphasis"/>
          <w:rFonts w:ascii="Arial" w:hAnsi="Arial" w:cs="Arial"/>
        </w:rPr>
        <w:t>“other such reasonable place as BBL may from time to time require</w:t>
      </w:r>
      <w:r>
        <w:rPr>
          <w:rStyle w:val="Emphasis"/>
          <w:rFonts w:ascii="Arial" w:hAnsi="Arial" w:cs="Arial"/>
          <w:i w:val="0"/>
          <w:iCs w:val="0"/>
        </w:rPr>
        <w:t>”, this could be considered to be too vague</w:t>
      </w:r>
      <w:r w:rsidR="00F27D4F">
        <w:rPr>
          <w:rStyle w:val="Emphasis"/>
          <w:rFonts w:ascii="Arial" w:hAnsi="Arial" w:cs="Arial"/>
          <w:i w:val="0"/>
          <w:iCs w:val="0"/>
        </w:rPr>
        <w:t>. In Kellogg Brown &amp; Root (UK) Ltd v Fitton &amp; Anor</w:t>
      </w:r>
      <w:r w:rsidR="005B3345">
        <w:rPr>
          <w:rFonts w:ascii="Arial" w:hAnsi="Arial" w:cs="Arial"/>
        </w:rPr>
        <w:t>,</w:t>
      </w:r>
      <w:r w:rsidR="00F27D4F">
        <w:rPr>
          <w:rStyle w:val="Emphasis"/>
          <w:rFonts w:ascii="Arial" w:hAnsi="Arial" w:cs="Arial"/>
          <w:i w:val="0"/>
          <w:iCs w:val="0"/>
        </w:rPr>
        <w:t xml:space="preserve"> a tribunal found that a mobility clause which did not specify locations was too general and it was deemed unreasonable</w:t>
      </w:r>
      <w:r w:rsidR="00D1209F">
        <w:rPr>
          <w:rStyle w:val="Emphasis"/>
          <w:rFonts w:ascii="Arial" w:hAnsi="Arial" w:cs="Arial"/>
          <w:i w:val="0"/>
          <w:iCs w:val="0"/>
        </w:rPr>
        <w:t xml:space="preserve"> which </w:t>
      </w:r>
      <w:r w:rsidR="00295D5C">
        <w:rPr>
          <w:rStyle w:val="Emphasis"/>
          <w:rFonts w:ascii="Arial" w:hAnsi="Arial" w:cs="Arial"/>
          <w:i w:val="0"/>
          <w:iCs w:val="0"/>
        </w:rPr>
        <w:t>led</w:t>
      </w:r>
      <w:r w:rsidR="00D1209F">
        <w:rPr>
          <w:rStyle w:val="Emphasis"/>
          <w:rFonts w:ascii="Arial" w:hAnsi="Arial" w:cs="Arial"/>
          <w:i w:val="0"/>
          <w:iCs w:val="0"/>
        </w:rPr>
        <w:t xml:space="preserve"> </w:t>
      </w:r>
      <w:r w:rsidR="00295D5C">
        <w:rPr>
          <w:rStyle w:val="Emphasis"/>
          <w:rFonts w:ascii="Arial" w:hAnsi="Arial" w:cs="Arial"/>
          <w:i w:val="0"/>
          <w:iCs w:val="0"/>
        </w:rPr>
        <w:t>to successful</w:t>
      </w:r>
      <w:r w:rsidR="00D1209F">
        <w:rPr>
          <w:rStyle w:val="Emphasis"/>
          <w:rFonts w:ascii="Arial" w:hAnsi="Arial" w:cs="Arial"/>
          <w:i w:val="0"/>
          <w:iCs w:val="0"/>
        </w:rPr>
        <w:t xml:space="preserve"> unfair dismissal claim.</w:t>
      </w:r>
    </w:p>
    <w:p w14:paraId="70B7A413" w14:textId="77777777" w:rsidR="0008133B" w:rsidRDefault="0008133B" w:rsidP="00993ED5">
      <w:pPr>
        <w:rPr>
          <w:rStyle w:val="Emphasis"/>
          <w:rFonts w:ascii="Arial" w:hAnsi="Arial" w:cs="Arial"/>
          <w:i w:val="0"/>
          <w:iCs w:val="0"/>
        </w:rPr>
      </w:pPr>
    </w:p>
    <w:p w14:paraId="526F6A07" w14:textId="26AC9197" w:rsidR="00582EC0" w:rsidRDefault="00582EC0" w:rsidP="00993ED5">
      <w:pPr>
        <w:rPr>
          <w:rStyle w:val="Emphasis"/>
          <w:rFonts w:ascii="Arial" w:hAnsi="Arial" w:cs="Arial"/>
          <w:i w:val="0"/>
          <w:iCs w:val="0"/>
        </w:rPr>
      </w:pPr>
      <w:r>
        <w:rPr>
          <w:rStyle w:val="Emphasis"/>
          <w:rFonts w:ascii="Arial" w:hAnsi="Arial" w:cs="Arial"/>
          <w:i w:val="0"/>
          <w:iCs w:val="0"/>
        </w:rPr>
        <w:t xml:space="preserve">If management take this approach, they are to ensure that </w:t>
      </w:r>
      <w:r w:rsidR="00AB05CA">
        <w:rPr>
          <w:rStyle w:val="Emphasis"/>
          <w:rFonts w:ascii="Arial" w:hAnsi="Arial" w:cs="Arial"/>
          <w:i w:val="0"/>
          <w:iCs w:val="0"/>
        </w:rPr>
        <w:t>notice is provided</w:t>
      </w:r>
      <w:r w:rsidR="00D1209F">
        <w:rPr>
          <w:rStyle w:val="Emphasis"/>
          <w:rFonts w:ascii="Arial" w:hAnsi="Arial" w:cs="Arial"/>
          <w:i w:val="0"/>
          <w:iCs w:val="0"/>
        </w:rPr>
        <w:t xml:space="preserve"> as per employee contracts</w:t>
      </w:r>
      <w:r w:rsidR="00AB05CA">
        <w:rPr>
          <w:rStyle w:val="Emphasis"/>
          <w:rFonts w:ascii="Arial" w:hAnsi="Arial" w:cs="Arial"/>
          <w:i w:val="0"/>
          <w:iCs w:val="0"/>
        </w:rPr>
        <w:t xml:space="preserve"> and that all employees are made aware of the changes as highlighted in Morgan v Network Europe Group Ltd (2011). If employees continue to work under the conditions but are not aware of the </w:t>
      </w:r>
      <w:r w:rsidR="004D1913">
        <w:rPr>
          <w:rStyle w:val="Emphasis"/>
          <w:rFonts w:ascii="Arial" w:hAnsi="Arial" w:cs="Arial"/>
          <w:i w:val="0"/>
          <w:iCs w:val="0"/>
        </w:rPr>
        <w:t>changes,</w:t>
      </w:r>
      <w:r w:rsidR="00F27D4F">
        <w:rPr>
          <w:rStyle w:val="Emphasis"/>
          <w:rFonts w:ascii="Arial" w:hAnsi="Arial" w:cs="Arial"/>
          <w:i w:val="0"/>
          <w:iCs w:val="0"/>
        </w:rPr>
        <w:t xml:space="preserve"> </w:t>
      </w:r>
      <w:r w:rsidR="00AB05CA">
        <w:rPr>
          <w:rStyle w:val="Emphasis"/>
          <w:rFonts w:ascii="Arial" w:hAnsi="Arial" w:cs="Arial"/>
          <w:i w:val="0"/>
          <w:iCs w:val="0"/>
        </w:rPr>
        <w:t xml:space="preserve">they cannot be considered implied </w:t>
      </w:r>
      <w:r w:rsidR="00F27D4F">
        <w:rPr>
          <w:rStyle w:val="Emphasis"/>
          <w:rFonts w:ascii="Arial" w:hAnsi="Arial" w:cs="Arial"/>
          <w:i w:val="0"/>
          <w:iCs w:val="0"/>
        </w:rPr>
        <w:t>or</w:t>
      </w:r>
      <w:r w:rsidR="00AB05CA">
        <w:rPr>
          <w:rStyle w:val="Emphasis"/>
          <w:rFonts w:ascii="Arial" w:hAnsi="Arial" w:cs="Arial"/>
          <w:i w:val="0"/>
          <w:iCs w:val="0"/>
        </w:rPr>
        <w:t xml:space="preserve"> that they have been accepted by employees.</w:t>
      </w:r>
    </w:p>
    <w:p w14:paraId="48449BCB" w14:textId="440D73FB" w:rsidR="00566B1E" w:rsidRDefault="00566B1E" w:rsidP="00993ED5">
      <w:pPr>
        <w:rPr>
          <w:rStyle w:val="Emphasis"/>
          <w:rFonts w:ascii="Arial" w:hAnsi="Arial" w:cs="Arial"/>
          <w:i w:val="0"/>
          <w:iCs w:val="0"/>
        </w:rPr>
      </w:pPr>
      <w:r>
        <w:rPr>
          <w:rStyle w:val="Emphasis"/>
          <w:rFonts w:ascii="Arial" w:hAnsi="Arial" w:cs="Arial"/>
          <w:i w:val="0"/>
          <w:iCs w:val="0"/>
        </w:rPr>
        <w:t xml:space="preserve">In conclusion, </w:t>
      </w:r>
      <w:r w:rsidR="00363F91">
        <w:rPr>
          <w:rStyle w:val="Emphasis"/>
          <w:rFonts w:ascii="Arial" w:hAnsi="Arial" w:cs="Arial"/>
          <w:i w:val="0"/>
          <w:iCs w:val="0"/>
        </w:rPr>
        <w:t xml:space="preserve">if </w:t>
      </w:r>
      <w:r>
        <w:rPr>
          <w:rStyle w:val="Emphasis"/>
          <w:rFonts w:ascii="Arial" w:hAnsi="Arial" w:cs="Arial"/>
          <w:i w:val="0"/>
          <w:iCs w:val="0"/>
        </w:rPr>
        <w:t xml:space="preserve">management </w:t>
      </w:r>
      <w:r w:rsidR="000410BC">
        <w:rPr>
          <w:rStyle w:val="Emphasis"/>
          <w:rFonts w:ascii="Arial" w:hAnsi="Arial" w:cs="Arial"/>
          <w:i w:val="0"/>
          <w:iCs w:val="0"/>
        </w:rPr>
        <w:t xml:space="preserve">were </w:t>
      </w:r>
      <w:r>
        <w:rPr>
          <w:rStyle w:val="Emphasis"/>
          <w:rFonts w:ascii="Arial" w:hAnsi="Arial" w:cs="Arial"/>
          <w:i w:val="0"/>
          <w:iCs w:val="0"/>
        </w:rPr>
        <w:t>to rely on the phrasing in the appointment letters to enable them to make the changes to terms and conditions</w:t>
      </w:r>
      <w:r w:rsidR="00363F91">
        <w:rPr>
          <w:rStyle w:val="Emphasis"/>
          <w:rFonts w:ascii="Arial" w:hAnsi="Arial" w:cs="Arial"/>
          <w:i w:val="0"/>
          <w:iCs w:val="0"/>
        </w:rPr>
        <w:t>, this</w:t>
      </w:r>
      <w:r>
        <w:rPr>
          <w:rStyle w:val="Emphasis"/>
          <w:rFonts w:ascii="Arial" w:hAnsi="Arial" w:cs="Arial"/>
          <w:i w:val="0"/>
          <w:iCs w:val="0"/>
        </w:rPr>
        <w:t xml:space="preserve"> would bring risk of legal challenge</w:t>
      </w:r>
      <w:r w:rsidR="002C5797">
        <w:rPr>
          <w:rStyle w:val="Emphasis"/>
          <w:rFonts w:ascii="Arial" w:hAnsi="Arial" w:cs="Arial"/>
          <w:i w:val="0"/>
          <w:iCs w:val="0"/>
        </w:rPr>
        <w:t>.</w:t>
      </w:r>
    </w:p>
    <w:p w14:paraId="27ADE9E6" w14:textId="0CA8F3CA" w:rsidR="002C5797" w:rsidRDefault="002C5797" w:rsidP="00993ED5">
      <w:pPr>
        <w:rPr>
          <w:rStyle w:val="Emphasis"/>
          <w:rFonts w:ascii="Arial" w:hAnsi="Arial" w:cs="Arial"/>
          <w:i w:val="0"/>
          <w:iCs w:val="0"/>
        </w:rPr>
      </w:pPr>
      <w:r>
        <w:rPr>
          <w:rStyle w:val="Emphasis"/>
          <w:rFonts w:ascii="Arial" w:hAnsi="Arial" w:cs="Arial"/>
          <w:i w:val="0"/>
          <w:iCs w:val="0"/>
        </w:rPr>
        <w:lastRenderedPageBreak/>
        <w:t xml:space="preserve">Advantages to imposing the changes to contract would mean that mobility clauses are implemented as per </w:t>
      </w:r>
      <w:r w:rsidR="00F7260D">
        <w:rPr>
          <w:rStyle w:val="Emphasis"/>
          <w:rFonts w:ascii="Arial" w:hAnsi="Arial" w:cs="Arial"/>
          <w:i w:val="0"/>
          <w:iCs w:val="0"/>
        </w:rPr>
        <w:t>the management</w:t>
      </w:r>
      <w:r>
        <w:rPr>
          <w:rStyle w:val="Emphasis"/>
          <w:rFonts w:ascii="Arial" w:hAnsi="Arial" w:cs="Arial"/>
          <w:i w:val="0"/>
          <w:iCs w:val="0"/>
        </w:rPr>
        <w:t xml:space="preserve"> proposal. Disadvantages would be the risk of legal challenges</w:t>
      </w:r>
      <w:r w:rsidR="00B0255E">
        <w:rPr>
          <w:rStyle w:val="Emphasis"/>
          <w:rFonts w:ascii="Arial" w:hAnsi="Arial" w:cs="Arial"/>
          <w:i w:val="0"/>
          <w:iCs w:val="0"/>
        </w:rPr>
        <w:t xml:space="preserve"> of breach of contract or constructive dismissal</w:t>
      </w:r>
      <w:r w:rsidR="00F7260D">
        <w:rPr>
          <w:rStyle w:val="Emphasis"/>
          <w:rFonts w:ascii="Arial" w:hAnsi="Arial" w:cs="Arial"/>
          <w:i w:val="0"/>
          <w:iCs w:val="0"/>
        </w:rPr>
        <w:t xml:space="preserve"> under the Employment Act 1996</w:t>
      </w:r>
      <w:r w:rsidR="00B0255E">
        <w:rPr>
          <w:rStyle w:val="Emphasis"/>
          <w:rFonts w:ascii="Arial" w:hAnsi="Arial" w:cs="Arial"/>
          <w:i w:val="0"/>
          <w:iCs w:val="0"/>
        </w:rPr>
        <w:t xml:space="preserve"> if employees choose to leave</w:t>
      </w:r>
      <w:r w:rsidR="00F7260D">
        <w:rPr>
          <w:rStyle w:val="Emphasis"/>
          <w:rFonts w:ascii="Arial" w:hAnsi="Arial" w:cs="Arial"/>
          <w:i w:val="0"/>
          <w:iCs w:val="0"/>
        </w:rPr>
        <w:t xml:space="preserve"> rather than accept the changes</w:t>
      </w:r>
      <w:r w:rsidR="00EA28BA">
        <w:rPr>
          <w:rStyle w:val="Emphasis"/>
          <w:rFonts w:ascii="Arial" w:hAnsi="Arial" w:cs="Arial"/>
          <w:i w:val="0"/>
          <w:iCs w:val="0"/>
        </w:rPr>
        <w:t>. This approach is also highly likely to</w:t>
      </w:r>
      <w:r w:rsidR="00F7260D">
        <w:rPr>
          <w:rStyle w:val="Emphasis"/>
          <w:rFonts w:ascii="Arial" w:hAnsi="Arial" w:cs="Arial"/>
          <w:i w:val="0"/>
          <w:iCs w:val="0"/>
        </w:rPr>
        <w:t xml:space="preserve"> cause long</w:t>
      </w:r>
      <w:r w:rsidR="00363F91">
        <w:rPr>
          <w:rStyle w:val="Emphasis"/>
          <w:rFonts w:ascii="Arial" w:hAnsi="Arial" w:cs="Arial"/>
          <w:i w:val="0"/>
          <w:iCs w:val="0"/>
        </w:rPr>
        <w:t xml:space="preserve"> term</w:t>
      </w:r>
      <w:r w:rsidR="00EA28BA">
        <w:rPr>
          <w:rStyle w:val="Emphasis"/>
          <w:rFonts w:ascii="Arial" w:hAnsi="Arial" w:cs="Arial"/>
          <w:i w:val="0"/>
          <w:iCs w:val="0"/>
        </w:rPr>
        <w:t xml:space="preserve"> damage</w:t>
      </w:r>
      <w:r w:rsidR="00363F91">
        <w:rPr>
          <w:rStyle w:val="Emphasis"/>
          <w:rFonts w:ascii="Arial" w:hAnsi="Arial" w:cs="Arial"/>
          <w:i w:val="0"/>
          <w:iCs w:val="0"/>
        </w:rPr>
        <w:t xml:space="preserve"> to</w:t>
      </w:r>
      <w:r w:rsidR="00EA28BA">
        <w:rPr>
          <w:rStyle w:val="Emphasis"/>
          <w:rFonts w:ascii="Arial" w:hAnsi="Arial" w:cs="Arial"/>
          <w:i w:val="0"/>
          <w:iCs w:val="0"/>
        </w:rPr>
        <w:t xml:space="preserve"> employee relations and also risk unions calling for strike action which will </w:t>
      </w:r>
      <w:r w:rsidR="00F7260D">
        <w:rPr>
          <w:rStyle w:val="Emphasis"/>
          <w:rFonts w:ascii="Arial" w:hAnsi="Arial" w:cs="Arial"/>
          <w:i w:val="0"/>
          <w:iCs w:val="0"/>
        </w:rPr>
        <w:t>impact on BBL business and reputation.</w:t>
      </w:r>
    </w:p>
    <w:p w14:paraId="6B23D34C" w14:textId="77777777" w:rsidR="00AB05CA" w:rsidRDefault="00AB05CA" w:rsidP="00993ED5">
      <w:pPr>
        <w:rPr>
          <w:rFonts w:ascii="Arial" w:hAnsi="Arial" w:cs="Arial"/>
          <w:u w:val="single"/>
        </w:rPr>
      </w:pPr>
    </w:p>
    <w:p w14:paraId="1BE572B4" w14:textId="36475F67" w:rsidR="00993ED5" w:rsidRDefault="00993ED5" w:rsidP="00993ED5">
      <w:pPr>
        <w:rPr>
          <w:rFonts w:ascii="Arial" w:hAnsi="Arial" w:cs="Arial"/>
          <w:u w:val="single"/>
        </w:rPr>
      </w:pPr>
      <w:r>
        <w:rPr>
          <w:rFonts w:ascii="Arial" w:hAnsi="Arial" w:cs="Arial"/>
          <w:u w:val="single"/>
        </w:rPr>
        <w:t>Dismiss and re-engage</w:t>
      </w:r>
    </w:p>
    <w:p w14:paraId="278311D3" w14:textId="6A4F9558" w:rsidR="00AB05CA" w:rsidRDefault="00AB05CA" w:rsidP="00993ED5">
      <w:pPr>
        <w:rPr>
          <w:rFonts w:ascii="Arial" w:hAnsi="Arial" w:cs="Arial"/>
          <w:u w:val="single"/>
        </w:rPr>
      </w:pPr>
    </w:p>
    <w:p w14:paraId="5B227E9C" w14:textId="0062B698" w:rsidR="009746F1" w:rsidRDefault="00AB05CA" w:rsidP="00993ED5">
      <w:pPr>
        <w:rPr>
          <w:rFonts w:ascii="Arial" w:hAnsi="Arial" w:cs="Arial"/>
        </w:rPr>
      </w:pPr>
      <w:r>
        <w:rPr>
          <w:rFonts w:ascii="Arial" w:hAnsi="Arial" w:cs="Arial"/>
        </w:rPr>
        <w:t xml:space="preserve">The final option for BBL to implement </w:t>
      </w:r>
      <w:r w:rsidR="0050433B">
        <w:rPr>
          <w:rFonts w:ascii="Arial" w:hAnsi="Arial" w:cs="Arial"/>
        </w:rPr>
        <w:t xml:space="preserve">would be to dismiss all employees and then re-engage them under the revised terms and conditions. </w:t>
      </w:r>
    </w:p>
    <w:p w14:paraId="491DDA79" w14:textId="7E0687BA" w:rsidR="00862051" w:rsidRDefault="00862051" w:rsidP="00993ED5">
      <w:pPr>
        <w:rPr>
          <w:rFonts w:ascii="Arial" w:hAnsi="Arial" w:cs="Arial"/>
        </w:rPr>
      </w:pPr>
      <w:r>
        <w:rPr>
          <w:rFonts w:ascii="Arial" w:hAnsi="Arial" w:cs="Arial"/>
        </w:rPr>
        <w:t xml:space="preserve">This option </w:t>
      </w:r>
      <w:r w:rsidR="00FB7F91">
        <w:rPr>
          <w:rFonts w:ascii="Arial" w:hAnsi="Arial" w:cs="Arial"/>
        </w:rPr>
        <w:t xml:space="preserve">should </w:t>
      </w:r>
      <w:r>
        <w:rPr>
          <w:rFonts w:ascii="Arial" w:hAnsi="Arial" w:cs="Arial"/>
        </w:rPr>
        <w:t xml:space="preserve">be considered after management have exhausted all avenues to negotiate with unions and </w:t>
      </w:r>
      <w:r w:rsidR="00FB4E35">
        <w:rPr>
          <w:rFonts w:ascii="Arial" w:hAnsi="Arial" w:cs="Arial"/>
        </w:rPr>
        <w:t xml:space="preserve">after extensive consultation with </w:t>
      </w:r>
      <w:r>
        <w:rPr>
          <w:rFonts w:ascii="Arial" w:hAnsi="Arial" w:cs="Arial"/>
        </w:rPr>
        <w:t>employees</w:t>
      </w:r>
      <w:r w:rsidR="00FB4E35">
        <w:rPr>
          <w:rFonts w:ascii="Arial" w:hAnsi="Arial" w:cs="Arial"/>
        </w:rPr>
        <w:t>.</w:t>
      </w:r>
    </w:p>
    <w:p w14:paraId="3F214028" w14:textId="79A70D21" w:rsidR="00134ED4" w:rsidRDefault="00134ED4" w:rsidP="00993ED5">
      <w:pPr>
        <w:rPr>
          <w:rFonts w:ascii="Arial" w:hAnsi="Arial" w:cs="Arial"/>
        </w:rPr>
      </w:pPr>
    </w:p>
    <w:p w14:paraId="7E24D9A6" w14:textId="7BC24719" w:rsidR="00FB4E35" w:rsidRDefault="00FB4E35" w:rsidP="00993ED5">
      <w:pPr>
        <w:rPr>
          <w:rFonts w:ascii="Arial" w:hAnsi="Arial" w:cs="Arial"/>
        </w:rPr>
      </w:pPr>
      <w:r>
        <w:rPr>
          <w:rFonts w:ascii="Arial" w:hAnsi="Arial" w:cs="Arial"/>
        </w:rPr>
        <w:t>Further information is required regarding the number of employees this will impact. If there are over 20 employees at risk, BBL will need to conduct a collective consultation in addition to submitting a HR1 firm to notify The Insolvency Service (CIPD,2021). The minimum period of consultation will also vary depending on numbers at risk.</w:t>
      </w:r>
      <w:r w:rsidR="009055F7">
        <w:rPr>
          <w:rFonts w:ascii="Arial" w:hAnsi="Arial" w:cs="Arial"/>
        </w:rPr>
        <w:t xml:space="preserve"> Failure to follow</w:t>
      </w:r>
      <w:r w:rsidR="00930FC3">
        <w:rPr>
          <w:rFonts w:ascii="Arial" w:hAnsi="Arial" w:cs="Arial"/>
        </w:rPr>
        <w:t xml:space="preserve"> the consultation procedure can result in a judgement of unfair dismissal.</w:t>
      </w:r>
    </w:p>
    <w:p w14:paraId="250B5410" w14:textId="77777777" w:rsidR="00862051" w:rsidRPr="00AB05CA" w:rsidRDefault="00862051" w:rsidP="00993ED5">
      <w:pPr>
        <w:rPr>
          <w:rFonts w:ascii="Arial" w:hAnsi="Arial" w:cs="Arial"/>
        </w:rPr>
      </w:pPr>
    </w:p>
    <w:p w14:paraId="6F2CFC82" w14:textId="42EBBFFB" w:rsidR="0022227D" w:rsidRDefault="009746F1">
      <w:pPr>
        <w:rPr>
          <w:rFonts w:ascii="Arial" w:hAnsi="Arial" w:cs="Arial"/>
        </w:rPr>
      </w:pPr>
      <w:r>
        <w:rPr>
          <w:rFonts w:ascii="Arial" w:hAnsi="Arial" w:cs="Arial"/>
        </w:rPr>
        <w:t>Regulation 98 of the Employment Law Act 1996 states that a reason for dismissal must be fair</w:t>
      </w:r>
      <w:r w:rsidR="00862051">
        <w:rPr>
          <w:rFonts w:ascii="Arial" w:hAnsi="Arial" w:cs="Arial"/>
        </w:rPr>
        <w:t xml:space="preserve">, </w:t>
      </w:r>
      <w:r w:rsidR="00AC1046">
        <w:rPr>
          <w:rFonts w:ascii="Arial" w:hAnsi="Arial" w:cs="Arial"/>
        </w:rPr>
        <w:t>for example in the case of redundancy or conduct. Due to management stating “profitability” as the main reason for implementing the change, this would have to be considered under “some other substantial reason</w:t>
      </w:r>
      <w:r w:rsidR="00862051">
        <w:rPr>
          <w:rFonts w:ascii="Arial" w:hAnsi="Arial" w:cs="Arial"/>
        </w:rPr>
        <w:t>” category</w:t>
      </w:r>
      <w:r w:rsidR="00363F91">
        <w:rPr>
          <w:rFonts w:ascii="Arial" w:hAnsi="Arial" w:cs="Arial"/>
        </w:rPr>
        <w:t>. (CIPD,2021). F</w:t>
      </w:r>
      <w:r w:rsidR="00862051">
        <w:rPr>
          <w:rFonts w:ascii="Arial" w:hAnsi="Arial" w:cs="Arial"/>
        </w:rPr>
        <w:t xml:space="preserve">urther information would need to be provided by management </w:t>
      </w:r>
      <w:r w:rsidR="00363F91">
        <w:rPr>
          <w:rFonts w:ascii="Arial" w:hAnsi="Arial" w:cs="Arial"/>
        </w:rPr>
        <w:t xml:space="preserve">in order </w:t>
      </w:r>
      <w:r w:rsidR="00862051">
        <w:rPr>
          <w:rFonts w:ascii="Arial" w:hAnsi="Arial" w:cs="Arial"/>
        </w:rPr>
        <w:t>to justify the business reason for dismissal</w:t>
      </w:r>
      <w:r w:rsidR="009055F7">
        <w:rPr>
          <w:rFonts w:ascii="Arial" w:hAnsi="Arial" w:cs="Arial"/>
        </w:rPr>
        <w:t xml:space="preserve"> and the impact that it would have on the organisation i</w:t>
      </w:r>
      <w:r w:rsidR="00363F91">
        <w:rPr>
          <w:rFonts w:ascii="Arial" w:hAnsi="Arial" w:cs="Arial"/>
        </w:rPr>
        <w:t>f</w:t>
      </w:r>
      <w:r w:rsidR="009055F7">
        <w:rPr>
          <w:rFonts w:ascii="Arial" w:hAnsi="Arial" w:cs="Arial"/>
        </w:rPr>
        <w:t xml:space="preserve"> th</w:t>
      </w:r>
      <w:r w:rsidR="00FB7F91">
        <w:rPr>
          <w:rFonts w:ascii="Arial" w:hAnsi="Arial" w:cs="Arial"/>
        </w:rPr>
        <w:t>e mobility clause was</w:t>
      </w:r>
      <w:r w:rsidR="009055F7">
        <w:rPr>
          <w:rFonts w:ascii="Arial" w:hAnsi="Arial" w:cs="Arial"/>
        </w:rPr>
        <w:t xml:space="preserve"> </w:t>
      </w:r>
      <w:r w:rsidR="00FB7F91">
        <w:rPr>
          <w:rFonts w:ascii="Arial" w:hAnsi="Arial" w:cs="Arial"/>
        </w:rPr>
        <w:t>not implemented and employees refused to accept the changes.</w:t>
      </w:r>
    </w:p>
    <w:p w14:paraId="445CF1ED" w14:textId="0EB31BE9" w:rsidR="00134ED4" w:rsidRDefault="009055F7">
      <w:pPr>
        <w:rPr>
          <w:rFonts w:ascii="Arial" w:hAnsi="Arial" w:cs="Arial"/>
        </w:rPr>
      </w:pPr>
      <w:r>
        <w:rPr>
          <w:rFonts w:ascii="Arial" w:hAnsi="Arial" w:cs="Arial"/>
        </w:rPr>
        <w:t>If the reason for dismissal cannot be justified, BBL are at risk of unfairly dismissing their employees. This is highlighted in USDAW v Tesco Stores Ltd (2022)</w:t>
      </w:r>
      <w:r w:rsidR="005B3345">
        <w:rPr>
          <w:rFonts w:ascii="Arial" w:hAnsi="Arial" w:cs="Arial"/>
        </w:rPr>
        <w:t xml:space="preserve"> </w:t>
      </w:r>
      <w:r w:rsidR="00930FC3">
        <w:rPr>
          <w:rFonts w:ascii="Arial" w:hAnsi="Arial" w:cs="Arial"/>
        </w:rPr>
        <w:t>in which the High Court has blocked Tesco undertaking a “fire and rehire” exercise to</w:t>
      </w:r>
      <w:r w:rsidR="00363F91">
        <w:rPr>
          <w:rFonts w:ascii="Arial" w:hAnsi="Arial" w:cs="Arial"/>
        </w:rPr>
        <w:t xml:space="preserve"> make</w:t>
      </w:r>
      <w:r w:rsidR="00930FC3">
        <w:rPr>
          <w:rFonts w:ascii="Arial" w:hAnsi="Arial" w:cs="Arial"/>
        </w:rPr>
        <w:t xml:space="preserve"> change terms and conditions. </w:t>
      </w:r>
    </w:p>
    <w:p w14:paraId="4C9893F9" w14:textId="3A51F417" w:rsidR="00862051" w:rsidRPr="00930FC3" w:rsidRDefault="00862051">
      <w:pPr>
        <w:rPr>
          <w:rFonts w:ascii="Arial" w:hAnsi="Arial" w:cs="Arial"/>
        </w:rPr>
      </w:pPr>
    </w:p>
    <w:p w14:paraId="750DF00B" w14:textId="58EE8CAF" w:rsidR="00930FC3" w:rsidRPr="00930FC3" w:rsidRDefault="00930FC3">
      <w:pPr>
        <w:rPr>
          <w:rFonts w:ascii="Arial" w:hAnsi="Arial" w:cs="Arial"/>
        </w:rPr>
      </w:pPr>
      <w:r w:rsidRPr="00930FC3">
        <w:rPr>
          <w:rFonts w:ascii="Arial" w:hAnsi="Arial" w:cs="Arial"/>
        </w:rPr>
        <w:t xml:space="preserve">Advantages of this approach is that </w:t>
      </w:r>
      <w:r>
        <w:rPr>
          <w:rFonts w:ascii="Arial" w:hAnsi="Arial" w:cs="Arial"/>
        </w:rPr>
        <w:t xml:space="preserve">BBL can harmonise contracts and re-employ on the desired terms and conditions, however the disadvantages of this approach </w:t>
      </w:r>
      <w:r w:rsidR="00295D5C">
        <w:rPr>
          <w:rFonts w:ascii="Arial" w:hAnsi="Arial" w:cs="Arial"/>
        </w:rPr>
        <w:t>are</w:t>
      </w:r>
      <w:r>
        <w:rPr>
          <w:rFonts w:ascii="Arial" w:hAnsi="Arial" w:cs="Arial"/>
        </w:rPr>
        <w:t xml:space="preserve"> th</w:t>
      </w:r>
      <w:r w:rsidR="00363F91">
        <w:rPr>
          <w:rFonts w:ascii="Arial" w:hAnsi="Arial" w:cs="Arial"/>
        </w:rPr>
        <w:t>e</w:t>
      </w:r>
      <w:r>
        <w:rPr>
          <w:rFonts w:ascii="Arial" w:hAnsi="Arial" w:cs="Arial"/>
        </w:rPr>
        <w:t xml:space="preserve"> high risk of legal challenge, th</w:t>
      </w:r>
      <w:r w:rsidR="00363F91">
        <w:rPr>
          <w:rFonts w:ascii="Arial" w:hAnsi="Arial" w:cs="Arial"/>
        </w:rPr>
        <w:t>e probability</w:t>
      </w:r>
      <w:r>
        <w:rPr>
          <w:rFonts w:ascii="Arial" w:hAnsi="Arial" w:cs="Arial"/>
        </w:rPr>
        <w:t xml:space="preserve"> of losing skilled and talent employees</w:t>
      </w:r>
      <w:r w:rsidR="00846A23">
        <w:rPr>
          <w:rFonts w:ascii="Arial" w:hAnsi="Arial" w:cs="Arial"/>
        </w:rPr>
        <w:t xml:space="preserve"> in addition to</w:t>
      </w:r>
      <w:r>
        <w:rPr>
          <w:rFonts w:ascii="Arial" w:hAnsi="Arial" w:cs="Arial"/>
        </w:rPr>
        <w:t xml:space="preserve"> </w:t>
      </w:r>
      <w:r w:rsidR="00846A23">
        <w:rPr>
          <w:rFonts w:ascii="Arial" w:hAnsi="Arial" w:cs="Arial"/>
        </w:rPr>
        <w:t xml:space="preserve">the high likelihood of </w:t>
      </w:r>
      <w:r>
        <w:rPr>
          <w:rFonts w:ascii="Arial" w:hAnsi="Arial" w:cs="Arial"/>
        </w:rPr>
        <w:t xml:space="preserve">damaging employee relations and morale for those who re-engage on </w:t>
      </w:r>
      <w:r w:rsidR="00846A23">
        <w:rPr>
          <w:rFonts w:ascii="Arial" w:hAnsi="Arial" w:cs="Arial"/>
        </w:rPr>
        <w:t>amended terms and conditions.</w:t>
      </w:r>
    </w:p>
    <w:p w14:paraId="484E298A" w14:textId="77777777" w:rsidR="0022227D" w:rsidRDefault="0022227D">
      <w:pPr>
        <w:rPr>
          <w:rFonts w:ascii="Arial" w:hAnsi="Arial" w:cs="Arial"/>
          <w:u w:val="single"/>
        </w:rPr>
      </w:pPr>
    </w:p>
    <w:p w14:paraId="17B9D8B7" w14:textId="7C436560" w:rsidR="00754358" w:rsidRDefault="00754358">
      <w:pPr>
        <w:rPr>
          <w:rFonts w:ascii="Arial" w:hAnsi="Arial" w:cs="Arial"/>
          <w:u w:val="single"/>
        </w:rPr>
      </w:pPr>
    </w:p>
    <w:p w14:paraId="40951EDE" w14:textId="33CE0264" w:rsidR="00533E1A" w:rsidRDefault="00533E1A">
      <w:pPr>
        <w:rPr>
          <w:rFonts w:ascii="Arial" w:hAnsi="Arial" w:cs="Arial"/>
          <w:u w:val="single"/>
        </w:rPr>
      </w:pPr>
    </w:p>
    <w:p w14:paraId="013E84B5" w14:textId="5675C714" w:rsidR="00533E1A" w:rsidRDefault="00533E1A">
      <w:pPr>
        <w:rPr>
          <w:rFonts w:ascii="Arial" w:hAnsi="Arial" w:cs="Arial"/>
          <w:u w:val="single"/>
        </w:rPr>
      </w:pPr>
    </w:p>
    <w:p w14:paraId="7F63345D" w14:textId="1BDCC0E2" w:rsidR="00533E1A" w:rsidRDefault="00533E1A">
      <w:pPr>
        <w:rPr>
          <w:rFonts w:ascii="Arial" w:hAnsi="Arial" w:cs="Arial"/>
          <w:u w:val="single"/>
        </w:rPr>
      </w:pPr>
    </w:p>
    <w:p w14:paraId="7EE0638E" w14:textId="01584D67" w:rsidR="00533E1A" w:rsidRDefault="00533E1A">
      <w:pPr>
        <w:rPr>
          <w:rFonts w:ascii="Arial" w:hAnsi="Arial" w:cs="Arial"/>
          <w:u w:val="single"/>
        </w:rPr>
      </w:pPr>
    </w:p>
    <w:p w14:paraId="339E23FD" w14:textId="54D763E5" w:rsidR="00533E1A" w:rsidRDefault="00533E1A">
      <w:pPr>
        <w:rPr>
          <w:rFonts w:ascii="Arial" w:hAnsi="Arial" w:cs="Arial"/>
          <w:u w:val="single"/>
        </w:rPr>
      </w:pPr>
    </w:p>
    <w:p w14:paraId="66203C5E" w14:textId="7DB8C127" w:rsidR="00533E1A" w:rsidRDefault="00533E1A">
      <w:pPr>
        <w:rPr>
          <w:rFonts w:ascii="Arial" w:hAnsi="Arial" w:cs="Arial"/>
          <w:u w:val="single"/>
        </w:rPr>
      </w:pPr>
    </w:p>
    <w:p w14:paraId="33D701A9" w14:textId="5A677A0C" w:rsidR="00533E1A" w:rsidRDefault="00533E1A">
      <w:pPr>
        <w:rPr>
          <w:rFonts w:ascii="Arial" w:hAnsi="Arial" w:cs="Arial"/>
          <w:u w:val="single"/>
        </w:rPr>
      </w:pPr>
    </w:p>
    <w:p w14:paraId="4EC20D67" w14:textId="0589099B" w:rsidR="00533E1A" w:rsidRDefault="00533E1A">
      <w:pPr>
        <w:rPr>
          <w:rFonts w:ascii="Arial" w:hAnsi="Arial" w:cs="Arial"/>
          <w:u w:val="single"/>
        </w:rPr>
      </w:pPr>
    </w:p>
    <w:p w14:paraId="76EE151B" w14:textId="77777777" w:rsidR="005B3345" w:rsidRDefault="005B3345">
      <w:pPr>
        <w:rPr>
          <w:rFonts w:ascii="Arial" w:hAnsi="Arial" w:cs="Arial"/>
          <w:u w:val="single"/>
        </w:rPr>
      </w:pPr>
    </w:p>
    <w:p w14:paraId="7DEA0D17" w14:textId="77777777" w:rsidR="00150540" w:rsidRDefault="00150540">
      <w:pPr>
        <w:rPr>
          <w:rFonts w:ascii="Arial" w:hAnsi="Arial" w:cs="Arial"/>
          <w:u w:val="single"/>
        </w:rPr>
      </w:pPr>
    </w:p>
    <w:p w14:paraId="3E2B0A43" w14:textId="77777777" w:rsidR="00150540" w:rsidRDefault="00150540">
      <w:pPr>
        <w:rPr>
          <w:rFonts w:ascii="Arial" w:hAnsi="Arial" w:cs="Arial"/>
          <w:u w:val="single"/>
        </w:rPr>
      </w:pPr>
    </w:p>
    <w:p w14:paraId="658BB752" w14:textId="77777777" w:rsidR="00150540" w:rsidRDefault="00150540">
      <w:pPr>
        <w:rPr>
          <w:rFonts w:ascii="Arial" w:hAnsi="Arial" w:cs="Arial"/>
          <w:u w:val="single"/>
        </w:rPr>
      </w:pPr>
    </w:p>
    <w:p w14:paraId="19126EFB" w14:textId="77777777" w:rsidR="00150540" w:rsidRDefault="00150540">
      <w:pPr>
        <w:rPr>
          <w:rFonts w:ascii="Arial" w:hAnsi="Arial" w:cs="Arial"/>
          <w:u w:val="single"/>
        </w:rPr>
      </w:pPr>
    </w:p>
    <w:p w14:paraId="530F5B24" w14:textId="77777777" w:rsidR="00150540" w:rsidRDefault="00150540">
      <w:pPr>
        <w:rPr>
          <w:rFonts w:ascii="Arial" w:hAnsi="Arial" w:cs="Arial"/>
          <w:u w:val="single"/>
        </w:rPr>
      </w:pPr>
    </w:p>
    <w:p w14:paraId="18EE7A49" w14:textId="77777777" w:rsidR="00150540" w:rsidRDefault="00150540">
      <w:pPr>
        <w:rPr>
          <w:rFonts w:ascii="Arial" w:hAnsi="Arial" w:cs="Arial"/>
          <w:u w:val="single"/>
        </w:rPr>
      </w:pPr>
    </w:p>
    <w:p w14:paraId="216A255C" w14:textId="77777777" w:rsidR="00150540" w:rsidRDefault="00150540">
      <w:pPr>
        <w:rPr>
          <w:rFonts w:ascii="Arial" w:hAnsi="Arial" w:cs="Arial"/>
          <w:u w:val="single"/>
        </w:rPr>
      </w:pPr>
    </w:p>
    <w:p w14:paraId="2DF1B45D" w14:textId="77777777" w:rsidR="000410BC" w:rsidRDefault="000410BC">
      <w:pPr>
        <w:rPr>
          <w:rFonts w:ascii="Arial" w:hAnsi="Arial" w:cs="Arial"/>
          <w:u w:val="single"/>
        </w:rPr>
      </w:pPr>
    </w:p>
    <w:p w14:paraId="3B078B56" w14:textId="77777777" w:rsidR="000410BC" w:rsidRDefault="000410BC">
      <w:pPr>
        <w:rPr>
          <w:rFonts w:ascii="Arial" w:hAnsi="Arial" w:cs="Arial"/>
          <w:u w:val="single"/>
        </w:rPr>
      </w:pPr>
    </w:p>
    <w:p w14:paraId="6502C34C" w14:textId="77777777" w:rsidR="000410BC" w:rsidRDefault="000410BC">
      <w:pPr>
        <w:rPr>
          <w:rFonts w:ascii="Arial" w:hAnsi="Arial" w:cs="Arial"/>
          <w:u w:val="single"/>
        </w:rPr>
      </w:pPr>
    </w:p>
    <w:p w14:paraId="754222F9" w14:textId="2B793C15" w:rsidR="00533E1A" w:rsidRDefault="00533E1A">
      <w:pPr>
        <w:rPr>
          <w:rFonts w:ascii="Arial" w:hAnsi="Arial" w:cs="Arial"/>
          <w:u w:val="single"/>
        </w:rPr>
      </w:pPr>
      <w:r>
        <w:rPr>
          <w:rFonts w:ascii="Arial" w:hAnsi="Arial" w:cs="Arial"/>
          <w:u w:val="single"/>
        </w:rPr>
        <w:t xml:space="preserve">References </w:t>
      </w:r>
    </w:p>
    <w:p w14:paraId="0F889DDF" w14:textId="071D301C" w:rsidR="00533E1A" w:rsidRDefault="00533E1A">
      <w:pPr>
        <w:rPr>
          <w:rFonts w:ascii="Arial" w:hAnsi="Arial" w:cs="Arial"/>
          <w:u w:val="single"/>
        </w:rPr>
      </w:pPr>
    </w:p>
    <w:p w14:paraId="05CB4937" w14:textId="206B210F" w:rsidR="00533E1A" w:rsidRDefault="00533E1A">
      <w:pPr>
        <w:rPr>
          <w:rFonts w:ascii="Arial" w:hAnsi="Arial" w:cs="Arial"/>
          <w:u w:val="single"/>
        </w:rPr>
      </w:pPr>
      <w:r>
        <w:rPr>
          <w:rFonts w:ascii="Arial" w:hAnsi="Arial" w:cs="Arial"/>
          <w:u w:val="single"/>
        </w:rPr>
        <w:t>List of Cases cited</w:t>
      </w:r>
    </w:p>
    <w:p w14:paraId="4FE24CDD" w14:textId="37AB8F41" w:rsidR="00533E1A" w:rsidRDefault="00533E1A">
      <w:pPr>
        <w:rPr>
          <w:rFonts w:ascii="Arial" w:hAnsi="Arial" w:cs="Arial"/>
          <w:u w:val="single"/>
        </w:rPr>
      </w:pPr>
    </w:p>
    <w:p w14:paraId="4BA389B4" w14:textId="77FFDC2D" w:rsidR="00533E1A" w:rsidRPr="00FF56F7" w:rsidRDefault="00533E1A" w:rsidP="005B3345">
      <w:pPr>
        <w:pStyle w:val="ListParagraph"/>
        <w:numPr>
          <w:ilvl w:val="0"/>
          <w:numId w:val="7"/>
        </w:numPr>
        <w:rPr>
          <w:rStyle w:val="Strong"/>
          <w:rFonts w:ascii="Open Sans" w:hAnsi="Open Sans" w:cs="Open Sans"/>
          <w:b w:val="0"/>
          <w:bCs w:val="0"/>
          <w:u w:val="single"/>
        </w:rPr>
      </w:pPr>
      <w:r w:rsidRPr="00FF56F7">
        <w:rPr>
          <w:rFonts w:ascii="Open Sans" w:hAnsi="Open Sans" w:cs="Open Sans"/>
        </w:rPr>
        <w:t>Eddie Stobart v Moreman and others</w:t>
      </w:r>
      <w:r w:rsidRPr="00FF56F7">
        <w:rPr>
          <w:rFonts w:ascii="Open Sans" w:hAnsi="Open Sans" w:cs="Open Sans"/>
          <w:b/>
          <w:bCs/>
        </w:rPr>
        <w:t xml:space="preserve"> </w:t>
      </w:r>
      <w:r w:rsidRPr="00FF56F7">
        <w:rPr>
          <w:rStyle w:val="Strong"/>
          <w:rFonts w:ascii="Open Sans" w:hAnsi="Open Sans" w:cs="Open Sans"/>
          <w:b w:val="0"/>
          <w:bCs w:val="0"/>
          <w:shd w:val="clear" w:color="auto" w:fill="F7F6F6"/>
        </w:rPr>
        <w:t>unreported, UKEAT/0223/11/ZT 17 February 2012, EAT</w:t>
      </w:r>
    </w:p>
    <w:p w14:paraId="2DAEAEF9" w14:textId="77777777" w:rsidR="00533E1A" w:rsidRPr="00FF56F7" w:rsidRDefault="00533E1A" w:rsidP="005B3345">
      <w:pPr>
        <w:rPr>
          <w:rStyle w:val="Strong"/>
          <w:rFonts w:ascii="Open Sans" w:hAnsi="Open Sans" w:cs="Open Sans"/>
          <w:b w:val="0"/>
          <w:bCs w:val="0"/>
          <w:u w:val="single"/>
        </w:rPr>
      </w:pPr>
    </w:p>
    <w:p w14:paraId="4D292CDD" w14:textId="7EBC67DE" w:rsidR="00533E1A" w:rsidRPr="00FF56F7" w:rsidRDefault="00533E1A" w:rsidP="005B3345">
      <w:pPr>
        <w:pStyle w:val="ListParagraph"/>
        <w:numPr>
          <w:ilvl w:val="0"/>
          <w:numId w:val="7"/>
        </w:numPr>
        <w:rPr>
          <w:rFonts w:ascii="Open Sans" w:hAnsi="Open Sans" w:cs="Open Sans"/>
          <w:u w:val="single"/>
        </w:rPr>
      </w:pPr>
      <w:r w:rsidRPr="00FF56F7">
        <w:rPr>
          <w:rFonts w:ascii="Open Sans" w:eastAsia="Times New Roman" w:hAnsi="Open Sans" w:cs="Open Sans"/>
          <w:color w:val="0B0C0C"/>
          <w:kern w:val="36"/>
          <w:lang w:eastAsia="en-GB"/>
        </w:rPr>
        <w:t>McTear Contracts Ltd v Mr B Bennett and 20 Others and Others (March 2021): UKEATS/0023/19/SS</w:t>
      </w:r>
    </w:p>
    <w:p w14:paraId="49546F3D" w14:textId="77777777" w:rsidR="00533E1A" w:rsidRPr="00FF56F7" w:rsidRDefault="00533E1A" w:rsidP="005B3345">
      <w:pPr>
        <w:pStyle w:val="ListParagraph"/>
        <w:rPr>
          <w:rStyle w:val="Strong"/>
          <w:rFonts w:ascii="Open Sans" w:hAnsi="Open Sans" w:cs="Open Sans"/>
          <w:b w:val="0"/>
          <w:bCs w:val="0"/>
          <w:u w:val="single"/>
        </w:rPr>
      </w:pPr>
    </w:p>
    <w:p w14:paraId="1CE99DB8" w14:textId="1836A195" w:rsidR="00533E1A" w:rsidRPr="00FF56F7" w:rsidRDefault="00533E1A" w:rsidP="005B3345">
      <w:pPr>
        <w:pStyle w:val="ListParagraph"/>
        <w:numPr>
          <w:ilvl w:val="0"/>
          <w:numId w:val="7"/>
        </w:numPr>
        <w:rPr>
          <w:rFonts w:ascii="Open Sans" w:hAnsi="Open Sans" w:cs="Open Sans"/>
          <w:u w:val="single"/>
        </w:rPr>
      </w:pPr>
      <w:r w:rsidRPr="00FF56F7">
        <w:rPr>
          <w:rStyle w:val="Strong"/>
          <w:rFonts w:ascii="Open Sans" w:hAnsi="Open Sans" w:cs="Open Sans"/>
          <w:b w:val="0"/>
          <w:bCs w:val="0"/>
        </w:rPr>
        <w:t>ISS Facility Services NV v Sonia Govaerts,</w:t>
      </w:r>
      <w:r w:rsidR="00D639BA" w:rsidRPr="00FF56F7">
        <w:rPr>
          <w:rStyle w:val="Strong"/>
          <w:rFonts w:ascii="Open Sans" w:hAnsi="Open Sans" w:cs="Open Sans"/>
          <w:b w:val="0"/>
          <w:bCs w:val="0"/>
        </w:rPr>
        <w:t xml:space="preserve"> </w:t>
      </w:r>
      <w:r w:rsidRPr="00FF56F7">
        <w:rPr>
          <w:rStyle w:val="Strong"/>
          <w:rFonts w:ascii="Open Sans" w:hAnsi="Open Sans" w:cs="Open Sans"/>
          <w:b w:val="0"/>
          <w:bCs w:val="0"/>
        </w:rPr>
        <w:t xml:space="preserve">Atalian NV, formerly Euroclean NV </w:t>
      </w:r>
      <w:r w:rsidRPr="00FF56F7">
        <w:rPr>
          <w:rFonts w:ascii="Open Sans" w:hAnsi="Open Sans" w:cs="Open Sans"/>
          <w:color w:val="000000"/>
        </w:rPr>
        <w:t>ECJ 26 March 2020, Case C-344/18</w:t>
      </w:r>
    </w:p>
    <w:p w14:paraId="5FCE4665" w14:textId="77777777" w:rsidR="00533E1A" w:rsidRPr="00FF56F7" w:rsidRDefault="00533E1A" w:rsidP="005B3345">
      <w:pPr>
        <w:rPr>
          <w:rStyle w:val="Strong"/>
          <w:rFonts w:ascii="Open Sans" w:hAnsi="Open Sans" w:cs="Open Sans"/>
          <w:b w:val="0"/>
          <w:bCs w:val="0"/>
          <w:u w:val="single"/>
        </w:rPr>
      </w:pPr>
    </w:p>
    <w:p w14:paraId="4EF1A0F5" w14:textId="4CF44C35" w:rsidR="00533E1A" w:rsidRPr="00FF56F7" w:rsidRDefault="00533E1A" w:rsidP="005B3345">
      <w:pPr>
        <w:pStyle w:val="ListParagraph"/>
        <w:numPr>
          <w:ilvl w:val="0"/>
          <w:numId w:val="7"/>
        </w:numPr>
        <w:rPr>
          <w:rFonts w:ascii="Open Sans" w:hAnsi="Open Sans" w:cs="Open Sans"/>
          <w:u w:val="single"/>
        </w:rPr>
      </w:pPr>
      <w:r w:rsidRPr="00FF56F7">
        <w:rPr>
          <w:rFonts w:ascii="Open Sans" w:hAnsi="Open Sans" w:cs="Open Sans"/>
          <w:color w:val="111111"/>
          <w:shd w:val="clear" w:color="auto" w:fill="FFFFFF"/>
        </w:rPr>
        <w:t>Sweetin v Coral Racing </w:t>
      </w:r>
      <w:r w:rsidRPr="00FF56F7">
        <w:rPr>
          <w:rStyle w:val="Strong"/>
          <w:rFonts w:ascii="Open Sans" w:hAnsi="Open Sans" w:cs="Open Sans"/>
          <w:b w:val="0"/>
          <w:bCs w:val="0"/>
          <w:color w:val="111111"/>
          <w:shd w:val="clear" w:color="auto" w:fill="FFFFFF"/>
        </w:rPr>
        <w:t>UKEATS/0039/05/R/N;</w:t>
      </w:r>
      <w:r w:rsidRPr="00FF56F7">
        <w:rPr>
          <w:rFonts w:ascii="Open Sans" w:hAnsi="Open Sans" w:cs="Open Sans"/>
          <w:color w:val="111111"/>
          <w:shd w:val="clear" w:color="auto" w:fill="FFFFFF"/>
        </w:rPr>
        <w:t> [2006] IRLR 252</w:t>
      </w:r>
    </w:p>
    <w:p w14:paraId="032A7B37" w14:textId="77777777" w:rsidR="00533E1A" w:rsidRPr="00FF56F7" w:rsidRDefault="00533E1A" w:rsidP="005B3345">
      <w:pPr>
        <w:pStyle w:val="ListParagraph"/>
        <w:rPr>
          <w:rStyle w:val="Strong"/>
          <w:rFonts w:ascii="Open Sans" w:hAnsi="Open Sans" w:cs="Open Sans"/>
          <w:b w:val="0"/>
          <w:bCs w:val="0"/>
          <w:u w:val="single"/>
        </w:rPr>
      </w:pPr>
    </w:p>
    <w:p w14:paraId="531C63B8" w14:textId="547CDA29" w:rsidR="00533E1A" w:rsidRPr="00FF56F7" w:rsidRDefault="00D639BA" w:rsidP="005B3345">
      <w:pPr>
        <w:pStyle w:val="FootnoteText"/>
        <w:numPr>
          <w:ilvl w:val="0"/>
          <w:numId w:val="7"/>
        </w:numPr>
        <w:rPr>
          <w:rStyle w:val="Strong"/>
          <w:rFonts w:ascii="Open Sans" w:hAnsi="Open Sans" w:cs="Open Sans"/>
          <w:b w:val="0"/>
          <w:bCs w:val="0"/>
          <w:sz w:val="22"/>
          <w:szCs w:val="22"/>
        </w:rPr>
      </w:pPr>
      <w:r w:rsidRPr="00FF56F7">
        <w:rPr>
          <w:rFonts w:ascii="Open Sans" w:hAnsi="Open Sans" w:cs="Open Sans"/>
          <w:sz w:val="22"/>
          <w:szCs w:val="22"/>
        </w:rPr>
        <w:t>Mitie Managed Services Ltd v French and others, 12 April 2002, EAT/408/00</w:t>
      </w:r>
    </w:p>
    <w:p w14:paraId="7D4125D2" w14:textId="77777777" w:rsidR="00533E1A" w:rsidRPr="00FF56F7" w:rsidRDefault="00533E1A" w:rsidP="005B3345">
      <w:pPr>
        <w:pStyle w:val="ListParagraph"/>
        <w:rPr>
          <w:rStyle w:val="Strong"/>
          <w:rFonts w:ascii="Open Sans" w:hAnsi="Open Sans" w:cs="Open Sans"/>
          <w:b w:val="0"/>
          <w:bCs w:val="0"/>
          <w:u w:val="single"/>
        </w:rPr>
      </w:pPr>
    </w:p>
    <w:p w14:paraId="4CEC8FD5" w14:textId="4E90166D" w:rsidR="00D639BA" w:rsidRPr="00FF56F7" w:rsidRDefault="00533E1A" w:rsidP="005B3345">
      <w:pPr>
        <w:pStyle w:val="ListParagraph"/>
        <w:numPr>
          <w:ilvl w:val="0"/>
          <w:numId w:val="7"/>
        </w:numPr>
        <w:rPr>
          <w:rFonts w:ascii="Open Sans" w:hAnsi="Open Sans" w:cs="Open Sans"/>
          <w:u w:val="single"/>
        </w:rPr>
      </w:pPr>
      <w:r w:rsidRPr="00FF56F7">
        <w:rPr>
          <w:rFonts w:ascii="Open Sans" w:eastAsia="Times New Roman" w:hAnsi="Open Sans" w:cs="Open Sans"/>
          <w:lang w:eastAsia="en-GB"/>
        </w:rPr>
        <w:t>Kavanagh &amp; Ors v Crystal Palace FC (2000) Ltd &amp; Ors UKEAT/0354/12/SM</w:t>
      </w:r>
    </w:p>
    <w:p w14:paraId="227DBDF1" w14:textId="77777777" w:rsidR="00D639BA" w:rsidRPr="00FF56F7" w:rsidRDefault="00D639BA" w:rsidP="005B3345">
      <w:pPr>
        <w:pStyle w:val="ListParagraph"/>
        <w:rPr>
          <w:rFonts w:ascii="Open Sans" w:hAnsi="Open Sans" w:cs="Open Sans"/>
          <w:u w:val="single"/>
        </w:rPr>
      </w:pPr>
    </w:p>
    <w:p w14:paraId="14EA356B" w14:textId="1EB874DB" w:rsidR="00D639BA" w:rsidRPr="00FF56F7" w:rsidRDefault="00D639BA" w:rsidP="005B3345">
      <w:pPr>
        <w:pStyle w:val="ListParagraph"/>
        <w:numPr>
          <w:ilvl w:val="0"/>
          <w:numId w:val="7"/>
        </w:numPr>
        <w:rPr>
          <w:rFonts w:ascii="Open Sans" w:hAnsi="Open Sans" w:cs="Open Sans"/>
          <w:u w:val="single"/>
        </w:rPr>
      </w:pPr>
      <w:r w:rsidRPr="00FF56F7">
        <w:rPr>
          <w:rFonts w:ascii="Open Sans" w:eastAsia="Times New Roman" w:hAnsi="Open Sans" w:cs="Open Sans"/>
          <w:lang w:eastAsia="en-GB"/>
        </w:rPr>
        <w:t xml:space="preserve">Born London Ltd v Spire Production Services Ltd </w:t>
      </w:r>
      <w:r w:rsidRPr="00FF56F7">
        <w:rPr>
          <w:rFonts w:ascii="Open Sans" w:eastAsia="Times New Roman" w:hAnsi="Open Sans" w:cs="Open Sans"/>
          <w:lang w:eastAsia="en-GB"/>
        </w:rPr>
        <w:t xml:space="preserve">(March 2017) </w:t>
      </w:r>
      <w:r w:rsidRPr="00FF56F7">
        <w:rPr>
          <w:rFonts w:ascii="Open Sans" w:eastAsia="Times New Roman" w:hAnsi="Open Sans" w:cs="Open Sans"/>
          <w:lang w:eastAsia="en-GB"/>
        </w:rPr>
        <w:t>UKEAT/0255/16/LA</w:t>
      </w:r>
    </w:p>
    <w:p w14:paraId="37F726A7" w14:textId="77777777" w:rsidR="00D639BA" w:rsidRPr="00FF56F7" w:rsidRDefault="00D639BA" w:rsidP="005B3345">
      <w:pPr>
        <w:rPr>
          <w:rFonts w:ascii="Open Sans" w:hAnsi="Open Sans" w:cs="Open Sans"/>
          <w:u w:val="single"/>
        </w:rPr>
      </w:pPr>
    </w:p>
    <w:p w14:paraId="3867DB95" w14:textId="43121B46" w:rsidR="00D639BA" w:rsidRPr="00FF56F7" w:rsidRDefault="00D639BA" w:rsidP="005B3345">
      <w:pPr>
        <w:pStyle w:val="ListParagraph"/>
        <w:numPr>
          <w:ilvl w:val="0"/>
          <w:numId w:val="7"/>
        </w:numPr>
        <w:rPr>
          <w:rFonts w:ascii="Open Sans" w:hAnsi="Open Sans" w:cs="Open Sans"/>
          <w:u w:val="single"/>
        </w:rPr>
      </w:pPr>
      <w:r w:rsidRPr="00FF56F7">
        <w:rPr>
          <w:rFonts w:ascii="Open Sans" w:eastAsia="Times New Roman" w:hAnsi="Open Sans" w:cs="Open Sans"/>
          <w:lang w:eastAsia="en-GB"/>
        </w:rPr>
        <w:t>Fulcrum Pharma (Europe) Ltd v Bonassera &amp; Anor UKEAT/0198/10/DM</w:t>
      </w:r>
    </w:p>
    <w:p w14:paraId="18091B11" w14:textId="77777777" w:rsidR="007968A0" w:rsidRPr="00FF56F7" w:rsidRDefault="007968A0" w:rsidP="005B3345">
      <w:pPr>
        <w:pStyle w:val="ListParagraph"/>
        <w:rPr>
          <w:rFonts w:ascii="Open Sans" w:hAnsi="Open Sans" w:cs="Open Sans"/>
          <w:u w:val="single"/>
        </w:rPr>
      </w:pPr>
    </w:p>
    <w:p w14:paraId="5EBC4828" w14:textId="742EEBBF" w:rsidR="007968A0" w:rsidRPr="00FF56F7" w:rsidRDefault="007968A0" w:rsidP="005B3345">
      <w:pPr>
        <w:pStyle w:val="ListParagraph"/>
        <w:numPr>
          <w:ilvl w:val="0"/>
          <w:numId w:val="7"/>
        </w:numPr>
        <w:rPr>
          <w:rFonts w:ascii="Open Sans" w:hAnsi="Open Sans" w:cs="Open Sans"/>
          <w:u w:val="single"/>
        </w:rPr>
      </w:pPr>
      <w:r w:rsidRPr="00FF56F7">
        <w:rPr>
          <w:rFonts w:ascii="Open Sans" w:eastAsia="Times New Roman" w:hAnsi="Open Sans" w:cs="Open Sans"/>
          <w:kern w:val="36"/>
          <w:lang w:eastAsia="en-GB"/>
        </w:rPr>
        <w:t>Rolls-Royce Plc v Unite the Union [2008] EWHC 2420 (QB) (17 October 2008)</w:t>
      </w:r>
    </w:p>
    <w:p w14:paraId="4716F419" w14:textId="77777777" w:rsidR="007968A0" w:rsidRPr="00FF56F7" w:rsidRDefault="007968A0" w:rsidP="005B3345">
      <w:pPr>
        <w:rPr>
          <w:rFonts w:ascii="Open Sans" w:hAnsi="Open Sans" w:cs="Open Sans"/>
          <w:u w:val="single"/>
        </w:rPr>
      </w:pPr>
    </w:p>
    <w:p w14:paraId="4DCAAF28" w14:textId="2FF72870" w:rsidR="007968A0" w:rsidRPr="00FF56F7" w:rsidRDefault="007968A0" w:rsidP="005B3345">
      <w:pPr>
        <w:pStyle w:val="ListParagraph"/>
        <w:numPr>
          <w:ilvl w:val="0"/>
          <w:numId w:val="7"/>
        </w:numPr>
        <w:rPr>
          <w:rFonts w:ascii="Open Sans" w:hAnsi="Open Sans" w:cs="Open Sans"/>
          <w:u w:val="single"/>
        </w:rPr>
      </w:pPr>
      <w:r w:rsidRPr="00FF56F7">
        <w:rPr>
          <w:rFonts w:ascii="Open Sans" w:eastAsia="Times New Roman" w:hAnsi="Open Sans" w:cs="Open Sans"/>
          <w:lang w:eastAsia="en-GB"/>
        </w:rPr>
        <w:t>Pinewood Repro Ltd T/A County Print v Page UKEAT/0028/10/SM</w:t>
      </w:r>
      <w:r w:rsidRPr="00FF56F7">
        <w:rPr>
          <w:rFonts w:ascii="Open Sans" w:eastAsia="Times New Roman" w:hAnsi="Open Sans" w:cs="Open Sans"/>
          <w:lang w:eastAsia="en-GB"/>
        </w:rPr>
        <w:t xml:space="preserve"> (13</w:t>
      </w:r>
      <w:r w:rsidRPr="00FF56F7">
        <w:rPr>
          <w:rFonts w:ascii="Open Sans" w:eastAsia="Times New Roman" w:hAnsi="Open Sans" w:cs="Open Sans"/>
          <w:vertAlign w:val="superscript"/>
          <w:lang w:eastAsia="en-GB"/>
        </w:rPr>
        <w:t>th</w:t>
      </w:r>
      <w:r w:rsidRPr="00FF56F7">
        <w:rPr>
          <w:rFonts w:ascii="Open Sans" w:eastAsia="Times New Roman" w:hAnsi="Open Sans" w:cs="Open Sans"/>
          <w:lang w:eastAsia="en-GB"/>
        </w:rPr>
        <w:t xml:space="preserve"> October 2010)</w:t>
      </w:r>
    </w:p>
    <w:p w14:paraId="73AE830B" w14:textId="77777777" w:rsidR="007968A0" w:rsidRPr="00FF56F7" w:rsidRDefault="007968A0" w:rsidP="005B3345">
      <w:pPr>
        <w:pStyle w:val="ListParagraph"/>
        <w:rPr>
          <w:rFonts w:ascii="Open Sans" w:eastAsia="Times New Roman" w:hAnsi="Open Sans" w:cs="Open Sans"/>
          <w:kern w:val="36"/>
          <w:lang w:eastAsia="en-GB"/>
        </w:rPr>
      </w:pPr>
    </w:p>
    <w:p w14:paraId="38903283" w14:textId="77777777" w:rsidR="007968A0" w:rsidRPr="00FF56F7" w:rsidRDefault="007968A0" w:rsidP="005B3345">
      <w:pPr>
        <w:pStyle w:val="ListParagraph"/>
        <w:numPr>
          <w:ilvl w:val="0"/>
          <w:numId w:val="7"/>
        </w:numPr>
        <w:rPr>
          <w:rFonts w:ascii="Open Sans" w:hAnsi="Open Sans" w:cs="Open Sans"/>
          <w:u w:val="single"/>
        </w:rPr>
      </w:pPr>
      <w:r w:rsidRPr="00FF56F7">
        <w:rPr>
          <w:rFonts w:ascii="Open Sans" w:eastAsia="Times New Roman" w:hAnsi="Open Sans" w:cs="Open Sans"/>
          <w:kern w:val="36"/>
          <w:lang w:eastAsia="en-GB"/>
        </w:rPr>
        <w:t>Gwynedd Council v Barratt &amp; Anor [2021] EWCA Civ 1322</w:t>
      </w:r>
    </w:p>
    <w:p w14:paraId="0EEEAD99" w14:textId="77777777" w:rsidR="007968A0" w:rsidRPr="00FF56F7" w:rsidRDefault="007968A0" w:rsidP="005B3345">
      <w:pPr>
        <w:pStyle w:val="ListParagraph"/>
        <w:rPr>
          <w:rFonts w:ascii="Open Sans" w:eastAsia="Times New Roman" w:hAnsi="Open Sans" w:cs="Open Sans"/>
          <w:kern w:val="36"/>
          <w:lang w:eastAsia="en-GB"/>
        </w:rPr>
      </w:pPr>
    </w:p>
    <w:p w14:paraId="112A64FA" w14:textId="4723841D" w:rsidR="007968A0" w:rsidRPr="00FF56F7" w:rsidRDefault="007968A0" w:rsidP="005B3345">
      <w:pPr>
        <w:pStyle w:val="ListParagraph"/>
        <w:numPr>
          <w:ilvl w:val="0"/>
          <w:numId w:val="7"/>
        </w:numPr>
        <w:rPr>
          <w:rFonts w:ascii="Open Sans" w:hAnsi="Open Sans" w:cs="Open Sans"/>
          <w:u w:val="single"/>
        </w:rPr>
      </w:pPr>
      <w:r w:rsidRPr="00FF56F7">
        <w:rPr>
          <w:rFonts w:ascii="Open Sans" w:eastAsia="Times New Roman" w:hAnsi="Open Sans" w:cs="Open Sans"/>
          <w:kern w:val="36"/>
          <w:lang w:eastAsia="en-GB"/>
        </w:rPr>
        <w:t>Bateman v Asda Stores Ltd [2010] UKEAT/0221/09</w:t>
      </w:r>
    </w:p>
    <w:p w14:paraId="1DB071B8" w14:textId="640A12B5" w:rsidR="007968A0" w:rsidRPr="00FF56F7" w:rsidRDefault="007968A0" w:rsidP="005B3345">
      <w:pPr>
        <w:ind w:left="360"/>
        <w:rPr>
          <w:rFonts w:ascii="Open Sans" w:hAnsi="Open Sans" w:cs="Open Sans"/>
          <w:u w:val="single"/>
        </w:rPr>
      </w:pPr>
    </w:p>
    <w:p w14:paraId="09DA46DE" w14:textId="1F6B1B56" w:rsidR="005B3345" w:rsidRPr="00FF56F7" w:rsidRDefault="005B3345" w:rsidP="005B3345">
      <w:pPr>
        <w:pStyle w:val="Heading2"/>
        <w:numPr>
          <w:ilvl w:val="0"/>
          <w:numId w:val="7"/>
        </w:numPr>
        <w:spacing w:before="0"/>
        <w:rPr>
          <w:rFonts w:ascii="Open Sans" w:eastAsia="Times New Roman" w:hAnsi="Open Sans" w:cs="Open Sans"/>
          <w:color w:val="auto"/>
          <w:sz w:val="22"/>
          <w:szCs w:val="22"/>
          <w:lang w:eastAsia="en-GB"/>
        </w:rPr>
      </w:pPr>
      <w:r w:rsidRPr="00FF56F7">
        <w:rPr>
          <w:rFonts w:ascii="Open Sans" w:eastAsia="Times New Roman" w:hAnsi="Open Sans" w:cs="Open Sans"/>
          <w:color w:val="auto"/>
          <w:sz w:val="22"/>
          <w:szCs w:val="22"/>
          <w:lang w:eastAsia="en-GB"/>
        </w:rPr>
        <w:t>Norman &amp; Anor v National Audit Office UKEAT/0276/14/BA</w:t>
      </w:r>
      <w:r w:rsidRPr="00FF56F7">
        <w:rPr>
          <w:rFonts w:ascii="Open Sans" w:eastAsia="Times New Roman" w:hAnsi="Open Sans" w:cs="Open Sans"/>
          <w:color w:val="auto"/>
          <w:sz w:val="22"/>
          <w:szCs w:val="22"/>
          <w:lang w:eastAsia="en-GB"/>
        </w:rPr>
        <w:t xml:space="preserve"> (15</w:t>
      </w:r>
      <w:r w:rsidRPr="00FF56F7">
        <w:rPr>
          <w:rFonts w:ascii="Open Sans" w:eastAsia="Times New Roman" w:hAnsi="Open Sans" w:cs="Open Sans"/>
          <w:color w:val="auto"/>
          <w:sz w:val="22"/>
          <w:szCs w:val="22"/>
          <w:vertAlign w:val="superscript"/>
          <w:lang w:eastAsia="en-GB"/>
        </w:rPr>
        <w:t>th</w:t>
      </w:r>
      <w:r w:rsidRPr="00FF56F7">
        <w:rPr>
          <w:rFonts w:ascii="Open Sans" w:eastAsia="Times New Roman" w:hAnsi="Open Sans" w:cs="Open Sans"/>
          <w:color w:val="auto"/>
          <w:sz w:val="22"/>
          <w:szCs w:val="22"/>
          <w:lang w:eastAsia="en-GB"/>
        </w:rPr>
        <w:t xml:space="preserve"> December 2014)</w:t>
      </w:r>
    </w:p>
    <w:p w14:paraId="6B047FB7" w14:textId="77777777" w:rsidR="005B3345" w:rsidRPr="00FF56F7" w:rsidRDefault="005B3345" w:rsidP="005B3345">
      <w:pPr>
        <w:rPr>
          <w:rFonts w:ascii="Open Sans" w:hAnsi="Open Sans" w:cs="Open Sans"/>
          <w:lang w:eastAsia="en-GB"/>
        </w:rPr>
      </w:pPr>
    </w:p>
    <w:p w14:paraId="4BDB2984" w14:textId="42EC6596" w:rsidR="005B3345" w:rsidRPr="00FF56F7" w:rsidRDefault="005B3345" w:rsidP="005B3345">
      <w:pPr>
        <w:pStyle w:val="Heading2"/>
        <w:numPr>
          <w:ilvl w:val="0"/>
          <w:numId w:val="7"/>
        </w:numPr>
        <w:spacing w:before="0"/>
        <w:rPr>
          <w:rFonts w:ascii="Open Sans" w:eastAsia="Times New Roman" w:hAnsi="Open Sans" w:cs="Open Sans"/>
          <w:color w:val="auto"/>
          <w:sz w:val="22"/>
          <w:szCs w:val="22"/>
          <w:lang w:eastAsia="en-GB"/>
        </w:rPr>
      </w:pPr>
      <w:r w:rsidRPr="00FF56F7">
        <w:rPr>
          <w:rFonts w:ascii="Open Sans" w:eastAsia="Times New Roman" w:hAnsi="Open Sans" w:cs="Open Sans"/>
          <w:color w:val="auto"/>
          <w:sz w:val="22"/>
          <w:szCs w:val="22"/>
          <w:lang w:eastAsia="en-GB"/>
        </w:rPr>
        <w:t>Kellogg Brown &amp; Root (UK) Ltd v Fitton &amp; Anor UKEAT/0205/16/BA</w:t>
      </w:r>
      <w:r w:rsidRPr="00FF56F7">
        <w:rPr>
          <w:rFonts w:ascii="Open Sans" w:eastAsia="Times New Roman" w:hAnsi="Open Sans" w:cs="Open Sans"/>
          <w:color w:val="auto"/>
          <w:sz w:val="22"/>
          <w:szCs w:val="22"/>
          <w:lang w:eastAsia="en-GB"/>
        </w:rPr>
        <w:t xml:space="preserve"> (21</w:t>
      </w:r>
      <w:r w:rsidRPr="00FF56F7">
        <w:rPr>
          <w:rFonts w:ascii="Open Sans" w:eastAsia="Times New Roman" w:hAnsi="Open Sans" w:cs="Open Sans"/>
          <w:color w:val="auto"/>
          <w:sz w:val="22"/>
          <w:szCs w:val="22"/>
          <w:vertAlign w:val="superscript"/>
          <w:lang w:eastAsia="en-GB"/>
        </w:rPr>
        <w:t>st</w:t>
      </w:r>
      <w:r w:rsidRPr="00FF56F7">
        <w:rPr>
          <w:rFonts w:ascii="Open Sans" w:eastAsia="Times New Roman" w:hAnsi="Open Sans" w:cs="Open Sans"/>
          <w:color w:val="auto"/>
          <w:sz w:val="22"/>
          <w:szCs w:val="22"/>
          <w:lang w:eastAsia="en-GB"/>
        </w:rPr>
        <w:t xml:space="preserve"> November 2016)</w:t>
      </w:r>
    </w:p>
    <w:p w14:paraId="0201F5E6" w14:textId="77777777" w:rsidR="005B3345" w:rsidRPr="00FF56F7" w:rsidRDefault="005B3345" w:rsidP="005B3345">
      <w:pPr>
        <w:rPr>
          <w:rFonts w:ascii="Open Sans" w:hAnsi="Open Sans" w:cs="Open Sans"/>
          <w:lang w:eastAsia="en-GB"/>
        </w:rPr>
      </w:pPr>
    </w:p>
    <w:p w14:paraId="57CBBD98" w14:textId="57A994F7" w:rsidR="005B3345" w:rsidRPr="00FF56F7" w:rsidRDefault="005B3345" w:rsidP="005B3345">
      <w:pPr>
        <w:pStyle w:val="ListParagraph"/>
        <w:numPr>
          <w:ilvl w:val="0"/>
          <w:numId w:val="7"/>
        </w:numPr>
        <w:spacing w:after="100" w:afterAutospacing="1"/>
        <w:rPr>
          <w:rFonts w:ascii="Open Sans" w:hAnsi="Open Sans" w:cs="Open Sans"/>
          <w:lang w:eastAsia="en-GB"/>
        </w:rPr>
      </w:pPr>
      <w:r w:rsidRPr="00FF56F7">
        <w:rPr>
          <w:rFonts w:ascii="Open Sans" w:eastAsia="Times New Roman" w:hAnsi="Open Sans" w:cs="Open Sans"/>
          <w:lang w:eastAsia="en-GB"/>
        </w:rPr>
        <w:t>Morgan v Network Europe Group Ltd UKEAT/0159/10/SM</w:t>
      </w:r>
      <w:r w:rsidRPr="00FF56F7">
        <w:rPr>
          <w:rFonts w:ascii="Open Sans" w:eastAsia="Times New Roman" w:hAnsi="Open Sans" w:cs="Open Sans"/>
          <w:lang w:eastAsia="en-GB"/>
        </w:rPr>
        <w:t xml:space="preserve"> (14</w:t>
      </w:r>
      <w:r w:rsidRPr="00FF56F7">
        <w:rPr>
          <w:rFonts w:ascii="Open Sans" w:eastAsia="Times New Roman" w:hAnsi="Open Sans" w:cs="Open Sans"/>
          <w:vertAlign w:val="superscript"/>
          <w:lang w:eastAsia="en-GB"/>
        </w:rPr>
        <w:t>th</w:t>
      </w:r>
      <w:r w:rsidRPr="00FF56F7">
        <w:rPr>
          <w:rFonts w:ascii="Open Sans" w:eastAsia="Times New Roman" w:hAnsi="Open Sans" w:cs="Open Sans"/>
          <w:lang w:eastAsia="en-GB"/>
        </w:rPr>
        <w:t xml:space="preserve"> January 2011)</w:t>
      </w:r>
    </w:p>
    <w:p w14:paraId="09AD48BA" w14:textId="77777777" w:rsidR="005B3345" w:rsidRPr="00FF56F7" w:rsidRDefault="005B3345" w:rsidP="005B3345">
      <w:pPr>
        <w:pStyle w:val="ListParagraph"/>
        <w:rPr>
          <w:rFonts w:ascii="Open Sans" w:hAnsi="Open Sans" w:cs="Open Sans"/>
          <w:lang w:eastAsia="en-GB"/>
        </w:rPr>
      </w:pPr>
    </w:p>
    <w:p w14:paraId="6D552BFA" w14:textId="3FBA541B" w:rsidR="005B3345" w:rsidRPr="00FF56F7" w:rsidRDefault="005B3345" w:rsidP="005B3345">
      <w:pPr>
        <w:pStyle w:val="ListParagraph"/>
        <w:numPr>
          <w:ilvl w:val="0"/>
          <w:numId w:val="7"/>
        </w:numPr>
        <w:spacing w:before="100" w:beforeAutospacing="1"/>
        <w:outlineLvl w:val="0"/>
        <w:rPr>
          <w:rFonts w:ascii="Open Sans" w:eastAsia="Times New Roman" w:hAnsi="Open Sans" w:cs="Open Sans"/>
          <w:kern w:val="36"/>
          <w:lang w:eastAsia="en-GB"/>
        </w:rPr>
      </w:pPr>
      <w:r w:rsidRPr="00FF56F7">
        <w:rPr>
          <w:rFonts w:ascii="Open Sans" w:eastAsia="Times New Roman" w:hAnsi="Open Sans" w:cs="Open Sans"/>
          <w:kern w:val="36"/>
          <w:lang w:eastAsia="en-GB"/>
        </w:rPr>
        <w:t>USDAW v Tesco Stores Ltd [2022]</w:t>
      </w:r>
      <w:r w:rsidRPr="00FF56F7">
        <w:rPr>
          <w:rFonts w:ascii="Open Sans" w:eastAsia="Times New Roman" w:hAnsi="Open Sans" w:cs="Open Sans"/>
          <w:kern w:val="36"/>
          <w:lang w:eastAsia="en-GB"/>
        </w:rPr>
        <w:t xml:space="preserve"> </w:t>
      </w:r>
      <w:r w:rsidRPr="00FF56F7">
        <w:rPr>
          <w:rFonts w:ascii="Open Sans" w:hAnsi="Open Sans" w:cs="Open Sans"/>
        </w:rPr>
        <w:t>Decision Number. EWHC 201 · Legal Body. England and Wales High Court (EWHC)</w:t>
      </w:r>
    </w:p>
    <w:p w14:paraId="172D7434" w14:textId="77777777" w:rsidR="005B3345" w:rsidRPr="005B3345" w:rsidRDefault="005B3345" w:rsidP="005B3345">
      <w:pPr>
        <w:rPr>
          <w:lang w:eastAsia="en-GB"/>
        </w:rPr>
      </w:pPr>
    </w:p>
    <w:p w14:paraId="2526CC41" w14:textId="0027F2B2" w:rsidR="00D639BA" w:rsidRDefault="00D639BA" w:rsidP="007968A0">
      <w:pPr>
        <w:pStyle w:val="ListParagraph"/>
        <w:rPr>
          <w:rFonts w:ascii="Arial" w:hAnsi="Arial" w:cs="Arial"/>
          <w:u w:val="single"/>
        </w:rPr>
      </w:pPr>
    </w:p>
    <w:p w14:paraId="179659F4" w14:textId="7E059D76" w:rsidR="00150540" w:rsidRDefault="00150540" w:rsidP="007968A0">
      <w:pPr>
        <w:pStyle w:val="ListParagraph"/>
        <w:rPr>
          <w:rFonts w:ascii="Arial" w:hAnsi="Arial" w:cs="Arial"/>
          <w:u w:val="single"/>
        </w:rPr>
      </w:pPr>
    </w:p>
    <w:p w14:paraId="3876AC70" w14:textId="3BC21862" w:rsidR="00150540" w:rsidRDefault="00150540" w:rsidP="007968A0">
      <w:pPr>
        <w:pStyle w:val="ListParagraph"/>
        <w:rPr>
          <w:rFonts w:ascii="Arial" w:hAnsi="Arial" w:cs="Arial"/>
          <w:u w:val="single"/>
        </w:rPr>
      </w:pPr>
    </w:p>
    <w:p w14:paraId="202E3D52" w14:textId="28F344D6" w:rsidR="00150540" w:rsidRDefault="00150540" w:rsidP="007968A0">
      <w:pPr>
        <w:pStyle w:val="ListParagraph"/>
        <w:rPr>
          <w:rFonts w:ascii="Arial" w:hAnsi="Arial" w:cs="Arial"/>
          <w:u w:val="single"/>
        </w:rPr>
      </w:pPr>
    </w:p>
    <w:p w14:paraId="17A49B9D" w14:textId="20F28FA8" w:rsidR="00150540" w:rsidRDefault="00150540" w:rsidP="007968A0">
      <w:pPr>
        <w:pStyle w:val="ListParagraph"/>
        <w:rPr>
          <w:rFonts w:ascii="Arial" w:hAnsi="Arial" w:cs="Arial"/>
          <w:u w:val="single"/>
        </w:rPr>
      </w:pPr>
    </w:p>
    <w:p w14:paraId="28E1E232" w14:textId="54BB948B" w:rsidR="00150540" w:rsidRPr="00FF56F7" w:rsidRDefault="00150540" w:rsidP="00FF56F7">
      <w:pPr>
        <w:rPr>
          <w:rFonts w:ascii="Arial" w:hAnsi="Arial" w:cs="Arial"/>
          <w:u w:val="single"/>
        </w:rPr>
      </w:pPr>
      <w:r w:rsidRPr="00FF56F7">
        <w:rPr>
          <w:rFonts w:ascii="Arial" w:hAnsi="Arial" w:cs="Arial"/>
          <w:u w:val="single"/>
        </w:rPr>
        <w:t xml:space="preserve">References </w:t>
      </w:r>
    </w:p>
    <w:p w14:paraId="3B3E8C90" w14:textId="69A331A6" w:rsidR="00150540" w:rsidRDefault="00150540" w:rsidP="007968A0">
      <w:pPr>
        <w:pStyle w:val="ListParagraph"/>
        <w:rPr>
          <w:rFonts w:ascii="Arial" w:hAnsi="Arial" w:cs="Arial"/>
          <w:u w:val="single"/>
        </w:rPr>
      </w:pPr>
    </w:p>
    <w:p w14:paraId="079117B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Making changes to employment contracts - employer responsibilities, Proposing employment contract changes [online] Available at: </w:t>
      </w:r>
      <w:hyperlink r:id="rId9" w:history="1">
        <w:r w:rsidRPr="00FF56F7">
          <w:rPr>
            <w:rFonts w:ascii="Open Sans" w:hAnsi="Open Sans" w:cs="Open Sans"/>
            <w:color w:val="0563C1" w:themeColor="hyperlink"/>
            <w:sz w:val="20"/>
            <w:szCs w:val="20"/>
            <w:u w:val="single"/>
            <w:shd w:val="clear" w:color="auto" w:fill="FFFFFF"/>
          </w:rPr>
          <w:t>https://www.acas.org.uk/changing-an-employment-contract/employer-responsibilities/proposing-employment-contract-changes</w:t>
        </w:r>
      </w:hyperlink>
      <w:r w:rsidRPr="00FF56F7">
        <w:rPr>
          <w:rFonts w:ascii="Open Sans" w:hAnsi="Open Sans" w:cs="Open Sans"/>
          <w:color w:val="000000"/>
          <w:sz w:val="20"/>
          <w:szCs w:val="20"/>
          <w:shd w:val="clear" w:color="auto" w:fill="FFFFFF"/>
        </w:rPr>
        <w:t xml:space="preserve"> [Accessed 19 February 2022].</w:t>
      </w:r>
    </w:p>
    <w:p w14:paraId="64473D5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1C0A04FC"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Making changes to employment contracts - employer responsibilities, consulting about employment contract changes. [online] Available at: </w:t>
      </w:r>
      <w:hyperlink r:id="rId10" w:history="1">
        <w:r w:rsidRPr="00FF56F7">
          <w:rPr>
            <w:rFonts w:ascii="Open Sans" w:hAnsi="Open Sans" w:cs="Open Sans"/>
            <w:color w:val="0563C1" w:themeColor="hyperlink"/>
            <w:sz w:val="20"/>
            <w:szCs w:val="20"/>
            <w:u w:val="single"/>
            <w:shd w:val="clear" w:color="auto" w:fill="FFFFFF"/>
          </w:rPr>
          <w:t>https://www.acas.org.uk/changing-an-employment-contract/employer-responsibilities/consulting-about-employment-contract-changes</w:t>
        </w:r>
      </w:hyperlink>
      <w:r w:rsidRPr="00FF56F7">
        <w:rPr>
          <w:rFonts w:ascii="Open Sans" w:hAnsi="Open Sans" w:cs="Open Sans"/>
          <w:color w:val="000000"/>
          <w:sz w:val="20"/>
          <w:szCs w:val="20"/>
          <w:shd w:val="clear" w:color="auto" w:fill="FFFFFF"/>
        </w:rPr>
        <w:t xml:space="preserve">  [Accessed 19 February 2022].</w:t>
      </w:r>
    </w:p>
    <w:p w14:paraId="476DF61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08783B6"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Managing staff redundancies: Step 7 Give redundancy notice. [online] Available at: </w:t>
      </w:r>
      <w:hyperlink r:id="rId11" w:history="1">
        <w:r w:rsidRPr="00FF56F7">
          <w:rPr>
            <w:rFonts w:ascii="Open Sans" w:hAnsi="Open Sans" w:cs="Open Sans"/>
            <w:color w:val="0563C1" w:themeColor="hyperlink"/>
            <w:sz w:val="20"/>
            <w:szCs w:val="20"/>
            <w:u w:val="single"/>
            <w:shd w:val="clear" w:color="auto" w:fill="FFFFFF"/>
          </w:rPr>
          <w:t>https://www.acas.org.uk/manage-staff-redundancies/give-employees-notice-of-redundancy</w:t>
        </w:r>
      </w:hyperlink>
      <w:r w:rsidRPr="00FF56F7">
        <w:rPr>
          <w:rFonts w:ascii="Open Sans" w:hAnsi="Open Sans" w:cs="Open Sans"/>
          <w:color w:val="000000"/>
          <w:sz w:val="20"/>
          <w:szCs w:val="20"/>
          <w:shd w:val="clear" w:color="auto" w:fill="FFFFFF"/>
        </w:rPr>
        <w:t xml:space="preserve">  [Accessed 19 February 2022].</w:t>
      </w:r>
    </w:p>
    <w:p w14:paraId="49D4BA6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00FFE0BB"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Collective consultation for redundancy: when to begin collective consultation. [online] Available at: </w:t>
      </w:r>
      <w:hyperlink r:id="rId12" w:history="1">
        <w:r w:rsidRPr="00FF56F7">
          <w:rPr>
            <w:rFonts w:ascii="Open Sans" w:hAnsi="Open Sans" w:cs="Open Sans"/>
            <w:color w:val="0563C1" w:themeColor="hyperlink"/>
            <w:sz w:val="20"/>
            <w:szCs w:val="20"/>
            <w:u w:val="single"/>
            <w:shd w:val="clear" w:color="auto" w:fill="FFFFFF"/>
          </w:rPr>
          <w:t>https://www.acas.org.uk/collective-consultation-redundancy/when-to-begin-collective-consultation</w:t>
        </w:r>
      </w:hyperlink>
      <w:r w:rsidRPr="00FF56F7">
        <w:rPr>
          <w:rFonts w:ascii="Open Sans" w:hAnsi="Open Sans" w:cs="Open Sans"/>
          <w:color w:val="000000"/>
          <w:sz w:val="20"/>
          <w:szCs w:val="20"/>
          <w:shd w:val="clear" w:color="auto" w:fill="FFFFFF"/>
        </w:rPr>
        <w:t xml:space="preserve">  [Accessed 20 February 2022].</w:t>
      </w:r>
    </w:p>
    <w:p w14:paraId="735D1B34"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55E99FB6"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Handling a TUPE transfer: Step 6 Managing staff after a TUPE transfer. [online] Available at: </w:t>
      </w:r>
      <w:hyperlink r:id="rId13" w:history="1">
        <w:r w:rsidRPr="00FF56F7">
          <w:rPr>
            <w:rFonts w:ascii="Open Sans" w:hAnsi="Open Sans" w:cs="Open Sans"/>
            <w:color w:val="0563C1" w:themeColor="hyperlink"/>
            <w:sz w:val="20"/>
            <w:szCs w:val="20"/>
            <w:u w:val="single"/>
            <w:shd w:val="clear" w:color="auto" w:fill="FFFFFF"/>
          </w:rPr>
          <w:t>https://www.acas.org.uk/handling-a-tupe-transfer-step-by-step/step-6-managing-staff-after-a-tupe-transfer</w:t>
        </w:r>
      </w:hyperlink>
      <w:r w:rsidRPr="00FF56F7">
        <w:rPr>
          <w:rFonts w:ascii="Open Sans" w:hAnsi="Open Sans" w:cs="Open Sans"/>
          <w:color w:val="000000"/>
          <w:sz w:val="20"/>
          <w:szCs w:val="20"/>
          <w:shd w:val="clear" w:color="auto" w:fill="FFFFFF"/>
        </w:rPr>
        <w:t xml:space="preserve">  [Accessed 12 February 2022].</w:t>
      </w:r>
    </w:p>
    <w:p w14:paraId="7EA0FE3A" w14:textId="77777777" w:rsidR="00FF56F7" w:rsidRPr="00FF56F7" w:rsidRDefault="00FF56F7" w:rsidP="00FF56F7">
      <w:pPr>
        <w:rPr>
          <w:rFonts w:ascii="Open Sans" w:hAnsi="Open Sans" w:cs="Open Sans"/>
          <w:color w:val="000000"/>
          <w:sz w:val="20"/>
          <w:szCs w:val="20"/>
          <w:shd w:val="clear" w:color="auto" w:fill="FFFFFF"/>
        </w:rPr>
      </w:pPr>
    </w:p>
    <w:p w14:paraId="0145F39B"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Handling a TUPE transfer: step by step. [online] Available at: </w:t>
      </w:r>
      <w:hyperlink r:id="rId14" w:history="1">
        <w:r w:rsidRPr="00FF56F7">
          <w:rPr>
            <w:rFonts w:ascii="Open Sans" w:hAnsi="Open Sans" w:cs="Open Sans"/>
            <w:color w:val="0563C1" w:themeColor="hyperlink"/>
            <w:sz w:val="20"/>
            <w:szCs w:val="20"/>
            <w:u w:val="single"/>
            <w:shd w:val="clear" w:color="auto" w:fill="FFFFFF"/>
          </w:rPr>
          <w:t>https://www.acas.org.uk/handling-a-tupe-transfer-step-by-step/step-4-inform-and-consult-about-TUPE-transfer</w:t>
        </w:r>
      </w:hyperlink>
      <w:r w:rsidRPr="00FF56F7">
        <w:rPr>
          <w:rFonts w:ascii="Open Sans" w:hAnsi="Open Sans" w:cs="Open Sans"/>
          <w:color w:val="000000"/>
          <w:sz w:val="20"/>
          <w:szCs w:val="20"/>
          <w:shd w:val="clear" w:color="auto" w:fill="FFFFFF"/>
        </w:rPr>
        <w:t xml:space="preserve">  [Accessed 12 February 2022].</w:t>
      </w:r>
    </w:p>
    <w:p w14:paraId="739F3096" w14:textId="77777777" w:rsidR="00FF56F7" w:rsidRPr="00FF56F7" w:rsidRDefault="00FF56F7" w:rsidP="00FF56F7">
      <w:pPr>
        <w:rPr>
          <w:rFonts w:ascii="Open Sans" w:hAnsi="Open Sans" w:cs="Open Sans"/>
          <w:color w:val="000000"/>
          <w:sz w:val="20"/>
          <w:szCs w:val="20"/>
          <w:shd w:val="clear" w:color="auto" w:fill="FFFFFF"/>
        </w:rPr>
      </w:pPr>
    </w:p>
    <w:p w14:paraId="3D17DBEF"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Making changes to employment contracts - employer responsibilities, if employment contract changes cannot be agreed. [online] Available at: </w:t>
      </w:r>
      <w:hyperlink r:id="rId15" w:history="1">
        <w:r w:rsidRPr="00FF56F7">
          <w:rPr>
            <w:rFonts w:ascii="Open Sans" w:hAnsi="Open Sans" w:cs="Open Sans"/>
            <w:color w:val="0563C1" w:themeColor="hyperlink"/>
            <w:sz w:val="20"/>
            <w:szCs w:val="20"/>
            <w:u w:val="single"/>
            <w:shd w:val="clear" w:color="auto" w:fill="FFFFFF"/>
          </w:rPr>
          <w:t>https://www.acas.org.uk/changing-an-employment-contract/employer-responsibilities/if-employment-contract-changes-cannot-be-agreed</w:t>
        </w:r>
      </w:hyperlink>
      <w:r w:rsidRPr="00FF56F7">
        <w:rPr>
          <w:rFonts w:ascii="Open Sans" w:hAnsi="Open Sans" w:cs="Open Sans"/>
          <w:color w:val="000000"/>
          <w:sz w:val="20"/>
          <w:szCs w:val="20"/>
          <w:shd w:val="clear" w:color="auto" w:fill="FFFFFF"/>
        </w:rPr>
        <w:t xml:space="preserve"> [Accessed 19 February 2022].</w:t>
      </w:r>
    </w:p>
    <w:p w14:paraId="575D455A"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03A6C4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Managing staff redundancies: Step 1 Check if redundancies are necessary. [online] Available at: </w:t>
      </w:r>
      <w:hyperlink r:id="rId16" w:history="1">
        <w:r w:rsidRPr="00FF56F7">
          <w:rPr>
            <w:rFonts w:ascii="Open Sans" w:hAnsi="Open Sans" w:cs="Open Sans"/>
            <w:color w:val="0563C1" w:themeColor="hyperlink"/>
            <w:sz w:val="20"/>
            <w:szCs w:val="20"/>
            <w:u w:val="single"/>
            <w:shd w:val="clear" w:color="auto" w:fill="FFFFFF"/>
          </w:rPr>
          <w:t>https://www.acas.org.uk/manage-staff-redundancies</w:t>
        </w:r>
      </w:hyperlink>
      <w:r w:rsidRPr="00FF56F7">
        <w:rPr>
          <w:rFonts w:ascii="Open Sans" w:hAnsi="Open Sans" w:cs="Open Sans"/>
          <w:color w:val="000000"/>
          <w:sz w:val="20"/>
          <w:szCs w:val="20"/>
          <w:shd w:val="clear" w:color="auto" w:fill="FFFFFF"/>
        </w:rPr>
        <w:t xml:space="preserve">  [Accessed 19 February 2022].</w:t>
      </w:r>
    </w:p>
    <w:p w14:paraId="4C57DC4B"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1AB0B8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Managing staff redundancies: Step 8 Offer an appeals process. [online] Available at:  </w:t>
      </w:r>
      <w:hyperlink r:id="rId17" w:history="1">
        <w:r w:rsidRPr="00FF56F7">
          <w:rPr>
            <w:rFonts w:ascii="Open Sans" w:hAnsi="Open Sans" w:cs="Open Sans"/>
            <w:color w:val="0563C1" w:themeColor="hyperlink"/>
            <w:sz w:val="20"/>
            <w:szCs w:val="20"/>
            <w:u w:val="single"/>
            <w:shd w:val="clear" w:color="auto" w:fill="FFFFFF"/>
          </w:rPr>
          <w:t>https://www.acas.org.uk/manage-staff-redundancies/offer-an-appeals-process</w:t>
        </w:r>
      </w:hyperlink>
      <w:r w:rsidRPr="00FF56F7">
        <w:rPr>
          <w:rFonts w:ascii="Open Sans" w:hAnsi="Open Sans" w:cs="Open Sans"/>
          <w:color w:val="000000"/>
          <w:sz w:val="20"/>
          <w:szCs w:val="20"/>
          <w:shd w:val="clear" w:color="auto" w:fill="FFFFFF"/>
        </w:rPr>
        <w:t xml:space="preserve">  [Accessed 19 February 2022].</w:t>
      </w:r>
    </w:p>
    <w:p w14:paraId="79E7060C"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2EDFF4CB"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(August 2016) Handling TUPE transfers - The ACAS Guide. [online] Available at: </w:t>
      </w:r>
      <w:hyperlink r:id="rId18" w:history="1">
        <w:r w:rsidRPr="00FF56F7">
          <w:rPr>
            <w:rFonts w:ascii="Open Sans" w:hAnsi="Open Sans" w:cs="Open Sans"/>
            <w:color w:val="0563C1" w:themeColor="hyperlink"/>
            <w:sz w:val="20"/>
            <w:szCs w:val="20"/>
            <w:u w:val="single"/>
            <w:shd w:val="clear" w:color="auto" w:fill="FFFFFF"/>
          </w:rPr>
          <w:t>https://www.acas.org.uk/sites/default/files/2019-04/Handling-TUPE-Transfers-The-Acas-Guide.pdf</w:t>
        </w:r>
      </w:hyperlink>
      <w:r w:rsidRPr="00FF56F7">
        <w:rPr>
          <w:rFonts w:ascii="Open Sans" w:hAnsi="Open Sans" w:cs="Open Sans"/>
          <w:color w:val="000000"/>
          <w:sz w:val="20"/>
          <w:szCs w:val="20"/>
          <w:shd w:val="clear" w:color="auto" w:fill="FFFFFF"/>
        </w:rPr>
        <w:t xml:space="preserve">  [Accessed 12 February 2022].</w:t>
      </w:r>
    </w:p>
    <w:p w14:paraId="60BEE217" w14:textId="77777777" w:rsidR="00FF56F7" w:rsidRPr="00FF56F7" w:rsidRDefault="00FF56F7" w:rsidP="00FF56F7">
      <w:pPr>
        <w:rPr>
          <w:rFonts w:ascii="Open Sans" w:hAnsi="Open Sans" w:cs="Open Sans"/>
          <w:color w:val="000000"/>
          <w:sz w:val="20"/>
          <w:szCs w:val="20"/>
          <w:shd w:val="clear" w:color="auto" w:fill="FFFFFF"/>
        </w:rPr>
      </w:pPr>
    </w:p>
    <w:p w14:paraId="15F47E1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ACAS. (2022) Managing staff redundancies: Step 2: Follow the right process. [online] Available at: </w:t>
      </w:r>
      <w:hyperlink r:id="rId19" w:history="1">
        <w:r w:rsidRPr="00FF56F7">
          <w:rPr>
            <w:rFonts w:ascii="Open Sans" w:hAnsi="Open Sans" w:cs="Open Sans"/>
            <w:color w:val="0563C1" w:themeColor="hyperlink"/>
            <w:sz w:val="20"/>
            <w:szCs w:val="20"/>
            <w:u w:val="single"/>
            <w:shd w:val="clear" w:color="auto" w:fill="FFFFFF"/>
          </w:rPr>
          <w:t>https://www.acas.org.uk/manage-staff-redundancies/follow-the-right-process</w:t>
        </w:r>
      </w:hyperlink>
      <w:r w:rsidRPr="00FF56F7">
        <w:rPr>
          <w:rFonts w:ascii="Open Sans" w:hAnsi="Open Sans" w:cs="Open Sans"/>
          <w:color w:val="000000"/>
          <w:sz w:val="20"/>
          <w:szCs w:val="20"/>
          <w:shd w:val="clear" w:color="auto" w:fill="FFFFFF"/>
        </w:rPr>
        <w:t xml:space="preserve">  [Accessed 19 February 2022].</w:t>
      </w:r>
    </w:p>
    <w:p w14:paraId="5F965494"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2537A741"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lastRenderedPageBreak/>
        <w:t xml:space="preserve">App.croneri.co.uk (2022) Bateman v Asda Stores Ltd [2010] UKEAT/0221/09 | Croner-i. [online] Available at: </w:t>
      </w:r>
      <w:hyperlink r:id="rId20" w:history="1">
        <w:r w:rsidRPr="00FF56F7">
          <w:rPr>
            <w:rFonts w:ascii="Open Sans" w:hAnsi="Open Sans" w:cs="Open Sans"/>
            <w:color w:val="0563C1" w:themeColor="hyperlink"/>
            <w:sz w:val="20"/>
            <w:szCs w:val="20"/>
            <w:u w:val="single"/>
            <w:shd w:val="clear" w:color="auto" w:fill="FFFFFF"/>
          </w:rPr>
          <w:t>https://app.croneri.co.uk/law-and-guidance/case-reports/bateman-v-asda-stores-ltd-2010-ukeat022109</w:t>
        </w:r>
      </w:hyperlink>
      <w:r w:rsidRPr="00FF56F7">
        <w:rPr>
          <w:rFonts w:ascii="Open Sans" w:hAnsi="Open Sans" w:cs="Open Sans"/>
          <w:color w:val="000000"/>
          <w:sz w:val="20"/>
          <w:szCs w:val="20"/>
          <w:shd w:val="clear" w:color="auto" w:fill="FFFFFF"/>
        </w:rPr>
        <w:t xml:space="preserve">  [Accessed 22 February 2022].</w:t>
      </w:r>
    </w:p>
    <w:p w14:paraId="63183B4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Assets publishing service. Gov (January 2014) A guide to the 2006 TUPE Regulations (as amended by the Collective Redundancies and Transfer of Undertakings (Protection of Employment) (Amendment) Regulations 2014) for employees, employers and representatives. [online] Available at: </w:t>
      </w:r>
      <w:hyperlink r:id="rId21" w:history="1">
        <w:r w:rsidRPr="00FF56F7">
          <w:rPr>
            <w:rFonts w:ascii="Open Sans" w:hAnsi="Open Sans" w:cs="Open Sans"/>
            <w:color w:val="0563C1" w:themeColor="hyperlink"/>
            <w:sz w:val="20"/>
            <w:szCs w:val="20"/>
            <w:u w:val="single"/>
            <w:shd w:val="clear" w:color="auto" w:fill="FFFFFF"/>
          </w:rPr>
          <w:t>https://assets.publishing.service.gov.uk/government/uploads/system/uploads/attachment_data/file/275252/bis-14-502-employment-rights-on-the-transfer-of-an-undertaking.pdf</w:t>
        </w:r>
      </w:hyperlink>
      <w:r w:rsidRPr="00FF56F7">
        <w:rPr>
          <w:rFonts w:ascii="Open Sans" w:hAnsi="Open Sans" w:cs="Open Sans"/>
          <w:color w:val="000000"/>
          <w:sz w:val="20"/>
          <w:szCs w:val="20"/>
          <w:shd w:val="clear" w:color="auto" w:fill="FFFFFF"/>
        </w:rPr>
        <w:t xml:space="preserve">  [Accessed 13 February 2022].</w:t>
      </w:r>
    </w:p>
    <w:p w14:paraId="33A63A3B"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0B14A874"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Bailey, P. (28</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November 2008) Last in, first out on its last legs: legal opinion. [online] Personnel Today. Available at: </w:t>
      </w:r>
      <w:hyperlink r:id="rId22" w:history="1">
        <w:r w:rsidRPr="00FF56F7">
          <w:rPr>
            <w:rFonts w:ascii="Open Sans" w:hAnsi="Open Sans" w:cs="Open Sans"/>
            <w:color w:val="0563C1" w:themeColor="hyperlink"/>
            <w:sz w:val="20"/>
            <w:szCs w:val="20"/>
            <w:u w:val="single"/>
            <w:shd w:val="clear" w:color="auto" w:fill="FFFFFF"/>
          </w:rPr>
          <w:t>https://www.personneltoday.com/hr/last-in-first-out-on-its-last-legs-legal-opinion/</w:t>
        </w:r>
      </w:hyperlink>
      <w:r w:rsidRPr="00FF56F7">
        <w:rPr>
          <w:rFonts w:ascii="Open Sans" w:hAnsi="Open Sans" w:cs="Open Sans"/>
          <w:color w:val="000000"/>
          <w:sz w:val="20"/>
          <w:szCs w:val="20"/>
          <w:shd w:val="clear" w:color="auto" w:fill="FFFFFF"/>
        </w:rPr>
        <w:t xml:space="preserve">  [Accessed 20 February 2022].</w:t>
      </w:r>
    </w:p>
    <w:p w14:paraId="328F146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60E77FA"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Bradley, R. (10</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November 2008) Age-based redundancy: Rolls-Royce v Unite. [online] Personnel Today. Available at: </w:t>
      </w:r>
      <w:hyperlink r:id="rId23" w:history="1">
        <w:r w:rsidRPr="00FF56F7">
          <w:rPr>
            <w:rFonts w:ascii="Open Sans" w:hAnsi="Open Sans" w:cs="Open Sans"/>
            <w:color w:val="0563C1" w:themeColor="hyperlink"/>
            <w:sz w:val="20"/>
            <w:szCs w:val="20"/>
            <w:u w:val="single"/>
            <w:shd w:val="clear" w:color="auto" w:fill="FFFFFF"/>
          </w:rPr>
          <w:t>https://www.personneltoday.com/hr/age-based-redundancy-rolls-royce-v-unite/</w:t>
        </w:r>
      </w:hyperlink>
      <w:r w:rsidRPr="00FF56F7">
        <w:rPr>
          <w:rFonts w:ascii="Open Sans" w:hAnsi="Open Sans" w:cs="Open Sans"/>
          <w:color w:val="000000"/>
          <w:sz w:val="20"/>
          <w:szCs w:val="20"/>
          <w:shd w:val="clear" w:color="auto" w:fill="FFFFFF"/>
        </w:rPr>
        <w:t xml:space="preserve">  [Accessed 20 February 2022].</w:t>
      </w:r>
    </w:p>
    <w:p w14:paraId="641D936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5DABB6BF"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Carey, G. (21 March 2019) TUPE or not TUPE? Part 1 | Burnetts Solicitors. [online] Burnetts Solicitors. Available at: </w:t>
      </w:r>
      <w:hyperlink r:id="rId24" w:history="1">
        <w:r w:rsidRPr="00FF56F7">
          <w:rPr>
            <w:rFonts w:ascii="Open Sans" w:hAnsi="Open Sans" w:cs="Open Sans"/>
            <w:color w:val="0563C1" w:themeColor="hyperlink"/>
            <w:sz w:val="20"/>
            <w:szCs w:val="20"/>
            <w:u w:val="single"/>
            <w:shd w:val="clear" w:color="auto" w:fill="FFFFFF"/>
          </w:rPr>
          <w:t>https://www.burnetts.co.uk/blog/tupe-or-not-tupe-part-1</w:t>
        </w:r>
      </w:hyperlink>
      <w:r w:rsidRPr="00FF56F7">
        <w:rPr>
          <w:rFonts w:ascii="Open Sans" w:hAnsi="Open Sans" w:cs="Open Sans"/>
          <w:color w:val="000000"/>
          <w:sz w:val="20"/>
          <w:szCs w:val="20"/>
          <w:shd w:val="clear" w:color="auto" w:fill="FFFFFF"/>
        </w:rPr>
        <w:t xml:space="preserve">  [Accessed 12 February 2022].</w:t>
      </w:r>
    </w:p>
    <w:p w14:paraId="1F8E944E" w14:textId="77777777" w:rsidR="00FF56F7" w:rsidRPr="00FF56F7" w:rsidRDefault="00FF56F7" w:rsidP="00FF56F7">
      <w:pPr>
        <w:rPr>
          <w:rFonts w:ascii="Open Sans" w:hAnsi="Open Sans" w:cs="Open Sans"/>
          <w:color w:val="000000"/>
          <w:sz w:val="20"/>
          <w:szCs w:val="20"/>
          <w:shd w:val="clear" w:color="auto" w:fill="FFFFFF"/>
        </w:rPr>
      </w:pPr>
    </w:p>
    <w:p w14:paraId="3BDC42C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(14 December 2021) Employment Terms &amp; Conditions Q&amp;As | CIPD. [online] Available at: </w:t>
      </w:r>
      <w:hyperlink r:id="rId25" w:history="1">
        <w:r w:rsidRPr="00FF56F7">
          <w:rPr>
            <w:rFonts w:ascii="Open Sans" w:hAnsi="Open Sans" w:cs="Open Sans"/>
            <w:color w:val="0563C1" w:themeColor="hyperlink"/>
            <w:sz w:val="20"/>
            <w:szCs w:val="20"/>
            <w:u w:val="single"/>
            <w:shd w:val="clear" w:color="auto" w:fill="FFFFFF"/>
          </w:rPr>
          <w:t>https://www.cipd.co.uk/knowledge/fundamentals/emp-law/terms-conditions/questions#gref</w:t>
        </w:r>
      </w:hyperlink>
      <w:r w:rsidRPr="00FF56F7">
        <w:rPr>
          <w:rFonts w:ascii="Open Sans" w:hAnsi="Open Sans" w:cs="Open Sans"/>
          <w:color w:val="000000"/>
          <w:sz w:val="20"/>
          <w:szCs w:val="20"/>
          <w:shd w:val="clear" w:color="auto" w:fill="FFFFFF"/>
        </w:rPr>
        <w:t xml:space="preserve">  [Accessed 19 February 2022].</w:t>
      </w:r>
    </w:p>
    <w:p w14:paraId="0BFAF9AE"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64947D3"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(14 December 2021) Employment Terms &amp; Conditions Q&amp;As | CIPD. [online] Available at: </w:t>
      </w:r>
      <w:hyperlink r:id="rId26" w:history="1">
        <w:r w:rsidRPr="00FF56F7">
          <w:rPr>
            <w:rFonts w:ascii="Open Sans" w:hAnsi="Open Sans" w:cs="Open Sans"/>
            <w:color w:val="0563C1" w:themeColor="hyperlink"/>
            <w:sz w:val="20"/>
            <w:szCs w:val="20"/>
            <w:u w:val="single"/>
            <w:shd w:val="clear" w:color="auto" w:fill="FFFFFF"/>
          </w:rPr>
          <w:t>https://www.cipd.co.uk/knowledge/fundamentals/emp-law/terms-conditions/questions</w:t>
        </w:r>
      </w:hyperlink>
      <w:r w:rsidRPr="00FF56F7">
        <w:rPr>
          <w:rFonts w:ascii="Open Sans" w:hAnsi="Open Sans" w:cs="Open Sans"/>
          <w:color w:val="000000"/>
          <w:sz w:val="20"/>
          <w:szCs w:val="20"/>
          <w:shd w:val="clear" w:color="auto" w:fill="FFFFFF"/>
        </w:rPr>
        <w:t xml:space="preserve"> [Accessed 20 February 2022].</w:t>
      </w:r>
    </w:p>
    <w:p w14:paraId="34554BA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47445C5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CIPD (1</w:t>
      </w:r>
      <w:r w:rsidRPr="00FF56F7">
        <w:rPr>
          <w:rFonts w:ascii="Open Sans" w:hAnsi="Open Sans" w:cs="Open Sans"/>
          <w:color w:val="000000"/>
          <w:sz w:val="20"/>
          <w:szCs w:val="20"/>
          <w:shd w:val="clear" w:color="auto" w:fill="FFFFFF"/>
          <w:vertAlign w:val="superscript"/>
        </w:rPr>
        <w:t>st</w:t>
      </w:r>
      <w:r w:rsidRPr="00FF56F7">
        <w:rPr>
          <w:rFonts w:ascii="Open Sans" w:hAnsi="Open Sans" w:cs="Open Sans"/>
          <w:color w:val="000000"/>
          <w:sz w:val="20"/>
          <w:szCs w:val="20"/>
          <w:shd w:val="clear" w:color="auto" w:fill="FFFFFF"/>
        </w:rPr>
        <w:t xml:space="preserve"> October 2021) Redundancy | Factsheets | CIPD. [online] Available at: </w:t>
      </w:r>
      <w:hyperlink r:id="rId27" w:history="1">
        <w:r w:rsidRPr="00FF56F7">
          <w:rPr>
            <w:rFonts w:ascii="Open Sans" w:hAnsi="Open Sans" w:cs="Open Sans"/>
            <w:color w:val="0563C1" w:themeColor="hyperlink"/>
            <w:sz w:val="20"/>
            <w:szCs w:val="20"/>
            <w:u w:val="single"/>
            <w:shd w:val="clear" w:color="auto" w:fill="FFFFFF"/>
          </w:rPr>
          <w:t>https://www.cipd.co.uk/knowledge/fundamentals/emp-law/redundancy/factsheet#gref</w:t>
        </w:r>
      </w:hyperlink>
      <w:r w:rsidRPr="00FF56F7">
        <w:rPr>
          <w:rFonts w:ascii="Open Sans" w:hAnsi="Open Sans" w:cs="Open Sans"/>
          <w:color w:val="000000"/>
          <w:sz w:val="20"/>
          <w:szCs w:val="20"/>
          <w:shd w:val="clear" w:color="auto" w:fill="FFFFFF"/>
        </w:rPr>
        <w:t xml:space="preserve">  [Accessed 19 February 2022].</w:t>
      </w:r>
    </w:p>
    <w:p w14:paraId="2497A6E3"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8EA2329"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CIPD (1</w:t>
      </w:r>
      <w:r w:rsidRPr="00FF56F7">
        <w:rPr>
          <w:rFonts w:ascii="Open Sans" w:hAnsi="Open Sans" w:cs="Open Sans"/>
          <w:color w:val="000000"/>
          <w:sz w:val="20"/>
          <w:szCs w:val="20"/>
          <w:shd w:val="clear" w:color="auto" w:fill="FFFFFF"/>
          <w:vertAlign w:val="superscript"/>
        </w:rPr>
        <w:t>st</w:t>
      </w:r>
      <w:r w:rsidRPr="00FF56F7">
        <w:rPr>
          <w:rFonts w:ascii="Open Sans" w:hAnsi="Open Sans" w:cs="Open Sans"/>
          <w:color w:val="000000"/>
          <w:sz w:val="20"/>
          <w:szCs w:val="20"/>
          <w:shd w:val="clear" w:color="auto" w:fill="FFFFFF"/>
        </w:rPr>
        <w:t xml:space="preserve"> October 2021) TUPE (Transfer of Undertakings), Factsheets, CIPD. [online] Available at: </w:t>
      </w:r>
      <w:hyperlink r:id="rId28" w:history="1">
        <w:r w:rsidRPr="00FF56F7">
          <w:rPr>
            <w:rFonts w:ascii="Open Sans" w:hAnsi="Open Sans" w:cs="Open Sans"/>
            <w:color w:val="0563C1" w:themeColor="hyperlink"/>
            <w:sz w:val="20"/>
            <w:szCs w:val="20"/>
            <w:u w:val="single"/>
            <w:shd w:val="clear" w:color="auto" w:fill="FFFFFF"/>
          </w:rPr>
          <w:t>https://www.cipd.co.uk/knowledge/fundamentals/emp-law/tupe/factsheet</w:t>
        </w:r>
      </w:hyperlink>
      <w:r w:rsidRPr="00FF56F7">
        <w:rPr>
          <w:rFonts w:ascii="Open Sans" w:hAnsi="Open Sans" w:cs="Open Sans"/>
          <w:color w:val="000000"/>
          <w:sz w:val="20"/>
          <w:szCs w:val="20"/>
          <w:shd w:val="clear" w:color="auto" w:fill="FFFFFF"/>
        </w:rPr>
        <w:t xml:space="preserve">  [Accessed 12 February 2022].</w:t>
      </w:r>
    </w:p>
    <w:p w14:paraId="7953CDC8" w14:textId="77777777" w:rsidR="00FF56F7" w:rsidRPr="00FF56F7" w:rsidRDefault="00FF56F7" w:rsidP="00FF56F7">
      <w:pPr>
        <w:rPr>
          <w:rFonts w:ascii="Open Sans" w:hAnsi="Open Sans" w:cs="Open Sans"/>
          <w:color w:val="000000"/>
          <w:sz w:val="20"/>
          <w:szCs w:val="20"/>
          <w:shd w:val="clear" w:color="auto" w:fill="FFFFFF"/>
        </w:rPr>
      </w:pPr>
    </w:p>
    <w:p w14:paraId="1F0A7575"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(2022) A guide to TUPE transfers. [online] Available at: </w:t>
      </w:r>
      <w:hyperlink r:id="rId29" w:history="1">
        <w:r w:rsidRPr="00FF56F7">
          <w:rPr>
            <w:rFonts w:ascii="Open Sans" w:hAnsi="Open Sans" w:cs="Open Sans"/>
            <w:color w:val="0563C1" w:themeColor="hyperlink"/>
            <w:sz w:val="20"/>
            <w:szCs w:val="20"/>
            <w:u w:val="single"/>
            <w:shd w:val="clear" w:color="auto" w:fill="FFFFFF"/>
          </w:rPr>
          <w:t>https://www.cipd.co.uk/Images/8208-a-guide-to-tupe-transfers-web_tcm18-44310.pdf</w:t>
        </w:r>
      </w:hyperlink>
      <w:r w:rsidRPr="00FF56F7">
        <w:rPr>
          <w:rFonts w:ascii="Open Sans" w:hAnsi="Open Sans" w:cs="Open Sans"/>
          <w:color w:val="000000"/>
          <w:sz w:val="20"/>
          <w:szCs w:val="20"/>
          <w:shd w:val="clear" w:color="auto" w:fill="FFFFFF"/>
        </w:rPr>
        <w:t xml:space="preserve">  [Accessed 12 February 2022].</w:t>
      </w:r>
    </w:p>
    <w:p w14:paraId="6F48D075" w14:textId="77777777" w:rsidR="00FF56F7" w:rsidRPr="00FF56F7" w:rsidRDefault="00FF56F7" w:rsidP="00FF56F7">
      <w:pPr>
        <w:rPr>
          <w:rFonts w:ascii="Open Sans" w:hAnsi="Open Sans" w:cs="Open Sans"/>
          <w:color w:val="000000"/>
          <w:sz w:val="20"/>
          <w:szCs w:val="20"/>
          <w:shd w:val="clear" w:color="auto" w:fill="FFFFFF"/>
        </w:rPr>
      </w:pPr>
    </w:p>
    <w:p w14:paraId="5772193B"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(2022) Redundancy Cases | CIPD. [online] Available at: </w:t>
      </w:r>
      <w:hyperlink r:id="rId30" w:history="1">
        <w:r w:rsidRPr="00FF56F7">
          <w:rPr>
            <w:rFonts w:ascii="Open Sans" w:hAnsi="Open Sans" w:cs="Open Sans"/>
            <w:color w:val="0563C1" w:themeColor="hyperlink"/>
            <w:sz w:val="20"/>
            <w:szCs w:val="20"/>
            <w:u w:val="single"/>
            <w:shd w:val="clear" w:color="auto" w:fill="FFFFFF"/>
          </w:rPr>
          <w:t>https://www.cipd.co.uk/knowledge/fundamentals/emp-law/redundancy/cases</w:t>
        </w:r>
      </w:hyperlink>
      <w:r w:rsidRPr="00FF56F7">
        <w:rPr>
          <w:rFonts w:ascii="Open Sans" w:hAnsi="Open Sans" w:cs="Open Sans"/>
          <w:color w:val="000000"/>
          <w:sz w:val="20"/>
          <w:szCs w:val="20"/>
          <w:shd w:val="clear" w:color="auto" w:fill="FFFFFF"/>
        </w:rPr>
        <w:t xml:space="preserve">  [Accessed 19 February 2022].</w:t>
      </w:r>
    </w:p>
    <w:p w14:paraId="4F3EC8AB"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6A538F7"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(2022) TUPE Cases CIPD. [online] Available at: </w:t>
      </w:r>
      <w:hyperlink r:id="rId31" w:history="1">
        <w:r w:rsidRPr="00FF56F7">
          <w:rPr>
            <w:rFonts w:ascii="Open Sans" w:hAnsi="Open Sans" w:cs="Open Sans"/>
            <w:color w:val="0563C1" w:themeColor="hyperlink"/>
            <w:sz w:val="20"/>
            <w:szCs w:val="20"/>
            <w:u w:val="single"/>
            <w:shd w:val="clear" w:color="auto" w:fill="FFFFFF"/>
          </w:rPr>
          <w:t>https://www.cipd.co.uk/knowledge/fundamentals/emp-law/tupe/cases</w:t>
        </w:r>
      </w:hyperlink>
      <w:r w:rsidRPr="00FF56F7">
        <w:rPr>
          <w:rFonts w:ascii="Open Sans" w:hAnsi="Open Sans" w:cs="Open Sans"/>
          <w:color w:val="000000"/>
          <w:sz w:val="20"/>
          <w:szCs w:val="20"/>
          <w:shd w:val="clear" w:color="auto" w:fill="FFFFFF"/>
        </w:rPr>
        <w:t xml:space="preserve">  [Accessed 12 February 2022].</w:t>
      </w:r>
    </w:p>
    <w:p w14:paraId="7B872455" w14:textId="77777777" w:rsidR="00FF56F7" w:rsidRPr="00FF56F7" w:rsidRDefault="00FF56F7" w:rsidP="00FF56F7">
      <w:pPr>
        <w:rPr>
          <w:rFonts w:ascii="Open Sans" w:hAnsi="Open Sans" w:cs="Open Sans"/>
          <w:color w:val="000000"/>
          <w:sz w:val="20"/>
          <w:szCs w:val="20"/>
          <w:shd w:val="clear" w:color="auto" w:fill="FFFFFF"/>
        </w:rPr>
      </w:pPr>
    </w:p>
    <w:p w14:paraId="0A89D176"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lastRenderedPageBreak/>
        <w:t>CIPD (20</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January 2020) What is ‘SOSR’ dismissal and when should it be used? [online] Available at: </w:t>
      </w:r>
      <w:hyperlink r:id="rId32" w:history="1">
        <w:r w:rsidRPr="00FF56F7">
          <w:rPr>
            <w:rFonts w:ascii="Open Sans" w:hAnsi="Open Sans" w:cs="Open Sans"/>
            <w:color w:val="0563C1" w:themeColor="hyperlink"/>
            <w:sz w:val="20"/>
            <w:szCs w:val="20"/>
            <w:u w:val="single"/>
            <w:shd w:val="clear" w:color="auto" w:fill="FFFFFF"/>
          </w:rPr>
          <w:t>https://peopleskillshub.cipd.co.uk/blogs/what-sosr-dismissal</w:t>
        </w:r>
      </w:hyperlink>
      <w:r w:rsidRPr="00FF56F7">
        <w:rPr>
          <w:rFonts w:ascii="Open Sans" w:hAnsi="Open Sans" w:cs="Open Sans"/>
          <w:color w:val="000000"/>
          <w:sz w:val="20"/>
          <w:szCs w:val="20"/>
          <w:shd w:val="clear" w:color="auto" w:fill="FFFFFF"/>
        </w:rPr>
        <w:t xml:space="preserve">  [Accessed 21 February 2022].</w:t>
      </w:r>
    </w:p>
    <w:p w14:paraId="643543A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CIPD (23 August 2021) 'Fire and rehire' - guidance for employers | CIPD. [online] Available at: </w:t>
      </w:r>
      <w:hyperlink r:id="rId33" w:history="1">
        <w:r w:rsidRPr="00FF56F7">
          <w:rPr>
            <w:rFonts w:ascii="Open Sans" w:hAnsi="Open Sans" w:cs="Open Sans"/>
            <w:color w:val="0563C1" w:themeColor="hyperlink"/>
            <w:sz w:val="20"/>
            <w:szCs w:val="20"/>
            <w:u w:val="single"/>
            <w:shd w:val="clear" w:color="auto" w:fill="FFFFFF"/>
          </w:rPr>
          <w:t>https://www.cipd.co.uk/knowledge/fundamentals/emp-law/terms-conditions/fire-rehire-employer-guidance#gref</w:t>
        </w:r>
      </w:hyperlink>
      <w:r w:rsidRPr="00FF56F7">
        <w:rPr>
          <w:rFonts w:ascii="Open Sans" w:hAnsi="Open Sans" w:cs="Open Sans"/>
          <w:color w:val="000000"/>
          <w:sz w:val="20"/>
          <w:szCs w:val="20"/>
          <w:shd w:val="clear" w:color="auto" w:fill="FFFFFF"/>
        </w:rPr>
        <w:t xml:space="preserve">  [Accessed 19 February 2022].</w:t>
      </w:r>
    </w:p>
    <w:p w14:paraId="6A7148D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17034A0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CIPD (6</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August 2021) Dismissal Procedures | Factsheets | CIPD. [online] Available at: </w:t>
      </w:r>
      <w:hyperlink r:id="rId34" w:history="1">
        <w:r w:rsidRPr="00FF56F7">
          <w:rPr>
            <w:rFonts w:ascii="Open Sans" w:hAnsi="Open Sans" w:cs="Open Sans"/>
            <w:color w:val="0563C1" w:themeColor="hyperlink"/>
            <w:sz w:val="20"/>
            <w:szCs w:val="20"/>
            <w:u w:val="single"/>
            <w:shd w:val="clear" w:color="auto" w:fill="FFFFFF"/>
          </w:rPr>
          <w:t>https://www.cipd.co.uk/knowledge/fundamentals/emp-law/dismissal/factsheet</w:t>
        </w:r>
      </w:hyperlink>
      <w:r w:rsidRPr="00FF56F7">
        <w:rPr>
          <w:rFonts w:ascii="Open Sans" w:hAnsi="Open Sans" w:cs="Open Sans"/>
          <w:color w:val="000000"/>
          <w:sz w:val="20"/>
          <w:szCs w:val="20"/>
          <w:shd w:val="clear" w:color="auto" w:fill="FFFFFF"/>
        </w:rPr>
        <w:t xml:space="preserve">  [Accessed 21 February 2022].</w:t>
      </w:r>
    </w:p>
    <w:p w14:paraId="743BA8AF"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2FC33FFB"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Clarke, M (3</w:t>
      </w:r>
      <w:r w:rsidRPr="00FF56F7">
        <w:rPr>
          <w:rFonts w:ascii="Open Sans" w:hAnsi="Open Sans" w:cs="Open Sans"/>
          <w:color w:val="000000"/>
          <w:sz w:val="20"/>
          <w:szCs w:val="20"/>
          <w:shd w:val="clear" w:color="auto" w:fill="FFFFFF"/>
          <w:vertAlign w:val="superscript"/>
        </w:rPr>
        <w:t>rd</w:t>
      </w:r>
      <w:r w:rsidRPr="00FF56F7">
        <w:rPr>
          <w:rFonts w:ascii="Open Sans" w:hAnsi="Open Sans" w:cs="Open Sans"/>
          <w:color w:val="000000"/>
          <w:sz w:val="20"/>
          <w:szCs w:val="20"/>
          <w:shd w:val="clear" w:color="auto" w:fill="FFFFFF"/>
        </w:rPr>
        <w:t xml:space="preserve"> April 2012) Case of the week: Eddie Stobart Ltd v Moreman and others. [online] Personnel Today. Available at: </w:t>
      </w:r>
      <w:hyperlink r:id="rId35" w:history="1">
        <w:r w:rsidRPr="00FF56F7">
          <w:rPr>
            <w:rFonts w:ascii="Open Sans" w:hAnsi="Open Sans" w:cs="Open Sans"/>
            <w:color w:val="0563C1" w:themeColor="hyperlink"/>
            <w:sz w:val="20"/>
            <w:szCs w:val="20"/>
            <w:u w:val="single"/>
            <w:shd w:val="clear" w:color="auto" w:fill="FFFFFF"/>
          </w:rPr>
          <w:t>https://www.personneltoday.com/hr/case-of-the-week-eddie-stobart-ltd-v-moreman-and-others/</w:t>
        </w:r>
      </w:hyperlink>
      <w:r w:rsidRPr="00FF56F7">
        <w:rPr>
          <w:rFonts w:ascii="Open Sans" w:hAnsi="Open Sans" w:cs="Open Sans"/>
          <w:color w:val="000000"/>
          <w:sz w:val="20"/>
          <w:szCs w:val="20"/>
          <w:shd w:val="clear" w:color="auto" w:fill="FFFFFF"/>
        </w:rPr>
        <w:t xml:space="preserve">  [Accessed 12 February 2022].</w:t>
      </w:r>
    </w:p>
    <w:p w14:paraId="707A4424" w14:textId="77777777" w:rsidR="00FF56F7" w:rsidRPr="00FF56F7" w:rsidRDefault="00FF56F7" w:rsidP="00FF56F7">
      <w:pPr>
        <w:rPr>
          <w:rFonts w:ascii="Open Sans" w:hAnsi="Open Sans" w:cs="Open Sans"/>
          <w:color w:val="000000"/>
          <w:sz w:val="20"/>
          <w:szCs w:val="20"/>
          <w:shd w:val="clear" w:color="auto" w:fill="FFFFFF"/>
        </w:rPr>
      </w:pPr>
    </w:p>
    <w:p w14:paraId="1D950F9E"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Davidsonmorris.com (3</w:t>
      </w:r>
      <w:r w:rsidRPr="00FF56F7">
        <w:rPr>
          <w:rFonts w:ascii="Open Sans" w:hAnsi="Open Sans" w:cs="Open Sans"/>
          <w:color w:val="000000"/>
          <w:sz w:val="20"/>
          <w:szCs w:val="20"/>
          <w:shd w:val="clear" w:color="auto" w:fill="FFFFFF"/>
          <w:vertAlign w:val="superscript"/>
        </w:rPr>
        <w:t>rd</w:t>
      </w:r>
      <w:r w:rsidRPr="00FF56F7">
        <w:rPr>
          <w:rFonts w:ascii="Open Sans" w:hAnsi="Open Sans" w:cs="Open Sans"/>
          <w:color w:val="000000"/>
          <w:sz w:val="20"/>
          <w:szCs w:val="20"/>
          <w:shd w:val="clear" w:color="auto" w:fill="FFFFFF"/>
        </w:rPr>
        <w:t xml:space="preserve"> June 2021) When does TUPE not apply? [online] Available at: </w:t>
      </w:r>
      <w:hyperlink r:id="rId36" w:history="1">
        <w:r w:rsidRPr="00FF56F7">
          <w:rPr>
            <w:rFonts w:ascii="Open Sans" w:hAnsi="Open Sans" w:cs="Open Sans"/>
            <w:color w:val="0563C1" w:themeColor="hyperlink"/>
            <w:sz w:val="20"/>
            <w:szCs w:val="20"/>
            <w:u w:val="single"/>
            <w:shd w:val="clear" w:color="auto" w:fill="FFFFFF"/>
          </w:rPr>
          <w:t>https://www.davidsonmorris.com/when-does-tupe-not-apply/</w:t>
        </w:r>
      </w:hyperlink>
      <w:r w:rsidRPr="00FF56F7">
        <w:rPr>
          <w:rFonts w:ascii="Open Sans" w:hAnsi="Open Sans" w:cs="Open Sans"/>
          <w:color w:val="000000"/>
          <w:sz w:val="20"/>
          <w:szCs w:val="20"/>
          <w:shd w:val="clear" w:color="auto" w:fill="FFFFFF"/>
        </w:rPr>
        <w:t xml:space="preserve">  [Accessed 12 February 2022].</w:t>
      </w:r>
    </w:p>
    <w:p w14:paraId="7A84E1A8" w14:textId="77777777" w:rsidR="00FF56F7" w:rsidRPr="00FF56F7" w:rsidRDefault="00FF56F7" w:rsidP="00FF56F7">
      <w:pPr>
        <w:rPr>
          <w:rFonts w:ascii="Open Sans" w:hAnsi="Open Sans" w:cs="Open Sans"/>
          <w:color w:val="000000"/>
          <w:sz w:val="20"/>
          <w:szCs w:val="20"/>
          <w:shd w:val="clear" w:color="auto" w:fill="FFFFFF"/>
        </w:rPr>
      </w:pPr>
    </w:p>
    <w:p w14:paraId="56D1F24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Elliott. J (2022) </w:t>
      </w:r>
      <w:r w:rsidRPr="00FF56F7">
        <w:rPr>
          <w:rFonts w:ascii="Open Sans" w:hAnsi="Open Sans" w:cs="Open Sans"/>
          <w:i/>
          <w:iCs/>
          <w:color w:val="000000"/>
          <w:sz w:val="20"/>
          <w:szCs w:val="20"/>
          <w:shd w:val="clear" w:color="auto" w:fill="FFFFFF"/>
        </w:rPr>
        <w:t>USDAW v Tesco Stores Ltd [2022]</w:t>
      </w:r>
      <w:r w:rsidRPr="00FF56F7">
        <w:rPr>
          <w:rFonts w:ascii="Open Sans" w:hAnsi="Open Sans" w:cs="Open Sans"/>
          <w:color w:val="000000"/>
          <w:sz w:val="20"/>
          <w:szCs w:val="20"/>
          <w:shd w:val="clear" w:color="auto" w:fill="FFFFFF"/>
        </w:rPr>
        <w:t xml:space="preserve">. [online] Available at: </w:t>
      </w:r>
      <w:hyperlink r:id="rId37" w:history="1">
        <w:r w:rsidRPr="00FF56F7">
          <w:rPr>
            <w:rFonts w:ascii="Open Sans" w:hAnsi="Open Sans" w:cs="Open Sans"/>
            <w:color w:val="0563C1" w:themeColor="hyperlink"/>
            <w:sz w:val="20"/>
            <w:szCs w:val="20"/>
            <w:u w:val="single"/>
            <w:shd w:val="clear" w:color="auto" w:fill="FFFFFF"/>
          </w:rPr>
          <w:t>https://www.legal-island.com/articles/uk/case-law/2022/february/usdaw-v-tesco-stores-ltd-2022/</w:t>
        </w:r>
      </w:hyperlink>
      <w:r w:rsidRPr="00FF56F7">
        <w:rPr>
          <w:rFonts w:ascii="Open Sans" w:hAnsi="Open Sans" w:cs="Open Sans"/>
          <w:color w:val="000000"/>
          <w:sz w:val="20"/>
          <w:szCs w:val="20"/>
          <w:shd w:val="clear" w:color="auto" w:fill="FFFFFF"/>
        </w:rPr>
        <w:t xml:space="preserve">  [Accessed 21 February 2022].</w:t>
      </w:r>
    </w:p>
    <w:p w14:paraId="4F4763C8"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00CBC408"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Emplaw.co.uk. (2022) Gwynedd Council v Barratt &amp; Anor [2021] EWCA Civ 1322 | Emplaw. [online] Available at: </w:t>
      </w:r>
      <w:hyperlink r:id="rId38" w:history="1">
        <w:r w:rsidRPr="00FF56F7">
          <w:rPr>
            <w:rFonts w:ascii="Open Sans" w:hAnsi="Open Sans" w:cs="Open Sans"/>
            <w:color w:val="0563C1" w:themeColor="hyperlink"/>
            <w:sz w:val="20"/>
            <w:szCs w:val="20"/>
            <w:u w:val="single"/>
            <w:shd w:val="clear" w:color="auto" w:fill="FFFFFF"/>
          </w:rPr>
          <w:t>https://www.emplaw.co.uk/lawguide/gwynedd-council-v-barratt-anor-2021-ewca-civ-1322</w:t>
        </w:r>
      </w:hyperlink>
      <w:r w:rsidRPr="00FF56F7">
        <w:rPr>
          <w:rFonts w:ascii="Open Sans" w:hAnsi="Open Sans" w:cs="Open Sans"/>
          <w:color w:val="000000"/>
          <w:sz w:val="20"/>
          <w:szCs w:val="20"/>
          <w:shd w:val="clear" w:color="auto" w:fill="FFFFFF"/>
        </w:rPr>
        <w:t xml:space="preserve">  [Accessed 22 February 2022].</w:t>
      </w:r>
    </w:p>
    <w:p w14:paraId="242C084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4845529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Employment Cases Update (11</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February 2015) Employment Cases Update: Norman &amp; Anor v National Audit Office UKEAT/0276/14/BA. [online] Available at: </w:t>
      </w:r>
      <w:hyperlink r:id="rId39" w:history="1">
        <w:r w:rsidRPr="00FF56F7">
          <w:rPr>
            <w:rFonts w:ascii="Open Sans" w:hAnsi="Open Sans" w:cs="Open Sans"/>
            <w:color w:val="0563C1" w:themeColor="hyperlink"/>
            <w:sz w:val="20"/>
            <w:szCs w:val="20"/>
            <w:u w:val="single"/>
            <w:shd w:val="clear" w:color="auto" w:fill="FFFFFF"/>
          </w:rPr>
          <w:t>https://employmentcasesupdate.co.uk/content/norman-anor-v-national-audit-office-ukeat-0276-14-ba.a08456d1604c4ac4b31e6ce64a4ae1f1.htm</w:t>
        </w:r>
      </w:hyperlink>
      <w:r w:rsidRPr="00FF56F7">
        <w:rPr>
          <w:rFonts w:ascii="Open Sans" w:hAnsi="Open Sans" w:cs="Open Sans"/>
          <w:color w:val="000000"/>
          <w:sz w:val="20"/>
          <w:szCs w:val="20"/>
          <w:shd w:val="clear" w:color="auto" w:fill="FFFFFF"/>
        </w:rPr>
        <w:t xml:space="preserve">  [Accessed 22 February 2022].</w:t>
      </w:r>
    </w:p>
    <w:p w14:paraId="267D8FC8"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A01BAA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Employment Cases Update (12 January 2017) Employment Cases Update: Kellogg Brown &amp; Root (UK) Ltd v Fitton &amp; Anor UKEAT/0205/16/BA. [online] Available at: </w:t>
      </w:r>
      <w:hyperlink r:id="rId40" w:history="1">
        <w:r w:rsidRPr="00FF56F7">
          <w:rPr>
            <w:rFonts w:ascii="Open Sans" w:hAnsi="Open Sans" w:cs="Open Sans"/>
            <w:color w:val="0563C1" w:themeColor="hyperlink"/>
            <w:sz w:val="20"/>
            <w:szCs w:val="20"/>
            <w:u w:val="single"/>
            <w:shd w:val="clear" w:color="auto" w:fill="FFFFFF"/>
          </w:rPr>
          <w:t>https://employmentcasesupdate.co.uk/content/kellogg-brown-root-uk-ltd-v-fitton-anor-ukeat-0205-16-ba.ee569482a56846eebfeb2024777faf7f.htm#:~:text=Kellogg%20Brown%20%26%20Root%20%28UK%29%20Ltd%20v%20Fitton,appeal%20was%20dismissed%2C%20the%20redundancy%20appeal%20was%20allowed</w:t>
        </w:r>
      </w:hyperlink>
      <w:r w:rsidRPr="00FF56F7">
        <w:rPr>
          <w:rFonts w:ascii="Open Sans" w:hAnsi="Open Sans" w:cs="Open Sans"/>
          <w:color w:val="000000"/>
          <w:sz w:val="20"/>
          <w:szCs w:val="20"/>
          <w:shd w:val="clear" w:color="auto" w:fill="FFFFFF"/>
        </w:rPr>
        <w:t>.  [Accessed 22 February 2022].</w:t>
      </w:r>
    </w:p>
    <w:p w14:paraId="6F619D8F"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0EE6667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Employment Cases Update (12</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January 2017) </w:t>
      </w:r>
      <w:r w:rsidRPr="00FF56F7">
        <w:rPr>
          <w:rFonts w:ascii="Open Sans" w:hAnsi="Open Sans" w:cs="Open Sans"/>
          <w:i/>
          <w:iCs/>
          <w:color w:val="000000"/>
          <w:sz w:val="20"/>
          <w:szCs w:val="20"/>
          <w:shd w:val="clear" w:color="auto" w:fill="FFFFFF"/>
        </w:rPr>
        <w:t>Employment Cases Update: Kellogg Brown &amp; Root (UK) Ltd v Fitton &amp; Anor UKEAT/0205/16/BA</w:t>
      </w:r>
      <w:r w:rsidRPr="00FF56F7">
        <w:rPr>
          <w:rFonts w:ascii="Open Sans" w:hAnsi="Open Sans" w:cs="Open Sans"/>
          <w:color w:val="000000"/>
          <w:sz w:val="20"/>
          <w:szCs w:val="20"/>
          <w:shd w:val="clear" w:color="auto" w:fill="FFFFFF"/>
        </w:rPr>
        <w:t xml:space="preserve">. [online] Available at: </w:t>
      </w:r>
      <w:hyperlink r:id="rId41" w:history="1">
        <w:r w:rsidRPr="00FF56F7">
          <w:rPr>
            <w:rFonts w:ascii="Open Sans" w:hAnsi="Open Sans" w:cs="Open Sans"/>
            <w:color w:val="0563C1" w:themeColor="hyperlink"/>
            <w:sz w:val="20"/>
            <w:szCs w:val="20"/>
            <w:u w:val="single"/>
            <w:shd w:val="clear" w:color="auto" w:fill="FFFFFF"/>
          </w:rPr>
          <w:t>https://employmentcasesupdate.co.uk/content/kellogg-brown-root-uk-ltd-v-fitton-anor-ukeat-0205-16-ba.ee569482a56846eebfeb2024777faf7f.htm</w:t>
        </w:r>
      </w:hyperlink>
      <w:r w:rsidRPr="00FF56F7">
        <w:rPr>
          <w:rFonts w:ascii="Open Sans" w:hAnsi="Open Sans" w:cs="Open Sans"/>
          <w:color w:val="000000"/>
          <w:sz w:val="20"/>
          <w:szCs w:val="20"/>
          <w:shd w:val="clear" w:color="auto" w:fill="FFFFFF"/>
        </w:rPr>
        <w:t xml:space="preserve">  [Accessed 19 February 2022].</w:t>
      </w:r>
    </w:p>
    <w:p w14:paraId="37F4E1AE"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4882A7E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Employment Cases Update (14</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October 2010) Employment Cases Update: Pinewood Repro Ltd T/A County Print v Page UKEAT/0028/10/SM. [online] Available at: </w:t>
      </w:r>
      <w:hyperlink r:id="rId42" w:history="1">
        <w:r w:rsidRPr="00FF56F7">
          <w:rPr>
            <w:rFonts w:ascii="Open Sans" w:hAnsi="Open Sans" w:cs="Open Sans"/>
            <w:color w:val="0563C1" w:themeColor="hyperlink"/>
            <w:sz w:val="20"/>
            <w:szCs w:val="20"/>
            <w:u w:val="single"/>
            <w:shd w:val="clear" w:color="auto" w:fill="FFFFFF"/>
          </w:rPr>
          <w:t>https://employmentcasesupdate.co.uk/content/pinewood-repro-ltd-t-a-county-print-v-page-ukeat-0028-10-sm.766845fd49694002b904d5d55f0b3987.htm</w:t>
        </w:r>
      </w:hyperlink>
      <w:r w:rsidRPr="00FF56F7">
        <w:rPr>
          <w:rFonts w:ascii="Open Sans" w:hAnsi="Open Sans" w:cs="Open Sans"/>
          <w:color w:val="000000"/>
          <w:sz w:val="20"/>
          <w:szCs w:val="20"/>
          <w:shd w:val="clear" w:color="auto" w:fill="FFFFFF"/>
        </w:rPr>
        <w:t xml:space="preserve">  [Accessed 22 February 2022].</w:t>
      </w:r>
    </w:p>
    <w:p w14:paraId="576F2A2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5EB0AB4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Employment Cases Update (15</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March 2013) Employment Cases Update: Kavanagh &amp; Ors v Crystal Palace FC (2000) Ltd &amp; Ors UKEAT/0354/12/SM. [online] Available at: </w:t>
      </w:r>
      <w:hyperlink r:id="rId43" w:history="1">
        <w:r w:rsidRPr="00FF56F7">
          <w:rPr>
            <w:rFonts w:ascii="Open Sans" w:hAnsi="Open Sans" w:cs="Open Sans"/>
            <w:color w:val="0563C1" w:themeColor="hyperlink"/>
            <w:sz w:val="20"/>
            <w:szCs w:val="20"/>
            <w:u w:val="single"/>
            <w:shd w:val="clear" w:color="auto" w:fill="FFFFFF"/>
          </w:rPr>
          <w:t>https://employmentcasesupdate.co.uk/content/kavanagh-ors-v-crystal-palace-fc-2000-ltd-ors-ukeat-0354-12-sm.47a67e0575ee45c790d139683a46c462.htm</w:t>
        </w:r>
      </w:hyperlink>
      <w:r w:rsidRPr="00FF56F7">
        <w:rPr>
          <w:rFonts w:ascii="Open Sans" w:hAnsi="Open Sans" w:cs="Open Sans"/>
          <w:color w:val="000000"/>
          <w:sz w:val="20"/>
          <w:szCs w:val="20"/>
          <w:shd w:val="clear" w:color="auto" w:fill="FFFFFF"/>
        </w:rPr>
        <w:t xml:space="preserve">  [Accessed 22 February 2022].</w:t>
      </w:r>
    </w:p>
    <w:p w14:paraId="3AA69FF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Employment Cases Update (30</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March 2017) Employment Cases Update: Born London Ltd v Spire Production Services Ltd UKEAT/0255/16/LA. [online] Available at: </w:t>
      </w:r>
      <w:hyperlink r:id="rId44" w:history="1">
        <w:r w:rsidRPr="00FF56F7">
          <w:rPr>
            <w:rFonts w:ascii="Open Sans" w:hAnsi="Open Sans" w:cs="Open Sans"/>
            <w:color w:val="0563C1" w:themeColor="hyperlink"/>
            <w:sz w:val="20"/>
            <w:szCs w:val="20"/>
            <w:u w:val="single"/>
            <w:shd w:val="clear" w:color="auto" w:fill="FFFFFF"/>
          </w:rPr>
          <w:t>https://employmentcasesupdate.co.uk/content/born-london-ltd-v-spire-production-services-ltd-ukeat-0255-16-la.9658d9af7fdd4003b1d5120a542cbb75.htm</w:t>
        </w:r>
      </w:hyperlink>
      <w:r w:rsidRPr="00FF56F7">
        <w:rPr>
          <w:rFonts w:ascii="Open Sans" w:hAnsi="Open Sans" w:cs="Open Sans"/>
          <w:color w:val="000000"/>
          <w:sz w:val="20"/>
          <w:szCs w:val="20"/>
          <w:shd w:val="clear" w:color="auto" w:fill="FFFFFF"/>
        </w:rPr>
        <w:t xml:space="preserve">  [Accessed 22 February 2022].</w:t>
      </w:r>
    </w:p>
    <w:p w14:paraId="2553F89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21755AC1"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Glacken, S. (21 March 2018) What’s new in TUPE case law?. [online] People Management. Available at: </w:t>
      </w:r>
      <w:hyperlink r:id="rId45" w:history="1">
        <w:r w:rsidRPr="00FF56F7">
          <w:rPr>
            <w:rFonts w:ascii="Open Sans" w:hAnsi="Open Sans" w:cs="Open Sans"/>
            <w:color w:val="0563C1" w:themeColor="hyperlink"/>
            <w:sz w:val="20"/>
            <w:szCs w:val="20"/>
            <w:u w:val="single"/>
            <w:shd w:val="clear" w:color="auto" w:fill="FFFFFF"/>
          </w:rPr>
          <w:t>https://www.peoplemanagement.co.uk/experts/legal/new-in-tupe-case-law#gref</w:t>
        </w:r>
      </w:hyperlink>
      <w:r w:rsidRPr="00FF56F7">
        <w:rPr>
          <w:rFonts w:ascii="Open Sans" w:hAnsi="Open Sans" w:cs="Open Sans"/>
          <w:color w:val="000000"/>
          <w:sz w:val="20"/>
          <w:szCs w:val="20"/>
          <w:shd w:val="clear" w:color="auto" w:fill="FFFFFF"/>
        </w:rPr>
        <w:t xml:space="preserve">  [Accessed 12 February 2022].</w:t>
      </w:r>
    </w:p>
    <w:p w14:paraId="2E276F0A" w14:textId="77777777" w:rsidR="00FF56F7" w:rsidRPr="00FF56F7" w:rsidRDefault="00FF56F7" w:rsidP="00FF56F7">
      <w:pPr>
        <w:rPr>
          <w:rFonts w:ascii="Open Sans" w:hAnsi="Open Sans" w:cs="Open Sans"/>
          <w:color w:val="000000"/>
          <w:sz w:val="20"/>
          <w:szCs w:val="20"/>
          <w:shd w:val="clear" w:color="auto" w:fill="FFFFFF"/>
        </w:rPr>
      </w:pPr>
    </w:p>
    <w:p w14:paraId="39DB8CB4"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Gregory, C. (7</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March 2011) Case of the week: Morgan v Network Europe Group Ltd. [online] Personnel Today. Available at: </w:t>
      </w:r>
      <w:hyperlink r:id="rId46" w:history="1">
        <w:r w:rsidRPr="00FF56F7">
          <w:rPr>
            <w:rFonts w:ascii="Open Sans" w:hAnsi="Open Sans" w:cs="Open Sans"/>
            <w:color w:val="0563C1" w:themeColor="hyperlink"/>
            <w:sz w:val="20"/>
            <w:szCs w:val="20"/>
            <w:u w:val="single"/>
            <w:shd w:val="clear" w:color="auto" w:fill="FFFFFF"/>
          </w:rPr>
          <w:t>https://www.personneltoday.com/hr/case-of-the-week-morgan-v-network-europe-group-ltd/</w:t>
        </w:r>
      </w:hyperlink>
      <w:r w:rsidRPr="00FF56F7">
        <w:rPr>
          <w:rFonts w:ascii="Open Sans" w:hAnsi="Open Sans" w:cs="Open Sans"/>
          <w:color w:val="000000"/>
          <w:sz w:val="20"/>
          <w:szCs w:val="20"/>
          <w:shd w:val="clear" w:color="auto" w:fill="FFFFFF"/>
        </w:rPr>
        <w:t xml:space="preserve">  [Accessed 19 February 2022].</w:t>
      </w:r>
    </w:p>
    <w:p w14:paraId="36B1A67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584BEB3C"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Howlett, E. (28</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July 2020) Redundancy FAQs: how to run a fair process. [online] People Management. Available at: </w:t>
      </w:r>
      <w:hyperlink r:id="rId47" w:history="1">
        <w:r w:rsidRPr="00FF56F7">
          <w:rPr>
            <w:rFonts w:ascii="Open Sans" w:hAnsi="Open Sans" w:cs="Open Sans"/>
            <w:color w:val="0563C1" w:themeColor="hyperlink"/>
            <w:sz w:val="20"/>
            <w:szCs w:val="20"/>
            <w:u w:val="single"/>
            <w:shd w:val="clear" w:color="auto" w:fill="FFFFFF"/>
          </w:rPr>
          <w:t>https://www.peoplemanagement.co.uk/experts/advice/redundancy-faqs-how-to-run-a-fair-process</w:t>
        </w:r>
      </w:hyperlink>
      <w:r w:rsidRPr="00FF56F7">
        <w:rPr>
          <w:rFonts w:ascii="Open Sans" w:hAnsi="Open Sans" w:cs="Open Sans"/>
          <w:color w:val="000000"/>
          <w:sz w:val="20"/>
          <w:szCs w:val="20"/>
          <w:shd w:val="clear" w:color="auto" w:fill="FFFFFF"/>
        </w:rPr>
        <w:t xml:space="preserve">  [Accessed 19 February 2022].</w:t>
      </w:r>
    </w:p>
    <w:p w14:paraId="738C4BF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84C180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Jupe, J. (29</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May 2013) Kavanagh v Crystal Palace | TUPE. [online] TUPE - Jeffrey Jupp's TUPE resource. Available at: </w:t>
      </w:r>
      <w:hyperlink r:id="rId48" w:history="1">
        <w:r w:rsidRPr="00FF56F7">
          <w:rPr>
            <w:rFonts w:ascii="Open Sans" w:hAnsi="Open Sans" w:cs="Open Sans"/>
            <w:color w:val="0563C1" w:themeColor="hyperlink"/>
            <w:sz w:val="20"/>
            <w:szCs w:val="20"/>
            <w:u w:val="single"/>
            <w:shd w:val="clear" w:color="auto" w:fill="FFFFFF"/>
          </w:rPr>
          <w:t>http://tupe.uk.net/regulation-07/kavanagh-v-crystal-palace-fc-2000-ltd-eat/</w:t>
        </w:r>
      </w:hyperlink>
      <w:r w:rsidRPr="00FF56F7">
        <w:rPr>
          <w:rFonts w:ascii="Open Sans" w:hAnsi="Open Sans" w:cs="Open Sans"/>
          <w:color w:val="000000"/>
          <w:sz w:val="20"/>
          <w:szCs w:val="20"/>
          <w:shd w:val="clear" w:color="auto" w:fill="FFFFFF"/>
        </w:rPr>
        <w:t xml:space="preserve">  [Accessed 19 February 2022].</w:t>
      </w:r>
    </w:p>
    <w:p w14:paraId="4A42ACC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7AEACE71"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Legislation.gov.uk (2022) Pensions Act 2008. [online] Available at: </w:t>
      </w:r>
      <w:hyperlink r:id="rId49" w:history="1">
        <w:r w:rsidRPr="00FF56F7">
          <w:rPr>
            <w:rFonts w:ascii="Open Sans" w:hAnsi="Open Sans" w:cs="Open Sans"/>
            <w:color w:val="0563C1" w:themeColor="hyperlink"/>
            <w:sz w:val="20"/>
            <w:szCs w:val="20"/>
            <w:u w:val="single"/>
            <w:shd w:val="clear" w:color="auto" w:fill="FFFFFF"/>
          </w:rPr>
          <w:t>https://www.legislation.gov.uk/ukpga/2008/30/part/1/chapter/1</w:t>
        </w:r>
      </w:hyperlink>
      <w:r w:rsidRPr="00FF56F7">
        <w:rPr>
          <w:rFonts w:ascii="Open Sans" w:hAnsi="Open Sans" w:cs="Open Sans"/>
          <w:color w:val="000000"/>
          <w:sz w:val="20"/>
          <w:szCs w:val="20"/>
          <w:shd w:val="clear" w:color="auto" w:fill="FFFFFF"/>
        </w:rPr>
        <w:t xml:space="preserve">  [Accessed 19 February 2022].</w:t>
      </w:r>
    </w:p>
    <w:p w14:paraId="1CFEACD4"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71390A85"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Legislation.gov.uk (2022) The Transfer of Undertakings (Protection of Employment) Regulations 2006. [online] Available at: </w:t>
      </w:r>
      <w:hyperlink r:id="rId50" w:history="1">
        <w:r w:rsidRPr="00FF56F7">
          <w:rPr>
            <w:rFonts w:ascii="Open Sans" w:hAnsi="Open Sans" w:cs="Open Sans"/>
            <w:color w:val="0563C1" w:themeColor="hyperlink"/>
            <w:sz w:val="20"/>
            <w:szCs w:val="20"/>
            <w:u w:val="single"/>
            <w:shd w:val="clear" w:color="auto" w:fill="FFFFFF"/>
          </w:rPr>
          <w:t>https://www.legislation.gov.uk/uksi/2006/246/contents/made</w:t>
        </w:r>
      </w:hyperlink>
      <w:r w:rsidRPr="00FF56F7">
        <w:rPr>
          <w:rFonts w:ascii="Open Sans" w:hAnsi="Open Sans" w:cs="Open Sans"/>
          <w:color w:val="000000"/>
          <w:sz w:val="20"/>
          <w:szCs w:val="20"/>
          <w:shd w:val="clear" w:color="auto" w:fill="FFFFFF"/>
        </w:rPr>
        <w:t xml:space="preserve"> [Accessed 12 February 2022].</w:t>
      </w:r>
    </w:p>
    <w:p w14:paraId="3455716D" w14:textId="77777777" w:rsidR="00FF56F7" w:rsidRPr="00FF56F7" w:rsidRDefault="00FF56F7" w:rsidP="00FF56F7">
      <w:pPr>
        <w:rPr>
          <w:rFonts w:ascii="Open Sans" w:hAnsi="Open Sans" w:cs="Open Sans"/>
          <w:color w:val="000000"/>
          <w:sz w:val="20"/>
          <w:szCs w:val="20"/>
          <w:shd w:val="clear" w:color="auto" w:fill="FFFFFF"/>
        </w:rPr>
      </w:pPr>
    </w:p>
    <w:p w14:paraId="4CED25A8"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Legislation.gov.uk. (2022) Employment Rights Act 1996. [online] Available at: </w:t>
      </w:r>
      <w:hyperlink r:id="rId51" w:history="1">
        <w:r w:rsidRPr="00FF56F7">
          <w:rPr>
            <w:rFonts w:ascii="Open Sans" w:hAnsi="Open Sans" w:cs="Open Sans"/>
            <w:color w:val="0563C1" w:themeColor="hyperlink"/>
            <w:sz w:val="20"/>
            <w:szCs w:val="20"/>
            <w:u w:val="single"/>
            <w:shd w:val="clear" w:color="auto" w:fill="FFFFFF"/>
          </w:rPr>
          <w:t>https://www.legislation.gov.uk/ukpga/1996/18/section/23</w:t>
        </w:r>
      </w:hyperlink>
      <w:r w:rsidRPr="00FF56F7">
        <w:rPr>
          <w:rFonts w:ascii="Open Sans" w:hAnsi="Open Sans" w:cs="Open Sans"/>
          <w:color w:val="000000"/>
          <w:sz w:val="20"/>
          <w:szCs w:val="20"/>
          <w:shd w:val="clear" w:color="auto" w:fill="FFFFFF"/>
        </w:rPr>
        <w:t xml:space="preserve">  [Accessed 13 February 2022].</w:t>
      </w:r>
    </w:p>
    <w:p w14:paraId="40CA8DAD" w14:textId="77777777" w:rsidR="00FF56F7" w:rsidRPr="00FF56F7" w:rsidRDefault="00FF56F7" w:rsidP="00FF56F7">
      <w:pPr>
        <w:rPr>
          <w:rFonts w:ascii="Open Sans" w:hAnsi="Open Sans" w:cs="Open Sans"/>
          <w:color w:val="000000"/>
          <w:sz w:val="20"/>
          <w:szCs w:val="20"/>
          <w:shd w:val="clear" w:color="auto" w:fill="FFFFFF"/>
        </w:rPr>
      </w:pPr>
    </w:p>
    <w:p w14:paraId="35A9F20D"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Legislation.gov.uk. (2022) Employment Rights Act 1996. [online] Available at: </w:t>
      </w:r>
      <w:hyperlink r:id="rId52" w:history="1">
        <w:r w:rsidRPr="00FF56F7">
          <w:rPr>
            <w:rFonts w:ascii="Open Sans" w:hAnsi="Open Sans" w:cs="Open Sans"/>
            <w:color w:val="0563C1" w:themeColor="hyperlink"/>
            <w:sz w:val="20"/>
            <w:szCs w:val="20"/>
            <w:u w:val="single"/>
            <w:shd w:val="clear" w:color="auto" w:fill="FFFFFF"/>
          </w:rPr>
          <w:t>https://www.legislation.gov.uk/ukpga/1996/18/section/139</w:t>
        </w:r>
      </w:hyperlink>
      <w:r w:rsidRPr="00FF56F7">
        <w:rPr>
          <w:rFonts w:ascii="Open Sans" w:hAnsi="Open Sans" w:cs="Open Sans"/>
          <w:color w:val="000000"/>
          <w:sz w:val="20"/>
          <w:szCs w:val="20"/>
          <w:shd w:val="clear" w:color="auto" w:fill="FFFFFF"/>
        </w:rPr>
        <w:t xml:space="preserve">  [Accessed 20 February 2022].</w:t>
      </w:r>
    </w:p>
    <w:p w14:paraId="53B7AC2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4853F5F6"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Manktelow, D. (5</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February 2021) Employer's Guide to Mobility Clauses | Croner. [online] Croner. Available at: </w:t>
      </w:r>
      <w:hyperlink r:id="rId53" w:history="1">
        <w:r w:rsidRPr="00FF56F7">
          <w:rPr>
            <w:rFonts w:ascii="Open Sans" w:hAnsi="Open Sans" w:cs="Open Sans"/>
            <w:color w:val="0563C1" w:themeColor="hyperlink"/>
            <w:sz w:val="20"/>
            <w:szCs w:val="20"/>
            <w:u w:val="single"/>
            <w:shd w:val="clear" w:color="auto" w:fill="FFFFFF"/>
          </w:rPr>
          <w:t>https://croner.co.uk/resources/contracts-documentation/mobility-clause/</w:t>
        </w:r>
      </w:hyperlink>
      <w:r w:rsidRPr="00FF56F7">
        <w:rPr>
          <w:rFonts w:ascii="Open Sans" w:hAnsi="Open Sans" w:cs="Open Sans"/>
          <w:color w:val="000000"/>
          <w:sz w:val="20"/>
          <w:szCs w:val="20"/>
          <w:shd w:val="clear" w:color="auto" w:fill="FFFFFF"/>
        </w:rPr>
        <w:t xml:space="preserve">  [Accessed 19 February 2022].</w:t>
      </w:r>
    </w:p>
    <w:p w14:paraId="580FB522"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DA4C03A"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Morris, A. (5</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April 2020) Mobility Clause (Advice for Employers). [online] Available at: </w:t>
      </w:r>
      <w:hyperlink r:id="rId54" w:history="1">
        <w:r w:rsidRPr="00FF56F7">
          <w:rPr>
            <w:rFonts w:ascii="Open Sans" w:hAnsi="Open Sans" w:cs="Open Sans"/>
            <w:color w:val="0563C1" w:themeColor="hyperlink"/>
            <w:sz w:val="20"/>
            <w:szCs w:val="20"/>
            <w:u w:val="single"/>
            <w:shd w:val="clear" w:color="auto" w:fill="FFFFFF"/>
          </w:rPr>
          <w:t>https://www.davidsonmorris.com/mobility-clause/</w:t>
        </w:r>
      </w:hyperlink>
      <w:r w:rsidRPr="00FF56F7">
        <w:rPr>
          <w:rFonts w:ascii="Open Sans" w:hAnsi="Open Sans" w:cs="Open Sans"/>
          <w:color w:val="000000"/>
          <w:sz w:val="20"/>
          <w:szCs w:val="20"/>
          <w:shd w:val="clear" w:color="auto" w:fill="FFFFFF"/>
        </w:rPr>
        <w:t xml:space="preserve">  [Accessed 19 February 2022].</w:t>
      </w:r>
    </w:p>
    <w:p w14:paraId="646F59F8"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1EDB6453"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Moseley, J. (8</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February 2022) The 10 most important employment law cases of 2021: part two. [online] People Management. Available at: </w:t>
      </w:r>
      <w:hyperlink r:id="rId55" w:history="1">
        <w:r w:rsidRPr="00FF56F7">
          <w:rPr>
            <w:rFonts w:ascii="Open Sans" w:hAnsi="Open Sans" w:cs="Open Sans"/>
            <w:color w:val="0563C1" w:themeColor="hyperlink"/>
            <w:sz w:val="20"/>
            <w:szCs w:val="20"/>
            <w:u w:val="single"/>
            <w:shd w:val="clear" w:color="auto" w:fill="FFFFFF"/>
          </w:rPr>
          <w:t>https://www.peoplemanagement.co.uk/experts/legal/10-most-important-employment-law-cases-2021-part-two</w:t>
        </w:r>
      </w:hyperlink>
      <w:r w:rsidRPr="00FF56F7">
        <w:rPr>
          <w:rFonts w:ascii="Open Sans" w:hAnsi="Open Sans" w:cs="Open Sans"/>
          <w:color w:val="000000"/>
          <w:sz w:val="20"/>
          <w:szCs w:val="20"/>
          <w:shd w:val="clear" w:color="auto" w:fill="FFFFFF"/>
        </w:rPr>
        <w:t xml:space="preserve">  [Accessed 19 February 2022].</w:t>
      </w:r>
    </w:p>
    <w:p w14:paraId="61A486D6"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7FD5B2E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Naughton, E. (28</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September 2017) When can a mobility clause be relied upon?. [online] People Management. Available at: </w:t>
      </w:r>
      <w:hyperlink r:id="rId56" w:history="1">
        <w:r w:rsidRPr="00FF56F7">
          <w:rPr>
            <w:rFonts w:ascii="Open Sans" w:hAnsi="Open Sans" w:cs="Open Sans"/>
            <w:color w:val="0563C1" w:themeColor="hyperlink"/>
            <w:sz w:val="20"/>
            <w:szCs w:val="20"/>
            <w:u w:val="single"/>
            <w:shd w:val="clear" w:color="auto" w:fill="FFFFFF"/>
          </w:rPr>
          <w:t>https://www.peoplemanagement.co.uk/experts/legal/mobility-clauses#gref</w:t>
        </w:r>
      </w:hyperlink>
      <w:r w:rsidRPr="00FF56F7">
        <w:rPr>
          <w:rFonts w:ascii="Open Sans" w:hAnsi="Open Sans" w:cs="Open Sans"/>
          <w:color w:val="000000"/>
          <w:sz w:val="20"/>
          <w:szCs w:val="20"/>
          <w:shd w:val="clear" w:color="auto" w:fill="FFFFFF"/>
        </w:rPr>
        <w:t xml:space="preserve">  [Accessed 19 February 2022].</w:t>
      </w:r>
    </w:p>
    <w:p w14:paraId="443D4F1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lastRenderedPageBreak/>
        <w:t xml:space="preserve">Personnel Today (12 April 2010) Case of the week - Bateman v Asda Stores. [online] Available at: </w:t>
      </w:r>
      <w:hyperlink r:id="rId57" w:history="1">
        <w:r w:rsidRPr="00FF56F7">
          <w:rPr>
            <w:rFonts w:ascii="Open Sans" w:hAnsi="Open Sans" w:cs="Open Sans"/>
            <w:color w:val="0563C1" w:themeColor="hyperlink"/>
            <w:sz w:val="20"/>
            <w:szCs w:val="20"/>
            <w:u w:val="single"/>
            <w:shd w:val="clear" w:color="auto" w:fill="FFFFFF"/>
          </w:rPr>
          <w:t>https://www.personneltoday.com/hr/case-of-the-week-bateman-v-asda-stores/</w:t>
        </w:r>
      </w:hyperlink>
      <w:r w:rsidRPr="00FF56F7">
        <w:rPr>
          <w:rFonts w:ascii="Open Sans" w:hAnsi="Open Sans" w:cs="Open Sans"/>
          <w:color w:val="000000"/>
          <w:sz w:val="20"/>
          <w:szCs w:val="20"/>
          <w:shd w:val="clear" w:color="auto" w:fill="FFFFFF"/>
        </w:rPr>
        <w:t xml:space="preserve">  [Accessed 20 February 2022].</w:t>
      </w:r>
    </w:p>
    <w:p w14:paraId="7F0FF2E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21E6880C"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Personnel Today (12 July 2006) Sweetin v Coral Racing. [online] Available at: </w:t>
      </w:r>
      <w:hyperlink r:id="rId58" w:history="1">
        <w:r w:rsidRPr="00FF56F7">
          <w:rPr>
            <w:rFonts w:ascii="Open Sans" w:hAnsi="Open Sans" w:cs="Open Sans"/>
            <w:color w:val="0563C1" w:themeColor="hyperlink"/>
            <w:sz w:val="20"/>
            <w:szCs w:val="20"/>
            <w:u w:val="single"/>
            <w:shd w:val="clear" w:color="auto" w:fill="FFFFFF"/>
          </w:rPr>
          <w:t>https://www.personneltoday.com/hr/sweetin-v-coral-racing/</w:t>
        </w:r>
      </w:hyperlink>
      <w:r w:rsidRPr="00FF56F7">
        <w:rPr>
          <w:rFonts w:ascii="Open Sans" w:hAnsi="Open Sans" w:cs="Open Sans"/>
          <w:color w:val="000000"/>
          <w:sz w:val="20"/>
          <w:szCs w:val="20"/>
          <w:shd w:val="clear" w:color="auto" w:fill="FFFFFF"/>
        </w:rPr>
        <w:t xml:space="preserve">  [Accessed 14 February 2022].</w:t>
      </w:r>
    </w:p>
    <w:p w14:paraId="23FDFF3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Personnel Today (20 August 2002) Employers left guessing about transfers and PRP. [online] Available at: </w:t>
      </w:r>
      <w:hyperlink r:id="rId59" w:history="1">
        <w:r w:rsidRPr="00FF56F7">
          <w:rPr>
            <w:rFonts w:ascii="Open Sans" w:hAnsi="Open Sans" w:cs="Open Sans"/>
            <w:color w:val="0563C1" w:themeColor="hyperlink"/>
            <w:sz w:val="20"/>
            <w:szCs w:val="20"/>
            <w:u w:val="single"/>
            <w:shd w:val="clear" w:color="auto" w:fill="FFFFFF"/>
          </w:rPr>
          <w:t>https://www.personneltoday.com/hr/employers-left-guessing-about-transfers-and-prp/</w:t>
        </w:r>
      </w:hyperlink>
      <w:r w:rsidRPr="00FF56F7">
        <w:rPr>
          <w:rFonts w:ascii="Open Sans" w:hAnsi="Open Sans" w:cs="Open Sans"/>
          <w:color w:val="000000"/>
          <w:sz w:val="20"/>
          <w:szCs w:val="20"/>
          <w:shd w:val="clear" w:color="auto" w:fill="FFFFFF"/>
        </w:rPr>
        <w:t xml:space="preserve">  [Accessed 17 February 2022].</w:t>
      </w:r>
    </w:p>
    <w:p w14:paraId="6234A61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18D39FC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Personnel Today (28</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March 2008) Case of the week: Varying contracts of employment. [online] Personnel Today. Available at: </w:t>
      </w:r>
      <w:hyperlink r:id="rId60" w:history="1">
        <w:r w:rsidRPr="00FF56F7">
          <w:rPr>
            <w:rFonts w:ascii="Open Sans" w:hAnsi="Open Sans" w:cs="Open Sans"/>
            <w:color w:val="0563C1" w:themeColor="hyperlink"/>
            <w:sz w:val="20"/>
            <w:szCs w:val="20"/>
            <w:u w:val="single"/>
            <w:shd w:val="clear" w:color="auto" w:fill="FFFFFF"/>
          </w:rPr>
          <w:t>https://www.personneltoday.com/hr/case-of-the-week-varying-contracts-of-employment/</w:t>
        </w:r>
      </w:hyperlink>
      <w:r w:rsidRPr="00FF56F7">
        <w:rPr>
          <w:rFonts w:ascii="Open Sans" w:hAnsi="Open Sans" w:cs="Open Sans"/>
          <w:color w:val="000000"/>
          <w:sz w:val="20"/>
          <w:szCs w:val="20"/>
          <w:shd w:val="clear" w:color="auto" w:fill="FFFFFF"/>
        </w:rPr>
        <w:t xml:space="preserve">  [Accessed 19 February 2022].</w:t>
      </w:r>
    </w:p>
    <w:p w14:paraId="09A5B20C"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34AC2989"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Personnel Today (3</w:t>
      </w:r>
      <w:r w:rsidRPr="00FF56F7">
        <w:rPr>
          <w:rFonts w:ascii="Open Sans" w:hAnsi="Open Sans" w:cs="Open Sans"/>
          <w:color w:val="000000"/>
          <w:sz w:val="20"/>
          <w:szCs w:val="20"/>
          <w:shd w:val="clear" w:color="auto" w:fill="FFFFFF"/>
          <w:vertAlign w:val="superscript"/>
        </w:rPr>
        <w:t>rd</w:t>
      </w:r>
      <w:r w:rsidRPr="00FF56F7">
        <w:rPr>
          <w:rFonts w:ascii="Open Sans" w:hAnsi="Open Sans" w:cs="Open Sans"/>
          <w:color w:val="000000"/>
          <w:sz w:val="20"/>
          <w:szCs w:val="20"/>
          <w:shd w:val="clear" w:color="auto" w:fill="FFFFFF"/>
        </w:rPr>
        <w:t xml:space="preserve"> December 2009) How to determine a redundancy pool. [online] Personnel Today. Available at: </w:t>
      </w:r>
      <w:hyperlink r:id="rId61" w:history="1">
        <w:r w:rsidRPr="00FF56F7">
          <w:rPr>
            <w:rFonts w:ascii="Open Sans" w:hAnsi="Open Sans" w:cs="Open Sans"/>
            <w:color w:val="0563C1" w:themeColor="hyperlink"/>
            <w:sz w:val="20"/>
            <w:szCs w:val="20"/>
            <w:u w:val="single"/>
            <w:shd w:val="clear" w:color="auto" w:fill="FFFFFF"/>
          </w:rPr>
          <w:t>https://www.personneltoday.com/hr/how-to-determine-a-redundancy-pool/</w:t>
        </w:r>
      </w:hyperlink>
      <w:r w:rsidRPr="00FF56F7">
        <w:rPr>
          <w:rFonts w:ascii="Open Sans" w:hAnsi="Open Sans" w:cs="Open Sans"/>
          <w:color w:val="000000"/>
          <w:sz w:val="20"/>
          <w:szCs w:val="20"/>
          <w:shd w:val="clear" w:color="auto" w:fill="FFFFFF"/>
        </w:rPr>
        <w:t xml:space="preserve">  [Accessed 20 February 2022].</w:t>
      </w:r>
    </w:p>
    <w:p w14:paraId="4BC248EE"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7774BC55" w14:textId="77777777" w:rsidR="00FF56F7" w:rsidRPr="00FF56F7" w:rsidRDefault="00FF56F7" w:rsidP="00FF56F7">
      <w:pPr>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Personnel Today, (7</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October 2013) TUPE and benefits: the danger of removing staff perks. [online] Personnel Today. Available at: </w:t>
      </w:r>
      <w:hyperlink r:id="rId62" w:history="1">
        <w:r w:rsidRPr="00FF56F7">
          <w:rPr>
            <w:rFonts w:ascii="Open Sans" w:hAnsi="Open Sans" w:cs="Open Sans"/>
            <w:color w:val="0563C1" w:themeColor="hyperlink"/>
            <w:sz w:val="20"/>
            <w:szCs w:val="20"/>
            <w:u w:val="single"/>
            <w:shd w:val="clear" w:color="auto" w:fill="FFFFFF"/>
          </w:rPr>
          <w:t>https://www.personneltoday.com/hr/tupe-and-benefits-the-danger-of-removing-staff-perks/</w:t>
        </w:r>
      </w:hyperlink>
      <w:r w:rsidRPr="00FF56F7">
        <w:rPr>
          <w:rFonts w:ascii="Open Sans" w:hAnsi="Open Sans" w:cs="Open Sans"/>
          <w:color w:val="000000"/>
          <w:sz w:val="20"/>
          <w:szCs w:val="20"/>
          <w:shd w:val="clear" w:color="auto" w:fill="FFFFFF"/>
        </w:rPr>
        <w:t xml:space="preserve"> [Accessed 12 February 2022].</w:t>
      </w:r>
    </w:p>
    <w:p w14:paraId="5469FBF8" w14:textId="77777777" w:rsidR="00FF56F7" w:rsidRPr="00FF56F7" w:rsidRDefault="00FF56F7" w:rsidP="00FF56F7">
      <w:pPr>
        <w:rPr>
          <w:rFonts w:ascii="Open Sans" w:hAnsi="Open Sans" w:cs="Open Sans"/>
          <w:color w:val="000000"/>
          <w:sz w:val="20"/>
          <w:szCs w:val="20"/>
          <w:shd w:val="clear" w:color="auto" w:fill="FFFFFF"/>
        </w:rPr>
      </w:pPr>
    </w:p>
    <w:p w14:paraId="00F432F0"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Powell. C (7</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February 2022) Supermarket blocked from using ‘fire and rehire’ by High Court. [online] Available at: </w:t>
      </w:r>
      <w:hyperlink r:id="rId63" w:history="1">
        <w:r w:rsidRPr="00FF56F7">
          <w:rPr>
            <w:rFonts w:ascii="Open Sans" w:hAnsi="Open Sans" w:cs="Open Sans"/>
            <w:color w:val="0563C1" w:themeColor="hyperlink"/>
            <w:sz w:val="20"/>
            <w:szCs w:val="20"/>
            <w:u w:val="single"/>
            <w:shd w:val="clear" w:color="auto" w:fill="FFFFFF"/>
          </w:rPr>
          <w:t>https://www.peoplemanagement.co.uk/news/articles/supermarket-blocked-using-fire-and-rehire-by-high-court</w:t>
        </w:r>
      </w:hyperlink>
      <w:r w:rsidRPr="00FF56F7">
        <w:rPr>
          <w:rFonts w:ascii="Open Sans" w:hAnsi="Open Sans" w:cs="Open Sans"/>
          <w:color w:val="000000"/>
          <w:sz w:val="20"/>
          <w:szCs w:val="20"/>
          <w:shd w:val="clear" w:color="auto" w:fill="FFFFFF"/>
        </w:rPr>
        <w:t xml:space="preserve">  [Accessed 21 February 2022].</w:t>
      </w:r>
    </w:p>
    <w:p w14:paraId="3352CC7F"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0A7BFD88"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Practical Law (17</w:t>
      </w:r>
      <w:r w:rsidRPr="00FF56F7">
        <w:rPr>
          <w:rFonts w:ascii="Open Sans" w:hAnsi="Open Sans" w:cs="Open Sans"/>
          <w:color w:val="000000"/>
          <w:sz w:val="20"/>
          <w:szCs w:val="20"/>
          <w:shd w:val="clear" w:color="auto" w:fill="FFFFFF"/>
          <w:vertAlign w:val="superscript"/>
        </w:rPr>
        <w:t>th</w:t>
      </w:r>
      <w:r w:rsidRPr="00FF56F7">
        <w:rPr>
          <w:rFonts w:ascii="Open Sans" w:hAnsi="Open Sans" w:cs="Open Sans"/>
          <w:color w:val="000000"/>
          <w:sz w:val="20"/>
          <w:szCs w:val="20"/>
          <w:shd w:val="clear" w:color="auto" w:fill="FFFFFF"/>
        </w:rPr>
        <w:t xml:space="preserve"> October 2008) Rolls-Royce Plc v Unite the Union [2008] EWHC 2420 (QB) (17 October 2008) | Practical Law. [online] Available at: </w:t>
      </w:r>
      <w:hyperlink r:id="rId64" w:history="1">
        <w:r w:rsidRPr="00FF56F7">
          <w:rPr>
            <w:rFonts w:ascii="Open Sans" w:hAnsi="Open Sans" w:cs="Open Sans"/>
            <w:color w:val="0563C1" w:themeColor="hyperlink"/>
            <w:sz w:val="20"/>
            <w:szCs w:val="20"/>
            <w:u w:val="single"/>
            <w:shd w:val="clear" w:color="auto" w:fill="FFFFFF"/>
          </w:rPr>
          <w:t>https://uk.practicallaw.thomsonreuters.com/D-000-3779?contextData=(sc.Default)&amp;transitionType=Default&amp;firstPage=true</w:t>
        </w:r>
      </w:hyperlink>
      <w:r w:rsidRPr="00FF56F7">
        <w:rPr>
          <w:rFonts w:ascii="Open Sans" w:hAnsi="Open Sans" w:cs="Open Sans"/>
          <w:color w:val="000000"/>
          <w:sz w:val="20"/>
          <w:szCs w:val="20"/>
          <w:shd w:val="clear" w:color="auto" w:fill="FFFFFF"/>
        </w:rPr>
        <w:t xml:space="preserve">  [Accessed 22 February 2022].</w:t>
      </w:r>
    </w:p>
    <w:p w14:paraId="51B9FDC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674948F7"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 xml:space="preserve">TUPE - Jeffrey Jupp's TUPE resource (2022) TUPE a barrister's website about TUPE. [online] Available at: </w:t>
      </w:r>
      <w:hyperlink r:id="rId65" w:history="1">
        <w:r w:rsidRPr="00FF56F7">
          <w:rPr>
            <w:rFonts w:ascii="Open Sans" w:hAnsi="Open Sans" w:cs="Open Sans"/>
            <w:color w:val="0563C1" w:themeColor="hyperlink"/>
            <w:sz w:val="20"/>
            <w:szCs w:val="20"/>
            <w:u w:val="single"/>
            <w:shd w:val="clear" w:color="auto" w:fill="FFFFFF"/>
          </w:rPr>
          <w:t>http://tupe.uk.net</w:t>
        </w:r>
      </w:hyperlink>
      <w:r w:rsidRPr="00FF56F7">
        <w:rPr>
          <w:rFonts w:ascii="Open Sans" w:hAnsi="Open Sans" w:cs="Open Sans"/>
          <w:color w:val="000000"/>
          <w:sz w:val="20"/>
          <w:szCs w:val="20"/>
          <w:shd w:val="clear" w:color="auto" w:fill="FFFFFF"/>
        </w:rPr>
        <w:t>/ [Accessed 19 February 2022].</w:t>
      </w:r>
    </w:p>
    <w:p w14:paraId="01811E86"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p>
    <w:p w14:paraId="517CB8A5" w14:textId="77777777" w:rsidR="00FF56F7" w:rsidRPr="00FF56F7" w:rsidRDefault="00FF56F7" w:rsidP="00FF56F7">
      <w:pPr>
        <w:shd w:val="clear" w:color="auto" w:fill="FFFFFF" w:themeFill="background1"/>
        <w:rPr>
          <w:rFonts w:ascii="Open Sans" w:hAnsi="Open Sans" w:cs="Open Sans"/>
          <w:color w:val="000000"/>
          <w:sz w:val="20"/>
          <w:szCs w:val="20"/>
          <w:shd w:val="clear" w:color="auto" w:fill="FFFFFF"/>
        </w:rPr>
      </w:pPr>
      <w:r w:rsidRPr="00FF56F7">
        <w:rPr>
          <w:rFonts w:ascii="Open Sans" w:hAnsi="Open Sans" w:cs="Open Sans"/>
          <w:color w:val="000000"/>
          <w:sz w:val="20"/>
          <w:szCs w:val="20"/>
          <w:shd w:val="clear" w:color="auto" w:fill="FFFFFF"/>
        </w:rPr>
        <w:t>Wynn-Evans, C. (2</w:t>
      </w:r>
      <w:r w:rsidRPr="00FF56F7">
        <w:rPr>
          <w:rFonts w:ascii="Open Sans" w:hAnsi="Open Sans" w:cs="Open Sans"/>
          <w:color w:val="000000"/>
          <w:sz w:val="20"/>
          <w:szCs w:val="20"/>
          <w:shd w:val="clear" w:color="auto" w:fill="FFFFFF"/>
          <w:vertAlign w:val="superscript"/>
        </w:rPr>
        <w:t>nd</w:t>
      </w:r>
      <w:r w:rsidRPr="00FF56F7">
        <w:rPr>
          <w:rFonts w:ascii="Open Sans" w:hAnsi="Open Sans" w:cs="Open Sans"/>
          <w:color w:val="000000"/>
          <w:sz w:val="20"/>
          <w:szCs w:val="20"/>
          <w:shd w:val="clear" w:color="auto" w:fill="FFFFFF"/>
        </w:rPr>
        <w:t xml:space="preserve"> May 2017) What’s the point of employee liability information?. [online] People Management. Available at: </w:t>
      </w:r>
      <w:hyperlink r:id="rId66" w:history="1">
        <w:r w:rsidRPr="00FF56F7">
          <w:rPr>
            <w:rFonts w:ascii="Open Sans" w:hAnsi="Open Sans" w:cs="Open Sans"/>
            <w:color w:val="0563C1" w:themeColor="hyperlink"/>
            <w:sz w:val="20"/>
            <w:szCs w:val="20"/>
            <w:u w:val="single"/>
            <w:shd w:val="clear" w:color="auto" w:fill="FFFFFF"/>
          </w:rPr>
          <w:t>https://www.peoplemanagement.co.uk/experts/legal/whats-the-point-of-employee-liability-information#:~:text=In%20Born%20London%20Ltd%20v%20Spire%20Production%20Services,that%20a%20non-contractual%20Christmas%20bonus%20was%20in%20place</w:t>
        </w:r>
      </w:hyperlink>
      <w:r w:rsidRPr="00FF56F7">
        <w:rPr>
          <w:rFonts w:ascii="Open Sans" w:hAnsi="Open Sans" w:cs="Open Sans"/>
          <w:color w:val="000000"/>
          <w:sz w:val="20"/>
          <w:szCs w:val="20"/>
          <w:shd w:val="clear" w:color="auto" w:fill="FFFFFF"/>
        </w:rPr>
        <w:t>.  [Accessed 19 February 2022].</w:t>
      </w:r>
    </w:p>
    <w:p w14:paraId="38C47419" w14:textId="77777777" w:rsidR="00FF56F7" w:rsidRPr="00FF56F7" w:rsidRDefault="00FF56F7" w:rsidP="00FF56F7">
      <w:pPr>
        <w:shd w:val="clear" w:color="auto" w:fill="FFFFFF" w:themeFill="background1"/>
      </w:pPr>
    </w:p>
    <w:p w14:paraId="34B49621" w14:textId="77777777" w:rsidR="00150540" w:rsidRPr="00D639BA" w:rsidRDefault="00150540" w:rsidP="007968A0">
      <w:pPr>
        <w:pStyle w:val="ListParagraph"/>
        <w:rPr>
          <w:rFonts w:ascii="Arial" w:hAnsi="Arial" w:cs="Arial"/>
          <w:u w:val="single"/>
        </w:rPr>
      </w:pPr>
    </w:p>
    <w:p w14:paraId="64494244" w14:textId="77777777" w:rsidR="00533E1A" w:rsidRPr="00533E1A" w:rsidRDefault="00533E1A" w:rsidP="00533E1A">
      <w:pPr>
        <w:rPr>
          <w:rStyle w:val="Strong"/>
          <w:rFonts w:ascii="Arial" w:hAnsi="Arial" w:cs="Arial"/>
          <w:b w:val="0"/>
          <w:bCs w:val="0"/>
          <w:u w:val="single"/>
        </w:rPr>
      </w:pPr>
    </w:p>
    <w:p w14:paraId="14249444" w14:textId="7BB84C3E" w:rsidR="00533E1A" w:rsidRDefault="00533E1A" w:rsidP="00533E1A">
      <w:pPr>
        <w:rPr>
          <w:rStyle w:val="Strong"/>
          <w:rFonts w:ascii="Arial" w:hAnsi="Arial" w:cs="Arial"/>
          <w:b w:val="0"/>
          <w:bCs w:val="0"/>
          <w:u w:val="single"/>
        </w:rPr>
      </w:pPr>
    </w:p>
    <w:p w14:paraId="6851EE11" w14:textId="77777777" w:rsidR="00533E1A" w:rsidRPr="00533E1A" w:rsidRDefault="00533E1A" w:rsidP="00533E1A">
      <w:pPr>
        <w:rPr>
          <w:rStyle w:val="Strong"/>
          <w:rFonts w:ascii="Arial" w:hAnsi="Arial" w:cs="Arial"/>
          <w:b w:val="0"/>
          <w:bCs w:val="0"/>
          <w:u w:val="single"/>
        </w:rPr>
      </w:pPr>
    </w:p>
    <w:p w14:paraId="13CA2E32" w14:textId="77777777" w:rsidR="00533E1A" w:rsidRPr="00533E1A" w:rsidRDefault="00533E1A" w:rsidP="00533E1A">
      <w:pPr>
        <w:rPr>
          <w:rFonts w:ascii="Arial" w:hAnsi="Arial" w:cs="Arial"/>
          <w:u w:val="single"/>
        </w:rPr>
      </w:pPr>
    </w:p>
    <w:p w14:paraId="333A8AD6" w14:textId="67ED069C" w:rsidR="00533E1A" w:rsidRDefault="00533E1A">
      <w:pPr>
        <w:rPr>
          <w:rFonts w:ascii="Arial" w:hAnsi="Arial" w:cs="Arial"/>
          <w:u w:val="single"/>
        </w:rPr>
      </w:pPr>
    </w:p>
    <w:p w14:paraId="0B238AD5" w14:textId="6D91C007" w:rsidR="00533E1A" w:rsidRDefault="00533E1A">
      <w:pPr>
        <w:rPr>
          <w:rFonts w:ascii="Arial" w:hAnsi="Arial" w:cs="Arial"/>
          <w:u w:val="single"/>
        </w:rPr>
      </w:pPr>
    </w:p>
    <w:p w14:paraId="0B80C4A8" w14:textId="77777777" w:rsidR="00533E1A" w:rsidRPr="00754358" w:rsidRDefault="00533E1A" w:rsidP="00533E1A">
      <w:pPr>
        <w:rPr>
          <w:rFonts w:ascii="Arial" w:hAnsi="Arial" w:cs="Arial"/>
          <w:u w:val="single"/>
        </w:rPr>
      </w:pPr>
    </w:p>
    <w:sectPr w:rsidR="00533E1A" w:rsidRPr="00754358">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0432A" w14:textId="77777777" w:rsidR="00F70217" w:rsidRDefault="00F70217" w:rsidP="00362DCE">
      <w:r>
        <w:separator/>
      </w:r>
    </w:p>
  </w:endnote>
  <w:endnote w:type="continuationSeparator" w:id="0">
    <w:p w14:paraId="33EC5438" w14:textId="77777777" w:rsidR="00F70217" w:rsidRDefault="00F70217" w:rsidP="00362D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BA37E" w14:textId="77777777" w:rsidR="00F70217" w:rsidRDefault="00F70217" w:rsidP="00362DCE">
      <w:r>
        <w:separator/>
      </w:r>
    </w:p>
  </w:footnote>
  <w:footnote w:type="continuationSeparator" w:id="0">
    <w:p w14:paraId="4E2A800C" w14:textId="77777777" w:rsidR="00F70217" w:rsidRDefault="00F70217" w:rsidP="00362D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D819A" w14:textId="764D3175" w:rsidR="00362DCE" w:rsidRDefault="00362DCE">
    <w:pPr>
      <w:pStyle w:val="Header"/>
    </w:pPr>
    <w:r>
      <w:t>BMHR7019 Employment Law</w:t>
    </w:r>
    <w:r>
      <w:ptab w:relativeTo="margin" w:alignment="center" w:leader="none"/>
    </w:r>
    <w:r>
      <w:t>Helen Golaszewski</w:t>
    </w:r>
    <w:r>
      <w:tab/>
      <w:t>Student No 2109674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80DA0"/>
    <w:multiLevelType w:val="hybridMultilevel"/>
    <w:tmpl w:val="F9E2F420"/>
    <w:lvl w:ilvl="0" w:tplc="BD76DE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F81E34"/>
    <w:multiLevelType w:val="hybridMultilevel"/>
    <w:tmpl w:val="3C421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267A5F"/>
    <w:multiLevelType w:val="hybridMultilevel"/>
    <w:tmpl w:val="9F1C7BDA"/>
    <w:lvl w:ilvl="0" w:tplc="0809000F">
      <w:start w:val="1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97EBD"/>
    <w:multiLevelType w:val="hybridMultilevel"/>
    <w:tmpl w:val="CE6238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A3652"/>
    <w:multiLevelType w:val="hybridMultilevel"/>
    <w:tmpl w:val="48C4F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4F16A2"/>
    <w:multiLevelType w:val="hybridMultilevel"/>
    <w:tmpl w:val="EEC81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5B2EF4"/>
    <w:multiLevelType w:val="hybridMultilevel"/>
    <w:tmpl w:val="F2043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EA02B2"/>
    <w:multiLevelType w:val="hybridMultilevel"/>
    <w:tmpl w:val="05BE9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4"/>
  </w:num>
  <w:num w:numId="5">
    <w:abstractNumId w:val="6"/>
  </w:num>
  <w:num w:numId="6">
    <w:abstractNumId w:val="7"/>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C0F"/>
    <w:rsid w:val="00000918"/>
    <w:rsid w:val="000111A7"/>
    <w:rsid w:val="000410BC"/>
    <w:rsid w:val="000533CC"/>
    <w:rsid w:val="00066AA0"/>
    <w:rsid w:val="0008118C"/>
    <w:rsid w:val="0008133B"/>
    <w:rsid w:val="00085B74"/>
    <w:rsid w:val="000B338F"/>
    <w:rsid w:val="000E3DB0"/>
    <w:rsid w:val="0012342E"/>
    <w:rsid w:val="00134ED4"/>
    <w:rsid w:val="00150540"/>
    <w:rsid w:val="00162EC5"/>
    <w:rsid w:val="00185AFB"/>
    <w:rsid w:val="001B1D9B"/>
    <w:rsid w:val="001B49C1"/>
    <w:rsid w:val="001C3620"/>
    <w:rsid w:val="001D0687"/>
    <w:rsid w:val="001E5AE2"/>
    <w:rsid w:val="001F11B9"/>
    <w:rsid w:val="00205D34"/>
    <w:rsid w:val="0022227D"/>
    <w:rsid w:val="002318AB"/>
    <w:rsid w:val="00245654"/>
    <w:rsid w:val="002603CA"/>
    <w:rsid w:val="002610E0"/>
    <w:rsid w:val="00265A0C"/>
    <w:rsid w:val="00290C0F"/>
    <w:rsid w:val="00295D5C"/>
    <w:rsid w:val="002C5797"/>
    <w:rsid w:val="002E273D"/>
    <w:rsid w:val="003214B9"/>
    <w:rsid w:val="00341BD7"/>
    <w:rsid w:val="0036125C"/>
    <w:rsid w:val="003617DD"/>
    <w:rsid w:val="00362DCE"/>
    <w:rsid w:val="00363F91"/>
    <w:rsid w:val="0037272C"/>
    <w:rsid w:val="003843F7"/>
    <w:rsid w:val="003A5808"/>
    <w:rsid w:val="003D3E57"/>
    <w:rsid w:val="003E634E"/>
    <w:rsid w:val="0041188D"/>
    <w:rsid w:val="00471BD2"/>
    <w:rsid w:val="00471CB7"/>
    <w:rsid w:val="0048689B"/>
    <w:rsid w:val="004C5D96"/>
    <w:rsid w:val="004D1913"/>
    <w:rsid w:val="004F72B3"/>
    <w:rsid w:val="004F7D34"/>
    <w:rsid w:val="0050433B"/>
    <w:rsid w:val="005077D0"/>
    <w:rsid w:val="0051370E"/>
    <w:rsid w:val="00533E1A"/>
    <w:rsid w:val="00566B1E"/>
    <w:rsid w:val="005715F1"/>
    <w:rsid w:val="00582EC0"/>
    <w:rsid w:val="00591FF4"/>
    <w:rsid w:val="005B3345"/>
    <w:rsid w:val="00600E2E"/>
    <w:rsid w:val="006175BB"/>
    <w:rsid w:val="006323A0"/>
    <w:rsid w:val="00642267"/>
    <w:rsid w:val="00680DB1"/>
    <w:rsid w:val="00685877"/>
    <w:rsid w:val="00690236"/>
    <w:rsid w:val="006E0713"/>
    <w:rsid w:val="006F79A5"/>
    <w:rsid w:val="007109C7"/>
    <w:rsid w:val="007160A4"/>
    <w:rsid w:val="007274DD"/>
    <w:rsid w:val="00754358"/>
    <w:rsid w:val="007731B5"/>
    <w:rsid w:val="007968A0"/>
    <w:rsid w:val="007B0CB3"/>
    <w:rsid w:val="007C729A"/>
    <w:rsid w:val="007F4872"/>
    <w:rsid w:val="00803AE9"/>
    <w:rsid w:val="00817F03"/>
    <w:rsid w:val="00824405"/>
    <w:rsid w:val="00846A23"/>
    <w:rsid w:val="00852496"/>
    <w:rsid w:val="00862051"/>
    <w:rsid w:val="008760D2"/>
    <w:rsid w:val="008969F5"/>
    <w:rsid w:val="008B02EF"/>
    <w:rsid w:val="008D0C9C"/>
    <w:rsid w:val="009055F7"/>
    <w:rsid w:val="00906F3C"/>
    <w:rsid w:val="00930FC3"/>
    <w:rsid w:val="009354C9"/>
    <w:rsid w:val="00936D24"/>
    <w:rsid w:val="00943224"/>
    <w:rsid w:val="009746F1"/>
    <w:rsid w:val="00993ED5"/>
    <w:rsid w:val="009D5607"/>
    <w:rsid w:val="009D59AE"/>
    <w:rsid w:val="00A214DE"/>
    <w:rsid w:val="00A33149"/>
    <w:rsid w:val="00A43AD0"/>
    <w:rsid w:val="00A6623E"/>
    <w:rsid w:val="00A76728"/>
    <w:rsid w:val="00A85B11"/>
    <w:rsid w:val="00AB05CA"/>
    <w:rsid w:val="00AC1046"/>
    <w:rsid w:val="00AC1DFB"/>
    <w:rsid w:val="00AE1EDE"/>
    <w:rsid w:val="00AF32B8"/>
    <w:rsid w:val="00B0255E"/>
    <w:rsid w:val="00B5290B"/>
    <w:rsid w:val="00B7050D"/>
    <w:rsid w:val="00B9504C"/>
    <w:rsid w:val="00BA5612"/>
    <w:rsid w:val="00BB057D"/>
    <w:rsid w:val="00BB50D8"/>
    <w:rsid w:val="00BB7137"/>
    <w:rsid w:val="00BC2C14"/>
    <w:rsid w:val="00BC30CA"/>
    <w:rsid w:val="00BC7AF1"/>
    <w:rsid w:val="00C03B67"/>
    <w:rsid w:val="00C10DC8"/>
    <w:rsid w:val="00C370C8"/>
    <w:rsid w:val="00C516E8"/>
    <w:rsid w:val="00C52EED"/>
    <w:rsid w:val="00C66948"/>
    <w:rsid w:val="00C749C1"/>
    <w:rsid w:val="00CB35AA"/>
    <w:rsid w:val="00CB51F4"/>
    <w:rsid w:val="00CB56B3"/>
    <w:rsid w:val="00CD617E"/>
    <w:rsid w:val="00CF0DF3"/>
    <w:rsid w:val="00D1209F"/>
    <w:rsid w:val="00D12308"/>
    <w:rsid w:val="00D275BB"/>
    <w:rsid w:val="00D447E7"/>
    <w:rsid w:val="00D50AFB"/>
    <w:rsid w:val="00D52E54"/>
    <w:rsid w:val="00D57D12"/>
    <w:rsid w:val="00D639BA"/>
    <w:rsid w:val="00D70EEB"/>
    <w:rsid w:val="00D819C1"/>
    <w:rsid w:val="00D82EFB"/>
    <w:rsid w:val="00D87428"/>
    <w:rsid w:val="00D96A74"/>
    <w:rsid w:val="00DA5ABF"/>
    <w:rsid w:val="00DC5225"/>
    <w:rsid w:val="00DD2766"/>
    <w:rsid w:val="00E173B5"/>
    <w:rsid w:val="00E174B7"/>
    <w:rsid w:val="00E7292B"/>
    <w:rsid w:val="00E77BC1"/>
    <w:rsid w:val="00E80FDA"/>
    <w:rsid w:val="00EA28BA"/>
    <w:rsid w:val="00EB3186"/>
    <w:rsid w:val="00ED437A"/>
    <w:rsid w:val="00EE303D"/>
    <w:rsid w:val="00F27D4F"/>
    <w:rsid w:val="00F5789F"/>
    <w:rsid w:val="00F70217"/>
    <w:rsid w:val="00F7260D"/>
    <w:rsid w:val="00F75396"/>
    <w:rsid w:val="00FA50F0"/>
    <w:rsid w:val="00FB4E35"/>
    <w:rsid w:val="00FB7F91"/>
    <w:rsid w:val="00FC6F54"/>
    <w:rsid w:val="00FF5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5E3DD"/>
  <w15:chartTrackingRefBased/>
  <w15:docId w15:val="{0175B0D7-0B7C-4A1E-B590-60D49E36E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D5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33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2DCE"/>
    <w:pPr>
      <w:tabs>
        <w:tab w:val="center" w:pos="4513"/>
        <w:tab w:val="right" w:pos="9026"/>
      </w:tabs>
    </w:pPr>
  </w:style>
  <w:style w:type="character" w:customStyle="1" w:styleId="HeaderChar">
    <w:name w:val="Header Char"/>
    <w:basedOn w:val="DefaultParagraphFont"/>
    <w:link w:val="Header"/>
    <w:uiPriority w:val="99"/>
    <w:rsid w:val="00362DCE"/>
  </w:style>
  <w:style w:type="paragraph" w:styleId="Footer">
    <w:name w:val="footer"/>
    <w:basedOn w:val="Normal"/>
    <w:link w:val="FooterChar"/>
    <w:uiPriority w:val="99"/>
    <w:unhideWhenUsed/>
    <w:rsid w:val="00362DCE"/>
    <w:pPr>
      <w:tabs>
        <w:tab w:val="center" w:pos="4513"/>
        <w:tab w:val="right" w:pos="9026"/>
      </w:tabs>
    </w:pPr>
  </w:style>
  <w:style w:type="character" w:customStyle="1" w:styleId="FooterChar">
    <w:name w:val="Footer Char"/>
    <w:basedOn w:val="DefaultParagraphFont"/>
    <w:link w:val="Footer"/>
    <w:uiPriority w:val="99"/>
    <w:rsid w:val="00362DCE"/>
  </w:style>
  <w:style w:type="paragraph" w:styleId="ListParagraph">
    <w:name w:val="List Paragraph"/>
    <w:basedOn w:val="Normal"/>
    <w:uiPriority w:val="34"/>
    <w:qFormat/>
    <w:rsid w:val="00D447E7"/>
    <w:pPr>
      <w:ind w:left="720"/>
      <w:contextualSpacing/>
    </w:pPr>
  </w:style>
  <w:style w:type="paragraph" w:styleId="FootnoteText">
    <w:name w:val="footnote text"/>
    <w:basedOn w:val="Normal"/>
    <w:link w:val="FootnoteTextChar"/>
    <w:uiPriority w:val="99"/>
    <w:unhideWhenUsed/>
    <w:rsid w:val="006F79A5"/>
    <w:rPr>
      <w:sz w:val="20"/>
      <w:szCs w:val="20"/>
    </w:rPr>
  </w:style>
  <w:style w:type="character" w:customStyle="1" w:styleId="FootnoteTextChar">
    <w:name w:val="Footnote Text Char"/>
    <w:basedOn w:val="DefaultParagraphFont"/>
    <w:link w:val="FootnoteText"/>
    <w:uiPriority w:val="99"/>
    <w:rsid w:val="006F79A5"/>
    <w:rPr>
      <w:sz w:val="20"/>
      <w:szCs w:val="20"/>
    </w:rPr>
  </w:style>
  <w:style w:type="character" w:styleId="FootnoteReference">
    <w:name w:val="footnote reference"/>
    <w:basedOn w:val="DefaultParagraphFont"/>
    <w:uiPriority w:val="99"/>
    <w:semiHidden/>
    <w:unhideWhenUsed/>
    <w:rsid w:val="006F79A5"/>
    <w:rPr>
      <w:vertAlign w:val="superscript"/>
    </w:rPr>
  </w:style>
  <w:style w:type="character" w:styleId="Strong">
    <w:name w:val="Strong"/>
    <w:basedOn w:val="DefaultParagraphFont"/>
    <w:uiPriority w:val="22"/>
    <w:qFormat/>
    <w:rsid w:val="006F79A5"/>
    <w:rPr>
      <w:b/>
      <w:bCs/>
    </w:rPr>
  </w:style>
  <w:style w:type="character" w:styleId="Hyperlink">
    <w:name w:val="Hyperlink"/>
    <w:basedOn w:val="DefaultParagraphFont"/>
    <w:uiPriority w:val="99"/>
    <w:unhideWhenUsed/>
    <w:rsid w:val="00C66948"/>
    <w:rPr>
      <w:color w:val="0000FF"/>
      <w:u w:val="single"/>
    </w:rPr>
  </w:style>
  <w:style w:type="paragraph" w:styleId="EndnoteText">
    <w:name w:val="endnote text"/>
    <w:basedOn w:val="Normal"/>
    <w:link w:val="EndnoteTextChar"/>
    <w:uiPriority w:val="99"/>
    <w:semiHidden/>
    <w:unhideWhenUsed/>
    <w:rsid w:val="00C52EED"/>
    <w:rPr>
      <w:sz w:val="20"/>
      <w:szCs w:val="20"/>
    </w:rPr>
  </w:style>
  <w:style w:type="character" w:customStyle="1" w:styleId="EndnoteTextChar">
    <w:name w:val="Endnote Text Char"/>
    <w:basedOn w:val="DefaultParagraphFont"/>
    <w:link w:val="EndnoteText"/>
    <w:uiPriority w:val="99"/>
    <w:semiHidden/>
    <w:rsid w:val="00C52EED"/>
    <w:rPr>
      <w:sz w:val="20"/>
      <w:szCs w:val="20"/>
    </w:rPr>
  </w:style>
  <w:style w:type="character" w:styleId="EndnoteReference">
    <w:name w:val="endnote reference"/>
    <w:basedOn w:val="DefaultParagraphFont"/>
    <w:uiPriority w:val="99"/>
    <w:semiHidden/>
    <w:unhideWhenUsed/>
    <w:rsid w:val="00C52EED"/>
    <w:rPr>
      <w:vertAlign w:val="superscript"/>
    </w:rPr>
  </w:style>
  <w:style w:type="character" w:styleId="Emphasis">
    <w:name w:val="Emphasis"/>
    <w:basedOn w:val="DefaultParagraphFont"/>
    <w:uiPriority w:val="20"/>
    <w:qFormat/>
    <w:rsid w:val="00852496"/>
    <w:rPr>
      <w:i/>
      <w:iCs/>
    </w:rPr>
  </w:style>
  <w:style w:type="character" w:styleId="UnresolvedMention">
    <w:name w:val="Unresolved Mention"/>
    <w:basedOn w:val="DefaultParagraphFont"/>
    <w:uiPriority w:val="99"/>
    <w:semiHidden/>
    <w:unhideWhenUsed/>
    <w:rsid w:val="00566B1E"/>
    <w:rPr>
      <w:color w:val="605E5C"/>
      <w:shd w:val="clear" w:color="auto" w:fill="E1DFDD"/>
    </w:rPr>
  </w:style>
  <w:style w:type="character" w:customStyle="1" w:styleId="Heading1Char">
    <w:name w:val="Heading 1 Char"/>
    <w:basedOn w:val="DefaultParagraphFont"/>
    <w:link w:val="Heading1"/>
    <w:uiPriority w:val="9"/>
    <w:rsid w:val="00295D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334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76102">
      <w:bodyDiv w:val="1"/>
      <w:marLeft w:val="0"/>
      <w:marRight w:val="0"/>
      <w:marTop w:val="0"/>
      <w:marBottom w:val="0"/>
      <w:divBdr>
        <w:top w:val="none" w:sz="0" w:space="0" w:color="auto"/>
        <w:left w:val="none" w:sz="0" w:space="0" w:color="auto"/>
        <w:bottom w:val="none" w:sz="0" w:space="0" w:color="auto"/>
        <w:right w:val="none" w:sz="0" w:space="0" w:color="auto"/>
      </w:divBdr>
    </w:div>
    <w:div w:id="635722858">
      <w:bodyDiv w:val="1"/>
      <w:marLeft w:val="0"/>
      <w:marRight w:val="0"/>
      <w:marTop w:val="0"/>
      <w:marBottom w:val="0"/>
      <w:divBdr>
        <w:top w:val="none" w:sz="0" w:space="0" w:color="auto"/>
        <w:left w:val="none" w:sz="0" w:space="0" w:color="auto"/>
        <w:bottom w:val="none" w:sz="0" w:space="0" w:color="auto"/>
        <w:right w:val="none" w:sz="0" w:space="0" w:color="auto"/>
      </w:divBdr>
    </w:div>
    <w:div w:id="665982027">
      <w:bodyDiv w:val="1"/>
      <w:marLeft w:val="0"/>
      <w:marRight w:val="0"/>
      <w:marTop w:val="0"/>
      <w:marBottom w:val="0"/>
      <w:divBdr>
        <w:top w:val="none" w:sz="0" w:space="0" w:color="auto"/>
        <w:left w:val="none" w:sz="0" w:space="0" w:color="auto"/>
        <w:bottom w:val="none" w:sz="0" w:space="0" w:color="auto"/>
        <w:right w:val="none" w:sz="0" w:space="0" w:color="auto"/>
      </w:divBdr>
    </w:div>
    <w:div w:id="1143086507">
      <w:bodyDiv w:val="1"/>
      <w:marLeft w:val="0"/>
      <w:marRight w:val="0"/>
      <w:marTop w:val="0"/>
      <w:marBottom w:val="0"/>
      <w:divBdr>
        <w:top w:val="none" w:sz="0" w:space="0" w:color="auto"/>
        <w:left w:val="none" w:sz="0" w:space="0" w:color="auto"/>
        <w:bottom w:val="none" w:sz="0" w:space="0" w:color="auto"/>
        <w:right w:val="none" w:sz="0" w:space="0" w:color="auto"/>
      </w:divBdr>
    </w:div>
    <w:div w:id="1188442224">
      <w:bodyDiv w:val="1"/>
      <w:marLeft w:val="0"/>
      <w:marRight w:val="0"/>
      <w:marTop w:val="0"/>
      <w:marBottom w:val="0"/>
      <w:divBdr>
        <w:top w:val="none" w:sz="0" w:space="0" w:color="auto"/>
        <w:left w:val="none" w:sz="0" w:space="0" w:color="auto"/>
        <w:bottom w:val="none" w:sz="0" w:space="0" w:color="auto"/>
        <w:right w:val="none" w:sz="0" w:space="0" w:color="auto"/>
      </w:divBdr>
    </w:div>
    <w:div w:id="1205168481">
      <w:bodyDiv w:val="1"/>
      <w:marLeft w:val="0"/>
      <w:marRight w:val="0"/>
      <w:marTop w:val="0"/>
      <w:marBottom w:val="0"/>
      <w:divBdr>
        <w:top w:val="none" w:sz="0" w:space="0" w:color="auto"/>
        <w:left w:val="none" w:sz="0" w:space="0" w:color="auto"/>
        <w:bottom w:val="none" w:sz="0" w:space="0" w:color="auto"/>
        <w:right w:val="none" w:sz="0" w:space="0" w:color="auto"/>
      </w:divBdr>
    </w:div>
    <w:div w:id="1310935842">
      <w:bodyDiv w:val="1"/>
      <w:marLeft w:val="0"/>
      <w:marRight w:val="0"/>
      <w:marTop w:val="0"/>
      <w:marBottom w:val="0"/>
      <w:divBdr>
        <w:top w:val="none" w:sz="0" w:space="0" w:color="auto"/>
        <w:left w:val="none" w:sz="0" w:space="0" w:color="auto"/>
        <w:bottom w:val="none" w:sz="0" w:space="0" w:color="auto"/>
        <w:right w:val="none" w:sz="0" w:space="0" w:color="auto"/>
      </w:divBdr>
    </w:div>
    <w:div w:id="1321422354">
      <w:bodyDiv w:val="1"/>
      <w:marLeft w:val="0"/>
      <w:marRight w:val="0"/>
      <w:marTop w:val="0"/>
      <w:marBottom w:val="0"/>
      <w:divBdr>
        <w:top w:val="none" w:sz="0" w:space="0" w:color="auto"/>
        <w:left w:val="none" w:sz="0" w:space="0" w:color="auto"/>
        <w:bottom w:val="none" w:sz="0" w:space="0" w:color="auto"/>
        <w:right w:val="none" w:sz="0" w:space="0" w:color="auto"/>
      </w:divBdr>
    </w:div>
    <w:div w:id="1438676648">
      <w:bodyDiv w:val="1"/>
      <w:marLeft w:val="0"/>
      <w:marRight w:val="0"/>
      <w:marTop w:val="0"/>
      <w:marBottom w:val="0"/>
      <w:divBdr>
        <w:top w:val="none" w:sz="0" w:space="0" w:color="auto"/>
        <w:left w:val="none" w:sz="0" w:space="0" w:color="auto"/>
        <w:bottom w:val="none" w:sz="0" w:space="0" w:color="auto"/>
        <w:right w:val="none" w:sz="0" w:space="0" w:color="auto"/>
      </w:divBdr>
    </w:div>
    <w:div w:id="1551572346">
      <w:bodyDiv w:val="1"/>
      <w:marLeft w:val="0"/>
      <w:marRight w:val="0"/>
      <w:marTop w:val="0"/>
      <w:marBottom w:val="0"/>
      <w:divBdr>
        <w:top w:val="none" w:sz="0" w:space="0" w:color="auto"/>
        <w:left w:val="none" w:sz="0" w:space="0" w:color="auto"/>
        <w:bottom w:val="none" w:sz="0" w:space="0" w:color="auto"/>
        <w:right w:val="none" w:sz="0" w:space="0" w:color="auto"/>
      </w:divBdr>
    </w:div>
    <w:div w:id="1815364361">
      <w:bodyDiv w:val="1"/>
      <w:marLeft w:val="0"/>
      <w:marRight w:val="0"/>
      <w:marTop w:val="0"/>
      <w:marBottom w:val="0"/>
      <w:divBdr>
        <w:top w:val="none" w:sz="0" w:space="0" w:color="auto"/>
        <w:left w:val="none" w:sz="0" w:space="0" w:color="auto"/>
        <w:bottom w:val="none" w:sz="0" w:space="0" w:color="auto"/>
        <w:right w:val="none" w:sz="0" w:space="0" w:color="auto"/>
      </w:divBdr>
    </w:div>
    <w:div w:id="2053965082">
      <w:bodyDiv w:val="1"/>
      <w:marLeft w:val="0"/>
      <w:marRight w:val="0"/>
      <w:marTop w:val="0"/>
      <w:marBottom w:val="0"/>
      <w:divBdr>
        <w:top w:val="none" w:sz="0" w:space="0" w:color="auto"/>
        <w:left w:val="none" w:sz="0" w:space="0" w:color="auto"/>
        <w:bottom w:val="none" w:sz="0" w:space="0" w:color="auto"/>
        <w:right w:val="none" w:sz="0" w:space="0" w:color="auto"/>
      </w:divBdr>
    </w:div>
    <w:div w:id="2080208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knowledge/fundamentals/emp-law/terms-conditions/questions" TargetMode="External"/><Relationship Id="rId21" Type="http://schemas.openxmlformats.org/officeDocument/2006/relationships/hyperlink" Target="https://assets.publishing.service.gov.uk/government/uploads/system/uploads/attachment_data/file/275252/bis-14-502-employment-rights-on-the-transfer-of-an-undertaking.pdf" TargetMode="External"/><Relationship Id="rId42" Type="http://schemas.openxmlformats.org/officeDocument/2006/relationships/hyperlink" Target="https://employmentcasesupdate.co.uk/content/pinewood-repro-ltd-t-a-county-print-v-page-ukeat-0028-10-sm.766845fd49694002b904d5d55f0b3987.htm" TargetMode="External"/><Relationship Id="rId47" Type="http://schemas.openxmlformats.org/officeDocument/2006/relationships/hyperlink" Target="https://www.peoplemanagement.co.uk/experts/advice/redundancy-faqs-how-to-run-a-fair-process" TargetMode="External"/><Relationship Id="rId63" Type="http://schemas.openxmlformats.org/officeDocument/2006/relationships/hyperlink" Target="https://www.peoplemanagement.co.uk/news/articles/supermarket-blocked-using-fire-and-rehire-by-high-court"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manage-staff-redundancies" TargetMode="External"/><Relationship Id="rId29" Type="http://schemas.openxmlformats.org/officeDocument/2006/relationships/hyperlink" Target="https://www.cipd.co.uk/Images/8208-a-guide-to-tupe-transfers-web_tcm18-44310.pdf" TargetMode="External"/><Relationship Id="rId11" Type="http://schemas.openxmlformats.org/officeDocument/2006/relationships/hyperlink" Target="https://www.acas.org.uk/manage-staff-redundancies/give-employees-notice-of-redundancy" TargetMode="External"/><Relationship Id="rId24" Type="http://schemas.openxmlformats.org/officeDocument/2006/relationships/hyperlink" Target="https://www.burnetts.co.uk/blog/tupe-or-not-tupe-part-1" TargetMode="External"/><Relationship Id="rId32" Type="http://schemas.openxmlformats.org/officeDocument/2006/relationships/hyperlink" Target="https://peopleskillshub.cipd.co.uk/blogs/what-sosr-dismissal" TargetMode="External"/><Relationship Id="rId37" Type="http://schemas.openxmlformats.org/officeDocument/2006/relationships/hyperlink" Target="https://www.legal-island.com/articles/uk/case-law/2022/february/usdaw-v-tesco-stores-ltd-2022/" TargetMode="External"/><Relationship Id="rId40" Type="http://schemas.openxmlformats.org/officeDocument/2006/relationships/hyperlink" Target="https://employmentcasesupdate.co.uk/content/kellogg-brown-root-uk-ltd-v-fitton-anor-ukeat-0205-16-ba.ee569482a56846eebfeb2024777faf7f.htm#:~:text=Kellogg%20Brown%20%26%20Root%20%28UK%29%20Ltd%20v%20Fitton,appeal%20was%20dismissed%2C%20the%20redundancy%20appeal%20was%20allowed" TargetMode="External"/><Relationship Id="rId45" Type="http://schemas.openxmlformats.org/officeDocument/2006/relationships/hyperlink" Target="https://www.peoplemanagement.co.uk/experts/legal/new-in-tupe-case-law#gref" TargetMode="External"/><Relationship Id="rId53" Type="http://schemas.openxmlformats.org/officeDocument/2006/relationships/hyperlink" Target="https://croner.co.uk/resources/contracts-documentation/mobility-clause/" TargetMode="External"/><Relationship Id="rId58" Type="http://schemas.openxmlformats.org/officeDocument/2006/relationships/hyperlink" Target="https://www.personneltoday.com/hr/sweetin-v-coral-racing/" TargetMode="External"/><Relationship Id="rId66" Type="http://schemas.openxmlformats.org/officeDocument/2006/relationships/hyperlink" Target="https://www.peoplemanagement.co.uk/experts/legal/whats-the-point-of-employee-liability-information#:~:text=In%20Born%20London%20Ltd%20v%20Spire%20Production%20Services,that%20a%20non-contractual%20Christmas%20bonus%20was%20in%20place" TargetMode="External"/><Relationship Id="rId5" Type="http://schemas.openxmlformats.org/officeDocument/2006/relationships/webSettings" Target="webSettings.xml"/><Relationship Id="rId61" Type="http://schemas.openxmlformats.org/officeDocument/2006/relationships/hyperlink" Target="https://www.personneltoday.com/hr/how-to-determine-a-redundancy-pool/" TargetMode="External"/><Relationship Id="rId19" Type="http://schemas.openxmlformats.org/officeDocument/2006/relationships/hyperlink" Target="https://www.acas.org.uk/manage-staff-redundancies/follow-the-right-process" TargetMode="External"/><Relationship Id="rId14" Type="http://schemas.openxmlformats.org/officeDocument/2006/relationships/hyperlink" Target="https://www.acas.org.uk/handling-a-tupe-transfer-step-by-step/step-4-inform-and-consult-about-TUPE-transfer" TargetMode="External"/><Relationship Id="rId22" Type="http://schemas.openxmlformats.org/officeDocument/2006/relationships/hyperlink" Target="https://www.personneltoday.com/hr/last-in-first-out-on-its-last-legs-legal-opinion/" TargetMode="External"/><Relationship Id="rId27" Type="http://schemas.openxmlformats.org/officeDocument/2006/relationships/hyperlink" Target="https://www.cipd.co.uk/knowledge/fundamentals/emp-law/redundancy/factsheet#gref" TargetMode="External"/><Relationship Id="rId30" Type="http://schemas.openxmlformats.org/officeDocument/2006/relationships/hyperlink" Target="https://www.cipd.co.uk/knowledge/fundamentals/emp-law/redundancy/cases" TargetMode="External"/><Relationship Id="rId35" Type="http://schemas.openxmlformats.org/officeDocument/2006/relationships/hyperlink" Target="https://www.personneltoday.com/hr/case-of-the-week-eddie-stobart-ltd-v-moreman-and-others/" TargetMode="External"/><Relationship Id="rId43" Type="http://schemas.openxmlformats.org/officeDocument/2006/relationships/hyperlink" Target="https://employmentcasesupdate.co.uk/content/kavanagh-ors-v-crystal-palace-fc-2000-ltd-ors-ukeat-0354-12-sm.47a67e0575ee45c790d139683a46c462.htm" TargetMode="External"/><Relationship Id="rId48" Type="http://schemas.openxmlformats.org/officeDocument/2006/relationships/hyperlink" Target="http://tupe.uk.net/regulation-07/kavanagh-v-crystal-palace-fc-2000-ltd-eat/" TargetMode="External"/><Relationship Id="rId56" Type="http://schemas.openxmlformats.org/officeDocument/2006/relationships/hyperlink" Target="https://www.peoplemanagement.co.uk/experts/legal/mobility-clauses#gref" TargetMode="External"/><Relationship Id="rId64" Type="http://schemas.openxmlformats.org/officeDocument/2006/relationships/hyperlink" Target="https://uk.practicallaw.thomsonreuters.com/D-000-3779?contextData=(sc.Default)&amp;transitionType=Default&amp;firstPage=true" TargetMode="External"/><Relationship Id="rId69" Type="http://schemas.openxmlformats.org/officeDocument/2006/relationships/theme" Target="theme/theme1.xml"/><Relationship Id="rId8" Type="http://schemas.openxmlformats.org/officeDocument/2006/relationships/hyperlink" Target="https://www.judiciary.uk/wp-content/uploads/2021/09/Gwynedd-Council-v-Barratt-judgment.pdf" TargetMode="External"/><Relationship Id="rId51" Type="http://schemas.openxmlformats.org/officeDocument/2006/relationships/hyperlink" Target="https://www.legislation.gov.uk/ukpga/1996/18/section/23" TargetMode="External"/><Relationship Id="rId3" Type="http://schemas.openxmlformats.org/officeDocument/2006/relationships/styles" Target="styles.xml"/><Relationship Id="rId12" Type="http://schemas.openxmlformats.org/officeDocument/2006/relationships/hyperlink" Target="https://www.acas.org.uk/collective-consultation-redundancy/when-to-begin-collective-consultation" TargetMode="External"/><Relationship Id="rId17" Type="http://schemas.openxmlformats.org/officeDocument/2006/relationships/hyperlink" Target="https://www.acas.org.uk/manage-staff-redundancies/offer-an-appeals-process" TargetMode="External"/><Relationship Id="rId25" Type="http://schemas.openxmlformats.org/officeDocument/2006/relationships/hyperlink" Target="https://www.cipd.co.uk/knowledge/fundamentals/emp-law/terms-conditions/questions#gref" TargetMode="External"/><Relationship Id="rId33" Type="http://schemas.openxmlformats.org/officeDocument/2006/relationships/hyperlink" Target="https://www.cipd.co.uk/knowledge/fundamentals/emp-law/terms-conditions/fire-rehire-employer-guidance#gref" TargetMode="External"/><Relationship Id="rId38" Type="http://schemas.openxmlformats.org/officeDocument/2006/relationships/hyperlink" Target="https://www.emplaw.co.uk/lawguide/gwynedd-council-v-barratt-anor-2021-ewca-civ-1322" TargetMode="External"/><Relationship Id="rId46" Type="http://schemas.openxmlformats.org/officeDocument/2006/relationships/hyperlink" Target="https://www.personneltoday.com/hr/case-of-the-week-morgan-v-network-europe-group-ltd/" TargetMode="External"/><Relationship Id="rId59" Type="http://schemas.openxmlformats.org/officeDocument/2006/relationships/hyperlink" Target="https://www.personneltoday.com/hr/employers-left-guessing-about-transfers-and-prp/" TargetMode="External"/><Relationship Id="rId67" Type="http://schemas.openxmlformats.org/officeDocument/2006/relationships/header" Target="header1.xml"/><Relationship Id="rId20" Type="http://schemas.openxmlformats.org/officeDocument/2006/relationships/hyperlink" Target="https://app.croneri.co.uk/law-and-guidance/case-reports/bateman-v-asda-stores-ltd-2010-ukeat022109" TargetMode="External"/><Relationship Id="rId41" Type="http://schemas.openxmlformats.org/officeDocument/2006/relationships/hyperlink" Target="https://employmentcasesupdate.co.uk/content/kellogg-brown-root-uk-ltd-v-fitton-anor-ukeat-0205-16-ba.ee569482a56846eebfeb2024777faf7f.htm" TargetMode="External"/><Relationship Id="rId54" Type="http://schemas.openxmlformats.org/officeDocument/2006/relationships/hyperlink" Target="https://www.davidsonmorris.com/mobility-clause/" TargetMode="External"/><Relationship Id="rId62" Type="http://schemas.openxmlformats.org/officeDocument/2006/relationships/hyperlink" Target="https://www.personneltoday.com/hr/tupe-and-benefits-the-danger-of-removing-staff-perk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cas.org.uk/changing-an-employment-contract/employer-responsibilities/if-employment-contract-changes-cannot-be-agreed" TargetMode="External"/><Relationship Id="rId23" Type="http://schemas.openxmlformats.org/officeDocument/2006/relationships/hyperlink" Target="https://www.personneltoday.com/hr/age-based-redundancy-rolls-royce-v-unite/" TargetMode="External"/><Relationship Id="rId28" Type="http://schemas.openxmlformats.org/officeDocument/2006/relationships/hyperlink" Target="https://www.cipd.co.uk/knowledge/fundamentals/emp-law/tupe/factsheet" TargetMode="External"/><Relationship Id="rId36" Type="http://schemas.openxmlformats.org/officeDocument/2006/relationships/hyperlink" Target="https://www.davidsonmorris.com/when-does-tupe-not-apply/" TargetMode="External"/><Relationship Id="rId49" Type="http://schemas.openxmlformats.org/officeDocument/2006/relationships/hyperlink" Target="https://www.legislation.gov.uk/ukpga/2008/30/part/1/chapter/1" TargetMode="External"/><Relationship Id="rId57" Type="http://schemas.openxmlformats.org/officeDocument/2006/relationships/hyperlink" Target="https://www.personneltoday.com/hr/case-of-the-week-bateman-v-asda-stores/" TargetMode="External"/><Relationship Id="rId10" Type="http://schemas.openxmlformats.org/officeDocument/2006/relationships/hyperlink" Target="https://www.acas.org.uk/changing-an-employment-contract/employer-responsibilities/consulting-about-employment-contract-changes" TargetMode="External"/><Relationship Id="rId31" Type="http://schemas.openxmlformats.org/officeDocument/2006/relationships/hyperlink" Target="https://www.cipd.co.uk/knowledge/fundamentals/emp-law/tupe/cases" TargetMode="External"/><Relationship Id="rId44" Type="http://schemas.openxmlformats.org/officeDocument/2006/relationships/hyperlink" Target="https://employmentcasesupdate.co.uk/content/born-london-ltd-v-spire-production-services-ltd-ukeat-0255-16-la.9658d9af7fdd4003b1d5120a542cbb75.htm" TargetMode="External"/><Relationship Id="rId52" Type="http://schemas.openxmlformats.org/officeDocument/2006/relationships/hyperlink" Target="https://www.legislation.gov.uk/ukpga/1996/18/section/139" TargetMode="External"/><Relationship Id="rId60" Type="http://schemas.openxmlformats.org/officeDocument/2006/relationships/hyperlink" Target="https://www.personneltoday.com/hr/case-of-the-week-varying-contracts-of-employment/" TargetMode="External"/><Relationship Id="rId65" Type="http://schemas.openxmlformats.org/officeDocument/2006/relationships/hyperlink" Target="http://tupe.uk.net" TargetMode="External"/><Relationship Id="rId4" Type="http://schemas.openxmlformats.org/officeDocument/2006/relationships/settings" Target="settings.xml"/><Relationship Id="rId9" Type="http://schemas.openxmlformats.org/officeDocument/2006/relationships/hyperlink" Target="https://www.acas.org.uk/changing-an-employment-contract/employer-responsibilities/proposing-employment-contract-changes" TargetMode="External"/><Relationship Id="rId13" Type="http://schemas.openxmlformats.org/officeDocument/2006/relationships/hyperlink" Target="https://www.acas.org.uk/handling-a-tupe-transfer-step-by-step/step-6-managing-staff-after-a-tupe-transfer" TargetMode="External"/><Relationship Id="rId18" Type="http://schemas.openxmlformats.org/officeDocument/2006/relationships/hyperlink" Target="https://www.acas.org.uk/sites/default/files/2019-04/Handling-TUPE-Transfers-The-Acas-Guide.pdf" TargetMode="External"/><Relationship Id="rId39" Type="http://schemas.openxmlformats.org/officeDocument/2006/relationships/hyperlink" Target="https://employmentcasesupdate.co.uk/content/norman-anor-v-national-audit-office-ukeat-0276-14-ba.a08456d1604c4ac4b31e6ce64a4ae1f1.htm" TargetMode="External"/><Relationship Id="rId34" Type="http://schemas.openxmlformats.org/officeDocument/2006/relationships/hyperlink" Target="https://www.cipd.co.uk/knowledge/fundamentals/emp-law/dismissal/factsheet" TargetMode="External"/><Relationship Id="rId50" Type="http://schemas.openxmlformats.org/officeDocument/2006/relationships/hyperlink" Target="https://www.legislation.gov.uk/uksi/2006/246/contents/made" TargetMode="External"/><Relationship Id="rId55" Type="http://schemas.openxmlformats.org/officeDocument/2006/relationships/hyperlink" Target="https://www.peoplemanagement.co.uk/experts/legal/10-most-important-employment-law-cases-2021-part-tw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6C98E8-59DE-4D3B-9E64-9FFCF735D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6238</Words>
  <Characters>35563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Victoria Golaszewski (2109674)</dc:creator>
  <cp:keywords/>
  <dc:description/>
  <cp:lastModifiedBy>Helen Golaszewski (2109674)</cp:lastModifiedBy>
  <cp:revision>2</cp:revision>
  <dcterms:created xsi:type="dcterms:W3CDTF">2022-02-22T21:54:00Z</dcterms:created>
  <dcterms:modified xsi:type="dcterms:W3CDTF">2022-02-22T21:54:00Z</dcterms:modified>
</cp:coreProperties>
</file>