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CB8E4" w14:textId="77777777" w:rsidR="00D9266D" w:rsidRDefault="00D9266D">
      <w:pPr>
        <w:spacing w:line="360" w:lineRule="auto"/>
        <w:jc w:val="center"/>
        <w:rPr>
          <w:rFonts w:ascii="Times New Roman" w:eastAsia="Times New Roman" w:hAnsi="Times New Roman" w:cs="Times New Roman"/>
          <w:b/>
          <w:bCs/>
          <w:sz w:val="32"/>
          <w:szCs w:val="32"/>
        </w:rPr>
      </w:pPr>
    </w:p>
    <w:p w14:paraId="722DBC38" w14:textId="77777777" w:rsidR="00D9266D" w:rsidRDefault="00D9266D">
      <w:pPr>
        <w:spacing w:line="360" w:lineRule="auto"/>
        <w:jc w:val="center"/>
        <w:rPr>
          <w:rFonts w:ascii="Times New Roman" w:eastAsia="Times New Roman" w:hAnsi="Times New Roman" w:cs="Times New Roman"/>
          <w:b/>
          <w:bCs/>
          <w:sz w:val="32"/>
          <w:szCs w:val="32"/>
        </w:rPr>
      </w:pPr>
    </w:p>
    <w:p w14:paraId="5F9AB5CA" w14:textId="77777777" w:rsidR="00D9266D" w:rsidRDefault="00D9266D">
      <w:pPr>
        <w:spacing w:line="360" w:lineRule="auto"/>
        <w:jc w:val="center"/>
        <w:rPr>
          <w:rFonts w:ascii="Times New Roman" w:eastAsia="Times New Roman" w:hAnsi="Times New Roman" w:cs="Times New Roman"/>
          <w:b/>
          <w:bCs/>
          <w:sz w:val="32"/>
          <w:szCs w:val="32"/>
        </w:rPr>
      </w:pPr>
    </w:p>
    <w:p w14:paraId="4D3CF38E" w14:textId="77777777" w:rsidR="00D9266D" w:rsidRDefault="00D9266D">
      <w:pPr>
        <w:spacing w:line="360" w:lineRule="auto"/>
        <w:jc w:val="center"/>
        <w:rPr>
          <w:rFonts w:ascii="Times New Roman" w:eastAsia="Times New Roman" w:hAnsi="Times New Roman" w:cs="Times New Roman"/>
          <w:b/>
          <w:bCs/>
          <w:sz w:val="32"/>
          <w:szCs w:val="32"/>
        </w:rPr>
      </w:pPr>
    </w:p>
    <w:p w14:paraId="36585B04" w14:textId="77777777" w:rsidR="00D9266D" w:rsidRDefault="00EE195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MSc Public Health and Social Care in Practice</w:t>
      </w:r>
    </w:p>
    <w:p w14:paraId="76A8666A" w14:textId="77777777" w:rsidR="00D9266D" w:rsidRDefault="00EE195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Community Care and Management of Longer-term Conditions</w:t>
      </w:r>
    </w:p>
    <w:p w14:paraId="356DF907" w14:textId="77777777" w:rsidR="00D9266D" w:rsidRDefault="00EE195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code: LCHS7003 </w:t>
      </w:r>
    </w:p>
    <w:p w14:paraId="56F75995" w14:textId="77777777" w:rsidR="00D9266D" w:rsidRDefault="00EE195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Muhammed Khan Internal Verifier: Dr Hamdi Hussain</w:t>
      </w:r>
    </w:p>
    <w:p w14:paraId="5CB87A1F" w14:textId="77777777" w:rsidR="00B15858" w:rsidRDefault="00B1585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 Jatin Makwana</w:t>
      </w:r>
    </w:p>
    <w:p w14:paraId="5791ACDD" w14:textId="683F0643" w:rsidR="00B15858" w:rsidRDefault="00B1585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ID - 2521166 </w:t>
      </w:r>
    </w:p>
    <w:p w14:paraId="6A349360" w14:textId="77777777" w:rsidR="00D9266D" w:rsidRDefault="00EE195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 Component 1 Information Booklet of Long-term Condition Management: Asthma</w:t>
      </w:r>
    </w:p>
    <w:p w14:paraId="7E06B971" w14:textId="7859DB52" w:rsidR="00D9266D" w:rsidRDefault="00EE195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WORDS: 3</w:t>
      </w:r>
      <w:r w:rsidR="00AD46DD">
        <w:rPr>
          <w:rFonts w:ascii="Times New Roman" w:eastAsia="Times New Roman" w:hAnsi="Times New Roman" w:cs="Times New Roman"/>
          <w:b/>
          <w:bCs/>
          <w:sz w:val="32"/>
          <w:szCs w:val="32"/>
        </w:rPr>
        <w:t>131</w:t>
      </w:r>
      <w:r>
        <w:br w:type="page"/>
      </w:r>
    </w:p>
    <w:p w14:paraId="63050FA5" w14:textId="77777777" w:rsidR="00D9266D" w:rsidRDefault="00EE195E">
      <w:pPr>
        <w:spacing w:line="360" w:lineRule="auto"/>
        <w:jc w:val="center"/>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lastRenderedPageBreak/>
        <w:t>Table of Contents</w:t>
      </w:r>
    </w:p>
    <w:sdt>
      <w:sdtPr>
        <w:id w:val="1012017219"/>
        <w:docPartObj>
          <w:docPartGallery w:val="Table of Contents"/>
          <w:docPartUnique/>
        </w:docPartObj>
      </w:sdtPr>
      <w:sdtEndPr/>
      <w:sdtContent>
        <w:p w14:paraId="6373591F" w14:textId="7F6C67D9" w:rsidR="00CA03CA" w:rsidRDefault="00D9266D">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224830431" w:history="1">
            <w:r w:rsidR="00CA03CA" w:rsidRPr="00115A97">
              <w:rPr>
                <w:rStyle w:val="Hyperlink"/>
                <w:noProof/>
              </w:rPr>
              <w:t>1. Introduction</w:t>
            </w:r>
            <w:r w:rsidR="00CA03CA">
              <w:rPr>
                <w:noProof/>
                <w:webHidden/>
              </w:rPr>
              <w:tab/>
            </w:r>
            <w:r w:rsidR="00CA03CA">
              <w:rPr>
                <w:noProof/>
                <w:webHidden/>
              </w:rPr>
              <w:fldChar w:fldCharType="begin"/>
            </w:r>
            <w:r w:rsidR="00CA03CA">
              <w:rPr>
                <w:noProof/>
                <w:webHidden/>
              </w:rPr>
              <w:instrText xml:space="preserve"> PAGEREF _Toc224830431 \h </w:instrText>
            </w:r>
            <w:r w:rsidR="00CA03CA">
              <w:rPr>
                <w:noProof/>
                <w:webHidden/>
              </w:rPr>
            </w:r>
            <w:r w:rsidR="00CA03CA">
              <w:rPr>
                <w:noProof/>
                <w:webHidden/>
              </w:rPr>
              <w:fldChar w:fldCharType="separate"/>
            </w:r>
            <w:r w:rsidR="00CA03CA">
              <w:rPr>
                <w:noProof/>
                <w:webHidden/>
              </w:rPr>
              <w:t>2</w:t>
            </w:r>
            <w:r w:rsidR="00CA03CA">
              <w:rPr>
                <w:noProof/>
                <w:webHidden/>
              </w:rPr>
              <w:fldChar w:fldCharType="end"/>
            </w:r>
          </w:hyperlink>
        </w:p>
        <w:p w14:paraId="5B2EE303" w14:textId="1592908A" w:rsidR="00CA03CA" w:rsidRDefault="00CA03CA">
          <w:pPr>
            <w:pStyle w:val="TOC1"/>
            <w:tabs>
              <w:tab w:val="right" w:pos="9019"/>
            </w:tabs>
            <w:rPr>
              <w:noProof/>
            </w:rPr>
          </w:pPr>
          <w:hyperlink w:anchor="_Toc224830432" w:history="1">
            <w:r w:rsidRPr="00115A97">
              <w:rPr>
                <w:rStyle w:val="Hyperlink"/>
                <w:noProof/>
              </w:rPr>
              <w:t>2. Prevalence Note</w:t>
            </w:r>
            <w:r>
              <w:rPr>
                <w:noProof/>
                <w:webHidden/>
              </w:rPr>
              <w:tab/>
            </w:r>
            <w:r>
              <w:rPr>
                <w:noProof/>
                <w:webHidden/>
              </w:rPr>
              <w:fldChar w:fldCharType="begin"/>
            </w:r>
            <w:r>
              <w:rPr>
                <w:noProof/>
                <w:webHidden/>
              </w:rPr>
              <w:instrText xml:space="preserve"> PAGEREF _Toc224830432 \h </w:instrText>
            </w:r>
            <w:r>
              <w:rPr>
                <w:noProof/>
                <w:webHidden/>
              </w:rPr>
            </w:r>
            <w:r>
              <w:rPr>
                <w:noProof/>
                <w:webHidden/>
              </w:rPr>
              <w:fldChar w:fldCharType="separate"/>
            </w:r>
            <w:r>
              <w:rPr>
                <w:noProof/>
                <w:webHidden/>
              </w:rPr>
              <w:t>2</w:t>
            </w:r>
            <w:r>
              <w:rPr>
                <w:noProof/>
                <w:webHidden/>
              </w:rPr>
              <w:fldChar w:fldCharType="end"/>
            </w:r>
          </w:hyperlink>
        </w:p>
        <w:p w14:paraId="30C7C162" w14:textId="006544BB" w:rsidR="00CA03CA" w:rsidRDefault="00CA03CA">
          <w:pPr>
            <w:pStyle w:val="TOC2"/>
            <w:tabs>
              <w:tab w:val="right" w:pos="9019"/>
            </w:tabs>
            <w:rPr>
              <w:noProof/>
            </w:rPr>
          </w:pPr>
          <w:hyperlink w:anchor="_Toc224830433" w:history="1">
            <w:r w:rsidRPr="00115A97">
              <w:rPr>
                <w:rStyle w:val="Hyperlink"/>
                <w:noProof/>
              </w:rPr>
              <w:t>2.1 Risk Factors</w:t>
            </w:r>
            <w:r>
              <w:rPr>
                <w:noProof/>
                <w:webHidden/>
              </w:rPr>
              <w:tab/>
            </w:r>
            <w:r>
              <w:rPr>
                <w:noProof/>
                <w:webHidden/>
              </w:rPr>
              <w:fldChar w:fldCharType="begin"/>
            </w:r>
            <w:r>
              <w:rPr>
                <w:noProof/>
                <w:webHidden/>
              </w:rPr>
              <w:instrText xml:space="preserve"> PAGEREF _Toc224830433 \h </w:instrText>
            </w:r>
            <w:r>
              <w:rPr>
                <w:noProof/>
                <w:webHidden/>
              </w:rPr>
            </w:r>
            <w:r>
              <w:rPr>
                <w:noProof/>
                <w:webHidden/>
              </w:rPr>
              <w:fldChar w:fldCharType="separate"/>
            </w:r>
            <w:r>
              <w:rPr>
                <w:noProof/>
                <w:webHidden/>
              </w:rPr>
              <w:t>3</w:t>
            </w:r>
            <w:r>
              <w:rPr>
                <w:noProof/>
                <w:webHidden/>
              </w:rPr>
              <w:fldChar w:fldCharType="end"/>
            </w:r>
          </w:hyperlink>
        </w:p>
        <w:p w14:paraId="7A529787" w14:textId="1AFD07C0" w:rsidR="00CA03CA" w:rsidRDefault="00CA03CA">
          <w:pPr>
            <w:pStyle w:val="TOC2"/>
            <w:tabs>
              <w:tab w:val="right" w:pos="9019"/>
            </w:tabs>
            <w:rPr>
              <w:noProof/>
            </w:rPr>
          </w:pPr>
          <w:hyperlink w:anchor="_Toc224830434" w:history="1">
            <w:r w:rsidRPr="00115A97">
              <w:rPr>
                <w:rStyle w:val="Hyperlink"/>
                <w:noProof/>
              </w:rPr>
              <w:t>2.2 Physical Implications</w:t>
            </w:r>
            <w:r>
              <w:rPr>
                <w:noProof/>
                <w:webHidden/>
              </w:rPr>
              <w:tab/>
            </w:r>
            <w:r>
              <w:rPr>
                <w:noProof/>
                <w:webHidden/>
              </w:rPr>
              <w:fldChar w:fldCharType="begin"/>
            </w:r>
            <w:r>
              <w:rPr>
                <w:noProof/>
                <w:webHidden/>
              </w:rPr>
              <w:instrText xml:space="preserve"> PAGEREF _Toc224830434 \h </w:instrText>
            </w:r>
            <w:r>
              <w:rPr>
                <w:noProof/>
                <w:webHidden/>
              </w:rPr>
            </w:r>
            <w:r>
              <w:rPr>
                <w:noProof/>
                <w:webHidden/>
              </w:rPr>
              <w:fldChar w:fldCharType="separate"/>
            </w:r>
            <w:r>
              <w:rPr>
                <w:noProof/>
                <w:webHidden/>
              </w:rPr>
              <w:t>4</w:t>
            </w:r>
            <w:r>
              <w:rPr>
                <w:noProof/>
                <w:webHidden/>
              </w:rPr>
              <w:fldChar w:fldCharType="end"/>
            </w:r>
          </w:hyperlink>
        </w:p>
        <w:p w14:paraId="4D8C0875" w14:textId="129A3D4A" w:rsidR="00CA03CA" w:rsidRDefault="00CA03CA">
          <w:pPr>
            <w:pStyle w:val="TOC2"/>
            <w:tabs>
              <w:tab w:val="right" w:pos="9019"/>
            </w:tabs>
            <w:rPr>
              <w:noProof/>
            </w:rPr>
          </w:pPr>
          <w:hyperlink w:anchor="_Toc224830435" w:history="1">
            <w:r w:rsidRPr="00115A97">
              <w:rPr>
                <w:rStyle w:val="Hyperlink"/>
                <w:noProof/>
              </w:rPr>
              <w:t>2.2 Psychological Implications</w:t>
            </w:r>
            <w:r>
              <w:rPr>
                <w:noProof/>
                <w:webHidden/>
              </w:rPr>
              <w:tab/>
            </w:r>
            <w:r>
              <w:rPr>
                <w:noProof/>
                <w:webHidden/>
              </w:rPr>
              <w:fldChar w:fldCharType="begin"/>
            </w:r>
            <w:r>
              <w:rPr>
                <w:noProof/>
                <w:webHidden/>
              </w:rPr>
              <w:instrText xml:space="preserve"> PAGEREF _Toc224830435 \h </w:instrText>
            </w:r>
            <w:r>
              <w:rPr>
                <w:noProof/>
                <w:webHidden/>
              </w:rPr>
            </w:r>
            <w:r>
              <w:rPr>
                <w:noProof/>
                <w:webHidden/>
              </w:rPr>
              <w:fldChar w:fldCharType="separate"/>
            </w:r>
            <w:r>
              <w:rPr>
                <w:noProof/>
                <w:webHidden/>
              </w:rPr>
              <w:t>4</w:t>
            </w:r>
            <w:r>
              <w:rPr>
                <w:noProof/>
                <w:webHidden/>
              </w:rPr>
              <w:fldChar w:fldCharType="end"/>
            </w:r>
          </w:hyperlink>
        </w:p>
        <w:p w14:paraId="102D586F" w14:textId="124AA6E0" w:rsidR="00CA03CA" w:rsidRDefault="00CA03CA">
          <w:pPr>
            <w:pStyle w:val="TOC2"/>
            <w:tabs>
              <w:tab w:val="right" w:pos="9019"/>
            </w:tabs>
            <w:rPr>
              <w:noProof/>
            </w:rPr>
          </w:pPr>
          <w:hyperlink w:anchor="_Toc224830436" w:history="1">
            <w:r w:rsidRPr="00115A97">
              <w:rPr>
                <w:rStyle w:val="Hyperlink"/>
                <w:noProof/>
              </w:rPr>
              <w:t>2.3 Social Implications</w:t>
            </w:r>
            <w:r>
              <w:rPr>
                <w:noProof/>
                <w:webHidden/>
              </w:rPr>
              <w:tab/>
            </w:r>
            <w:r>
              <w:rPr>
                <w:noProof/>
                <w:webHidden/>
              </w:rPr>
              <w:fldChar w:fldCharType="begin"/>
            </w:r>
            <w:r>
              <w:rPr>
                <w:noProof/>
                <w:webHidden/>
              </w:rPr>
              <w:instrText xml:space="preserve"> PAGEREF _Toc224830436 \h </w:instrText>
            </w:r>
            <w:r>
              <w:rPr>
                <w:noProof/>
                <w:webHidden/>
              </w:rPr>
            </w:r>
            <w:r>
              <w:rPr>
                <w:noProof/>
                <w:webHidden/>
              </w:rPr>
              <w:fldChar w:fldCharType="separate"/>
            </w:r>
            <w:r>
              <w:rPr>
                <w:noProof/>
                <w:webHidden/>
              </w:rPr>
              <w:t>5</w:t>
            </w:r>
            <w:r>
              <w:rPr>
                <w:noProof/>
                <w:webHidden/>
              </w:rPr>
              <w:fldChar w:fldCharType="end"/>
            </w:r>
          </w:hyperlink>
        </w:p>
        <w:p w14:paraId="36A64B54" w14:textId="06E6D09E" w:rsidR="00CA03CA" w:rsidRDefault="00CA03CA">
          <w:pPr>
            <w:pStyle w:val="TOC1"/>
            <w:tabs>
              <w:tab w:val="right" w:pos="9019"/>
            </w:tabs>
            <w:rPr>
              <w:noProof/>
            </w:rPr>
          </w:pPr>
          <w:hyperlink w:anchor="_Toc224830437" w:history="1">
            <w:r w:rsidRPr="00115A97">
              <w:rPr>
                <w:rStyle w:val="Hyperlink"/>
                <w:noProof/>
              </w:rPr>
              <w:t>3. Treatment and Management in the UK</w:t>
            </w:r>
            <w:r>
              <w:rPr>
                <w:noProof/>
                <w:webHidden/>
              </w:rPr>
              <w:tab/>
            </w:r>
            <w:r>
              <w:rPr>
                <w:noProof/>
                <w:webHidden/>
              </w:rPr>
              <w:fldChar w:fldCharType="begin"/>
            </w:r>
            <w:r>
              <w:rPr>
                <w:noProof/>
                <w:webHidden/>
              </w:rPr>
              <w:instrText xml:space="preserve"> PAGEREF _Toc224830437 \h </w:instrText>
            </w:r>
            <w:r>
              <w:rPr>
                <w:noProof/>
                <w:webHidden/>
              </w:rPr>
            </w:r>
            <w:r>
              <w:rPr>
                <w:noProof/>
                <w:webHidden/>
              </w:rPr>
              <w:fldChar w:fldCharType="separate"/>
            </w:r>
            <w:r>
              <w:rPr>
                <w:noProof/>
                <w:webHidden/>
              </w:rPr>
              <w:t>5</w:t>
            </w:r>
            <w:r>
              <w:rPr>
                <w:noProof/>
                <w:webHidden/>
              </w:rPr>
              <w:fldChar w:fldCharType="end"/>
            </w:r>
          </w:hyperlink>
        </w:p>
        <w:p w14:paraId="24A4A76A" w14:textId="7784AE82" w:rsidR="00CA03CA" w:rsidRDefault="00CA03CA">
          <w:pPr>
            <w:pStyle w:val="TOC1"/>
            <w:tabs>
              <w:tab w:val="right" w:pos="9019"/>
            </w:tabs>
            <w:rPr>
              <w:noProof/>
            </w:rPr>
          </w:pPr>
          <w:hyperlink w:anchor="_Toc224830438" w:history="1">
            <w:r w:rsidRPr="00115A97">
              <w:rPr>
                <w:rStyle w:val="Hyperlink"/>
                <w:noProof/>
              </w:rPr>
              <w:t>4. Models</w:t>
            </w:r>
            <w:r>
              <w:rPr>
                <w:noProof/>
                <w:webHidden/>
              </w:rPr>
              <w:tab/>
            </w:r>
            <w:r>
              <w:rPr>
                <w:noProof/>
                <w:webHidden/>
              </w:rPr>
              <w:fldChar w:fldCharType="begin"/>
            </w:r>
            <w:r>
              <w:rPr>
                <w:noProof/>
                <w:webHidden/>
              </w:rPr>
              <w:instrText xml:space="preserve"> PAGEREF _Toc224830438 \h </w:instrText>
            </w:r>
            <w:r>
              <w:rPr>
                <w:noProof/>
                <w:webHidden/>
              </w:rPr>
            </w:r>
            <w:r>
              <w:rPr>
                <w:noProof/>
                <w:webHidden/>
              </w:rPr>
              <w:fldChar w:fldCharType="separate"/>
            </w:r>
            <w:r>
              <w:rPr>
                <w:noProof/>
                <w:webHidden/>
              </w:rPr>
              <w:t>6</w:t>
            </w:r>
            <w:r>
              <w:rPr>
                <w:noProof/>
                <w:webHidden/>
              </w:rPr>
              <w:fldChar w:fldCharType="end"/>
            </w:r>
          </w:hyperlink>
        </w:p>
        <w:p w14:paraId="5BB75570" w14:textId="1E9EC5E5" w:rsidR="00CA03CA" w:rsidRDefault="00CA03CA">
          <w:pPr>
            <w:pStyle w:val="TOC1"/>
            <w:tabs>
              <w:tab w:val="right" w:pos="9019"/>
            </w:tabs>
            <w:rPr>
              <w:noProof/>
            </w:rPr>
          </w:pPr>
          <w:hyperlink w:anchor="_Toc224830439" w:history="1">
            <w:r w:rsidRPr="00115A97">
              <w:rPr>
                <w:rStyle w:val="Hyperlink"/>
                <w:noProof/>
              </w:rPr>
              <w:t>5. Policies and Guidelines</w:t>
            </w:r>
            <w:r>
              <w:rPr>
                <w:noProof/>
                <w:webHidden/>
              </w:rPr>
              <w:tab/>
            </w:r>
            <w:r>
              <w:rPr>
                <w:noProof/>
                <w:webHidden/>
              </w:rPr>
              <w:fldChar w:fldCharType="begin"/>
            </w:r>
            <w:r>
              <w:rPr>
                <w:noProof/>
                <w:webHidden/>
              </w:rPr>
              <w:instrText xml:space="preserve"> PAGEREF _Toc224830439 \h </w:instrText>
            </w:r>
            <w:r>
              <w:rPr>
                <w:noProof/>
                <w:webHidden/>
              </w:rPr>
            </w:r>
            <w:r>
              <w:rPr>
                <w:noProof/>
                <w:webHidden/>
              </w:rPr>
              <w:fldChar w:fldCharType="separate"/>
            </w:r>
            <w:r>
              <w:rPr>
                <w:noProof/>
                <w:webHidden/>
              </w:rPr>
              <w:t>7</w:t>
            </w:r>
            <w:r>
              <w:rPr>
                <w:noProof/>
                <w:webHidden/>
              </w:rPr>
              <w:fldChar w:fldCharType="end"/>
            </w:r>
          </w:hyperlink>
        </w:p>
        <w:p w14:paraId="235591EA" w14:textId="1E995D06" w:rsidR="00CA03CA" w:rsidRDefault="00CA03CA">
          <w:pPr>
            <w:pStyle w:val="TOC1"/>
            <w:tabs>
              <w:tab w:val="right" w:pos="9019"/>
            </w:tabs>
            <w:rPr>
              <w:noProof/>
            </w:rPr>
          </w:pPr>
          <w:hyperlink w:anchor="_Toc224830440" w:history="1">
            <w:r w:rsidRPr="00115A97">
              <w:rPr>
                <w:rStyle w:val="Hyperlink"/>
                <w:noProof/>
              </w:rPr>
              <w:t>6. Recommendations</w:t>
            </w:r>
            <w:r>
              <w:rPr>
                <w:noProof/>
                <w:webHidden/>
              </w:rPr>
              <w:tab/>
            </w:r>
            <w:r>
              <w:rPr>
                <w:noProof/>
                <w:webHidden/>
              </w:rPr>
              <w:fldChar w:fldCharType="begin"/>
            </w:r>
            <w:r>
              <w:rPr>
                <w:noProof/>
                <w:webHidden/>
              </w:rPr>
              <w:instrText xml:space="preserve"> PAGEREF _Toc224830440 \h </w:instrText>
            </w:r>
            <w:r>
              <w:rPr>
                <w:noProof/>
                <w:webHidden/>
              </w:rPr>
            </w:r>
            <w:r>
              <w:rPr>
                <w:noProof/>
                <w:webHidden/>
              </w:rPr>
              <w:fldChar w:fldCharType="separate"/>
            </w:r>
            <w:r>
              <w:rPr>
                <w:noProof/>
                <w:webHidden/>
              </w:rPr>
              <w:t>8</w:t>
            </w:r>
            <w:r>
              <w:rPr>
                <w:noProof/>
                <w:webHidden/>
              </w:rPr>
              <w:fldChar w:fldCharType="end"/>
            </w:r>
          </w:hyperlink>
        </w:p>
        <w:p w14:paraId="24CB8AE3" w14:textId="39BDA333" w:rsidR="00CA03CA" w:rsidRDefault="00CA03CA">
          <w:pPr>
            <w:pStyle w:val="TOC1"/>
            <w:tabs>
              <w:tab w:val="right" w:pos="9019"/>
            </w:tabs>
            <w:rPr>
              <w:noProof/>
            </w:rPr>
          </w:pPr>
          <w:hyperlink w:anchor="_Toc224830441" w:history="1">
            <w:r w:rsidRPr="00115A97">
              <w:rPr>
                <w:rStyle w:val="Hyperlink"/>
                <w:noProof/>
              </w:rPr>
              <w:t>6.1 Person-Centred Care</w:t>
            </w:r>
            <w:r>
              <w:rPr>
                <w:noProof/>
                <w:webHidden/>
              </w:rPr>
              <w:tab/>
            </w:r>
            <w:r>
              <w:rPr>
                <w:noProof/>
                <w:webHidden/>
              </w:rPr>
              <w:fldChar w:fldCharType="begin"/>
            </w:r>
            <w:r>
              <w:rPr>
                <w:noProof/>
                <w:webHidden/>
              </w:rPr>
              <w:instrText xml:space="preserve"> PAGEREF _Toc224830441 \h </w:instrText>
            </w:r>
            <w:r>
              <w:rPr>
                <w:noProof/>
                <w:webHidden/>
              </w:rPr>
            </w:r>
            <w:r>
              <w:rPr>
                <w:noProof/>
                <w:webHidden/>
              </w:rPr>
              <w:fldChar w:fldCharType="separate"/>
            </w:r>
            <w:r>
              <w:rPr>
                <w:noProof/>
                <w:webHidden/>
              </w:rPr>
              <w:t>9</w:t>
            </w:r>
            <w:r>
              <w:rPr>
                <w:noProof/>
                <w:webHidden/>
              </w:rPr>
              <w:fldChar w:fldCharType="end"/>
            </w:r>
          </w:hyperlink>
        </w:p>
        <w:p w14:paraId="2F9BE7E1" w14:textId="2B028E18" w:rsidR="00CA03CA" w:rsidRDefault="00CA03CA">
          <w:pPr>
            <w:pStyle w:val="TOC1"/>
            <w:tabs>
              <w:tab w:val="right" w:pos="9019"/>
            </w:tabs>
            <w:rPr>
              <w:noProof/>
            </w:rPr>
          </w:pPr>
          <w:hyperlink w:anchor="_Toc224830442" w:history="1">
            <w:r w:rsidRPr="00115A97">
              <w:rPr>
                <w:rStyle w:val="Hyperlink"/>
                <w:noProof/>
              </w:rPr>
              <w:t>6.2 Self-Management</w:t>
            </w:r>
            <w:r>
              <w:rPr>
                <w:noProof/>
                <w:webHidden/>
              </w:rPr>
              <w:tab/>
            </w:r>
            <w:r>
              <w:rPr>
                <w:noProof/>
                <w:webHidden/>
              </w:rPr>
              <w:fldChar w:fldCharType="begin"/>
            </w:r>
            <w:r>
              <w:rPr>
                <w:noProof/>
                <w:webHidden/>
              </w:rPr>
              <w:instrText xml:space="preserve"> PAGEREF _Toc224830442 \h </w:instrText>
            </w:r>
            <w:r>
              <w:rPr>
                <w:noProof/>
                <w:webHidden/>
              </w:rPr>
            </w:r>
            <w:r>
              <w:rPr>
                <w:noProof/>
                <w:webHidden/>
              </w:rPr>
              <w:fldChar w:fldCharType="separate"/>
            </w:r>
            <w:r>
              <w:rPr>
                <w:noProof/>
                <w:webHidden/>
              </w:rPr>
              <w:t>10</w:t>
            </w:r>
            <w:r>
              <w:rPr>
                <w:noProof/>
                <w:webHidden/>
              </w:rPr>
              <w:fldChar w:fldCharType="end"/>
            </w:r>
          </w:hyperlink>
        </w:p>
        <w:p w14:paraId="0B1B6C2C" w14:textId="2B175136" w:rsidR="00CA03CA" w:rsidRDefault="00CA03CA">
          <w:pPr>
            <w:pStyle w:val="TOC2"/>
            <w:tabs>
              <w:tab w:val="right" w:pos="9019"/>
            </w:tabs>
            <w:rPr>
              <w:noProof/>
            </w:rPr>
          </w:pPr>
          <w:hyperlink w:anchor="_Toc224830443" w:history="1">
            <w:r w:rsidRPr="00115A97">
              <w:rPr>
                <w:rStyle w:val="Hyperlink"/>
                <w:noProof/>
              </w:rPr>
              <w:t>6.3 End of Life Care</w:t>
            </w:r>
            <w:r>
              <w:rPr>
                <w:noProof/>
                <w:webHidden/>
              </w:rPr>
              <w:tab/>
            </w:r>
            <w:r>
              <w:rPr>
                <w:noProof/>
                <w:webHidden/>
              </w:rPr>
              <w:fldChar w:fldCharType="begin"/>
            </w:r>
            <w:r>
              <w:rPr>
                <w:noProof/>
                <w:webHidden/>
              </w:rPr>
              <w:instrText xml:space="preserve"> PAGEREF _Toc224830443 \h </w:instrText>
            </w:r>
            <w:r>
              <w:rPr>
                <w:noProof/>
                <w:webHidden/>
              </w:rPr>
            </w:r>
            <w:r>
              <w:rPr>
                <w:noProof/>
                <w:webHidden/>
              </w:rPr>
              <w:fldChar w:fldCharType="separate"/>
            </w:r>
            <w:r>
              <w:rPr>
                <w:noProof/>
                <w:webHidden/>
              </w:rPr>
              <w:t>10</w:t>
            </w:r>
            <w:r>
              <w:rPr>
                <w:noProof/>
                <w:webHidden/>
              </w:rPr>
              <w:fldChar w:fldCharType="end"/>
            </w:r>
          </w:hyperlink>
        </w:p>
        <w:p w14:paraId="361187C3" w14:textId="087E89E2" w:rsidR="00CA03CA" w:rsidRDefault="00CA03CA">
          <w:pPr>
            <w:pStyle w:val="TOC1"/>
            <w:tabs>
              <w:tab w:val="right" w:pos="9019"/>
            </w:tabs>
            <w:rPr>
              <w:noProof/>
            </w:rPr>
          </w:pPr>
          <w:hyperlink w:anchor="_Toc224830444" w:history="1">
            <w:r w:rsidRPr="00115A97">
              <w:rPr>
                <w:rStyle w:val="Hyperlink"/>
                <w:noProof/>
              </w:rPr>
              <w:t>7. Conclusion</w:t>
            </w:r>
            <w:r>
              <w:rPr>
                <w:noProof/>
                <w:webHidden/>
              </w:rPr>
              <w:tab/>
            </w:r>
            <w:r>
              <w:rPr>
                <w:noProof/>
                <w:webHidden/>
              </w:rPr>
              <w:fldChar w:fldCharType="begin"/>
            </w:r>
            <w:r>
              <w:rPr>
                <w:noProof/>
                <w:webHidden/>
              </w:rPr>
              <w:instrText xml:space="preserve"> PAGEREF _Toc224830444 \h </w:instrText>
            </w:r>
            <w:r>
              <w:rPr>
                <w:noProof/>
                <w:webHidden/>
              </w:rPr>
            </w:r>
            <w:r>
              <w:rPr>
                <w:noProof/>
                <w:webHidden/>
              </w:rPr>
              <w:fldChar w:fldCharType="separate"/>
            </w:r>
            <w:r>
              <w:rPr>
                <w:noProof/>
                <w:webHidden/>
              </w:rPr>
              <w:t>10</w:t>
            </w:r>
            <w:r>
              <w:rPr>
                <w:noProof/>
                <w:webHidden/>
              </w:rPr>
              <w:fldChar w:fldCharType="end"/>
            </w:r>
          </w:hyperlink>
        </w:p>
        <w:p w14:paraId="59920B05" w14:textId="071C08E2" w:rsidR="00CA03CA" w:rsidRDefault="00CA03CA">
          <w:pPr>
            <w:pStyle w:val="TOC1"/>
            <w:tabs>
              <w:tab w:val="right" w:pos="9019"/>
            </w:tabs>
            <w:rPr>
              <w:noProof/>
            </w:rPr>
          </w:pPr>
          <w:hyperlink w:anchor="_Toc224830445" w:history="1">
            <w:r w:rsidRPr="00115A97">
              <w:rPr>
                <w:rStyle w:val="Hyperlink"/>
                <w:noProof/>
              </w:rPr>
              <w:t>References</w:t>
            </w:r>
            <w:r>
              <w:rPr>
                <w:noProof/>
                <w:webHidden/>
              </w:rPr>
              <w:tab/>
            </w:r>
            <w:r>
              <w:rPr>
                <w:noProof/>
                <w:webHidden/>
              </w:rPr>
              <w:fldChar w:fldCharType="begin"/>
            </w:r>
            <w:r>
              <w:rPr>
                <w:noProof/>
                <w:webHidden/>
              </w:rPr>
              <w:instrText xml:space="preserve"> PAGEREF _Toc224830445 \h </w:instrText>
            </w:r>
            <w:r>
              <w:rPr>
                <w:noProof/>
                <w:webHidden/>
              </w:rPr>
            </w:r>
            <w:r>
              <w:rPr>
                <w:noProof/>
                <w:webHidden/>
              </w:rPr>
              <w:fldChar w:fldCharType="separate"/>
            </w:r>
            <w:r>
              <w:rPr>
                <w:noProof/>
                <w:webHidden/>
              </w:rPr>
              <w:t>12</w:t>
            </w:r>
            <w:r>
              <w:rPr>
                <w:noProof/>
                <w:webHidden/>
              </w:rPr>
              <w:fldChar w:fldCharType="end"/>
            </w:r>
          </w:hyperlink>
        </w:p>
        <w:p w14:paraId="57DD4F56" w14:textId="52BDAE16" w:rsidR="00D9266D" w:rsidRDefault="00D9266D">
          <w:pPr>
            <w:widowControl w:val="0"/>
            <w:tabs>
              <w:tab w:val="right" w:pos="12000"/>
            </w:tabs>
            <w:spacing w:before="60" w:line="360" w:lineRule="auto"/>
            <w:jc w:val="both"/>
            <w:rPr>
              <w:rFonts w:ascii="Times New Roman" w:eastAsia="Times New Roman" w:hAnsi="Times New Roman" w:cs="Times New Roman"/>
              <w:b/>
              <w:bCs/>
              <w:color w:val="FF0000"/>
              <w:sz w:val="24"/>
              <w:szCs w:val="24"/>
            </w:rPr>
          </w:pPr>
          <w:r>
            <w:fldChar w:fldCharType="end"/>
          </w:r>
        </w:p>
      </w:sdtContent>
    </w:sdt>
    <w:p w14:paraId="603983DC" w14:textId="77777777" w:rsidR="00D9266D" w:rsidRDefault="00D9266D">
      <w:pPr>
        <w:spacing w:line="360" w:lineRule="auto"/>
        <w:jc w:val="center"/>
        <w:rPr>
          <w:rFonts w:ascii="Times New Roman" w:eastAsia="Times New Roman" w:hAnsi="Times New Roman" w:cs="Times New Roman"/>
          <w:b/>
          <w:bCs/>
          <w:sz w:val="26"/>
          <w:szCs w:val="26"/>
        </w:rPr>
      </w:pPr>
    </w:p>
    <w:p w14:paraId="19848529" w14:textId="77777777" w:rsidR="00D9266D" w:rsidRDefault="00D9266D">
      <w:pPr>
        <w:spacing w:line="360" w:lineRule="auto"/>
        <w:jc w:val="center"/>
        <w:rPr>
          <w:rFonts w:ascii="Times New Roman" w:eastAsia="Times New Roman" w:hAnsi="Times New Roman" w:cs="Times New Roman"/>
          <w:b/>
          <w:bCs/>
          <w:sz w:val="26"/>
          <w:szCs w:val="26"/>
        </w:rPr>
      </w:pPr>
    </w:p>
    <w:p w14:paraId="5E26D42C" w14:textId="77777777" w:rsidR="00203846" w:rsidRDefault="00203846">
      <w:pPr>
        <w:spacing w:line="360" w:lineRule="auto"/>
        <w:jc w:val="both"/>
        <w:sectPr w:rsidR="00203846" w:rsidSect="003C5D2E">
          <w:footerReference w:type="default" r:id="rId8"/>
          <w:footerReference w:type="firs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pPr>
    </w:p>
    <w:p w14:paraId="5ADE898A" w14:textId="77777777" w:rsidR="00D9266D" w:rsidRDefault="00EE195E">
      <w:pPr>
        <w:pStyle w:val="Heading1"/>
      </w:pPr>
      <w:bookmarkStart w:id="0" w:name="_Toc224830431"/>
      <w:r>
        <w:lastRenderedPageBreak/>
        <w:t>1. Introduction</w:t>
      </w:r>
      <w:bookmarkEnd w:id="0"/>
    </w:p>
    <w:p w14:paraId="264F5C42"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Asthma is a persistent respiratory disorder that is defined by inflammation of the airways, hyper-responsiveness and reversibility of airflow obstruction. It influences about 339 million individuals in the world and is an important issue in healthcare policy because it determines quality of life, health care use, and death (</w:t>
      </w:r>
      <w:proofErr w:type="spellStart"/>
      <w:r>
        <w:rPr>
          <w:rFonts w:ascii="Times New Roman" w:eastAsia="Times New Roman" w:hAnsi="Times New Roman" w:cs="Times New Roman"/>
          <w:sz w:val="24"/>
          <w:szCs w:val="24"/>
        </w:rPr>
        <w:t>Kawamatawong</w:t>
      </w:r>
      <w:proofErr w:type="spellEnd"/>
      <w:r>
        <w:rPr>
          <w:rFonts w:ascii="Times New Roman" w:eastAsia="Times New Roman" w:hAnsi="Times New Roman" w:cs="Times New Roman"/>
          <w:sz w:val="24"/>
          <w:szCs w:val="24"/>
        </w:rPr>
        <w:t xml:space="preserve"> et al. 2022). Asthma is characterised by episodic wheezing, breathlessness, chest tightness, and coughing, the severity of the disease varies between mild discontinuous symptoms and severe chronic disease that involves intricate interventions (Louis et al. 2022). The key to halting the exacerbations, maximising the lung functionality and enhancing patient outcomes is proper management.</w:t>
      </w:r>
    </w:p>
    <w:p w14:paraId="4D9323BF" w14:textId="77777777" w:rsidR="00D9266D" w:rsidRDefault="00EE195E">
      <w:pPr>
        <w:pStyle w:val="Heading1"/>
      </w:pPr>
      <w:bookmarkStart w:id="1" w:name="_Toc224830432"/>
      <w:r>
        <w:t>2. Prevalence Note</w:t>
      </w:r>
      <w:bookmarkEnd w:id="1"/>
    </w:p>
    <w:p w14:paraId="20CF3313"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condition of asthma was first known many millennia ago since ancient medical documents described breathing difficulties and wheezing. It is an inflammatory disorder with an immunogenic aetiology and characteristics, with genetic and environmental factors (Martin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The disease progression is not uniform: in a certain number of cases, childhood-onset asthma disappears in adulthood, and in others, adult-onset and severe asthma develops permanently (Khan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Research in molecular and immunological </w:t>
      </w:r>
      <w:r>
        <w:rPr>
          <w:rFonts w:ascii="Times New Roman" w:eastAsia="Times New Roman" w:hAnsi="Times New Roman" w:cs="Times New Roman"/>
          <w:sz w:val="24"/>
          <w:szCs w:val="24"/>
        </w:rPr>
        <w:t>biomarkers has enhanced the classification, which has identified eosinophilic, neutrophilic, and mixed asthma phenotypes, each providing a target therapy.</w:t>
      </w:r>
    </w:p>
    <w:p w14:paraId="47E72DD4"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Medical science and research of the respiratory system have advanced in the world with the understanding of asthma making a major breakthrough over time. Previously, asthma was regarded as the disease caused mainly by airway narrowing but the current studies have shown it to be a chronic inflammation disease and complex immune responses (Maspero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Technology in diagnostics has enabled clinicians to better assess lung functioning and consequently diagnose the severity of asthma at an earlier stage and categorise it (Louis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This has enhanced the capacity of medical practitioners to track the growth of diseases and to change the treatment plans to suit particular patient requirements.</w:t>
      </w:r>
    </w:p>
    <w:p w14:paraId="0AD5F443"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found that epidemiological studies have shown that prevalence of asthma has been on the rise in the recent decades especially in urbanised and industrialised areas (Anto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Factors that have been pointed at causing this trend include environmental changes, exposure to allergens and lifestyle factors. Asthma is a given chronic ailment in children and in many cases, this condition demands long </w:t>
      </w:r>
      <w:r>
        <w:rPr>
          <w:rFonts w:ascii="Times New Roman" w:eastAsia="Times New Roman" w:hAnsi="Times New Roman" w:cs="Times New Roman"/>
          <w:sz w:val="24"/>
          <w:szCs w:val="24"/>
        </w:rPr>
        <w:lastRenderedPageBreak/>
        <w:t>term observation during adolescence and adulthood (Mansur and Prasad, 2023).</w:t>
      </w:r>
    </w:p>
    <w:p w14:paraId="4D086470"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Asthma has a divergent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course in different individuals. There are some individuals who have intermittent symptoms and long periods of remission whereas others develop long term asthma which needs constant treatment by the medical practitioners. </w:t>
      </w:r>
    </w:p>
    <w:p w14:paraId="5601FC12" w14:textId="77777777" w:rsidR="00D9266D" w:rsidRDefault="00EE195E">
      <w:pPr>
        <w:pStyle w:val="Heading2"/>
      </w:pPr>
      <w:bookmarkStart w:id="2" w:name="_Toc224830433"/>
      <w:r>
        <w:t>2.1 Risk Factors</w:t>
      </w:r>
      <w:bookmarkEnd w:id="2"/>
    </w:p>
    <w:p w14:paraId="25302126"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Asthma is a result of the role of genetic inclination, environmental exposures, and lifestyle combination factors. Such risk factors as atopy, family history of asthma, air pollutants, tobacco smoke, work-related irritants, and respiratory infections are considered customers (</w:t>
      </w:r>
      <w:proofErr w:type="spellStart"/>
      <w:r>
        <w:rPr>
          <w:rFonts w:ascii="Times New Roman" w:eastAsia="Times New Roman" w:hAnsi="Times New Roman" w:cs="Times New Roman"/>
          <w:sz w:val="24"/>
          <w:szCs w:val="24"/>
        </w:rPr>
        <w:t>Kawamatawong</w:t>
      </w:r>
      <w:proofErr w:type="spellEnd"/>
      <w:r>
        <w:rPr>
          <w:rFonts w:ascii="Times New Roman" w:eastAsia="Times New Roman" w:hAnsi="Times New Roman" w:cs="Times New Roman"/>
          <w:sz w:val="24"/>
          <w:szCs w:val="24"/>
        </w:rPr>
        <w:t xml:space="preserve"> et al. 2022). Such comorbid disorders as obesity, gastroesophageal reflux, and chronic rhinosinusitis complicate symptoms and make it more difficult to manage (Moitra et al. 2023). The interplay between genetics and environmental stimuli explains the significance of early diagnosis and prevention of the risk factors.</w:t>
      </w:r>
    </w:p>
    <w:p w14:paraId="427463C7" w14:textId="77777777" w:rsidR="00D9266D" w:rsidRDefault="00EE19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0C5EF79" wp14:editId="3229E737">
            <wp:extent cx="2533015" cy="2261968"/>
            <wp:effectExtent l="38100" t="38100" r="38735" b="4318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547427" cy="2274838"/>
                    </a:xfrm>
                    <a:prstGeom prst="rect">
                      <a:avLst/>
                    </a:prstGeom>
                    <a:ln w="25400">
                      <a:solidFill>
                        <a:srgbClr val="000000"/>
                      </a:solidFill>
                      <a:prstDash val="solid"/>
                    </a:ln>
                  </pic:spPr>
                </pic:pic>
              </a:graphicData>
            </a:graphic>
          </wp:inline>
        </w:drawing>
      </w:r>
    </w:p>
    <w:p w14:paraId="0624B33F" w14:textId="77777777" w:rsidR="00D9266D" w:rsidRDefault="00EE195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Risks of </w:t>
      </w:r>
      <w:proofErr w:type="spellStart"/>
      <w:r>
        <w:rPr>
          <w:rFonts w:ascii="Times New Roman" w:eastAsia="Times New Roman" w:hAnsi="Times New Roman" w:cs="Times New Roman"/>
          <w:b/>
          <w:bCs/>
          <w:sz w:val="24"/>
          <w:szCs w:val="24"/>
        </w:rPr>
        <w:t>Asthema</w:t>
      </w:r>
      <w:proofErr w:type="spellEnd"/>
    </w:p>
    <w:p w14:paraId="48FD2538" w14:textId="77777777" w:rsidR="00D9266D" w:rsidRDefault="00EE19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Cleveland Clinic, 2025)</w:t>
      </w:r>
    </w:p>
    <w:p w14:paraId="3289AB10"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Alongside the genetic predisposition and environmental exposure, there are a number of other factors that lead to the creation of asthma and exacerbation of the condition (</w:t>
      </w:r>
      <w:proofErr w:type="spellStart"/>
      <w:r>
        <w:rPr>
          <w:rFonts w:ascii="Times New Roman" w:eastAsia="Times New Roman" w:hAnsi="Times New Roman" w:cs="Times New Roman"/>
          <w:sz w:val="24"/>
          <w:szCs w:val="24"/>
        </w:rPr>
        <w:t>Chatkin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The factors that occur at early-life stages are significant in determining respiratory health. Serving as an irritant to the immune system, the exposure to respiratory infections in infancy or childhood can predispose a person to asthma in later life. It has also been found that due to the un-proper development of the lungs, premature birth and low birth weight are both related to a high possibility of respiratory diseases, such as asthma (Herrera-Luis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w:t>
      </w:r>
    </w:p>
    <w:p w14:paraId="667456DB"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of asthma can also be influenced by the environmental factors in the homes and the communities. Dust mites, mould, pet dander and cockroach allergens are some indoor allergens that are known to cause airway inflammations in people who </w:t>
      </w:r>
      <w:r>
        <w:rPr>
          <w:rFonts w:ascii="Times New Roman" w:eastAsia="Times New Roman" w:hAnsi="Times New Roman" w:cs="Times New Roman"/>
          <w:sz w:val="24"/>
          <w:szCs w:val="24"/>
        </w:rPr>
        <w:lastRenderedPageBreak/>
        <w:t>are prone to the allergens (Torres-Borrego and Sánchez-Solís, 2023). Housing, overcrowding, and insufficient ventilation may also result in exposure to these triggers and aid in the continuation of the symptoms. On the same note, environmental elements like air pollution, traffic emission, and industrial pollutants in the environment have also been attributed to increased cases of asthma in people in urban areas.</w:t>
      </w:r>
    </w:p>
    <w:tbl>
      <w:tblPr>
        <w:tblStyle w:val="a"/>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144"/>
      </w:tblGrid>
      <w:tr w:rsidR="00D9266D" w14:paraId="4612245E" w14:textId="77777777" w:rsidTr="00242B1A">
        <w:tc>
          <w:tcPr>
            <w:tcW w:w="5000" w:type="pct"/>
          </w:tcPr>
          <w:p w14:paraId="18350BCB"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Lifestyle is another factor that contributes to asthma risk and severity of the symptoms. Physical inactivity, poor eating habits, and obesity can aggravate respiratory ability and aggravate inflammation in airways (Lim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w:t>
            </w:r>
          </w:p>
        </w:tc>
      </w:tr>
      <w:tr w:rsidR="00D9266D" w14:paraId="367347AA" w14:textId="77777777" w:rsidTr="00242B1A">
        <w:tc>
          <w:tcPr>
            <w:tcW w:w="5000" w:type="pct"/>
          </w:tcPr>
          <w:p w14:paraId="4109F7C6"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Psychological strain is also one of the factors that have been cited to augment the symptoms of asthma and enhance the chances of exacerbations.</w:t>
            </w:r>
          </w:p>
        </w:tc>
      </w:tr>
      <w:tr w:rsidR="00D9266D" w14:paraId="7A6CE67D" w14:textId="77777777" w:rsidTr="00242B1A">
        <w:tc>
          <w:tcPr>
            <w:tcW w:w="5000" w:type="pct"/>
          </w:tcPr>
          <w:p w14:paraId="7F910B56"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Work-related asthma may be caused by occupational exposure of some individuals to some substances (Tsui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w:t>
            </w:r>
          </w:p>
        </w:tc>
      </w:tr>
    </w:tbl>
    <w:p w14:paraId="3ED33A2D" w14:textId="77777777" w:rsidR="00D9266D" w:rsidRDefault="00EE195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Cause</w:t>
      </w:r>
    </w:p>
    <w:p w14:paraId="486BB86C" w14:textId="77777777" w:rsidR="00D9266D" w:rsidRDefault="00EE19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14:paraId="678EEC89"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Persons who work in the areas that are related to chemicals, dust, or fumes might get respiratory irritation and airway hypersensitivity. These varied risk factors must be identified and dealt with in both </w:t>
      </w:r>
      <w:r>
        <w:rPr>
          <w:rFonts w:ascii="Times New Roman" w:eastAsia="Times New Roman" w:hAnsi="Times New Roman" w:cs="Times New Roman"/>
          <w:sz w:val="24"/>
          <w:szCs w:val="24"/>
        </w:rPr>
        <w:t>prevention and in well management of asthma among the various groups of the population.</w:t>
      </w:r>
    </w:p>
    <w:p w14:paraId="711533C9" w14:textId="77777777" w:rsidR="00D9266D" w:rsidRDefault="00EE195E">
      <w:pPr>
        <w:pStyle w:val="Heading2"/>
        <w:rPr>
          <w:color w:val="FF0000"/>
        </w:rPr>
      </w:pPr>
      <w:bookmarkStart w:id="3" w:name="_Toc224830434"/>
      <w:r>
        <w:rPr>
          <w:color w:val="FF0000"/>
        </w:rPr>
        <w:t>2.2 Physical Implications</w:t>
      </w:r>
      <w:bookmarkEnd w:id="3"/>
    </w:p>
    <w:p w14:paraId="55709510" w14:textId="77777777" w:rsidR="00D9266D" w:rsidRDefault="00EE195E">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Asthma has significant physical consequences, particularly when poorly controlled. It can lead to frequent hospitalisations, emergency visits, and, in severe cases, death (</w:t>
      </w:r>
      <w:proofErr w:type="spellStart"/>
      <w:r>
        <w:rPr>
          <w:rFonts w:ascii="Times New Roman" w:eastAsia="Times New Roman" w:hAnsi="Times New Roman" w:cs="Times New Roman"/>
          <w:color w:val="FF0000"/>
          <w:sz w:val="24"/>
          <w:szCs w:val="24"/>
        </w:rPr>
        <w:t>Gulea</w:t>
      </w:r>
      <w:proofErr w:type="spellEnd"/>
      <w:r>
        <w:rPr>
          <w:rFonts w:ascii="Times New Roman" w:eastAsia="Times New Roman" w:hAnsi="Times New Roman" w:cs="Times New Roman"/>
          <w:color w:val="FF0000"/>
          <w:sz w:val="24"/>
          <w:szCs w:val="24"/>
        </w:rPr>
        <w:t xml:space="preserve"> et al., 2022). Individuals often experience limitations in physical activities such as exercise, sports, and daily tasks due to breathlessness and fatigue (</w:t>
      </w:r>
      <w:proofErr w:type="spellStart"/>
      <w:r>
        <w:rPr>
          <w:rFonts w:ascii="Times New Roman" w:eastAsia="Times New Roman" w:hAnsi="Times New Roman" w:cs="Times New Roman"/>
          <w:color w:val="FF0000"/>
          <w:sz w:val="24"/>
          <w:szCs w:val="24"/>
        </w:rPr>
        <w:t>Kawamatawong</w:t>
      </w:r>
      <w:proofErr w:type="spellEnd"/>
      <w:r>
        <w:rPr>
          <w:rFonts w:ascii="Times New Roman" w:eastAsia="Times New Roman" w:hAnsi="Times New Roman" w:cs="Times New Roman"/>
          <w:color w:val="FF0000"/>
          <w:sz w:val="24"/>
          <w:szCs w:val="24"/>
        </w:rPr>
        <w:t xml:space="preserve"> et al., 2022). In children and adolescents, asthma may restrict participation in school and recreational activities, affecting physical development. Additionally, severe asthma is often associated with comorbidities such as cardiovascular disease, further complicating treatment (Khan et al., 2023).</w:t>
      </w:r>
    </w:p>
    <w:p w14:paraId="5B136825" w14:textId="77777777" w:rsidR="00D9266D" w:rsidRDefault="00EE195E">
      <w:pPr>
        <w:pStyle w:val="Heading2"/>
        <w:rPr>
          <w:color w:val="FF0000"/>
        </w:rPr>
      </w:pPr>
      <w:bookmarkStart w:id="4" w:name="_Toc224830435"/>
      <w:r>
        <w:rPr>
          <w:color w:val="FF0000"/>
        </w:rPr>
        <w:t>2.2 Psychological Implications</w:t>
      </w:r>
      <w:bookmarkEnd w:id="4"/>
    </w:p>
    <w:p w14:paraId="128F2B69" w14:textId="77777777" w:rsidR="00D9266D" w:rsidRDefault="00EE195E">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Asthma can have a considerable impact on psychological well-being. The unpredictability of asthma attacks creates constant fear and uncertainty for patients and their families (Holmes et al., 2025). Recurrent symptoms, hospital admissions, and long-term medication use may lead to stress, anxiety, and frustration (</w:t>
      </w:r>
      <w:proofErr w:type="spellStart"/>
      <w:r>
        <w:rPr>
          <w:rFonts w:ascii="Times New Roman" w:eastAsia="Times New Roman" w:hAnsi="Times New Roman" w:cs="Times New Roman"/>
          <w:color w:val="FF0000"/>
          <w:sz w:val="24"/>
          <w:szCs w:val="24"/>
        </w:rPr>
        <w:t>Oluwalade</w:t>
      </w:r>
      <w:proofErr w:type="spellEnd"/>
      <w:r>
        <w:rPr>
          <w:rFonts w:ascii="Times New Roman" w:eastAsia="Times New Roman" w:hAnsi="Times New Roman" w:cs="Times New Roman"/>
          <w:color w:val="FF0000"/>
          <w:sz w:val="24"/>
          <w:szCs w:val="24"/>
        </w:rPr>
        <w:t xml:space="preserve"> et al., 2025). Some individuals may develop dependency on medication or fear severe attacks, which can negatively affect treatment adherence and overall disease management. Depression and anxiety are </w:t>
      </w:r>
      <w:r>
        <w:rPr>
          <w:rFonts w:ascii="Times New Roman" w:eastAsia="Times New Roman" w:hAnsi="Times New Roman" w:cs="Times New Roman"/>
          <w:color w:val="FF0000"/>
          <w:sz w:val="24"/>
          <w:szCs w:val="24"/>
        </w:rPr>
        <w:lastRenderedPageBreak/>
        <w:t>also common comorbidities that further reduce quality of life.</w:t>
      </w:r>
    </w:p>
    <w:p w14:paraId="19811810" w14:textId="77777777" w:rsidR="00D9266D" w:rsidRDefault="00EE195E">
      <w:pPr>
        <w:pStyle w:val="Heading2"/>
        <w:rPr>
          <w:color w:val="FF0000"/>
        </w:rPr>
      </w:pPr>
      <w:bookmarkStart w:id="5" w:name="_Toc224830436"/>
      <w:r>
        <w:rPr>
          <w:color w:val="FF0000"/>
        </w:rPr>
        <w:t>2.3 Social Implications</w:t>
      </w:r>
      <w:bookmarkEnd w:id="5"/>
    </w:p>
    <w:p w14:paraId="0884EB24" w14:textId="77777777" w:rsidR="00D9266D" w:rsidRDefault="00EE195E">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Asthma affects social and economic aspects of life. It often causes absenteeism from work or school, reducing productivity and educational outcomes. Individuals may avoid social activities or travel due to fear of triggers, leading to reduced social interaction. The economic burden is also substantial, with high healthcare costs due to frequent medical visits and emergency care (Pickens et al., 2022; Levy et al., 2023). These impacts highlight the need for comprehensive care that addresses not only medical </w:t>
      </w:r>
      <w:r>
        <w:rPr>
          <w:rFonts w:ascii="Times New Roman" w:eastAsia="Times New Roman" w:hAnsi="Times New Roman" w:cs="Times New Roman"/>
          <w:color w:val="FF0000"/>
          <w:sz w:val="24"/>
          <w:szCs w:val="24"/>
        </w:rPr>
        <w:t>treatment but also social and emotional support systems.</w:t>
      </w:r>
    </w:p>
    <w:p w14:paraId="6E3D88EF" w14:textId="77777777" w:rsidR="00D9266D" w:rsidRDefault="00EE19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47F13E" wp14:editId="5215C509">
            <wp:extent cx="2541643" cy="2254934"/>
            <wp:effectExtent l="38100" t="38100" r="30480" b="31115"/>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b="6489"/>
                    <a:stretch>
                      <a:fillRect/>
                    </a:stretch>
                  </pic:blipFill>
                  <pic:spPr>
                    <a:xfrm>
                      <a:off x="0" y="0"/>
                      <a:ext cx="2558461" cy="2269855"/>
                    </a:xfrm>
                    <a:prstGeom prst="rect">
                      <a:avLst/>
                    </a:prstGeom>
                    <a:ln w="25400">
                      <a:solidFill>
                        <a:srgbClr val="000000"/>
                      </a:solidFill>
                      <a:prstDash val="solid"/>
                    </a:ln>
                  </pic:spPr>
                </pic:pic>
              </a:graphicData>
            </a:graphic>
          </wp:inline>
        </w:drawing>
      </w:r>
    </w:p>
    <w:p w14:paraId="49BB3641" w14:textId="77777777" w:rsidR="00D9266D" w:rsidRDefault="00EE195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Symptoms of Asthma</w:t>
      </w:r>
    </w:p>
    <w:p w14:paraId="2E1D3827" w14:textId="77777777" w:rsidR="00D9266D" w:rsidRDefault="00EE19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Everyday Health, 2025)</w:t>
      </w:r>
    </w:p>
    <w:p w14:paraId="31FFF028" w14:textId="77777777" w:rsidR="00D9266D" w:rsidRDefault="00D9266D">
      <w:pPr>
        <w:spacing w:line="360" w:lineRule="auto"/>
        <w:jc w:val="both"/>
        <w:rPr>
          <w:rFonts w:ascii="Times New Roman" w:eastAsia="Times New Roman" w:hAnsi="Times New Roman" w:cs="Times New Roman"/>
          <w:sz w:val="24"/>
          <w:szCs w:val="24"/>
        </w:rPr>
      </w:pPr>
    </w:p>
    <w:p w14:paraId="42AD0D04" w14:textId="77777777" w:rsidR="00D9266D" w:rsidRDefault="00EE195E">
      <w:pPr>
        <w:pStyle w:val="Heading1"/>
      </w:pPr>
      <w:bookmarkStart w:id="6" w:name="_Toc224830437"/>
      <w:r>
        <w:t>3. Treatment and Management in the UK</w:t>
      </w:r>
      <w:bookmarkEnd w:id="6"/>
    </w:p>
    <w:p w14:paraId="03D92E2B"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has a step-by-step asthma management system, which is anchored on </w:t>
      </w:r>
      <w:r>
        <w:rPr>
          <w:rFonts w:ascii="Times New Roman" w:eastAsia="Times New Roman" w:hAnsi="Times New Roman" w:cs="Times New Roman"/>
          <w:sz w:val="24"/>
          <w:szCs w:val="24"/>
        </w:rPr>
        <w:t>Global Initiative on Asthma (GINA) provisions. There are inhaled corticosteroids (ICS) with as-needed short-acting beta-agonists (SABA) in first-line management (</w:t>
      </w:r>
      <w:proofErr w:type="spellStart"/>
      <w:r>
        <w:rPr>
          <w:rFonts w:ascii="Times New Roman" w:eastAsia="Times New Roman" w:hAnsi="Times New Roman" w:cs="Times New Roman"/>
          <w:sz w:val="24"/>
          <w:szCs w:val="24"/>
        </w:rPr>
        <w:t>Kawamatawong</w:t>
      </w:r>
      <w:proofErr w:type="spellEnd"/>
      <w:r>
        <w:rPr>
          <w:rFonts w:ascii="Times New Roman" w:eastAsia="Times New Roman" w:hAnsi="Times New Roman" w:cs="Times New Roman"/>
          <w:sz w:val="24"/>
          <w:szCs w:val="24"/>
        </w:rPr>
        <w:t xml:space="preserve"> et al. 2022). Omalizumab, mepolizumab, or </w:t>
      </w:r>
      <w:proofErr w:type="spellStart"/>
      <w:r>
        <w:rPr>
          <w:rFonts w:ascii="Times New Roman" w:eastAsia="Times New Roman" w:hAnsi="Times New Roman" w:cs="Times New Roman"/>
          <w:sz w:val="24"/>
          <w:szCs w:val="24"/>
        </w:rPr>
        <w:t>benralizumab</w:t>
      </w:r>
      <w:proofErr w:type="spellEnd"/>
      <w:r>
        <w:rPr>
          <w:rFonts w:ascii="Times New Roman" w:eastAsia="Times New Roman" w:hAnsi="Times New Roman" w:cs="Times New Roman"/>
          <w:sz w:val="24"/>
          <w:szCs w:val="24"/>
        </w:rPr>
        <w:t xml:space="preserve"> are biologic medications that can be used to treat severe asthma and have particular mechanisms of action (McDowell et al. 2023). The points that prevent a worsening of the condition and maximise control include patient education, constant adherence cheques, and regular follow-ups </w:t>
      </w:r>
      <w:r>
        <w:rPr>
          <w:rFonts w:ascii="Times New Roman" w:eastAsia="Times New Roman" w:hAnsi="Times New Roman" w:cs="Times New Roman"/>
          <w:sz w:val="24"/>
          <w:szCs w:val="24"/>
        </w:rPr>
        <w:t>(Busby et al. 2022). UK primary care is a combination of personalised care plans and routine spirometry, peak flow and vaccinations.</w:t>
      </w:r>
    </w:p>
    <w:p w14:paraId="3DCCE7AF"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asthma in the United Kingdom is aimed at the symptom control, avoiding exacerbation and preserving normal pulmonary functions with the help of the complex of medical treatment and patient education. The healthcare professionals follow a systematic method to cover frequent symptoms control analysis, </w:t>
      </w:r>
      <w:proofErr w:type="spellStart"/>
      <w:r>
        <w:rPr>
          <w:rFonts w:ascii="Times New Roman" w:eastAsia="Times New Roman" w:hAnsi="Times New Roman" w:cs="Times New Roman"/>
          <w:sz w:val="24"/>
          <w:szCs w:val="24"/>
        </w:rPr>
        <w:t>rithymetry</w:t>
      </w:r>
      <w:proofErr w:type="spellEnd"/>
      <w:r>
        <w:rPr>
          <w:rFonts w:ascii="Times New Roman" w:eastAsia="Times New Roman" w:hAnsi="Times New Roman" w:cs="Times New Roman"/>
          <w:sz w:val="24"/>
          <w:szCs w:val="24"/>
        </w:rPr>
        <w:t xml:space="preserve"> of pulmonary functioning, and assessment of inhaler technique. Proper use of inhalers by the patient is part and parcel of the treatment procedure since the ineffectiveness of medicine can also be greatly mitigated by improper use of the inhalers.</w:t>
      </w:r>
    </w:p>
    <w:p w14:paraId="78E10A06"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primary care services are at the centre of the treatment of asthma. Clinical </w:t>
      </w:r>
      <w:r>
        <w:rPr>
          <w:rFonts w:ascii="Times New Roman" w:eastAsia="Times New Roman" w:hAnsi="Times New Roman" w:cs="Times New Roman"/>
          <w:sz w:val="24"/>
          <w:szCs w:val="24"/>
        </w:rPr>
        <w:lastRenderedPageBreak/>
        <w:t>check-ups are performed by general practitioners and respiratory nurses in terms of checking the symptoms, changing the doses of medications, and triggers which can aggravate the condition (Series, 2025). Asthma action plans that give details of what patients should do when their condition starts to deteriorate are also often provided to the patient. Such plans can enable the people to identify early warning signs and further perform to block serious attacks.</w:t>
      </w:r>
    </w:p>
    <w:p w14:paraId="6C4A8622"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Asthma care also focuses on preventative models. Patients are urged to stay away from such triggers as allergy, environmental pollutants, and tobacco smoke (</w:t>
      </w:r>
      <w:proofErr w:type="spellStart"/>
      <w:r>
        <w:rPr>
          <w:rFonts w:ascii="Times New Roman" w:eastAsia="Times New Roman" w:hAnsi="Times New Roman" w:cs="Times New Roman"/>
          <w:sz w:val="24"/>
          <w:szCs w:val="24"/>
        </w:rPr>
        <w:t>Chatkin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The risk of the complications that may exacerbate the symptoms of asthma is reduced with the help of vaccinations against respiratory infections. Healthy lifestyle advice such as healthy weight and proper physical exercises can as well help in better respiratory health.</w:t>
      </w:r>
    </w:p>
    <w:p w14:paraId="0208AD3B"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Otherwise, specialised respiratory services might be engaged in the treatment of the patient in more complicated cases. Multidisciplinary teams comprising respiratory physicians, nurses, pharmacists and other health practitioners work with all in delivering an all-inclusive treatment. This integrated plan contributes to the idea of ensuring the people with severe and challenging-to- manage asthma get user-</w:t>
      </w:r>
      <w:r>
        <w:rPr>
          <w:rFonts w:ascii="Times New Roman" w:eastAsia="Times New Roman" w:hAnsi="Times New Roman" w:cs="Times New Roman"/>
          <w:sz w:val="24"/>
          <w:szCs w:val="24"/>
        </w:rPr>
        <w:t>advanced therapies and constant observation in order to enhance the long-term health outcomes.</w:t>
      </w:r>
    </w:p>
    <w:p w14:paraId="21EA730C" w14:textId="77777777" w:rsidR="00D9266D" w:rsidRDefault="00EE195E">
      <w:pPr>
        <w:pStyle w:val="Heading1"/>
      </w:pPr>
      <w:bookmarkStart w:id="7" w:name="_Toc224830438"/>
      <w:r>
        <w:t>4. Models</w:t>
      </w:r>
      <w:bookmarkEnd w:id="7"/>
      <w:r>
        <w:t xml:space="preserve"> </w:t>
      </w:r>
    </w:p>
    <w:p w14:paraId="3A4C5932" w14:textId="047DD3BA"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chronic care model (CCM) of caring about patients, coordination, and the support of self-management is relevant to asthma care. This model has some connection with the behaviour-change theories, where the principles promote compliance and lifestyle change to minimise exposure to triggers (Levy et al. 2023). Biopsychosocial theories are being applied to the emotional and social aspects of asthma especially in the severe or hard-to-manage forms. Different theoretical frameworks can be used to inform the e</w:t>
      </w:r>
      <w:r>
        <w:rPr>
          <w:rFonts w:ascii="Times New Roman" w:eastAsia="Times New Roman" w:hAnsi="Times New Roman" w:cs="Times New Roman"/>
          <w:sz w:val="24"/>
          <w:szCs w:val="24"/>
        </w:rPr>
        <w:t xml:space="preserve">ffective management of asthma by clarifying the impacts of the provision of medical care, behaviour change, and social support on the health outcomes. Another framework that is commonly used in long-term condition management is the </w:t>
      </w:r>
      <w:r>
        <w:rPr>
          <w:rFonts w:ascii="Times New Roman" w:eastAsia="Times New Roman" w:hAnsi="Times New Roman" w:cs="Times New Roman"/>
          <w:b/>
          <w:bCs/>
          <w:i/>
          <w:iCs/>
          <w:sz w:val="24"/>
          <w:szCs w:val="24"/>
        </w:rPr>
        <w:t>Chronic Care Model</w:t>
      </w:r>
      <w:r w:rsidR="00BB5053">
        <w:rPr>
          <w:rFonts w:ascii="Times New Roman" w:eastAsia="Times New Roman" w:hAnsi="Times New Roman" w:cs="Times New Roman"/>
          <w:b/>
          <w:bCs/>
          <w:i/>
          <w:iCs/>
          <w:sz w:val="24"/>
          <w:szCs w:val="24"/>
        </w:rPr>
        <w:t xml:space="preserve"> (International Model)</w:t>
      </w:r>
      <w:r>
        <w:rPr>
          <w:rFonts w:ascii="Times New Roman" w:eastAsia="Times New Roman" w:hAnsi="Times New Roman" w:cs="Times New Roman"/>
          <w:sz w:val="24"/>
          <w:szCs w:val="24"/>
        </w:rPr>
        <w:t xml:space="preserve"> that pays attention to coordinated healthcare, patient education, and ongoing monitoring (Goh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This model emphasises on the necessity of cooperation among health practitioners, patients and community services so that to enhance the management of the diseases and minimise the rate of hospitalisation. The chronic care model promotes proactive care instead of </w:t>
      </w:r>
      <w:r>
        <w:rPr>
          <w:rFonts w:ascii="Times New Roman" w:eastAsia="Times New Roman" w:hAnsi="Times New Roman" w:cs="Times New Roman"/>
          <w:sz w:val="24"/>
          <w:szCs w:val="24"/>
        </w:rPr>
        <w:lastRenderedPageBreak/>
        <w:t>reactive one through managed care plans and frequent follow ups.</w:t>
      </w:r>
    </w:p>
    <w:p w14:paraId="04D841D6" w14:textId="400C3898" w:rsidR="007C577C" w:rsidRPr="007C577C" w:rsidRDefault="007C577C">
      <w:pPr>
        <w:spacing w:line="360" w:lineRule="auto"/>
        <w:jc w:val="both"/>
        <w:rPr>
          <w:rFonts w:ascii="Times New Roman" w:eastAsia="Times New Roman" w:hAnsi="Times New Roman" w:cs="Times New Roman"/>
          <w:color w:val="EE0000"/>
          <w:sz w:val="24"/>
          <w:szCs w:val="24"/>
          <w:lang w:val="en-IN"/>
        </w:rPr>
      </w:pPr>
      <w:r w:rsidRPr="007C577C">
        <w:rPr>
          <w:rFonts w:ascii="Times New Roman" w:eastAsia="Times New Roman" w:hAnsi="Times New Roman" w:cs="Times New Roman"/>
          <w:b/>
          <w:bCs/>
          <w:i/>
          <w:iCs/>
          <w:color w:val="EE0000"/>
          <w:sz w:val="24"/>
          <w:szCs w:val="24"/>
          <w:lang w:val="en-IN"/>
        </w:rPr>
        <w:t>E evidence-based care models</w:t>
      </w:r>
      <w:r w:rsidR="00BB5053">
        <w:rPr>
          <w:rFonts w:ascii="Times New Roman" w:eastAsia="Times New Roman" w:hAnsi="Times New Roman" w:cs="Times New Roman"/>
          <w:b/>
          <w:bCs/>
          <w:i/>
          <w:iCs/>
          <w:color w:val="EE0000"/>
          <w:sz w:val="24"/>
          <w:szCs w:val="24"/>
          <w:lang w:val="en-IN"/>
        </w:rPr>
        <w:t xml:space="preserve"> (UK Model)</w:t>
      </w:r>
      <w:r w:rsidRPr="007C577C">
        <w:rPr>
          <w:rFonts w:ascii="Times New Roman" w:eastAsia="Times New Roman" w:hAnsi="Times New Roman" w:cs="Times New Roman"/>
          <w:color w:val="EE0000"/>
          <w:sz w:val="24"/>
          <w:szCs w:val="24"/>
          <w:lang w:val="en-IN"/>
        </w:rPr>
        <w:t xml:space="preserve"> in asthma are available in the National Institute on Health and Care Excellence guidelines. These are focusing on proper diagnosis, frequent review, inhaler technique, and individual action plans to enhance better control, prevent exacerbations, and assist long term patient management.</w:t>
      </w:r>
    </w:p>
    <w:p w14:paraId="1E06A8BC" w14:textId="77777777" w:rsidR="00D9266D" w:rsidRDefault="00EE19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A11530C" wp14:editId="28450DFC">
            <wp:extent cx="2576830" cy="2451881"/>
            <wp:effectExtent l="38100" t="38100" r="33020" b="43815"/>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b="11133"/>
                    <a:stretch>
                      <a:fillRect/>
                    </a:stretch>
                  </pic:blipFill>
                  <pic:spPr>
                    <a:xfrm>
                      <a:off x="0" y="0"/>
                      <a:ext cx="2584718" cy="2459386"/>
                    </a:xfrm>
                    <a:prstGeom prst="rect">
                      <a:avLst/>
                    </a:prstGeom>
                    <a:ln w="25400">
                      <a:solidFill>
                        <a:srgbClr val="000000"/>
                      </a:solidFill>
                      <a:prstDash val="solid"/>
                    </a:ln>
                  </pic:spPr>
                </pic:pic>
              </a:graphicData>
            </a:graphic>
          </wp:inline>
        </w:drawing>
      </w:r>
    </w:p>
    <w:p w14:paraId="0083F869" w14:textId="77777777" w:rsidR="00D9266D" w:rsidRDefault="00EE195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Chronic Care Model</w:t>
      </w:r>
    </w:p>
    <w:p w14:paraId="61DD8BE4" w14:textId="77777777" w:rsidR="00D9266D" w:rsidRDefault="00EE19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ACT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2025)</w:t>
      </w:r>
    </w:p>
    <w:p w14:paraId="0B4C8911"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significant approach is the biopsychosocial model that acknowledges that asthma has its impact on biological, psychological, and social factors. Although biological factors include airway inflammation and genetic predisposition, psychological stress and social factors including living conditions or workplace exposure may also be involved in asthma severity. The model invites medical workers to discuss a wider picture of the life </w:t>
      </w:r>
      <w:r>
        <w:rPr>
          <w:rFonts w:ascii="Times New Roman" w:eastAsia="Times New Roman" w:hAnsi="Times New Roman" w:cs="Times New Roman"/>
          <w:sz w:val="24"/>
          <w:szCs w:val="24"/>
        </w:rPr>
        <w:t>patients live when forming the treatment policies.</w:t>
      </w:r>
    </w:p>
    <w:p w14:paraId="12330AF3"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Asthma management also is applicable to health behaviour theories. The behaviour </w:t>
      </w:r>
      <w:proofErr w:type="gramStart"/>
      <w:r>
        <w:rPr>
          <w:rFonts w:ascii="Times New Roman" w:eastAsia="Times New Roman" w:hAnsi="Times New Roman" w:cs="Times New Roman"/>
          <w:sz w:val="24"/>
          <w:szCs w:val="24"/>
        </w:rPr>
        <w:t>change</w:t>
      </w:r>
      <w:proofErr w:type="gramEnd"/>
      <w:r>
        <w:rPr>
          <w:rFonts w:ascii="Times New Roman" w:eastAsia="Times New Roman" w:hAnsi="Times New Roman" w:cs="Times New Roman"/>
          <w:sz w:val="24"/>
          <w:szCs w:val="24"/>
        </w:rPr>
        <w:t xml:space="preserve"> models emphasise the importance of patient motivation, belief and knowledge in the determination of adherence to medication and environmental trigger avoidance behaviour (Skene, 2024). Educational programmes that apply these theories are meant to make individuals more responsible for their health and pursue healthy lifestyles.</w:t>
      </w:r>
    </w:p>
    <w:p w14:paraId="4B37C17A"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integrated models of care also contribute to a successful treatment in asthma, as they foster collaboration between the professionals of various fields (Witte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The collaboration of respiratory specialists, nurses, pharmacists, and community health workers can be used to support the work. These theoretical viewpoints in combination with medical care, behavioural and social implementation would facilitate a holistic approach to asthma management and lead to better patient outcomes in the long term.</w:t>
      </w:r>
    </w:p>
    <w:p w14:paraId="35063DD0" w14:textId="77777777" w:rsidR="00D9266D" w:rsidRDefault="00EE195E">
      <w:pPr>
        <w:pStyle w:val="Heading1"/>
      </w:pPr>
      <w:bookmarkStart w:id="8" w:name="_Toc224830439"/>
      <w:r>
        <w:t>5. Policies and Guidelines</w:t>
      </w:r>
      <w:bookmarkEnd w:id="8"/>
    </w:p>
    <w:p w14:paraId="4B7E1BE5"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Asthma is taken care of under the guidance of both national and international guidelines. In the UK, there are evidence-based protocols regarding the diagnosis, pharmacological treatment, and emergency care provided by the National Institute of Health and Care Excellence (NICE) and </w:t>
      </w:r>
      <w:r>
        <w:rPr>
          <w:rFonts w:ascii="Times New Roman" w:eastAsia="Times New Roman" w:hAnsi="Times New Roman" w:cs="Times New Roman"/>
          <w:sz w:val="24"/>
          <w:szCs w:val="24"/>
        </w:rPr>
        <w:lastRenderedPageBreak/>
        <w:t>British Thoracic Society (BTS) (</w:t>
      </w:r>
      <w:proofErr w:type="spellStart"/>
      <w:r>
        <w:rPr>
          <w:rFonts w:ascii="Times New Roman" w:eastAsia="Times New Roman" w:hAnsi="Times New Roman" w:cs="Times New Roman"/>
          <w:sz w:val="24"/>
          <w:szCs w:val="24"/>
        </w:rPr>
        <w:t>Kawamatawong</w:t>
      </w:r>
      <w:proofErr w:type="spellEnd"/>
      <w:r>
        <w:rPr>
          <w:rFonts w:ascii="Times New Roman" w:eastAsia="Times New Roman" w:hAnsi="Times New Roman" w:cs="Times New Roman"/>
          <w:sz w:val="24"/>
          <w:szCs w:val="24"/>
        </w:rPr>
        <w:t xml:space="preserve"> et al. 2022). Changes in GINA stress the need to focus on early intervention, limited exposure to corticosteroids, and biologic treatment of the most severe form of asthma (Levy et al. 2023). There is also promotion of health literacy, digital self-monitoring and ability to access specialist services through policies. The management of asthma in the United Kingdom is effective owing to its wide range of healthcare policies and clinical guidelines that are evidenc</w:t>
      </w:r>
      <w:r>
        <w:rPr>
          <w:rFonts w:ascii="Times New Roman" w:eastAsia="Times New Roman" w:hAnsi="Times New Roman" w:cs="Times New Roman"/>
          <w:sz w:val="24"/>
          <w:szCs w:val="24"/>
        </w:rPr>
        <w:t xml:space="preserve">e-based. </w:t>
      </w:r>
    </w:p>
    <w:p w14:paraId="4000F709"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healthcare policy that supports the need to identify and prevent the complications of asthma early is also acceptable. The primary care services are at the centre of this process as they conduct regular reviews on asthma, cheque on the levels of symptom management thus making sure that patients get the correct medication chemistry when it is needed. They are also advised to use preventive measures like triggers that might aggravate respiratory symptoms will be reduced through preventive measures suc</w:t>
      </w:r>
      <w:r>
        <w:rPr>
          <w:rFonts w:ascii="Times New Roman" w:eastAsia="Times New Roman" w:hAnsi="Times New Roman" w:cs="Times New Roman"/>
          <w:sz w:val="24"/>
          <w:szCs w:val="24"/>
        </w:rPr>
        <w:t>h as vaccination programmes, as well as environmental health programmes.</w:t>
      </w:r>
    </w:p>
    <w:p w14:paraId="0011DBC1"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clinical management, health policies are also intended to enhance patient learning and knowledge. Educational programmes are aimed at enabling the people to comprehend their condition, their early warning signs of exacerbation, and </w:t>
      </w:r>
      <w:r>
        <w:rPr>
          <w:rFonts w:ascii="Times New Roman" w:eastAsia="Times New Roman" w:hAnsi="Times New Roman" w:cs="Times New Roman"/>
          <w:sz w:val="24"/>
          <w:szCs w:val="24"/>
        </w:rPr>
        <w:t>their action plan regarding their specific situation (</w:t>
      </w:r>
      <w:proofErr w:type="spellStart"/>
      <w:r>
        <w:rPr>
          <w:rFonts w:ascii="Times New Roman" w:eastAsia="Times New Roman" w:hAnsi="Times New Roman" w:cs="Times New Roman"/>
          <w:sz w:val="24"/>
          <w:szCs w:val="24"/>
        </w:rPr>
        <w:t>Kamalrathne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Asthma support measures are increasingly being introduced as a part of digital health technologies and remote monitoring to assist in regular symptom monitoring and talking with the patients.</w:t>
      </w:r>
    </w:p>
    <w:p w14:paraId="48283987"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reduction of disparities in medical access is also a point in the policies. There are also attempts to make sure that vulnerable populations such as children, older people, and those living in disadvantaged communities will be able to get relevant diagnostic services, specialised respiratory care. Influencing the establishment of uniform care delivery levels within the healthcare environment, these policies contribute to ensuring that asthmatic patients get quality care and continuous assistance to cont</w:t>
      </w:r>
      <w:r>
        <w:rPr>
          <w:rFonts w:ascii="Times New Roman" w:eastAsia="Times New Roman" w:hAnsi="Times New Roman" w:cs="Times New Roman"/>
          <w:sz w:val="24"/>
          <w:szCs w:val="24"/>
        </w:rPr>
        <w:t>rol their condition and continue having a high quality of life.</w:t>
      </w:r>
    </w:p>
    <w:p w14:paraId="4A33D5A6" w14:textId="77777777" w:rsidR="00D9266D" w:rsidRDefault="00EE195E">
      <w:pPr>
        <w:pStyle w:val="Heading1"/>
      </w:pPr>
      <w:bookmarkStart w:id="9" w:name="_Toc224830440"/>
      <w:r>
        <w:t>6. Recommendations</w:t>
      </w:r>
      <w:bookmarkEnd w:id="9"/>
    </w:p>
    <w:p w14:paraId="41980E1B" w14:textId="77777777" w:rsidR="00D9266D" w:rsidRDefault="00EE195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enhance the results in asthma, it is necessary to increase the effectiveness of early diagnosis, the pharmacotherapy process, and the inclusion of biologics in severe cases of asthma. Health literacy, adherence strategies, and self-management interventions are important to be promoted. To minimise the exacerbations, the policymakers need to promote the </w:t>
      </w:r>
      <w:r>
        <w:rPr>
          <w:rFonts w:ascii="Times New Roman" w:eastAsia="Times New Roman" w:hAnsi="Times New Roman" w:cs="Times New Roman"/>
          <w:color w:val="000000"/>
          <w:sz w:val="24"/>
          <w:szCs w:val="24"/>
        </w:rPr>
        <w:lastRenderedPageBreak/>
        <w:t xml:space="preserve">access to specialist services and preventive programmes to minimise the environmental trigger and reduce the number of exacerbations (Levy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2023).</w:t>
      </w:r>
    </w:p>
    <w:p w14:paraId="0162029F" w14:textId="77777777" w:rsidR="00D9266D" w:rsidRDefault="00EE195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Asthma management needs to involve a mixture of preventive measures, good healthcare facilities as well as patient involvement in order to improve the management of asthma. Amplifying early diagnosis by regular screening and enhancement of awareness in health practitioners and the society can be noted as one of the recommendations. Symptomatic asthma can be identified early, which will allow timely intervention and reduce the threat of serious exacerbations and prolonged complications.</w:t>
      </w:r>
    </w:p>
    <w:p w14:paraId="280B34F3" w14:textId="77777777" w:rsidR="00D9266D" w:rsidRDefault="00EE195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Patient education programmes to enhance health literacy should also be part of the priority of the healthcare systems. Patient education on inhaler </w:t>
      </w:r>
      <w:proofErr w:type="gramStart"/>
      <w:r>
        <w:rPr>
          <w:rFonts w:ascii="Times New Roman" w:eastAsia="Times New Roman" w:hAnsi="Times New Roman" w:cs="Times New Roman"/>
          <w:color w:val="000000"/>
          <w:sz w:val="24"/>
          <w:szCs w:val="24"/>
        </w:rPr>
        <w:t>use</w:t>
      </w:r>
      <w:proofErr w:type="gramEnd"/>
      <w:r>
        <w:rPr>
          <w:rFonts w:ascii="Times New Roman" w:eastAsia="Times New Roman" w:hAnsi="Times New Roman" w:cs="Times New Roman"/>
          <w:color w:val="000000"/>
          <w:sz w:val="24"/>
          <w:szCs w:val="24"/>
        </w:rPr>
        <w:t xml:space="preserve"> and appropriate medication taking as well as avoidance of triggers can help patients control the disease better (Moosa-Battey, 2026). Personalised asthma action plans and structured self-management programmes that enable patients to be aware of the early warning signs </w:t>
      </w:r>
      <w:r>
        <w:rPr>
          <w:rFonts w:ascii="Times New Roman" w:eastAsia="Times New Roman" w:hAnsi="Times New Roman" w:cs="Times New Roman"/>
          <w:color w:val="000000"/>
          <w:sz w:val="24"/>
          <w:szCs w:val="24"/>
        </w:rPr>
        <w:t>and act upon them should be generally accepted to allow patients to respond appropriately.</w:t>
      </w:r>
    </w:p>
    <w:p w14:paraId="50FB280B" w14:textId="77777777" w:rsidR="00D9266D" w:rsidRDefault="00EE195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other important recommendation is the improvement of the multidisciplinary cooperation of the healthcare services. Co-ordination in care provision to individuals with asthma should be done by respiratory specialists, primary care practitioners, nurses, pharmacists, and community health workers. Such a teamwork strategy can make sure that medical and social facets of condition are taken care of.</w:t>
      </w:r>
    </w:p>
    <w:p w14:paraId="4E3C0433" w14:textId="77777777" w:rsidR="00D9266D" w:rsidRDefault="00EE195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should also be additional provision of environmental health to ensure that there is reduced exposure to asthma causal agents like air pollution, tobacco smoke, and work irritants. Policies related to the field of public health by means of enhancing the quality of air and development of smoke-free areas can play a considerable role in decreasing the prevalence rates and severity of asthma.</w:t>
      </w:r>
    </w:p>
    <w:p w14:paraId="6F7A04B9" w14:textId="77777777" w:rsidR="00D9266D" w:rsidRDefault="00EE195E">
      <w:pPr>
        <w:pStyle w:val="Heading1"/>
      </w:pPr>
      <w:bookmarkStart w:id="10" w:name="_Toc224830441"/>
      <w:r>
        <w:t>6.1 Person-Centred Care</w:t>
      </w:r>
      <w:bookmarkEnd w:id="10"/>
    </w:p>
    <w:p w14:paraId="37141223"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Person-centred asthma care emphasises on the preferences, goals, and lifestyle of the patient. The concept of shared decision-making allows customising the treatment plan, which maximises adherence and </w:t>
      </w:r>
      <w:r>
        <w:rPr>
          <w:rFonts w:ascii="Times New Roman" w:eastAsia="Times New Roman" w:hAnsi="Times New Roman" w:cs="Times New Roman"/>
          <w:sz w:val="24"/>
          <w:szCs w:val="24"/>
        </w:rPr>
        <w:lastRenderedPageBreak/>
        <w:t>engagement (Busby et al. 2022). The techniques of individualised inhaler, symptom management, and trigger avoidance are the strategies, benefiting from healthcare specialists in primary, secondary, and tertiary environments.</w:t>
      </w:r>
    </w:p>
    <w:p w14:paraId="180895F8" w14:textId="77777777" w:rsidR="00D9266D" w:rsidRDefault="00EE195E">
      <w:pPr>
        <w:pStyle w:val="Heading1"/>
      </w:pPr>
      <w:bookmarkStart w:id="11" w:name="_Toc224830442"/>
      <w:r>
        <w:t>6.2 Self-Management</w:t>
      </w:r>
      <w:bookmarkEnd w:id="11"/>
    </w:p>
    <w:p w14:paraId="1C6E08FD"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Self-management plays a very important role in the treatment of asthma symptoms and avoidance of exacerbations. Patients are empowered by education on how to use inhalers and notice early warnings and how to respond to a flare-up (</w:t>
      </w:r>
      <w:proofErr w:type="spellStart"/>
      <w:r>
        <w:rPr>
          <w:rFonts w:ascii="Times New Roman" w:eastAsia="Times New Roman" w:hAnsi="Times New Roman" w:cs="Times New Roman"/>
          <w:sz w:val="24"/>
          <w:szCs w:val="24"/>
        </w:rPr>
        <w:t>Kawamatawong</w:t>
      </w:r>
      <w:proofErr w:type="spellEnd"/>
      <w:r>
        <w:rPr>
          <w:rFonts w:ascii="Times New Roman" w:eastAsia="Times New Roman" w:hAnsi="Times New Roman" w:cs="Times New Roman"/>
          <w:sz w:val="24"/>
          <w:szCs w:val="24"/>
        </w:rPr>
        <w:t xml:space="preserve"> et al. 2022). Remote monitoring is done with the help of digital tools, mobile applications, and telehealth to provide greater patient autonomy and stop the deterioration at an early stage.</w:t>
      </w:r>
    </w:p>
    <w:p w14:paraId="445B86BC" w14:textId="77777777" w:rsidR="00D9266D" w:rsidRDefault="00EE195E">
      <w:pPr>
        <w:pStyle w:val="Heading2"/>
      </w:pPr>
      <w:bookmarkStart w:id="12" w:name="_Toc224830443"/>
      <w:r>
        <w:t>6.3 End of Life Care</w:t>
      </w:r>
      <w:bookmarkEnd w:id="12"/>
    </w:p>
    <w:p w14:paraId="064CB650" w14:textId="77777777" w:rsidR="00D9266D" w:rsidRDefault="00EE195E">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end-of-life care of severe asthma is aimed at the comfort, dignity, and quality of life in situations when the disease threatens the patient and is no longer treated in a conventional way. Care entails the relief of the acute symptoms like shortness of breath, chest tightness and anxiety using suitable medicines and supportive treatment. Palliative Care is significant as it satisfies the physical, emotional, as well as physical and psychological needs. This must include advance care planning including d</w:t>
      </w:r>
      <w:r>
        <w:rPr>
          <w:rFonts w:ascii="Times New Roman" w:eastAsia="Times New Roman" w:hAnsi="Times New Roman" w:cs="Times New Roman"/>
          <w:color w:val="FF0000"/>
          <w:sz w:val="24"/>
          <w:szCs w:val="24"/>
        </w:rPr>
        <w:t xml:space="preserve">esigning emergency interventions and life support. With the effective communication skills and </w:t>
      </w:r>
      <w:r>
        <w:rPr>
          <w:rFonts w:ascii="Times New Roman" w:eastAsia="Times New Roman" w:hAnsi="Times New Roman" w:cs="Times New Roman"/>
          <w:color w:val="FF0000"/>
          <w:sz w:val="24"/>
          <w:szCs w:val="24"/>
        </w:rPr>
        <w:t>involvement of the family, compassionate support can be given to patients so that the patients are taken care of with dignity and holism in the end stages of their life.</w:t>
      </w:r>
    </w:p>
    <w:p w14:paraId="47FAD0A3" w14:textId="77777777" w:rsidR="00D9266D" w:rsidRDefault="00EE195E">
      <w:pPr>
        <w:pStyle w:val="Heading1"/>
      </w:pPr>
      <w:bookmarkStart w:id="13" w:name="_Toc224830444"/>
      <w:r>
        <w:t>7. Conclusion</w:t>
      </w:r>
      <w:bookmarkEnd w:id="13"/>
    </w:p>
    <w:p w14:paraId="7C22D22E" w14:textId="77777777" w:rsidR="00D9266D" w:rsidRDefault="00E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Asthma is a long-term illness, which is characterised by a high degree of morbidity, fatality, and cost. The UK has an extensive approach to management, which involves an evidence-based pharmacological treatment, person-centred therapy, and self-management education, according to the national and international policies. It must focus on early intervention, precision medicine, and health literacy as the areas of future work to enhance life quality and disease burden. Asthma is a long-term disease of the lung</w:t>
      </w:r>
      <w:r>
        <w:rPr>
          <w:rFonts w:ascii="Times New Roman" w:eastAsia="Times New Roman" w:hAnsi="Times New Roman" w:cs="Times New Roman"/>
          <w:sz w:val="24"/>
          <w:szCs w:val="24"/>
        </w:rPr>
        <w:t>s, which afflicts millions of patients globally, and poses a major burden on the healthcare infrastructure. The problems can be addressed by ensuring that healthcare professionals and patients collaborate well and have evidence-based treatment and early diagnosis of the condition. Person-centred care, patient education, and self-management strategies are critical in enhancing the attainment of improved symptoms containment and exacerbation prevention. Favourable healthcare policies and clinical procedures a</w:t>
      </w:r>
      <w:r>
        <w:rPr>
          <w:rFonts w:ascii="Times New Roman" w:eastAsia="Times New Roman" w:hAnsi="Times New Roman" w:cs="Times New Roman"/>
          <w:sz w:val="24"/>
          <w:szCs w:val="24"/>
        </w:rPr>
        <w:t xml:space="preserve">lso make sure that people are provided with similar and quality care. With attention to the prevention aspect, bettering healthcare </w:t>
      </w:r>
      <w:r>
        <w:rPr>
          <w:rFonts w:ascii="Times New Roman" w:eastAsia="Times New Roman" w:hAnsi="Times New Roman" w:cs="Times New Roman"/>
          <w:sz w:val="24"/>
          <w:szCs w:val="24"/>
        </w:rPr>
        <w:lastRenderedPageBreak/>
        <w:t>access, and ensuring patient engagement, healthcare systems will manage the asthma burden and improve the overall quality of life experienced by people living with this long-term ailment.</w:t>
      </w:r>
      <w:r>
        <w:br w:type="page"/>
      </w:r>
    </w:p>
    <w:p w14:paraId="5EE62E2A" w14:textId="77777777" w:rsidR="00D9266D" w:rsidRDefault="00EE195E">
      <w:pPr>
        <w:pStyle w:val="Heading1"/>
      </w:pPr>
      <w:bookmarkStart w:id="14" w:name="_Toc224830445"/>
      <w:r>
        <w:lastRenderedPageBreak/>
        <w:t>References</w:t>
      </w:r>
      <w:bookmarkEnd w:id="14"/>
    </w:p>
    <w:p w14:paraId="3F85DA0C"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ACT </w:t>
      </w:r>
      <w:proofErr w:type="spellStart"/>
      <w:r>
        <w:rPr>
          <w:rFonts w:ascii="Times New Roman" w:eastAsia="Times New Roman" w:hAnsi="Times New Roman" w:cs="Times New Roman"/>
          <w:sz w:val="24"/>
          <w:szCs w:val="24"/>
          <w:highlight w:val="white"/>
        </w:rPr>
        <w:t>Center</w:t>
      </w:r>
      <w:proofErr w:type="spellEnd"/>
      <w:r>
        <w:rPr>
          <w:rFonts w:ascii="Times New Roman" w:eastAsia="Times New Roman" w:hAnsi="Times New Roman" w:cs="Times New Roman"/>
          <w:sz w:val="24"/>
          <w:szCs w:val="24"/>
          <w:highlight w:val="white"/>
        </w:rPr>
        <w:t>, 2025. The Chronic Care Model. Available at:</w:t>
      </w:r>
      <w:hyperlink r:id="rId13">
        <w:r w:rsidR="00D9266D">
          <w:rPr>
            <w:rFonts w:ascii="Times New Roman" w:eastAsia="Times New Roman" w:hAnsi="Times New Roman" w:cs="Times New Roman"/>
            <w:sz w:val="24"/>
            <w:szCs w:val="24"/>
            <w:highlight w:val="white"/>
          </w:rPr>
          <w:t xml:space="preserve"> </w:t>
        </w:r>
      </w:hyperlink>
      <w:hyperlink r:id="rId14">
        <w:r w:rsidR="00D9266D">
          <w:rPr>
            <w:rFonts w:ascii="Times New Roman" w:eastAsia="Times New Roman" w:hAnsi="Times New Roman" w:cs="Times New Roman"/>
            <w:sz w:val="24"/>
            <w:szCs w:val="24"/>
            <w:highlight w:val="white"/>
            <w:u w:val="single"/>
          </w:rPr>
          <w:t>https://www.act-center.org/application/files/1616/3511/6445/Model_Chronic_Care.pdf</w:t>
        </w:r>
      </w:hyperlink>
      <w:r>
        <w:rPr>
          <w:rFonts w:ascii="Times New Roman" w:eastAsia="Times New Roman" w:hAnsi="Times New Roman" w:cs="Times New Roman"/>
          <w:sz w:val="24"/>
          <w:szCs w:val="24"/>
          <w:highlight w:val="white"/>
        </w:rPr>
        <w:t xml:space="preserve"> (Accessed: 9 March 2026).</w:t>
      </w:r>
    </w:p>
    <w:p w14:paraId="0D0AE191"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Anto, J.M., Pearce, N., Douwes, J., Garcia-Aymerich, J., </w:t>
      </w:r>
      <w:proofErr w:type="spellStart"/>
      <w:r>
        <w:rPr>
          <w:rFonts w:ascii="Times New Roman" w:eastAsia="Times New Roman" w:hAnsi="Times New Roman" w:cs="Times New Roman"/>
          <w:sz w:val="24"/>
          <w:szCs w:val="24"/>
          <w:highlight w:val="white"/>
        </w:rPr>
        <w:t>Pembrey</w:t>
      </w:r>
      <w:proofErr w:type="spellEnd"/>
      <w:r>
        <w:rPr>
          <w:rFonts w:ascii="Times New Roman" w:eastAsia="Times New Roman" w:hAnsi="Times New Roman" w:cs="Times New Roman"/>
          <w:sz w:val="24"/>
          <w:szCs w:val="24"/>
          <w:highlight w:val="white"/>
        </w:rPr>
        <w:t xml:space="preserve">, L., </w:t>
      </w:r>
      <w:proofErr w:type="spellStart"/>
      <w:r>
        <w:rPr>
          <w:rFonts w:ascii="Times New Roman" w:eastAsia="Times New Roman" w:hAnsi="Times New Roman" w:cs="Times New Roman"/>
          <w:sz w:val="24"/>
          <w:szCs w:val="24"/>
          <w:highlight w:val="white"/>
        </w:rPr>
        <w:t>Richiardi</w:t>
      </w:r>
      <w:proofErr w:type="spellEnd"/>
      <w:r>
        <w:rPr>
          <w:rFonts w:ascii="Times New Roman" w:eastAsia="Times New Roman" w:hAnsi="Times New Roman" w:cs="Times New Roman"/>
          <w:sz w:val="24"/>
          <w:szCs w:val="24"/>
          <w:highlight w:val="white"/>
        </w:rPr>
        <w:t xml:space="preserve">, L. and </w:t>
      </w:r>
      <w:proofErr w:type="spellStart"/>
      <w:r>
        <w:rPr>
          <w:rFonts w:ascii="Times New Roman" w:eastAsia="Times New Roman" w:hAnsi="Times New Roman" w:cs="Times New Roman"/>
          <w:sz w:val="24"/>
          <w:szCs w:val="24"/>
          <w:highlight w:val="white"/>
        </w:rPr>
        <w:t>Sunyer</w:t>
      </w:r>
      <w:proofErr w:type="spellEnd"/>
      <w:r>
        <w:rPr>
          <w:rFonts w:ascii="Times New Roman" w:eastAsia="Times New Roman" w:hAnsi="Times New Roman" w:cs="Times New Roman"/>
          <w:sz w:val="24"/>
          <w:szCs w:val="24"/>
          <w:highlight w:val="white"/>
        </w:rPr>
        <w:t xml:space="preserve">, J., 2023. Why has epidemiology not (yet) succeeded in identifying the origin of the asthma </w:t>
      </w:r>
      <w:proofErr w:type="gramStart"/>
      <w:r>
        <w:rPr>
          <w:rFonts w:ascii="Times New Roman" w:eastAsia="Times New Roman" w:hAnsi="Times New Roman" w:cs="Times New Roman"/>
          <w:sz w:val="24"/>
          <w:szCs w:val="24"/>
          <w:highlight w:val="white"/>
        </w:rPr>
        <w:t>epidemic?.</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International Journal of Epidemiology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52</w:t>
      </w:r>
      <w:r>
        <w:rPr>
          <w:rFonts w:ascii="Times New Roman" w:eastAsia="Times New Roman" w:hAnsi="Times New Roman" w:cs="Times New Roman"/>
          <w:sz w:val="24"/>
          <w:szCs w:val="24"/>
          <w:highlight w:val="white"/>
        </w:rPr>
        <w:t>(4), pp.974-983.</w:t>
      </w:r>
    </w:p>
    <w:p w14:paraId="757C3E08"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Busby, J., Matthews, J.G., Chaudhuri, R., </w:t>
      </w:r>
      <w:proofErr w:type="spellStart"/>
      <w:r>
        <w:rPr>
          <w:rFonts w:ascii="Times New Roman" w:eastAsia="Times New Roman" w:hAnsi="Times New Roman" w:cs="Times New Roman"/>
          <w:sz w:val="24"/>
          <w:szCs w:val="24"/>
          <w:highlight w:val="white"/>
        </w:rPr>
        <w:t>Pavord</w:t>
      </w:r>
      <w:proofErr w:type="spellEnd"/>
      <w:r>
        <w:rPr>
          <w:rFonts w:ascii="Times New Roman" w:eastAsia="Times New Roman" w:hAnsi="Times New Roman" w:cs="Times New Roman"/>
          <w:sz w:val="24"/>
          <w:szCs w:val="24"/>
          <w:highlight w:val="white"/>
        </w:rPr>
        <w:t xml:space="preserve">, I.D., Hardman, T.C., Arron, J.R., Bradding, P., </w:t>
      </w:r>
      <w:proofErr w:type="spellStart"/>
      <w:r>
        <w:rPr>
          <w:rFonts w:ascii="Times New Roman" w:eastAsia="Times New Roman" w:hAnsi="Times New Roman" w:cs="Times New Roman"/>
          <w:sz w:val="24"/>
          <w:szCs w:val="24"/>
          <w:highlight w:val="white"/>
        </w:rPr>
        <w:t>Brightling</w:t>
      </w:r>
      <w:proofErr w:type="spellEnd"/>
      <w:r>
        <w:rPr>
          <w:rFonts w:ascii="Times New Roman" w:eastAsia="Times New Roman" w:hAnsi="Times New Roman" w:cs="Times New Roman"/>
          <w:sz w:val="24"/>
          <w:szCs w:val="24"/>
          <w:highlight w:val="white"/>
        </w:rPr>
        <w:t xml:space="preserve">, C.E., Choy, D.F., Cowan, D.C. and </w:t>
      </w:r>
      <w:proofErr w:type="spellStart"/>
      <w:r>
        <w:rPr>
          <w:rFonts w:ascii="Times New Roman" w:eastAsia="Times New Roman" w:hAnsi="Times New Roman" w:cs="Times New Roman"/>
          <w:sz w:val="24"/>
          <w:szCs w:val="24"/>
          <w:highlight w:val="white"/>
        </w:rPr>
        <w:t>Djukanovic</w:t>
      </w:r>
      <w:proofErr w:type="spellEnd"/>
      <w:r>
        <w:rPr>
          <w:rFonts w:ascii="Times New Roman" w:eastAsia="Times New Roman" w:hAnsi="Times New Roman" w:cs="Times New Roman"/>
          <w:sz w:val="24"/>
          <w:szCs w:val="24"/>
          <w:highlight w:val="white"/>
        </w:rPr>
        <w:t xml:space="preserve">, R., 2022. Factors affecting adherence with treatment advice in a clinical trial of patients with severe asthma. </w:t>
      </w:r>
      <w:r>
        <w:rPr>
          <w:rFonts w:ascii="Times New Roman" w:eastAsia="Times New Roman" w:hAnsi="Times New Roman" w:cs="Times New Roman"/>
          <w:i/>
          <w:iCs/>
          <w:sz w:val="24"/>
          <w:szCs w:val="24"/>
          <w:highlight w:val="white"/>
        </w:rPr>
        <w:t>European Respiratory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59</w:t>
      </w:r>
      <w:r>
        <w:rPr>
          <w:rFonts w:ascii="Times New Roman" w:eastAsia="Times New Roman" w:hAnsi="Times New Roman" w:cs="Times New Roman"/>
          <w:sz w:val="24"/>
          <w:szCs w:val="24"/>
          <w:highlight w:val="white"/>
        </w:rPr>
        <w:t>(4).</w:t>
      </w:r>
    </w:p>
    <w:p w14:paraId="3A64A840"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Chatkin, J., Correa, L. and Santos, U., 2022. External environmental pollution as a risk factor for asthma. </w:t>
      </w:r>
      <w:r>
        <w:rPr>
          <w:rFonts w:ascii="Times New Roman" w:eastAsia="Times New Roman" w:hAnsi="Times New Roman" w:cs="Times New Roman"/>
          <w:i/>
          <w:iCs/>
          <w:sz w:val="24"/>
          <w:szCs w:val="24"/>
          <w:highlight w:val="white"/>
        </w:rPr>
        <w:t>Clinical reviews in allergy &amp; immunology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62</w:t>
      </w:r>
      <w:r>
        <w:rPr>
          <w:rFonts w:ascii="Times New Roman" w:eastAsia="Times New Roman" w:hAnsi="Times New Roman" w:cs="Times New Roman"/>
          <w:sz w:val="24"/>
          <w:szCs w:val="24"/>
          <w:highlight w:val="white"/>
        </w:rPr>
        <w:t>(1), pp.72-89.</w:t>
      </w:r>
    </w:p>
    <w:p w14:paraId="42977618"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Chatkin, J., Correa, L. and Santos, U., 2022. External environmental pollution as a risk factor for asthma. </w:t>
      </w:r>
      <w:r>
        <w:rPr>
          <w:rFonts w:ascii="Times New Roman" w:eastAsia="Times New Roman" w:hAnsi="Times New Roman" w:cs="Times New Roman"/>
          <w:i/>
          <w:iCs/>
          <w:sz w:val="24"/>
          <w:szCs w:val="24"/>
          <w:highlight w:val="white"/>
        </w:rPr>
        <w:t>Clinical reviews in allergy &amp; immunology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62</w:t>
      </w:r>
      <w:r>
        <w:rPr>
          <w:rFonts w:ascii="Times New Roman" w:eastAsia="Times New Roman" w:hAnsi="Times New Roman" w:cs="Times New Roman"/>
          <w:sz w:val="24"/>
          <w:szCs w:val="24"/>
          <w:highlight w:val="white"/>
        </w:rPr>
        <w:t>(1), pp.72-89.</w:t>
      </w:r>
    </w:p>
    <w:p w14:paraId="479A3E33"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Cleveland Clinic (2025) </w:t>
      </w:r>
      <w:r>
        <w:rPr>
          <w:rFonts w:ascii="Times New Roman" w:eastAsia="Times New Roman" w:hAnsi="Times New Roman" w:cs="Times New Roman"/>
          <w:i/>
          <w:iCs/>
          <w:sz w:val="24"/>
          <w:szCs w:val="24"/>
          <w:highlight w:val="white"/>
        </w:rPr>
        <w:t>Asthma: Types, causes, symptoms, diagnosis &amp; treatment</w:t>
      </w:r>
      <w:r>
        <w:rPr>
          <w:rFonts w:ascii="Times New Roman" w:eastAsia="Times New Roman" w:hAnsi="Times New Roman" w:cs="Times New Roman"/>
          <w:sz w:val="24"/>
          <w:szCs w:val="24"/>
          <w:highlight w:val="white"/>
        </w:rPr>
        <w:t>. Available at: https://my.clevelandclinic.org/health/diseases/6424‑asthma (Accessed: 4 March 2026).</w:t>
      </w:r>
    </w:p>
    <w:p w14:paraId="03510F4F"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Everyday Health, 2025. Asthma: Symptoms. </w:t>
      </w:r>
      <w:r>
        <w:rPr>
          <w:rFonts w:ascii="Times New Roman" w:eastAsia="Times New Roman" w:hAnsi="Times New Roman" w:cs="Times New Roman"/>
          <w:i/>
          <w:iCs/>
          <w:sz w:val="24"/>
          <w:szCs w:val="24"/>
          <w:highlight w:val="white"/>
        </w:rPr>
        <w:t>Everyday Health</w:t>
      </w:r>
      <w:r>
        <w:rPr>
          <w:rFonts w:ascii="Times New Roman" w:eastAsia="Times New Roman" w:hAnsi="Times New Roman" w:cs="Times New Roman"/>
          <w:sz w:val="24"/>
          <w:szCs w:val="24"/>
          <w:highlight w:val="white"/>
        </w:rPr>
        <w:t>. Available at:</w:t>
      </w:r>
      <w:hyperlink r:id="rId15">
        <w:r w:rsidR="00D9266D">
          <w:rPr>
            <w:rFonts w:ascii="Times New Roman" w:eastAsia="Times New Roman" w:hAnsi="Times New Roman" w:cs="Times New Roman"/>
            <w:sz w:val="24"/>
            <w:szCs w:val="24"/>
            <w:highlight w:val="white"/>
          </w:rPr>
          <w:t xml:space="preserve"> </w:t>
        </w:r>
      </w:hyperlink>
      <w:hyperlink r:id="rId16">
        <w:r w:rsidR="00D9266D">
          <w:rPr>
            <w:rFonts w:ascii="Times New Roman" w:eastAsia="Times New Roman" w:hAnsi="Times New Roman" w:cs="Times New Roman"/>
            <w:sz w:val="24"/>
            <w:szCs w:val="24"/>
            <w:highlight w:val="white"/>
            <w:u w:val="single"/>
          </w:rPr>
          <w:t>https://www.everydayhealth.com/asthma/guide/symptoms/</w:t>
        </w:r>
      </w:hyperlink>
      <w:r>
        <w:rPr>
          <w:rFonts w:ascii="Times New Roman" w:eastAsia="Times New Roman" w:hAnsi="Times New Roman" w:cs="Times New Roman"/>
          <w:sz w:val="24"/>
          <w:szCs w:val="24"/>
          <w:highlight w:val="white"/>
        </w:rPr>
        <w:t xml:space="preserve"> (Accessed: 9 March 2026).</w:t>
      </w:r>
    </w:p>
    <w:p w14:paraId="57C508F0"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Goh, L.H., Siah, C.J.R., Tam, W.W.S., Tai, E.S. and Young, D.Y.L., 2022. Effectiveness of the chronic care model for adults with type 2 diabetes in primary care: a systematic review and meta-analysis. </w:t>
      </w:r>
      <w:r>
        <w:rPr>
          <w:rFonts w:ascii="Times New Roman" w:eastAsia="Times New Roman" w:hAnsi="Times New Roman" w:cs="Times New Roman"/>
          <w:i/>
          <w:iCs/>
          <w:sz w:val="24"/>
          <w:szCs w:val="24"/>
          <w:highlight w:val="white"/>
        </w:rPr>
        <w:t>Systematic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(1), p.273.</w:t>
      </w:r>
    </w:p>
    <w:p w14:paraId="3CF4C4B8"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Gulea</w:t>
      </w:r>
      <w:proofErr w:type="spellEnd"/>
      <w:r>
        <w:rPr>
          <w:rFonts w:ascii="Times New Roman" w:eastAsia="Times New Roman" w:hAnsi="Times New Roman" w:cs="Times New Roman"/>
          <w:sz w:val="24"/>
          <w:szCs w:val="24"/>
          <w:highlight w:val="white"/>
        </w:rPr>
        <w:t xml:space="preserve">, C., Zakeri, R., Kallis, C. and Quint, J.K., 2022. Impact of COPD and asthma on in-hospital mortality and management of patients with heart failure in England and Wales: an observational analysis. </w:t>
      </w:r>
      <w:r>
        <w:rPr>
          <w:rFonts w:ascii="Times New Roman" w:eastAsia="Times New Roman" w:hAnsi="Times New Roman" w:cs="Times New Roman"/>
          <w:i/>
          <w:iCs/>
          <w:sz w:val="24"/>
          <w:szCs w:val="24"/>
          <w:highlight w:val="white"/>
        </w:rPr>
        <w:t>BMJ open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(6), p.e059122.</w:t>
      </w:r>
    </w:p>
    <w:p w14:paraId="152B960C"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Haughney, J., Winders, T., Holmes, S., Chanez, P., Menzies-Gow, A., Kocks, J., Mansur, A.H., McPherson, C. and Canonica, G.W., 2023. A charter to fundamentally change the role of oral corticosteroids in the management of asthma. </w:t>
      </w:r>
      <w:r>
        <w:rPr>
          <w:rFonts w:ascii="Times New Roman" w:eastAsia="Times New Roman" w:hAnsi="Times New Roman" w:cs="Times New Roman"/>
          <w:i/>
          <w:iCs/>
          <w:sz w:val="24"/>
          <w:szCs w:val="24"/>
          <w:highlight w:val="white"/>
        </w:rPr>
        <w:t>Advances in therapy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40</w:t>
      </w:r>
      <w:r>
        <w:rPr>
          <w:rFonts w:ascii="Times New Roman" w:eastAsia="Times New Roman" w:hAnsi="Times New Roman" w:cs="Times New Roman"/>
          <w:sz w:val="24"/>
          <w:szCs w:val="24"/>
          <w:highlight w:val="white"/>
        </w:rPr>
        <w:t>(6), pp.2577-2594.</w:t>
      </w:r>
    </w:p>
    <w:p w14:paraId="4427FD9C"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Herrera-Luis, E., Forno, E., Celedón, J.C. and Pino-Yanes, M., 2022. Asthma exacerbations: the genes behind the scenes. </w:t>
      </w:r>
      <w:r>
        <w:rPr>
          <w:rFonts w:ascii="Times New Roman" w:eastAsia="Times New Roman" w:hAnsi="Times New Roman" w:cs="Times New Roman"/>
          <w:i/>
          <w:iCs/>
          <w:sz w:val="24"/>
          <w:szCs w:val="24"/>
          <w:highlight w:val="white"/>
        </w:rPr>
        <w:t>Journal of investigational allergology &amp; clinical immunology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33</w:t>
      </w:r>
      <w:r>
        <w:rPr>
          <w:rFonts w:ascii="Times New Roman" w:eastAsia="Times New Roman" w:hAnsi="Times New Roman" w:cs="Times New Roman"/>
          <w:sz w:val="24"/>
          <w:szCs w:val="24"/>
          <w:highlight w:val="white"/>
        </w:rPr>
        <w:t>(2), p.76.</w:t>
      </w:r>
    </w:p>
    <w:p w14:paraId="4D392CCD"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Holmes, L.J., Ludlow, S., Fowler, S., Marshall, M. and Lovell, K., 2025. Psychosocial experience of living with severe and uncontrolled asthma as a young adult: a qualitative synthesis. </w:t>
      </w:r>
      <w:r>
        <w:rPr>
          <w:rFonts w:ascii="Times New Roman" w:eastAsia="Times New Roman" w:hAnsi="Times New Roman" w:cs="Times New Roman"/>
          <w:i/>
          <w:iCs/>
          <w:sz w:val="24"/>
          <w:szCs w:val="24"/>
          <w:highlight w:val="white"/>
        </w:rPr>
        <w:t>BMJ Open Respiratory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w:t>
      </w:r>
    </w:p>
    <w:p w14:paraId="25789A3A" w14:textId="77777777" w:rsidR="00D9266D" w:rsidRDefault="00EE195E">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Kamalrathne</w:t>
      </w:r>
      <w:proofErr w:type="spellEnd"/>
      <w:r>
        <w:rPr>
          <w:rFonts w:ascii="Times New Roman" w:eastAsia="Times New Roman" w:hAnsi="Times New Roman" w:cs="Times New Roman"/>
          <w:sz w:val="24"/>
          <w:szCs w:val="24"/>
          <w:highlight w:val="white"/>
        </w:rPr>
        <w:t xml:space="preserve">, T., Amaratunga, D., Haigh, R. and </w:t>
      </w:r>
      <w:proofErr w:type="spellStart"/>
      <w:r>
        <w:rPr>
          <w:rFonts w:ascii="Times New Roman" w:eastAsia="Times New Roman" w:hAnsi="Times New Roman" w:cs="Times New Roman"/>
          <w:sz w:val="24"/>
          <w:szCs w:val="24"/>
          <w:highlight w:val="white"/>
        </w:rPr>
        <w:t>Kodituwakku</w:t>
      </w:r>
      <w:proofErr w:type="spellEnd"/>
      <w:r>
        <w:rPr>
          <w:rFonts w:ascii="Times New Roman" w:eastAsia="Times New Roman" w:hAnsi="Times New Roman" w:cs="Times New Roman"/>
          <w:sz w:val="24"/>
          <w:szCs w:val="24"/>
          <w:highlight w:val="white"/>
        </w:rPr>
        <w:t xml:space="preserve">, L., 2023. Need for effective detection and early warnings for epidemic and pandemic preparedness planning in the context of multi-hazards: Lessons from the COVID-19 pandemic. </w:t>
      </w:r>
      <w:r>
        <w:rPr>
          <w:rFonts w:ascii="Times New Roman" w:eastAsia="Times New Roman" w:hAnsi="Times New Roman" w:cs="Times New Roman"/>
          <w:i/>
          <w:iCs/>
          <w:sz w:val="24"/>
          <w:szCs w:val="24"/>
          <w:highlight w:val="white"/>
        </w:rPr>
        <w:t>International journal of disaster risk reduction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92</w:t>
      </w:r>
      <w:r>
        <w:rPr>
          <w:rFonts w:ascii="Times New Roman" w:eastAsia="Times New Roman" w:hAnsi="Times New Roman" w:cs="Times New Roman"/>
          <w:sz w:val="24"/>
          <w:szCs w:val="24"/>
          <w:highlight w:val="white"/>
        </w:rPr>
        <w:t>, p.103724.</w:t>
      </w:r>
    </w:p>
    <w:p w14:paraId="1EC1702D"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Kawamatawong</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Sangasapaviriya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Saiphoklang</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Oer-Areemitr</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Sriprasart</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Kamalaporn</w:t>
      </w:r>
      <w:proofErr w:type="spellEnd"/>
      <w:r>
        <w:rPr>
          <w:rFonts w:ascii="Times New Roman" w:eastAsia="Times New Roman" w:hAnsi="Times New Roman" w:cs="Times New Roman"/>
          <w:sz w:val="24"/>
          <w:szCs w:val="24"/>
          <w:highlight w:val="white"/>
        </w:rPr>
        <w:t xml:space="preserve">, H., </w:t>
      </w:r>
      <w:proofErr w:type="spellStart"/>
      <w:r>
        <w:rPr>
          <w:rFonts w:ascii="Times New Roman" w:eastAsia="Times New Roman" w:hAnsi="Times New Roman" w:cs="Times New Roman"/>
          <w:sz w:val="24"/>
          <w:szCs w:val="24"/>
          <w:highlight w:val="white"/>
        </w:rPr>
        <w:t>Amnuaypattanapon</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Rerkpattanapipat</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Chirakalwasan</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Kulpraneet</w:t>
      </w:r>
      <w:proofErr w:type="spellEnd"/>
      <w:r>
        <w:rPr>
          <w:rFonts w:ascii="Times New Roman" w:eastAsia="Times New Roman" w:hAnsi="Times New Roman" w:cs="Times New Roman"/>
          <w:sz w:val="24"/>
          <w:szCs w:val="24"/>
          <w:highlight w:val="white"/>
        </w:rPr>
        <w:t xml:space="preserve">, M. and Wongsa, C., 2022. Guidelines for the management of asthma in adults: evidence and recommendations. </w:t>
      </w:r>
      <w:r>
        <w:rPr>
          <w:rFonts w:ascii="Times New Roman" w:eastAsia="Times New Roman" w:hAnsi="Times New Roman" w:cs="Times New Roman"/>
          <w:i/>
          <w:iCs/>
          <w:sz w:val="24"/>
          <w:szCs w:val="24"/>
          <w:highlight w:val="white"/>
        </w:rPr>
        <w:t>Asian Pacific Journal of Allergy and Immunology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40</w:t>
      </w:r>
      <w:r>
        <w:rPr>
          <w:rFonts w:ascii="Times New Roman" w:eastAsia="Times New Roman" w:hAnsi="Times New Roman" w:cs="Times New Roman"/>
          <w:sz w:val="24"/>
          <w:szCs w:val="24"/>
          <w:highlight w:val="white"/>
        </w:rPr>
        <w:t>(1), pp.1-21.</w:t>
      </w:r>
    </w:p>
    <w:p w14:paraId="7DF91E4C" w14:textId="77777777" w:rsidR="00D9266D" w:rsidRDefault="00EE195E">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Kawamatawong</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Sangasapaviriya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Saiphoklang</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Oer-Areemitr</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Sriprasart</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Kamalaporn</w:t>
      </w:r>
      <w:proofErr w:type="spellEnd"/>
      <w:r>
        <w:rPr>
          <w:rFonts w:ascii="Times New Roman" w:eastAsia="Times New Roman" w:hAnsi="Times New Roman" w:cs="Times New Roman"/>
          <w:sz w:val="24"/>
          <w:szCs w:val="24"/>
          <w:highlight w:val="white"/>
        </w:rPr>
        <w:t xml:space="preserve">, H., </w:t>
      </w:r>
      <w:proofErr w:type="spellStart"/>
      <w:r>
        <w:rPr>
          <w:rFonts w:ascii="Times New Roman" w:eastAsia="Times New Roman" w:hAnsi="Times New Roman" w:cs="Times New Roman"/>
          <w:sz w:val="24"/>
          <w:szCs w:val="24"/>
          <w:highlight w:val="white"/>
        </w:rPr>
        <w:t>Amnuaypattanapon</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Rerkpattanapipat</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Chirakalwasan</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Kulpraneet</w:t>
      </w:r>
      <w:proofErr w:type="spellEnd"/>
      <w:r>
        <w:rPr>
          <w:rFonts w:ascii="Times New Roman" w:eastAsia="Times New Roman" w:hAnsi="Times New Roman" w:cs="Times New Roman"/>
          <w:sz w:val="24"/>
          <w:szCs w:val="24"/>
          <w:highlight w:val="white"/>
        </w:rPr>
        <w:t xml:space="preserve">, M. and Wongsa, C., 2022. Guidelines for the management of asthma in adults: evidence and recommendations. </w:t>
      </w:r>
      <w:r>
        <w:rPr>
          <w:rFonts w:ascii="Times New Roman" w:eastAsia="Times New Roman" w:hAnsi="Times New Roman" w:cs="Times New Roman"/>
          <w:i/>
          <w:iCs/>
          <w:sz w:val="24"/>
          <w:szCs w:val="24"/>
          <w:highlight w:val="white"/>
        </w:rPr>
        <w:t>Asian Pacific Journal of Allergy and Immunology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40</w:t>
      </w:r>
      <w:r>
        <w:rPr>
          <w:rFonts w:ascii="Times New Roman" w:eastAsia="Times New Roman" w:hAnsi="Times New Roman" w:cs="Times New Roman"/>
          <w:sz w:val="24"/>
          <w:szCs w:val="24"/>
          <w:highlight w:val="white"/>
        </w:rPr>
        <w:t>(1), pp.1-21.</w:t>
      </w:r>
    </w:p>
    <w:p w14:paraId="590C5367"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J., Moran, B., McCarthy, C., Butler, M.W. and Franciosi, A.N., 2023. Management of comorbidities in difficult and severe asthma. </w:t>
      </w:r>
      <w:r>
        <w:rPr>
          <w:rFonts w:ascii="Times New Roman" w:eastAsia="Times New Roman" w:hAnsi="Times New Roman" w:cs="Times New Roman"/>
          <w:i/>
          <w:iCs/>
          <w:sz w:val="24"/>
          <w:szCs w:val="24"/>
          <w:highlight w:val="white"/>
        </w:rPr>
        <w:t>Breathe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19</w:t>
      </w:r>
      <w:r>
        <w:rPr>
          <w:rFonts w:ascii="Times New Roman" w:eastAsia="Times New Roman" w:hAnsi="Times New Roman" w:cs="Times New Roman"/>
          <w:sz w:val="24"/>
          <w:szCs w:val="24"/>
          <w:highlight w:val="white"/>
        </w:rPr>
        <w:t>(3).</w:t>
      </w:r>
    </w:p>
    <w:p w14:paraId="48E871C1"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Levy, M.L., Bacharier, L.B., Bateman, E., Boulet, L.P., </w:t>
      </w:r>
      <w:proofErr w:type="spellStart"/>
      <w:r>
        <w:rPr>
          <w:rFonts w:ascii="Times New Roman" w:eastAsia="Times New Roman" w:hAnsi="Times New Roman" w:cs="Times New Roman"/>
          <w:sz w:val="24"/>
          <w:szCs w:val="24"/>
          <w:highlight w:val="white"/>
        </w:rPr>
        <w:t>Brightling</w:t>
      </w:r>
      <w:proofErr w:type="spellEnd"/>
      <w:r>
        <w:rPr>
          <w:rFonts w:ascii="Times New Roman" w:eastAsia="Times New Roman" w:hAnsi="Times New Roman" w:cs="Times New Roman"/>
          <w:sz w:val="24"/>
          <w:szCs w:val="24"/>
          <w:highlight w:val="white"/>
        </w:rPr>
        <w:t xml:space="preserve">, C., Buhl, R., </w:t>
      </w:r>
      <w:proofErr w:type="spellStart"/>
      <w:r>
        <w:rPr>
          <w:rFonts w:ascii="Times New Roman" w:eastAsia="Times New Roman" w:hAnsi="Times New Roman" w:cs="Times New Roman"/>
          <w:sz w:val="24"/>
          <w:szCs w:val="24"/>
          <w:highlight w:val="white"/>
        </w:rPr>
        <w:t>Brusselle</w:t>
      </w:r>
      <w:proofErr w:type="spellEnd"/>
      <w:r>
        <w:rPr>
          <w:rFonts w:ascii="Times New Roman" w:eastAsia="Times New Roman" w:hAnsi="Times New Roman" w:cs="Times New Roman"/>
          <w:sz w:val="24"/>
          <w:szCs w:val="24"/>
          <w:highlight w:val="white"/>
        </w:rPr>
        <w:t xml:space="preserve">, G., Cruz, A.A., Drazen, J.M., </w:t>
      </w:r>
      <w:proofErr w:type="spellStart"/>
      <w:r>
        <w:rPr>
          <w:rFonts w:ascii="Times New Roman" w:eastAsia="Times New Roman" w:hAnsi="Times New Roman" w:cs="Times New Roman"/>
          <w:sz w:val="24"/>
          <w:szCs w:val="24"/>
          <w:highlight w:val="white"/>
        </w:rPr>
        <w:t>Duijts</w:t>
      </w:r>
      <w:proofErr w:type="spellEnd"/>
      <w:r>
        <w:rPr>
          <w:rFonts w:ascii="Times New Roman" w:eastAsia="Times New Roman" w:hAnsi="Times New Roman" w:cs="Times New Roman"/>
          <w:sz w:val="24"/>
          <w:szCs w:val="24"/>
          <w:highlight w:val="white"/>
        </w:rPr>
        <w:t xml:space="preserve">, L. and Fleming, L., 2023. Key recommendations for primary care from the 2022 Global Initiative for Asthma (GINA) update. </w:t>
      </w:r>
      <w:r>
        <w:rPr>
          <w:rFonts w:ascii="Times New Roman" w:eastAsia="Times New Roman" w:hAnsi="Times New Roman" w:cs="Times New Roman"/>
          <w:i/>
          <w:iCs/>
          <w:sz w:val="24"/>
          <w:szCs w:val="24"/>
          <w:highlight w:val="white"/>
        </w:rPr>
        <w:t>NPJ primary care respiratory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33</w:t>
      </w:r>
      <w:r>
        <w:rPr>
          <w:rFonts w:ascii="Times New Roman" w:eastAsia="Times New Roman" w:hAnsi="Times New Roman" w:cs="Times New Roman"/>
          <w:sz w:val="24"/>
          <w:szCs w:val="24"/>
          <w:highlight w:val="white"/>
        </w:rPr>
        <w:t>(1), p.7.</w:t>
      </w:r>
    </w:p>
    <w:p w14:paraId="1860E311"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Lim, S.Y., Ulaganathan, V., Gunasekaran, B., </w:t>
      </w:r>
      <w:proofErr w:type="spellStart"/>
      <w:r>
        <w:rPr>
          <w:rFonts w:ascii="Times New Roman" w:eastAsia="Times New Roman" w:hAnsi="Times New Roman" w:cs="Times New Roman"/>
          <w:sz w:val="24"/>
          <w:szCs w:val="24"/>
          <w:highlight w:val="white"/>
        </w:rPr>
        <w:t>Salvamani</w:t>
      </w:r>
      <w:proofErr w:type="spellEnd"/>
      <w:r>
        <w:rPr>
          <w:rFonts w:ascii="Times New Roman" w:eastAsia="Times New Roman" w:hAnsi="Times New Roman" w:cs="Times New Roman"/>
          <w:sz w:val="24"/>
          <w:szCs w:val="24"/>
          <w:highlight w:val="white"/>
        </w:rPr>
        <w:t xml:space="preserve">, S., Tiong, Y.L., </w:t>
      </w:r>
      <w:proofErr w:type="spellStart"/>
      <w:r>
        <w:rPr>
          <w:rFonts w:ascii="Times New Roman" w:eastAsia="Times New Roman" w:hAnsi="Times New Roman" w:cs="Times New Roman"/>
          <w:sz w:val="24"/>
          <w:szCs w:val="24"/>
          <w:highlight w:val="white"/>
        </w:rPr>
        <w:t>Royani</w:t>
      </w:r>
      <w:proofErr w:type="spellEnd"/>
      <w:r>
        <w:rPr>
          <w:rFonts w:ascii="Times New Roman" w:eastAsia="Times New Roman" w:hAnsi="Times New Roman" w:cs="Times New Roman"/>
          <w:sz w:val="24"/>
          <w:szCs w:val="24"/>
          <w:highlight w:val="white"/>
        </w:rPr>
        <w:t xml:space="preserve">, S.M.M., </w:t>
      </w:r>
      <w:proofErr w:type="spellStart"/>
      <w:r>
        <w:rPr>
          <w:rFonts w:ascii="Times New Roman" w:eastAsia="Times New Roman" w:hAnsi="Times New Roman" w:cs="Times New Roman"/>
          <w:sz w:val="24"/>
          <w:szCs w:val="24"/>
          <w:highlight w:val="white"/>
        </w:rPr>
        <w:t>Silvermany</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Augundhooa</w:t>
      </w:r>
      <w:proofErr w:type="spellEnd"/>
      <w:r>
        <w:rPr>
          <w:rFonts w:ascii="Times New Roman" w:eastAsia="Times New Roman" w:hAnsi="Times New Roman" w:cs="Times New Roman"/>
          <w:sz w:val="24"/>
          <w:szCs w:val="24"/>
          <w:highlight w:val="white"/>
        </w:rPr>
        <w:t xml:space="preserve">, D. and </w:t>
      </w:r>
      <w:proofErr w:type="spellStart"/>
      <w:r>
        <w:rPr>
          <w:rFonts w:ascii="Times New Roman" w:eastAsia="Times New Roman" w:hAnsi="Times New Roman" w:cs="Times New Roman"/>
          <w:sz w:val="24"/>
          <w:szCs w:val="24"/>
          <w:highlight w:val="white"/>
        </w:rPr>
        <w:t>Chambari</w:t>
      </w:r>
      <w:proofErr w:type="spellEnd"/>
      <w:r>
        <w:rPr>
          <w:rFonts w:ascii="Times New Roman" w:eastAsia="Times New Roman" w:hAnsi="Times New Roman" w:cs="Times New Roman"/>
          <w:sz w:val="24"/>
          <w:szCs w:val="24"/>
          <w:highlight w:val="white"/>
        </w:rPr>
        <w:t xml:space="preserve">, M., 2024. Chronic obstructive pulmonary disease: Signs and symptoms, diagnosis, treatments, lifestyle risk factors and management. </w:t>
      </w:r>
      <w:r>
        <w:rPr>
          <w:rFonts w:ascii="Times New Roman" w:eastAsia="Times New Roman" w:hAnsi="Times New Roman" w:cs="Times New Roman"/>
          <w:i/>
          <w:iCs/>
          <w:sz w:val="24"/>
          <w:szCs w:val="24"/>
          <w:highlight w:val="white"/>
        </w:rPr>
        <w:t>Life Sciences, Medicine and Biomedicine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(1).</w:t>
      </w:r>
    </w:p>
    <w:p w14:paraId="57F3B082"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Louis, R., Satia, I., </w:t>
      </w:r>
      <w:proofErr w:type="spellStart"/>
      <w:r>
        <w:rPr>
          <w:rFonts w:ascii="Times New Roman" w:eastAsia="Times New Roman" w:hAnsi="Times New Roman" w:cs="Times New Roman"/>
          <w:sz w:val="24"/>
          <w:szCs w:val="24"/>
          <w:highlight w:val="white"/>
        </w:rPr>
        <w:t>Ojanguren</w:t>
      </w:r>
      <w:proofErr w:type="spellEnd"/>
      <w:r>
        <w:rPr>
          <w:rFonts w:ascii="Times New Roman" w:eastAsia="Times New Roman" w:hAnsi="Times New Roman" w:cs="Times New Roman"/>
          <w:sz w:val="24"/>
          <w:szCs w:val="24"/>
          <w:highlight w:val="white"/>
        </w:rPr>
        <w:t xml:space="preserve">, I., Schleich, F., Bonini, M., Tonia, T., Rigau, D., Ten </w:t>
      </w:r>
      <w:proofErr w:type="spellStart"/>
      <w:r>
        <w:rPr>
          <w:rFonts w:ascii="Times New Roman" w:eastAsia="Times New Roman" w:hAnsi="Times New Roman" w:cs="Times New Roman"/>
          <w:sz w:val="24"/>
          <w:szCs w:val="24"/>
          <w:highlight w:val="white"/>
        </w:rPr>
        <w:t>Brinke</w:t>
      </w:r>
      <w:proofErr w:type="spellEnd"/>
      <w:r>
        <w:rPr>
          <w:rFonts w:ascii="Times New Roman" w:eastAsia="Times New Roman" w:hAnsi="Times New Roman" w:cs="Times New Roman"/>
          <w:sz w:val="24"/>
          <w:szCs w:val="24"/>
          <w:highlight w:val="white"/>
        </w:rPr>
        <w:t xml:space="preserve">, A., Buhl, R., Loukides, S. and </w:t>
      </w:r>
      <w:r>
        <w:rPr>
          <w:rFonts w:ascii="Times New Roman" w:eastAsia="Times New Roman" w:hAnsi="Times New Roman" w:cs="Times New Roman"/>
          <w:sz w:val="24"/>
          <w:szCs w:val="24"/>
          <w:highlight w:val="white"/>
        </w:rPr>
        <w:lastRenderedPageBreak/>
        <w:t xml:space="preserve">Kocks, J.W., 2022. European Respiratory Society guidelines for the diagnosis of asthma in adults. </w:t>
      </w:r>
      <w:r>
        <w:rPr>
          <w:rFonts w:ascii="Times New Roman" w:eastAsia="Times New Roman" w:hAnsi="Times New Roman" w:cs="Times New Roman"/>
          <w:i/>
          <w:iCs/>
          <w:sz w:val="24"/>
          <w:szCs w:val="24"/>
          <w:highlight w:val="white"/>
        </w:rPr>
        <w:t>European Respiratory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60</w:t>
      </w:r>
      <w:r>
        <w:rPr>
          <w:rFonts w:ascii="Times New Roman" w:eastAsia="Times New Roman" w:hAnsi="Times New Roman" w:cs="Times New Roman"/>
          <w:sz w:val="24"/>
          <w:szCs w:val="24"/>
          <w:highlight w:val="white"/>
        </w:rPr>
        <w:t>(3).</w:t>
      </w:r>
    </w:p>
    <w:p w14:paraId="3AC740F2"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Louis, R., Satia, I., </w:t>
      </w:r>
      <w:proofErr w:type="spellStart"/>
      <w:r>
        <w:rPr>
          <w:rFonts w:ascii="Times New Roman" w:eastAsia="Times New Roman" w:hAnsi="Times New Roman" w:cs="Times New Roman"/>
          <w:sz w:val="24"/>
          <w:szCs w:val="24"/>
          <w:highlight w:val="white"/>
        </w:rPr>
        <w:t>Ojanguren</w:t>
      </w:r>
      <w:proofErr w:type="spellEnd"/>
      <w:r>
        <w:rPr>
          <w:rFonts w:ascii="Times New Roman" w:eastAsia="Times New Roman" w:hAnsi="Times New Roman" w:cs="Times New Roman"/>
          <w:sz w:val="24"/>
          <w:szCs w:val="24"/>
          <w:highlight w:val="white"/>
        </w:rPr>
        <w:t xml:space="preserve">, I., Schleich, F., Bonini, M., Tonia, T., Rigau, D., Ten </w:t>
      </w:r>
      <w:proofErr w:type="spellStart"/>
      <w:r>
        <w:rPr>
          <w:rFonts w:ascii="Times New Roman" w:eastAsia="Times New Roman" w:hAnsi="Times New Roman" w:cs="Times New Roman"/>
          <w:sz w:val="24"/>
          <w:szCs w:val="24"/>
          <w:highlight w:val="white"/>
        </w:rPr>
        <w:t>Brinke</w:t>
      </w:r>
      <w:proofErr w:type="spellEnd"/>
      <w:r>
        <w:rPr>
          <w:rFonts w:ascii="Times New Roman" w:eastAsia="Times New Roman" w:hAnsi="Times New Roman" w:cs="Times New Roman"/>
          <w:sz w:val="24"/>
          <w:szCs w:val="24"/>
          <w:highlight w:val="white"/>
        </w:rPr>
        <w:t xml:space="preserve">, A., Buhl, R., Loukides, S. and Kocks, J.W., 2022. European Respiratory Society guidelines for the diagnosis of asthma in adults. </w:t>
      </w:r>
      <w:r>
        <w:rPr>
          <w:rFonts w:ascii="Times New Roman" w:eastAsia="Times New Roman" w:hAnsi="Times New Roman" w:cs="Times New Roman"/>
          <w:i/>
          <w:iCs/>
          <w:sz w:val="24"/>
          <w:szCs w:val="24"/>
          <w:highlight w:val="white"/>
        </w:rPr>
        <w:t>European Respiratory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60</w:t>
      </w:r>
      <w:r>
        <w:rPr>
          <w:rFonts w:ascii="Times New Roman" w:eastAsia="Times New Roman" w:hAnsi="Times New Roman" w:cs="Times New Roman"/>
          <w:sz w:val="24"/>
          <w:szCs w:val="24"/>
          <w:highlight w:val="white"/>
        </w:rPr>
        <w:t>(3).</w:t>
      </w:r>
    </w:p>
    <w:p w14:paraId="091355F7"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Mansur, A.H. and Prasad, N., 2023. Management of difficult-to-treat asthma in adolescence and young adults. </w:t>
      </w:r>
      <w:r>
        <w:rPr>
          <w:rFonts w:ascii="Times New Roman" w:eastAsia="Times New Roman" w:hAnsi="Times New Roman" w:cs="Times New Roman"/>
          <w:i/>
          <w:iCs/>
          <w:sz w:val="24"/>
          <w:szCs w:val="24"/>
          <w:highlight w:val="white"/>
        </w:rPr>
        <w:t>Breathe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19</w:t>
      </w:r>
      <w:r>
        <w:rPr>
          <w:rFonts w:ascii="Times New Roman" w:eastAsia="Times New Roman" w:hAnsi="Times New Roman" w:cs="Times New Roman"/>
          <w:sz w:val="24"/>
          <w:szCs w:val="24"/>
          <w:highlight w:val="white"/>
        </w:rPr>
        <w:t>(1).</w:t>
      </w:r>
    </w:p>
    <w:p w14:paraId="45D5943C"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Martin, J., Townshend, J. and </w:t>
      </w:r>
      <w:proofErr w:type="spellStart"/>
      <w:r>
        <w:rPr>
          <w:rFonts w:ascii="Times New Roman" w:eastAsia="Times New Roman" w:hAnsi="Times New Roman" w:cs="Times New Roman"/>
          <w:sz w:val="24"/>
          <w:szCs w:val="24"/>
          <w:highlight w:val="white"/>
        </w:rPr>
        <w:t>Brodlie</w:t>
      </w:r>
      <w:proofErr w:type="spellEnd"/>
      <w:r>
        <w:rPr>
          <w:rFonts w:ascii="Times New Roman" w:eastAsia="Times New Roman" w:hAnsi="Times New Roman" w:cs="Times New Roman"/>
          <w:sz w:val="24"/>
          <w:szCs w:val="24"/>
          <w:highlight w:val="white"/>
        </w:rPr>
        <w:t xml:space="preserve">, M., 2022. Diagnosis and management of asthma in children. </w:t>
      </w:r>
      <w:r>
        <w:rPr>
          <w:rFonts w:ascii="Times New Roman" w:eastAsia="Times New Roman" w:hAnsi="Times New Roman" w:cs="Times New Roman"/>
          <w:i/>
          <w:iCs/>
          <w:sz w:val="24"/>
          <w:szCs w:val="24"/>
          <w:highlight w:val="white"/>
        </w:rPr>
        <w:t>BMJ Paediatrics Open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(1), p.e001277.</w:t>
      </w:r>
    </w:p>
    <w:p w14:paraId="2DA4A1C8"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Maspero, J., Adir, Y., Al-Ahmad, M., Celis-Preciado, C.A., </w:t>
      </w:r>
      <w:proofErr w:type="spellStart"/>
      <w:r>
        <w:rPr>
          <w:rFonts w:ascii="Times New Roman" w:eastAsia="Times New Roman" w:hAnsi="Times New Roman" w:cs="Times New Roman"/>
          <w:sz w:val="24"/>
          <w:szCs w:val="24"/>
          <w:highlight w:val="white"/>
        </w:rPr>
        <w:t>Colodenco</w:t>
      </w:r>
      <w:proofErr w:type="spellEnd"/>
      <w:r>
        <w:rPr>
          <w:rFonts w:ascii="Times New Roman" w:eastAsia="Times New Roman" w:hAnsi="Times New Roman" w:cs="Times New Roman"/>
          <w:sz w:val="24"/>
          <w:szCs w:val="24"/>
          <w:highlight w:val="white"/>
        </w:rPr>
        <w:t xml:space="preserve">, F.D., </w:t>
      </w:r>
      <w:proofErr w:type="spellStart"/>
      <w:r>
        <w:rPr>
          <w:rFonts w:ascii="Times New Roman" w:eastAsia="Times New Roman" w:hAnsi="Times New Roman" w:cs="Times New Roman"/>
          <w:sz w:val="24"/>
          <w:szCs w:val="24"/>
          <w:highlight w:val="white"/>
        </w:rPr>
        <w:t>Giavina</w:t>
      </w:r>
      <w:proofErr w:type="spellEnd"/>
      <w:r>
        <w:rPr>
          <w:rFonts w:ascii="Times New Roman" w:eastAsia="Times New Roman" w:hAnsi="Times New Roman" w:cs="Times New Roman"/>
          <w:sz w:val="24"/>
          <w:szCs w:val="24"/>
          <w:highlight w:val="white"/>
        </w:rPr>
        <w:t xml:space="preserve">-Bianchi, P., Lababidi, H., </w:t>
      </w:r>
      <w:proofErr w:type="spellStart"/>
      <w:r>
        <w:rPr>
          <w:rFonts w:ascii="Times New Roman" w:eastAsia="Times New Roman" w:hAnsi="Times New Roman" w:cs="Times New Roman"/>
          <w:sz w:val="24"/>
          <w:szCs w:val="24"/>
          <w:highlight w:val="white"/>
        </w:rPr>
        <w:t>Ledanois</w:t>
      </w:r>
      <w:proofErr w:type="spellEnd"/>
      <w:r>
        <w:rPr>
          <w:rFonts w:ascii="Times New Roman" w:eastAsia="Times New Roman" w:hAnsi="Times New Roman" w:cs="Times New Roman"/>
          <w:sz w:val="24"/>
          <w:szCs w:val="24"/>
          <w:highlight w:val="white"/>
        </w:rPr>
        <w:t xml:space="preserve">, O., Mahoub, B., Perng, D.W. and Vazquez, J.C., 2022. Type 2 inflammation in asthma and other airway diseases. </w:t>
      </w:r>
      <w:r>
        <w:rPr>
          <w:rFonts w:ascii="Times New Roman" w:eastAsia="Times New Roman" w:hAnsi="Times New Roman" w:cs="Times New Roman"/>
          <w:i/>
          <w:iCs/>
          <w:sz w:val="24"/>
          <w:szCs w:val="24"/>
          <w:highlight w:val="white"/>
        </w:rPr>
        <w:t>ERJ open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(3).</w:t>
      </w:r>
    </w:p>
    <w:p w14:paraId="1FDF4349"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McDowell, P.J., McDowell, R., Busby, J., Eastwood, M.C., Patel, P.H., Jackson, D.J., Mansur, A., Patel, M., Burhan, H., Doe, S. and Chaudhuri, R., 2023. Clinical remission in severe asthma with biologic </w:t>
      </w:r>
      <w:r>
        <w:rPr>
          <w:rFonts w:ascii="Times New Roman" w:eastAsia="Times New Roman" w:hAnsi="Times New Roman" w:cs="Times New Roman"/>
          <w:sz w:val="24"/>
          <w:szCs w:val="24"/>
          <w:highlight w:val="white"/>
        </w:rPr>
        <w:t xml:space="preserve">therapy: an analysis from the UK Severe Asthma Registry. </w:t>
      </w:r>
      <w:r>
        <w:rPr>
          <w:rFonts w:ascii="Times New Roman" w:eastAsia="Times New Roman" w:hAnsi="Times New Roman" w:cs="Times New Roman"/>
          <w:i/>
          <w:iCs/>
          <w:sz w:val="24"/>
          <w:szCs w:val="24"/>
          <w:highlight w:val="white"/>
        </w:rPr>
        <w:t>European Respiratory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62</w:t>
      </w:r>
      <w:r>
        <w:rPr>
          <w:rFonts w:ascii="Times New Roman" w:eastAsia="Times New Roman" w:hAnsi="Times New Roman" w:cs="Times New Roman"/>
          <w:sz w:val="24"/>
          <w:szCs w:val="24"/>
          <w:highlight w:val="white"/>
        </w:rPr>
        <w:t>(6).</w:t>
      </w:r>
    </w:p>
    <w:p w14:paraId="532501E3" w14:textId="77777777" w:rsidR="00D9266D" w:rsidRDefault="00EE195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Moitra, S., Carsin, A.E., Abramson, M.J., </w:t>
      </w:r>
      <w:proofErr w:type="spellStart"/>
      <w:r>
        <w:rPr>
          <w:rFonts w:ascii="Times New Roman" w:eastAsia="Times New Roman" w:hAnsi="Times New Roman" w:cs="Times New Roman"/>
          <w:sz w:val="24"/>
          <w:szCs w:val="24"/>
          <w:highlight w:val="white"/>
        </w:rPr>
        <w:t>Accordini</w:t>
      </w:r>
      <w:proofErr w:type="spellEnd"/>
      <w:r>
        <w:rPr>
          <w:rFonts w:ascii="Times New Roman" w:eastAsia="Times New Roman" w:hAnsi="Times New Roman" w:cs="Times New Roman"/>
          <w:sz w:val="24"/>
          <w:szCs w:val="24"/>
          <w:highlight w:val="white"/>
        </w:rPr>
        <w:t xml:space="preserve">, S., Amaral, A.F., Anto, J., Bono, R., Ruiz, L.C., </w:t>
      </w:r>
      <w:proofErr w:type="spellStart"/>
      <w:r>
        <w:rPr>
          <w:rFonts w:ascii="Times New Roman" w:eastAsia="Times New Roman" w:hAnsi="Times New Roman" w:cs="Times New Roman"/>
          <w:sz w:val="24"/>
          <w:szCs w:val="24"/>
          <w:highlight w:val="white"/>
        </w:rPr>
        <w:t>Cerveri</w:t>
      </w:r>
      <w:proofErr w:type="spellEnd"/>
      <w:r>
        <w:rPr>
          <w:rFonts w:ascii="Times New Roman" w:eastAsia="Times New Roman" w:hAnsi="Times New Roman" w:cs="Times New Roman"/>
          <w:sz w:val="24"/>
          <w:szCs w:val="24"/>
          <w:highlight w:val="white"/>
        </w:rPr>
        <w:t xml:space="preserve">, I., Chatzi, L. and </w:t>
      </w:r>
      <w:proofErr w:type="spellStart"/>
      <w:r>
        <w:rPr>
          <w:rFonts w:ascii="Times New Roman" w:eastAsia="Times New Roman" w:hAnsi="Times New Roman" w:cs="Times New Roman"/>
          <w:sz w:val="24"/>
          <w:szCs w:val="24"/>
          <w:highlight w:val="white"/>
        </w:rPr>
        <w:t>Demoly</w:t>
      </w:r>
      <w:proofErr w:type="spellEnd"/>
      <w:r>
        <w:rPr>
          <w:rFonts w:ascii="Times New Roman" w:eastAsia="Times New Roman" w:hAnsi="Times New Roman" w:cs="Times New Roman"/>
          <w:sz w:val="24"/>
          <w:szCs w:val="24"/>
          <w:highlight w:val="white"/>
        </w:rPr>
        <w:t xml:space="preserve">, P., 2023. Long-term effect of asthma on the development of obesity among adults: an international cohort study, ECRHS. </w:t>
      </w:r>
      <w:r>
        <w:rPr>
          <w:rFonts w:ascii="Times New Roman" w:eastAsia="Times New Roman" w:hAnsi="Times New Roman" w:cs="Times New Roman"/>
          <w:i/>
          <w:iCs/>
          <w:sz w:val="24"/>
          <w:szCs w:val="24"/>
          <w:highlight w:val="white"/>
        </w:rPr>
        <w:t>Thorax</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78</w:t>
      </w:r>
      <w:r>
        <w:rPr>
          <w:rFonts w:ascii="Times New Roman" w:eastAsia="Times New Roman" w:hAnsi="Times New Roman" w:cs="Times New Roman"/>
          <w:sz w:val="24"/>
          <w:szCs w:val="24"/>
          <w:highlight w:val="white"/>
        </w:rPr>
        <w:t>(2), pp.128-135.</w:t>
      </w:r>
    </w:p>
    <w:p w14:paraId="4DC64E69"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Moosa-Battey, R.M., 2026. Is your patient’s asthma well controlled? Bridging the gap between perceived and actual control in contemporary asthma management. </w:t>
      </w:r>
      <w:r>
        <w:rPr>
          <w:rFonts w:ascii="Times New Roman" w:eastAsia="Times New Roman" w:hAnsi="Times New Roman" w:cs="Times New Roman"/>
          <w:i/>
          <w:iCs/>
          <w:sz w:val="24"/>
          <w:szCs w:val="24"/>
          <w:highlight w:val="white"/>
        </w:rPr>
        <w:t>SA Pharmaceutical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93</w:t>
      </w:r>
      <w:r>
        <w:rPr>
          <w:rFonts w:ascii="Times New Roman" w:eastAsia="Times New Roman" w:hAnsi="Times New Roman" w:cs="Times New Roman"/>
          <w:sz w:val="24"/>
          <w:szCs w:val="24"/>
          <w:highlight w:val="white"/>
        </w:rPr>
        <w:t>(1), pp.28-38.</w:t>
      </w:r>
    </w:p>
    <w:p w14:paraId="4BBAF007" w14:textId="77777777" w:rsidR="00D9266D" w:rsidRDefault="00EE195E">
      <w:pPr>
        <w:spacing w:before="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Oluwalade</w:t>
      </w:r>
      <w:proofErr w:type="spellEnd"/>
      <w:r>
        <w:rPr>
          <w:rFonts w:ascii="Times New Roman" w:eastAsia="Times New Roman" w:hAnsi="Times New Roman" w:cs="Times New Roman"/>
          <w:sz w:val="24"/>
          <w:szCs w:val="24"/>
          <w:highlight w:val="white"/>
        </w:rPr>
        <w:t xml:space="preserve">, T.I., Ahmadi, H., Huo, L., Sharpe, R. and Zhou, S.M., 2025. Comorbidities and emotions-unpacking the sentiments of </w:t>
      </w:r>
      <w:proofErr w:type="spellStart"/>
      <w:r>
        <w:rPr>
          <w:rFonts w:ascii="Times New Roman" w:eastAsia="Times New Roman" w:hAnsi="Times New Roman" w:cs="Times New Roman"/>
          <w:sz w:val="24"/>
          <w:szCs w:val="24"/>
          <w:highlight w:val="white"/>
        </w:rPr>
        <w:t>pediatric</w:t>
      </w:r>
      <w:proofErr w:type="spellEnd"/>
      <w:r>
        <w:rPr>
          <w:rFonts w:ascii="Times New Roman" w:eastAsia="Times New Roman" w:hAnsi="Times New Roman" w:cs="Times New Roman"/>
          <w:sz w:val="24"/>
          <w:szCs w:val="24"/>
          <w:highlight w:val="white"/>
        </w:rPr>
        <w:t xml:space="preserve"> patients with multiple long-term conditions through social media feedback: A large language model-driven study. </w:t>
      </w:r>
      <w:r>
        <w:rPr>
          <w:rFonts w:ascii="Times New Roman" w:eastAsia="Times New Roman" w:hAnsi="Times New Roman" w:cs="Times New Roman"/>
          <w:i/>
          <w:iCs/>
          <w:sz w:val="24"/>
          <w:szCs w:val="24"/>
          <w:highlight w:val="white"/>
        </w:rPr>
        <w:t>Journal of Affective Disorders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388</w:t>
      </w:r>
      <w:r>
        <w:rPr>
          <w:rFonts w:ascii="Times New Roman" w:eastAsia="Times New Roman" w:hAnsi="Times New Roman" w:cs="Times New Roman"/>
          <w:sz w:val="24"/>
          <w:szCs w:val="24"/>
          <w:highlight w:val="white"/>
        </w:rPr>
        <w:t>, p.119752.</w:t>
      </w:r>
    </w:p>
    <w:p w14:paraId="5D972D3C"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Pickens, G., Smith, M.W., McDermott, K.W., Mummert, A. and Karaca, Z., 2022. Trends in treatment costs of US emergency department visits. </w:t>
      </w:r>
      <w:r>
        <w:rPr>
          <w:rFonts w:ascii="Times New Roman" w:eastAsia="Times New Roman" w:hAnsi="Times New Roman" w:cs="Times New Roman"/>
          <w:i/>
          <w:iCs/>
          <w:sz w:val="24"/>
          <w:szCs w:val="24"/>
          <w:highlight w:val="white"/>
        </w:rPr>
        <w:t>The American Journal of Emergency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58</w:t>
      </w:r>
      <w:r>
        <w:rPr>
          <w:rFonts w:ascii="Times New Roman" w:eastAsia="Times New Roman" w:hAnsi="Times New Roman" w:cs="Times New Roman"/>
          <w:sz w:val="24"/>
          <w:szCs w:val="24"/>
          <w:highlight w:val="white"/>
        </w:rPr>
        <w:t>, pp.89-94.</w:t>
      </w:r>
    </w:p>
    <w:p w14:paraId="0BAF37D5"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Series, V.S., 2025. CLINICAL UPDATE IN CARDIOVASCULAR RISK </w:t>
      </w:r>
      <w:r>
        <w:rPr>
          <w:rFonts w:ascii="Times New Roman" w:eastAsia="Times New Roman" w:hAnsi="Times New Roman" w:cs="Times New Roman"/>
          <w:sz w:val="24"/>
          <w:szCs w:val="24"/>
          <w:highlight w:val="white"/>
        </w:rPr>
        <w:lastRenderedPageBreak/>
        <w:t xml:space="preserve">FACTORS. </w:t>
      </w:r>
      <w:r>
        <w:rPr>
          <w:rFonts w:ascii="Times New Roman" w:eastAsia="Times New Roman" w:hAnsi="Times New Roman" w:cs="Times New Roman"/>
          <w:i/>
          <w:iCs/>
          <w:sz w:val="24"/>
          <w:szCs w:val="24"/>
          <w:highlight w:val="white"/>
        </w:rPr>
        <w:t>Journal of General Internal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40</w:t>
      </w:r>
      <w:r>
        <w:rPr>
          <w:rFonts w:ascii="Times New Roman" w:eastAsia="Times New Roman" w:hAnsi="Times New Roman" w:cs="Times New Roman"/>
          <w:sz w:val="24"/>
          <w:szCs w:val="24"/>
          <w:highlight w:val="white"/>
        </w:rPr>
        <w:t xml:space="preserve">(1), </w:t>
      </w:r>
      <w:proofErr w:type="gramStart"/>
      <w:r>
        <w:rPr>
          <w:rFonts w:ascii="Times New Roman" w:eastAsia="Times New Roman" w:hAnsi="Times New Roman" w:cs="Times New Roman"/>
          <w:sz w:val="24"/>
          <w:szCs w:val="24"/>
          <w:highlight w:val="white"/>
        </w:rPr>
        <w:t>pp.S</w:t>
      </w:r>
      <w:proofErr w:type="gramEnd"/>
      <w:r>
        <w:rPr>
          <w:rFonts w:ascii="Times New Roman" w:eastAsia="Times New Roman" w:hAnsi="Times New Roman" w:cs="Times New Roman"/>
          <w:sz w:val="24"/>
          <w:szCs w:val="24"/>
          <w:highlight w:val="white"/>
        </w:rPr>
        <w:t>1-S967.</w:t>
      </w:r>
    </w:p>
    <w:p w14:paraId="5BFDA278"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Skene, I., 2024. Understanding the beliefs and behaviours of adults presenting to the Emergency Department with asthma with a view to developing guidance for a medication optimisation intervention.</w:t>
      </w:r>
    </w:p>
    <w:p w14:paraId="2C4EC95C"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Torres-Borrego, J. and Sánchez-Solís, M., 2023. Dissecting airborne allergens. </w:t>
      </w:r>
      <w:r>
        <w:rPr>
          <w:rFonts w:ascii="Times New Roman" w:eastAsia="Times New Roman" w:hAnsi="Times New Roman" w:cs="Times New Roman"/>
          <w:i/>
          <w:iCs/>
          <w:sz w:val="24"/>
          <w:szCs w:val="24"/>
          <w:highlight w:val="white"/>
        </w:rPr>
        <w:t>Journal of clinical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(18), p.5856.</w:t>
      </w:r>
    </w:p>
    <w:p w14:paraId="658F9A3F"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Tsui, H.C., </w:t>
      </w:r>
      <w:proofErr w:type="spellStart"/>
      <w:r>
        <w:rPr>
          <w:rFonts w:ascii="Times New Roman" w:eastAsia="Times New Roman" w:hAnsi="Times New Roman" w:cs="Times New Roman"/>
          <w:sz w:val="24"/>
          <w:szCs w:val="24"/>
          <w:highlight w:val="white"/>
        </w:rPr>
        <w:t>Ronsmans</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Hoet</w:t>
      </w:r>
      <w:proofErr w:type="spellEnd"/>
      <w:r>
        <w:rPr>
          <w:rFonts w:ascii="Times New Roman" w:eastAsia="Times New Roman" w:hAnsi="Times New Roman" w:cs="Times New Roman"/>
          <w:sz w:val="24"/>
          <w:szCs w:val="24"/>
          <w:highlight w:val="white"/>
        </w:rPr>
        <w:t xml:space="preserve">, P.H., </w:t>
      </w:r>
      <w:proofErr w:type="spellStart"/>
      <w:r>
        <w:rPr>
          <w:rFonts w:ascii="Times New Roman" w:eastAsia="Times New Roman" w:hAnsi="Times New Roman" w:cs="Times New Roman"/>
          <w:sz w:val="24"/>
          <w:szCs w:val="24"/>
          <w:highlight w:val="white"/>
        </w:rPr>
        <w:t>Nemery</w:t>
      </w:r>
      <w:proofErr w:type="spellEnd"/>
      <w:r>
        <w:rPr>
          <w:rFonts w:ascii="Times New Roman" w:eastAsia="Times New Roman" w:hAnsi="Times New Roman" w:cs="Times New Roman"/>
          <w:sz w:val="24"/>
          <w:szCs w:val="24"/>
          <w:highlight w:val="white"/>
        </w:rPr>
        <w:t xml:space="preserve">, B. and </w:t>
      </w:r>
      <w:proofErr w:type="spellStart"/>
      <w:r>
        <w:rPr>
          <w:rFonts w:ascii="Times New Roman" w:eastAsia="Times New Roman" w:hAnsi="Times New Roman" w:cs="Times New Roman"/>
          <w:sz w:val="24"/>
          <w:szCs w:val="24"/>
          <w:highlight w:val="white"/>
        </w:rPr>
        <w:t>Vanoirbeek</w:t>
      </w:r>
      <w:proofErr w:type="spellEnd"/>
      <w:r>
        <w:rPr>
          <w:rFonts w:ascii="Times New Roman" w:eastAsia="Times New Roman" w:hAnsi="Times New Roman" w:cs="Times New Roman"/>
          <w:sz w:val="24"/>
          <w:szCs w:val="24"/>
          <w:highlight w:val="white"/>
        </w:rPr>
        <w:t xml:space="preserve">, J.A., 2022. Occupational asthma caused by low-molecular-weight chemicals associated with contact dermatitis: a retrospective study. </w:t>
      </w:r>
      <w:r>
        <w:rPr>
          <w:rFonts w:ascii="Times New Roman" w:eastAsia="Times New Roman" w:hAnsi="Times New Roman" w:cs="Times New Roman"/>
          <w:i/>
          <w:iCs/>
          <w:sz w:val="24"/>
          <w:szCs w:val="24"/>
          <w:highlight w:val="white"/>
        </w:rPr>
        <w:t>The Journal of Allergy and Clinical Immunology: In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w:t>
      </w:r>
      <w:r>
        <w:rPr>
          <w:rFonts w:ascii="Times New Roman" w:eastAsia="Times New Roman" w:hAnsi="Times New Roman" w:cs="Times New Roman"/>
          <w:sz w:val="24"/>
          <w:szCs w:val="24"/>
          <w:highlight w:val="white"/>
        </w:rPr>
        <w:t>(9), pp.2346-2354.</w:t>
      </w:r>
    </w:p>
    <w:p w14:paraId="511D5C32" w14:textId="77777777" w:rsidR="00D9266D" w:rsidRDefault="00EE195E">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Witte, J.A., Birnie, E., </w:t>
      </w:r>
      <w:proofErr w:type="spellStart"/>
      <w:r>
        <w:rPr>
          <w:rFonts w:ascii="Times New Roman" w:eastAsia="Times New Roman" w:hAnsi="Times New Roman" w:cs="Times New Roman"/>
          <w:sz w:val="24"/>
          <w:szCs w:val="24"/>
          <w:highlight w:val="white"/>
        </w:rPr>
        <w:t>Braunstahl</w:t>
      </w:r>
      <w:proofErr w:type="spellEnd"/>
      <w:r>
        <w:rPr>
          <w:rFonts w:ascii="Times New Roman" w:eastAsia="Times New Roman" w:hAnsi="Times New Roman" w:cs="Times New Roman"/>
          <w:sz w:val="24"/>
          <w:szCs w:val="24"/>
          <w:highlight w:val="white"/>
        </w:rPr>
        <w:t xml:space="preserve">, G.J., van den Akker, E., van </w:t>
      </w:r>
      <w:proofErr w:type="spellStart"/>
      <w:r>
        <w:rPr>
          <w:rFonts w:ascii="Times New Roman" w:eastAsia="Times New Roman" w:hAnsi="Times New Roman" w:cs="Times New Roman"/>
          <w:sz w:val="24"/>
          <w:szCs w:val="24"/>
          <w:highlight w:val="white"/>
        </w:rPr>
        <w:t>Litsenburg</w:t>
      </w:r>
      <w:proofErr w:type="spellEnd"/>
      <w:r>
        <w:rPr>
          <w:rFonts w:ascii="Times New Roman" w:eastAsia="Times New Roman" w:hAnsi="Times New Roman" w:cs="Times New Roman"/>
          <w:sz w:val="24"/>
          <w:szCs w:val="24"/>
          <w:highlight w:val="white"/>
        </w:rPr>
        <w:t xml:space="preserve">, W.J., Chavannes, N.H., Rutten-van </w:t>
      </w:r>
      <w:proofErr w:type="spellStart"/>
      <w:r>
        <w:rPr>
          <w:rFonts w:ascii="Times New Roman" w:eastAsia="Times New Roman" w:hAnsi="Times New Roman" w:cs="Times New Roman"/>
          <w:sz w:val="24"/>
          <w:szCs w:val="24"/>
          <w:highlight w:val="white"/>
        </w:rPr>
        <w:t>Mölken</w:t>
      </w:r>
      <w:proofErr w:type="spellEnd"/>
      <w:r>
        <w:rPr>
          <w:rFonts w:ascii="Times New Roman" w:eastAsia="Times New Roman" w:hAnsi="Times New Roman" w:cs="Times New Roman"/>
          <w:sz w:val="24"/>
          <w:szCs w:val="24"/>
          <w:highlight w:val="white"/>
        </w:rPr>
        <w:t xml:space="preserve">, M.P. and CCM, J., 2023. Implementing integrated care guidelines in asthma and COPD: It </w:t>
      </w:r>
      <w:proofErr w:type="spellStart"/>
      <w:r>
        <w:rPr>
          <w:rFonts w:ascii="Times New Roman" w:eastAsia="Times New Roman" w:hAnsi="Times New Roman" w:cs="Times New Roman"/>
          <w:sz w:val="24"/>
          <w:szCs w:val="24"/>
          <w:highlight w:val="white"/>
        </w:rPr>
        <w:t>ain't</w:t>
      </w:r>
      <w:proofErr w:type="spell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easy!.</w:t>
      </w:r>
      <w:proofErr w:type="gram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i/>
          <w:iCs/>
          <w:sz w:val="24"/>
          <w:szCs w:val="24"/>
          <w:highlight w:val="white"/>
        </w:rPr>
        <w:t>Heliyon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(11).</w:t>
      </w:r>
    </w:p>
    <w:p w14:paraId="6E66C6EC" w14:textId="77777777" w:rsidR="00D9266D" w:rsidRDefault="00D9266D">
      <w:pPr>
        <w:spacing w:before="240" w:after="240" w:line="360" w:lineRule="auto"/>
        <w:jc w:val="both"/>
        <w:rPr>
          <w:rFonts w:ascii="Times New Roman" w:eastAsia="Times New Roman" w:hAnsi="Times New Roman" w:cs="Times New Roman"/>
          <w:sz w:val="24"/>
          <w:szCs w:val="24"/>
          <w:highlight w:val="white"/>
        </w:rPr>
      </w:pPr>
    </w:p>
    <w:p w14:paraId="77EA46FD" w14:textId="77777777" w:rsidR="00D9266D" w:rsidRDefault="00D9266D">
      <w:pPr>
        <w:spacing w:line="360" w:lineRule="auto"/>
        <w:jc w:val="both"/>
        <w:rPr>
          <w:rFonts w:ascii="Times New Roman" w:eastAsia="Times New Roman" w:hAnsi="Times New Roman" w:cs="Times New Roman"/>
          <w:b/>
          <w:bCs/>
          <w:sz w:val="24"/>
          <w:szCs w:val="24"/>
        </w:rPr>
      </w:pPr>
    </w:p>
    <w:p w14:paraId="71B25078" w14:textId="77777777" w:rsidR="00D9266D" w:rsidRDefault="00D9266D">
      <w:pPr>
        <w:spacing w:line="360" w:lineRule="auto"/>
        <w:jc w:val="both"/>
        <w:rPr>
          <w:rFonts w:ascii="Times New Roman" w:eastAsia="Times New Roman" w:hAnsi="Times New Roman" w:cs="Times New Roman"/>
          <w:b/>
          <w:bCs/>
          <w:sz w:val="24"/>
          <w:szCs w:val="24"/>
        </w:rPr>
      </w:pPr>
    </w:p>
    <w:sectPr w:rsidR="00D9266D" w:rsidSect="00CA79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C0F8C" w14:textId="77777777" w:rsidR="00EE195E" w:rsidRDefault="00EE195E">
      <w:pPr>
        <w:spacing w:line="240" w:lineRule="auto"/>
      </w:pPr>
      <w:r>
        <w:separator/>
      </w:r>
    </w:p>
  </w:endnote>
  <w:endnote w:type="continuationSeparator" w:id="0">
    <w:p w14:paraId="719AD313" w14:textId="77777777" w:rsidR="00EE195E" w:rsidRDefault="00EE19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543A06C-0857-475F-876C-23C189DAF124}"/>
  </w:font>
  <w:font w:name="Shruti">
    <w:panose1 w:val="02000500000000000000"/>
    <w:charset w:val="00"/>
    <w:family w:val="swiss"/>
    <w:pitch w:val="variable"/>
    <w:sig w:usb0="00040003" w:usb1="00000000" w:usb2="00000000" w:usb3="00000000" w:csb0="00000001" w:csb1="00000000"/>
    <w:embedRegular r:id="rId2" w:fontKey="{5779E6A6-0B2F-47A9-BD22-A50C6DFDAE74}"/>
  </w:font>
  <w:font w:name="Cambria">
    <w:panose1 w:val="02040503050406030204"/>
    <w:charset w:val="00"/>
    <w:family w:val="roman"/>
    <w:pitch w:val="variable"/>
    <w:sig w:usb0="E00006FF" w:usb1="420024FF" w:usb2="02000000" w:usb3="00000000" w:csb0="0000019F" w:csb1="00000000"/>
    <w:embedRegular r:id="rId3" w:fontKey="{9266BD6D-25F7-4E9D-A0E1-F42B8FF03C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564D7" w14:textId="77777777" w:rsidR="00D9266D" w:rsidRPr="00CA7933" w:rsidRDefault="00EE195E">
    <w:pPr>
      <w:jc w:val="right"/>
      <w:rPr>
        <w:rFonts w:ascii="Times New Roman" w:eastAsia="Times New Roman" w:hAnsi="Times New Roman" w:cs="Times New Roman"/>
        <w:sz w:val="24"/>
        <w:szCs w:val="24"/>
      </w:rPr>
    </w:pPr>
    <w:r w:rsidRPr="00CA7933">
      <w:rPr>
        <w:rFonts w:ascii="Times New Roman" w:eastAsia="Times New Roman" w:hAnsi="Times New Roman" w:cs="Times New Roman"/>
        <w:sz w:val="24"/>
        <w:szCs w:val="24"/>
      </w:rPr>
      <w:fldChar w:fldCharType="begin"/>
    </w:r>
    <w:r w:rsidRPr="00CA7933">
      <w:rPr>
        <w:rFonts w:ascii="Times New Roman" w:eastAsia="Times New Roman" w:hAnsi="Times New Roman" w:cs="Times New Roman"/>
        <w:sz w:val="24"/>
        <w:szCs w:val="24"/>
      </w:rPr>
      <w:instrText>PAGE</w:instrText>
    </w:r>
    <w:r w:rsidRPr="00CA7933">
      <w:rPr>
        <w:rFonts w:ascii="Times New Roman" w:eastAsia="Times New Roman" w:hAnsi="Times New Roman" w:cs="Times New Roman"/>
        <w:sz w:val="24"/>
        <w:szCs w:val="24"/>
      </w:rPr>
      <w:fldChar w:fldCharType="separate"/>
    </w:r>
    <w:r w:rsidR="003C5D2E" w:rsidRPr="00CA7933">
      <w:rPr>
        <w:rFonts w:ascii="Times New Roman" w:eastAsia="Times New Roman" w:hAnsi="Times New Roman" w:cs="Times New Roman"/>
        <w:noProof/>
        <w:sz w:val="24"/>
        <w:szCs w:val="24"/>
      </w:rPr>
      <w:t>1</w:t>
    </w:r>
    <w:r w:rsidRPr="00CA7933">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698277375"/>
      <w:docPartObj>
        <w:docPartGallery w:val="Page Numbers (Bottom of Page)"/>
        <w:docPartUnique/>
      </w:docPartObj>
    </w:sdtPr>
    <w:sdtEndPr>
      <w:rPr>
        <w:noProof/>
      </w:rPr>
    </w:sdtEndPr>
    <w:sdtContent>
      <w:p w14:paraId="5586F720" w14:textId="6F56B4E0" w:rsidR="00CA7933" w:rsidRPr="00CA7933" w:rsidRDefault="00CA7933">
        <w:pPr>
          <w:pStyle w:val="Footer"/>
          <w:jc w:val="right"/>
          <w:rPr>
            <w:rFonts w:ascii="Times New Roman" w:hAnsi="Times New Roman" w:cs="Times New Roman"/>
            <w:sz w:val="24"/>
            <w:szCs w:val="24"/>
          </w:rPr>
        </w:pPr>
        <w:r w:rsidRPr="00CA7933">
          <w:rPr>
            <w:rFonts w:ascii="Times New Roman" w:hAnsi="Times New Roman" w:cs="Times New Roman"/>
            <w:sz w:val="24"/>
            <w:szCs w:val="24"/>
          </w:rPr>
          <w:fldChar w:fldCharType="begin"/>
        </w:r>
        <w:r w:rsidRPr="00CA7933">
          <w:rPr>
            <w:rFonts w:ascii="Times New Roman" w:hAnsi="Times New Roman" w:cs="Times New Roman"/>
            <w:sz w:val="24"/>
            <w:szCs w:val="24"/>
          </w:rPr>
          <w:instrText xml:space="preserve"> PAGE   \* MERGEFORMAT </w:instrText>
        </w:r>
        <w:r w:rsidRPr="00CA7933">
          <w:rPr>
            <w:rFonts w:ascii="Times New Roman" w:hAnsi="Times New Roman" w:cs="Times New Roman"/>
            <w:sz w:val="24"/>
            <w:szCs w:val="24"/>
          </w:rPr>
          <w:fldChar w:fldCharType="separate"/>
        </w:r>
        <w:r w:rsidRPr="00CA7933">
          <w:rPr>
            <w:rFonts w:ascii="Times New Roman" w:hAnsi="Times New Roman" w:cs="Times New Roman"/>
            <w:noProof/>
            <w:sz w:val="24"/>
            <w:szCs w:val="24"/>
          </w:rPr>
          <w:t>2</w:t>
        </w:r>
        <w:r w:rsidRPr="00CA7933">
          <w:rPr>
            <w:rFonts w:ascii="Times New Roman" w:hAnsi="Times New Roman" w:cs="Times New Roman"/>
            <w:noProof/>
            <w:sz w:val="24"/>
            <w:szCs w:val="24"/>
          </w:rPr>
          <w:fldChar w:fldCharType="end"/>
        </w:r>
      </w:p>
    </w:sdtContent>
  </w:sdt>
  <w:p w14:paraId="69956D4B" w14:textId="77777777" w:rsidR="00CA7933" w:rsidRPr="00CA7933" w:rsidRDefault="00CA7933" w:rsidP="00CA7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77451" w14:textId="77777777" w:rsidR="00EE195E" w:rsidRDefault="00EE195E">
      <w:pPr>
        <w:spacing w:line="240" w:lineRule="auto"/>
      </w:pPr>
      <w:r>
        <w:separator/>
      </w:r>
    </w:p>
  </w:footnote>
  <w:footnote w:type="continuationSeparator" w:id="0">
    <w:p w14:paraId="75D71441" w14:textId="77777777" w:rsidR="00EE195E" w:rsidRDefault="00EE19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0311E"/>
    <w:multiLevelType w:val="multilevel"/>
    <w:tmpl w:val="16E4A8E2"/>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82072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66D"/>
    <w:rsid w:val="00203846"/>
    <w:rsid w:val="00242B1A"/>
    <w:rsid w:val="00253020"/>
    <w:rsid w:val="002B0A2B"/>
    <w:rsid w:val="003C5D2E"/>
    <w:rsid w:val="004F56E4"/>
    <w:rsid w:val="004F7681"/>
    <w:rsid w:val="007C577C"/>
    <w:rsid w:val="008F2F28"/>
    <w:rsid w:val="00930884"/>
    <w:rsid w:val="009E2550"/>
    <w:rsid w:val="009F2464"/>
    <w:rsid w:val="00AD46DD"/>
    <w:rsid w:val="00B15858"/>
    <w:rsid w:val="00BB08EB"/>
    <w:rsid w:val="00BB5053"/>
    <w:rsid w:val="00C017CB"/>
    <w:rsid w:val="00CA03CA"/>
    <w:rsid w:val="00CA7933"/>
    <w:rsid w:val="00D9266D"/>
    <w:rsid w:val="00EE195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BF4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ListParagraph">
    <w:name w:val="List Paragraph"/>
    <w:basedOn w:val="Normal"/>
    <w:uiPriority w:val="34"/>
    <w:qFormat/>
    <w:rsid w:val="000A7447"/>
    <w:pPr>
      <w:ind w:left="720"/>
      <w:contextualSpacing/>
    </w:pPr>
  </w:style>
  <w:style w:type="table" w:styleId="TableGrid">
    <w:name w:val="Table Grid"/>
    <w:basedOn w:val="TableNormal"/>
    <w:uiPriority w:val="39"/>
    <w:rsid w:val="00F5140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13F2"/>
    <w:pPr>
      <w:tabs>
        <w:tab w:val="center" w:pos="4513"/>
        <w:tab w:val="right" w:pos="9026"/>
      </w:tabs>
      <w:spacing w:line="240" w:lineRule="auto"/>
    </w:pPr>
  </w:style>
  <w:style w:type="character" w:customStyle="1" w:styleId="HeaderChar">
    <w:name w:val="Header Char"/>
    <w:basedOn w:val="DefaultParagraphFont"/>
    <w:link w:val="Header"/>
    <w:uiPriority w:val="99"/>
    <w:rsid w:val="002D13F2"/>
  </w:style>
  <w:style w:type="paragraph" w:styleId="Footer">
    <w:name w:val="footer"/>
    <w:basedOn w:val="Normal"/>
    <w:link w:val="FooterChar"/>
    <w:uiPriority w:val="99"/>
    <w:unhideWhenUsed/>
    <w:rsid w:val="002D13F2"/>
    <w:pPr>
      <w:tabs>
        <w:tab w:val="center" w:pos="4513"/>
        <w:tab w:val="right" w:pos="9026"/>
      </w:tabs>
      <w:spacing w:line="240" w:lineRule="auto"/>
    </w:pPr>
  </w:style>
  <w:style w:type="character" w:customStyle="1" w:styleId="FooterChar">
    <w:name w:val="Footer Char"/>
    <w:basedOn w:val="DefaultParagraphFont"/>
    <w:link w:val="Footer"/>
    <w:uiPriority w:val="99"/>
    <w:rsid w:val="002D13F2"/>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 w:type="paragraph" w:styleId="TOC1">
    <w:name w:val="toc 1"/>
    <w:basedOn w:val="Normal"/>
    <w:next w:val="Normal"/>
    <w:autoRedefine/>
    <w:uiPriority w:val="39"/>
    <w:unhideWhenUsed/>
    <w:rsid w:val="00CA03CA"/>
    <w:pPr>
      <w:spacing w:after="100"/>
    </w:pPr>
  </w:style>
  <w:style w:type="paragraph" w:styleId="TOC2">
    <w:name w:val="toc 2"/>
    <w:basedOn w:val="Normal"/>
    <w:next w:val="Normal"/>
    <w:autoRedefine/>
    <w:uiPriority w:val="39"/>
    <w:unhideWhenUsed/>
    <w:rsid w:val="00CA03CA"/>
    <w:pPr>
      <w:spacing w:after="100"/>
      <w:ind w:left="220"/>
    </w:pPr>
  </w:style>
  <w:style w:type="character" w:styleId="Hyperlink">
    <w:name w:val="Hyperlink"/>
    <w:basedOn w:val="DefaultParagraphFont"/>
    <w:uiPriority w:val="99"/>
    <w:unhideWhenUsed/>
    <w:rsid w:val="00CA03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ct-center.org/application/files/1616/3511/6445/Model_Chronic_Car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verydayhealth.com/asthma/guide/sympto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everydayhealth.com/asthma/guide/symptoms/" TargetMode="Externa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act-center.org/application/files/1616/3511/6445/Model_Chronic_Care.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mDKRW8bXiILF9Xl7rz4ER1MxjA==">CgMxLjAyDmguZDdnMG5pdmRmNXAxMg5oLmtoejRvdGl3djU0NTIOaC55YWJtNmlhaXVibGsyDmguZTJ1NmI0ZGY2MXE0Mg5oLnUxdmhpdHhmMWMwNTIOaC50MnF4M3ptdmhsYmsyDmgudzJxcHJ5anhneGxsMg5oLjVxcjd2bnlsczFsNDIOaC5vOWprdWthbzlnaXQyDmgueDhrZ3ducnVtbml1Mg5oLmV1ZGhxbW96NDhlNDIOaC5sZXo5NzZlYXV2MmgyDmgubGVmc2R1dzJwb3I2Mg5oLnl4bnJ4aWp5MjRmcDIOaC52OTY4MTI5ZXU5bXQ4AHIhMUt5YW5HdjJrRFFfcmNrVnlYM05tTEthYWJ3ZTdIbU1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4658</Words>
  <Characters>26555</Characters>
  <Application>Microsoft Office Word</Application>
  <DocSecurity>0</DocSecurity>
  <Lines>221</Lines>
  <Paragraphs>62</Paragraphs>
  <ScaleCrop>false</ScaleCrop>
  <LinksUpToDate>false</LinksUpToDate>
  <CharactersWithSpaces>31151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2026-03-19T13:27:00Z</dcterms:created>
  <dcterms:modified xsi:type="dcterms:W3CDTF">2026-03-19T13:27:00Z</dcterms:modified>
</cp:coreProperties>
</file>