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1"/>
        <w:jc w:val="right"/>
        <w:rPr>
          <w:rFonts w:ascii="Arial" w:hAnsi="Arial"/>
          <w:b w:val="1"/>
          <w:bCs w:val="1"/>
        </w:rPr>
      </w:pPr>
      <w:r>
        <w:rPr>
          <w:rFonts w:ascii="Arial" w:hAnsi="Arial"/>
          <w:b w:val="1"/>
          <w:bCs w:val="1"/>
        </w:rPr>
        <w:drawing xmlns:a="http://schemas.openxmlformats.org/drawingml/2006/main">
          <wp:inline distT="0" distB="0" distL="0" distR="0">
            <wp:extent cx="2371725" cy="876300"/>
            <wp:effectExtent l="0" t="0" r="0" b="0"/>
            <wp:docPr id="1073741825" name="officeArt object" descr="image8.png"/>
            <wp:cNvGraphicFramePr/>
            <a:graphic xmlns:a="http://schemas.openxmlformats.org/drawingml/2006/main">
              <a:graphicData uri="http://schemas.openxmlformats.org/drawingml/2006/picture">
                <pic:pic xmlns:pic="http://schemas.openxmlformats.org/drawingml/2006/picture">
                  <pic:nvPicPr>
                    <pic:cNvPr id="1073741825" name="image8.png" descr="image8.png"/>
                    <pic:cNvPicPr>
                      <a:picLocks noChangeAspect="1"/>
                    </pic:cNvPicPr>
                  </pic:nvPicPr>
                  <pic:blipFill>
                    <a:blip r:embed="rId4">
                      <a:extLst/>
                    </a:blip>
                    <a:stretch>
                      <a:fillRect/>
                    </a:stretch>
                  </pic:blipFill>
                  <pic:spPr>
                    <a:xfrm>
                      <a:off x="0" y="0"/>
                      <a:ext cx="2371725" cy="876300"/>
                    </a:xfrm>
                    <a:prstGeom prst="rect">
                      <a:avLst/>
                    </a:prstGeom>
                    <a:ln w="12700" cap="flat">
                      <a:noFill/>
                      <a:miter lim="400000"/>
                    </a:ln>
                    <a:effectLst/>
                  </pic:spPr>
                </pic:pic>
              </a:graphicData>
            </a:graphic>
          </wp:inline>
        </w:drawing>
      </w:r>
    </w:p>
    <w:p>
      <w:pPr>
        <w:pStyle w:val="Normal1"/>
        <w:jc w:val="center"/>
        <w:rPr>
          <w:rFonts w:ascii="Arial" w:hAnsi="Arial"/>
          <w:b w:val="1"/>
          <w:bCs w:val="1"/>
        </w:rPr>
      </w:pPr>
    </w:p>
    <w:p>
      <w:pPr>
        <w:pStyle w:val="Normal1"/>
        <w:jc w:val="center"/>
        <w:rPr>
          <w:rFonts w:ascii="Arial" w:hAnsi="Arial"/>
          <w:b w:val="1"/>
          <w:bCs w:val="1"/>
        </w:rPr>
      </w:pPr>
    </w:p>
    <w:p>
      <w:pPr>
        <w:pStyle w:val="Normal1"/>
        <w:jc w:val="center"/>
        <w:rPr>
          <w:rFonts w:ascii="Arial" w:hAnsi="Arial"/>
          <w:b w:val="1"/>
          <w:bCs w:val="1"/>
        </w:rPr>
      </w:pPr>
    </w:p>
    <w:p>
      <w:pPr>
        <w:pStyle w:val="Normal1"/>
        <w:jc w:val="center"/>
        <w:rPr>
          <w:rFonts w:ascii="Arial" w:cs="Arial" w:hAnsi="Arial" w:eastAsia="Arial"/>
          <w:b w:val="1"/>
          <w:bCs w:val="1"/>
        </w:rPr>
      </w:pPr>
      <w:r>
        <w:rPr>
          <w:rFonts w:ascii="Arial" w:hAnsi="Arial"/>
          <w:b w:val="1"/>
          <w:bCs w:val="1"/>
          <w:rtl w:val="0"/>
          <w:lang w:val="en-US"/>
        </w:rPr>
        <w:t>Student Name:</w:t>
      </w:r>
      <w:r>
        <w:rPr>
          <w:rFonts w:ascii="Arial" w:hAnsi="Arial"/>
          <w:b w:val="1"/>
          <w:bCs w:val="1"/>
          <w:rtl w:val="0"/>
          <w:lang w:val="en-US"/>
        </w:rPr>
        <w:t xml:space="preserve"> Bhaiyat Sahid Shabbir Ahmad </w:t>
      </w:r>
    </w:p>
    <w:p>
      <w:pPr>
        <w:pStyle w:val="Normal1"/>
        <w:jc w:val="center"/>
        <w:rPr>
          <w:rFonts w:ascii="Arial" w:cs="Arial" w:hAnsi="Arial" w:eastAsia="Arial"/>
          <w:b w:val="1"/>
          <w:bCs w:val="1"/>
        </w:rPr>
      </w:pPr>
      <w:r>
        <w:rPr>
          <w:rFonts w:ascii="Arial" w:hAnsi="Arial"/>
          <w:b w:val="1"/>
          <w:bCs w:val="1"/>
          <w:rtl w:val="0"/>
          <w:lang w:val="en-US"/>
        </w:rPr>
        <w:t xml:space="preserve">Student Number: </w:t>
      </w:r>
      <w:r>
        <w:rPr>
          <w:rFonts w:ascii="Arial" w:hAnsi="Arial"/>
          <w:b w:val="1"/>
          <w:bCs w:val="1"/>
          <w:rtl w:val="0"/>
          <w:lang w:val="en-US"/>
        </w:rPr>
        <w:t>2525517</w:t>
      </w:r>
    </w:p>
    <w:p>
      <w:pPr>
        <w:pStyle w:val="Normal1"/>
        <w:jc w:val="center"/>
        <w:rPr>
          <w:rFonts w:ascii="Arial" w:cs="Arial" w:hAnsi="Arial" w:eastAsia="Arial"/>
          <w:b w:val="1"/>
          <w:bCs w:val="1"/>
        </w:rPr>
      </w:pPr>
      <w:r>
        <w:rPr>
          <w:rFonts w:ascii="Arial" w:hAnsi="Arial"/>
          <w:b w:val="1"/>
          <w:bCs w:val="1"/>
          <w:rtl w:val="0"/>
          <w:lang w:val="en-US"/>
        </w:rPr>
        <w:t>Module code: LCHS7003</w:t>
      </w:r>
    </w:p>
    <w:p>
      <w:pPr>
        <w:pStyle w:val="Normal1"/>
        <w:jc w:val="center"/>
        <w:rPr>
          <w:rFonts w:ascii="Arial" w:cs="Arial" w:hAnsi="Arial" w:eastAsia="Arial"/>
          <w:b w:val="1"/>
          <w:bCs w:val="1"/>
        </w:rPr>
      </w:pPr>
      <w:r>
        <w:rPr>
          <w:rFonts w:ascii="Arial" w:hAnsi="Arial"/>
          <w:b w:val="1"/>
          <w:bCs w:val="1"/>
          <w:rtl w:val="0"/>
          <w:lang w:val="en-US"/>
        </w:rPr>
        <w:t>Module Title: Community Care and Management of Longer-term Conditions</w:t>
      </w:r>
    </w:p>
    <w:p>
      <w:pPr>
        <w:pStyle w:val="Normal1"/>
        <w:jc w:val="center"/>
        <w:rPr>
          <w:rFonts w:ascii="Arial" w:cs="Arial" w:hAnsi="Arial" w:eastAsia="Arial"/>
          <w:b w:val="1"/>
          <w:bCs w:val="1"/>
        </w:rPr>
      </w:pPr>
      <w:r>
        <w:rPr>
          <w:rFonts w:ascii="Arial" w:hAnsi="Arial"/>
          <w:b w:val="1"/>
          <w:bCs w:val="1"/>
          <w:rtl w:val="0"/>
          <w:lang w:val="en-US"/>
        </w:rPr>
        <w:t>Assignment Title: Component 1 Information Booklet of Long-term Condition Management</w:t>
      </w:r>
    </w:p>
    <w:p>
      <w:pPr>
        <w:pStyle w:val="Normal1"/>
        <w:jc w:val="center"/>
      </w:pPr>
      <w:r>
        <w:rPr>
          <w:rFonts w:ascii="Arial" w:hAnsi="Arial"/>
          <w:b w:val="1"/>
          <w:bCs w:val="1"/>
          <w:rtl w:val="0"/>
          <w:lang w:val="en-US"/>
        </w:rPr>
        <w:t>Word Count: 3283</w:t>
      </w:r>
      <w:r>
        <w:rPr>
          <w:rFonts w:ascii="Arial Unicode MS" w:cs="Arial Unicode MS" w:hAnsi="Arial Unicode MS" w:eastAsia="Arial Unicode MS"/>
          <w:b w:val="0"/>
          <w:bCs w:val="0"/>
          <w:i w:val="0"/>
          <w:iCs w:val="0"/>
        </w:rPr>
        <w:br w:type="page"/>
      </w:r>
    </w:p>
    <w:p>
      <w:pPr>
        <w:pStyle w:val="TOC Heading"/>
        <w:spacing w:line="360" w:lineRule="auto"/>
        <w:jc w:val="center"/>
        <w:rPr>
          <w:rFonts w:ascii="Arial" w:cs="Arial" w:hAnsi="Arial" w:eastAsia="Arial"/>
          <w:sz w:val="24"/>
          <w:szCs w:val="24"/>
        </w:rPr>
      </w:pPr>
      <w:r>
        <w:rPr>
          <w:rFonts w:ascii="Arial" w:hAnsi="Arial"/>
          <w:outline w:val="0"/>
          <w:color w:val="000000"/>
          <w:sz w:val="24"/>
          <w:szCs w:val="24"/>
          <w:u w:color="000000"/>
          <w:rtl w:val="0"/>
          <w:lang w:val="en-US"/>
          <w14:textFill>
            <w14:solidFill>
              <w14:srgbClr w14:val="000000"/>
            </w14:solidFill>
          </w14:textFill>
        </w:rPr>
        <w:t>Table of Contents</w:t>
      </w:r>
    </w:p>
    <w:p>
      <w:pPr>
        <w:pStyle w:val="Body"/>
        <w:spacing w:line="360" w:lineRule="auto"/>
        <w:jc w:val="both"/>
      </w:pPr>
      <w:r>
        <w:rPr>
          <w:sz w:val="24"/>
          <w:szCs w:val="24"/>
        </w:rPr>
        <w:fldChar w:fldCharType="begin" w:fldLock="0"/>
      </w:r>
      <w:r>
        <w:rPr>
          <w:sz w:val="24"/>
          <w:szCs w:val="24"/>
        </w:rPr>
        <w:instrText xml:space="preserve"> TOC \o 1-2 </w:instrText>
      </w:r>
      <w:r>
        <w:rPr>
          <w:sz w:val="24"/>
          <w:szCs w:val="24"/>
        </w:rPr>
        <w:fldChar w:fldCharType="separate" w:fldLock="0"/>
      </w:r>
    </w:p>
    <w:p>
      <w:pPr>
        <w:pStyle w:val="TOC 1"/>
      </w:pPr>
      <w:r>
        <w:rPr>
          <w:rFonts w:cs="Arial Unicode MS" w:eastAsia="Arial Unicode MS"/>
          <w:rtl w:val="0"/>
          <w:lang w:val="fr-FR"/>
        </w:rPr>
        <w:t>1.Introduction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lang w:val="en-US"/>
        </w:rPr>
        <w:t>2.Explanation and evaluation of the focused long-term condition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lang w:val="da-DK"/>
        </w:rPr>
        <w:t>Risk Factors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lang w:val="en-US"/>
        </w:rPr>
        <w:t>Prevalence and Burden of Dementia</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lang w:val="en-US"/>
        </w:rPr>
        <w:t>3. Physical, Psychological, and Social Impacts</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lang w:val="en-US"/>
        </w:rPr>
        <w:t>4. Theories and Models</w:t>
        <w:tab/>
      </w:r>
      <w:r>
        <w:rPr/>
        <w:fldChar w:fldCharType="begin" w:fldLock="0"/>
      </w:r>
      <w:r>
        <w:instrText xml:space="preserve"> PAGEREF _Toc5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lang w:val="it-IT"/>
        </w:rPr>
        <w:t>UK Model</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lang w:val="fr-FR"/>
        </w:rPr>
        <w:t>International Model</w:t>
        <w:tab/>
      </w:r>
      <w:r>
        <w:rPr/>
        <w:fldChar w:fldCharType="begin" w:fldLock="0"/>
      </w:r>
      <w:r>
        <w:instrText xml:space="preserve"> PAGEREF _Toc7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lang w:val="en-US"/>
        </w:rPr>
        <w:t>5. UK Policies and Strategic Frameworks</w:t>
        <w:tab/>
      </w:r>
      <w:r>
        <w:rPr/>
        <w:fldChar w:fldCharType="begin" w:fldLock="0"/>
      </w:r>
      <w:r>
        <w:instrText xml:space="preserve"> PAGEREF _Toc8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hint="default"/>
          <w:rtl w:val="0"/>
          <w:lang w:val="en-US"/>
        </w:rPr>
        <w:t>6. NHS’s Suitable Evidence-Based Treatments</w:t>
        <w:tab/>
      </w:r>
      <w:r>
        <w:rPr/>
        <w:fldChar w:fldCharType="begin" w:fldLock="0"/>
      </w:r>
      <w:r>
        <w:instrText xml:space="preserve"> PAGEREF _Toc9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lang w:val="en-US"/>
        </w:rPr>
        <w:t>7. Personalised Care in Dementia</w:t>
        <w:tab/>
      </w:r>
      <w:r>
        <w:rPr/>
        <w:fldChar w:fldCharType="begin" w:fldLock="0"/>
      </w:r>
      <w:r>
        <w:instrText xml:space="preserve"> PAGEREF _Toc10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lang w:val="en-US"/>
        </w:rPr>
        <w:t>8. Future Directions and Potential Solutions</w:t>
        <w:tab/>
      </w:r>
      <w:r>
        <w:rPr/>
        <w:fldChar w:fldCharType="begin" w:fldLock="0"/>
      </w:r>
      <w:r>
        <w:instrText xml:space="preserve"> PAGEREF _Toc11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lang w:val="it-IT"/>
        </w:rPr>
        <w:t>9. Conclusion</w:t>
        <w:tab/>
      </w:r>
      <w:r>
        <w:rPr/>
        <w:fldChar w:fldCharType="begin" w:fldLock="0"/>
      </w:r>
      <w:r>
        <w:instrText xml:space="preserve"> PAGEREF _Toc12 \h </w:instrText>
      </w:r>
      <w:r>
        <w:rPr/>
        <w:fldChar w:fldCharType="separate" w:fldLock="0"/>
      </w:r>
      <w:r>
        <w:rPr>
          <w:rFonts w:cs="Arial Unicode MS" w:eastAsia="Arial Unicode MS"/>
          <w:rtl w:val="0"/>
        </w:rPr>
        <w:t>15</w:t>
      </w:r>
      <w:r>
        <w:rPr/>
        <w:fldChar w:fldCharType="end" w:fldLock="0"/>
      </w:r>
    </w:p>
    <w:p>
      <w:pPr>
        <w:pStyle w:val="TOC 1"/>
      </w:pPr>
      <w:r>
        <w:rPr>
          <w:rFonts w:cs="Arial Unicode MS" w:eastAsia="Arial Unicode MS"/>
          <w:rtl w:val="0"/>
          <w:lang w:val="fr-FR"/>
        </w:rPr>
        <w:t>References</w:t>
        <w:tab/>
      </w:r>
      <w:r>
        <w:rPr/>
        <w:fldChar w:fldCharType="begin" w:fldLock="0"/>
      </w:r>
      <w:r>
        <w:instrText xml:space="preserve"> PAGEREF _Toc13 \h </w:instrText>
      </w:r>
      <w:r>
        <w:rPr/>
        <w:fldChar w:fldCharType="separate" w:fldLock="0"/>
      </w:r>
      <w:r>
        <w:rPr>
          <w:rFonts w:cs="Arial Unicode MS" w:eastAsia="Arial Unicode MS"/>
          <w:rtl w:val="0"/>
        </w:rPr>
        <w:t>16</w:t>
      </w:r>
      <w:r>
        <w:rPr/>
        <w:fldChar w:fldCharType="end" w:fldLock="0"/>
      </w:r>
    </w:p>
    <w:p>
      <w:pPr>
        <w:spacing w:line="360" w:lineRule="auto"/>
        <w:jc w:val="both"/>
        <w:rPr>
          <w:rFonts w:ascii="Cambria" w:cs="Cambria" w:hAnsi="Cambria" w:eastAsia="Cambria"/>
          <w:kern w:val="2"/>
          <w:sz w:val="24"/>
          <w:szCs w:val="24"/>
        </w:rPr>
      </w:pPr>
      <w:r>
        <w:rPr>
          <w:sz w:val="24"/>
          <w:szCs w:val="24"/>
        </w:rPr>
        <w:fldChar w:fldCharType="end" w:fldLock="0"/>
      </w:r>
    </w:p>
    <w:p>
      <w:pPr>
        <w:pStyle w:val="Body"/>
      </w:pPr>
      <w:r>
        <w:rPr>
          <w:rFonts w:ascii="Arial Unicode MS" w:cs="Arial Unicode MS" w:hAnsi="Arial Unicode MS" w:eastAsia="Arial Unicode MS"/>
          <w:b w:val="0"/>
          <w:bCs w:val="0"/>
          <w:i w:val="0"/>
          <w:iCs w:val="0"/>
        </w:rPr>
        <w:br w:type="page"/>
      </w:r>
    </w:p>
    <w:p>
      <w:pPr>
        <w:pStyle w:val="Body"/>
        <w:rPr>
          <w:b w:val="1"/>
          <w:bCs w:val="1"/>
        </w:rPr>
        <w:sectPr>
          <w:headerReference w:type="default" r:id="rId5"/>
          <w:footerReference w:type="default" r:id="rId6"/>
          <w:pgSz w:w="12240" w:h="15840" w:orient="portrait"/>
          <w:pgMar w:top="1440" w:right="1440" w:bottom="1440" w:left="1440" w:header="720" w:footer="720"/>
          <w:pgNumType w:start="1"/>
          <w:bidi w:val="0"/>
        </w:sectPr>
      </w:pPr>
      <w:r>
        <w:rPr>
          <w:b w:val="1"/>
          <w:bCs w:val="1"/>
        </w:rPr>
      </w:r>
    </w:p>
    <w:p>
      <w:pPr>
        <w:pStyle w:val="Heading"/>
        <w:rPr>
          <w:rFonts w:ascii="Arial" w:cs="Arial" w:hAnsi="Arial" w:eastAsia="Arial"/>
        </w:rPr>
      </w:pPr>
      <w:bookmarkStart w:name="_Toc" w:id="0"/>
      <w:r>
        <w:rPr>
          <w:rFonts w:ascii="Arial" w:hAnsi="Arial"/>
          <w:rtl w:val="0"/>
          <w:lang w:val="fr-FR"/>
        </w:rPr>
        <w:t>1.Introduction</w:t>
      </w:r>
      <w:bookmarkEnd w:id="0"/>
    </w:p>
    <w:p>
      <w:pPr>
        <w:pStyle w:val="Normal1"/>
        <w:rPr>
          <w:rFonts w:ascii="Arial" w:cs="Arial" w:hAnsi="Arial" w:eastAsia="Arial"/>
        </w:rPr>
      </w:pPr>
      <w:r>
        <w:rPr>
          <w:rFonts w:ascii="Arial" w:hAnsi="Arial"/>
          <w:rtl w:val="0"/>
          <w:lang w:val="en-US"/>
        </w:rPr>
        <w:t>Dementia is a term for multiple cognitive disabilities, including memory loss, communication, language and decision-making. The common dementias are Vascular dementia (VaD), Alzheimer's Disease (AD), and Lewy Body dementia (LBD) (Moradikor et al, 2024).</w:t>
      </w:r>
    </w:p>
    <w:p>
      <w:pPr>
        <w:pStyle w:val="Normal1"/>
        <w:jc w:val="center"/>
        <w:rPr>
          <w:rFonts w:ascii="Arial" w:cs="Arial" w:hAnsi="Arial" w:eastAsia="Arial"/>
        </w:rPr>
      </w:pPr>
      <w:r>
        <w:rPr>
          <w:rFonts w:ascii="Arial" w:cs="Arial" w:hAnsi="Arial" w:eastAsia="Arial"/>
        </w:rPr>
        <w:drawing xmlns:a="http://schemas.openxmlformats.org/drawingml/2006/main">
          <wp:inline distT="0" distB="0" distL="0" distR="0">
            <wp:extent cx="2541271" cy="1756410"/>
            <wp:effectExtent l="0" t="0" r="0" b="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7">
                      <a:extLst/>
                    </a:blip>
                    <a:stretch>
                      <a:fillRect/>
                    </a:stretch>
                  </pic:blipFill>
                  <pic:spPr>
                    <a:xfrm>
                      <a:off x="0" y="0"/>
                      <a:ext cx="2541271" cy="1756410"/>
                    </a:xfrm>
                    <a:prstGeom prst="rect">
                      <a:avLst/>
                    </a:prstGeom>
                    <a:ln w="25400" cap="flat">
                      <a:solidFill>
                        <a:srgbClr val="000000"/>
                      </a:solidFill>
                      <a:prstDash val="solid"/>
                      <a:round/>
                    </a:ln>
                    <a:effectLst/>
                  </pic:spPr>
                </pic:pic>
              </a:graphicData>
            </a:graphic>
          </wp:inline>
        </w:drawing>
      </w:r>
    </w:p>
    <w:p>
      <w:pPr>
        <w:pStyle w:val="Normal1"/>
        <w:jc w:val="center"/>
        <w:rPr>
          <w:rFonts w:ascii="Arial" w:cs="Arial" w:hAnsi="Arial" w:eastAsia="Arial"/>
          <w:b w:val="1"/>
          <w:bCs w:val="1"/>
        </w:rPr>
      </w:pPr>
      <w:r>
        <w:rPr>
          <w:rFonts w:ascii="Arial" w:hAnsi="Arial"/>
          <w:b w:val="1"/>
          <w:bCs w:val="1"/>
          <w:rtl w:val="0"/>
          <w:lang w:val="en-US"/>
        </w:rPr>
        <w:t>Figure 1:  Projected increases of dementia in the UK, by gender</w:t>
      </w:r>
    </w:p>
    <w:p>
      <w:pPr>
        <w:pStyle w:val="Normal1"/>
        <w:rPr>
          <w:rFonts w:ascii="Arial" w:cs="Arial" w:hAnsi="Arial" w:eastAsia="Arial"/>
        </w:rPr>
      </w:pPr>
      <w:r>
        <w:rPr>
          <w:rFonts w:ascii="Arial" w:hAnsi="Arial"/>
          <w:rtl w:val="0"/>
          <w:lang w:val="en-US"/>
        </w:rPr>
        <w:t>Approximately, over 57 million people in the world had dementia as of 2021, with 10 million new cases increasing each year (WHO, 2025). In the UK, 1.3% of its population, over 800,000 people, supposedly have dementia</w:t>
      </w:r>
      <w:r>
        <w:rPr>
          <w:rFonts w:ascii="Arial" w:hAnsi="Arial"/>
          <w:shd w:val="clear" w:color="auto" w:fill="b6d7a8"/>
          <w:rtl w:val="0"/>
          <w:lang w:val="en-US"/>
        </w:rPr>
        <w:t>,</w:t>
      </w:r>
      <w:r>
        <w:rPr>
          <w:rFonts w:ascii="Arial" w:hAnsi="Arial"/>
          <w:rtl w:val="0"/>
          <w:lang w:val="en-US"/>
        </w:rPr>
        <w:t xml:space="preserve"> broadly the females (Stevenson-Hoare et al, 2023).  By the end of 2050, it is forecasted that dementia will rise significantly among females under 60 years old in the UK (Alzheimer</w:t>
      </w:r>
      <w:r>
        <w:rPr>
          <w:rFonts w:ascii="Arial" w:hAnsi="Arial" w:hint="default"/>
          <w:rtl w:val="0"/>
          <w:lang w:val="en-US"/>
        </w:rPr>
        <w:t>’</w:t>
      </w:r>
      <w:r>
        <w:rPr>
          <w:rFonts w:ascii="Arial" w:hAnsi="Arial"/>
          <w:rtl w:val="0"/>
          <w:lang w:val="en-US"/>
        </w:rPr>
        <w:t>s Society, 2026a). The severe risk factors of dementia include (WHO, 2025):</w:t>
      </w:r>
    </w:p>
    <w:p>
      <w:pPr>
        <w:pStyle w:val="Normal1"/>
        <w:numPr>
          <w:ilvl w:val="0"/>
          <w:numId w:val="2"/>
        </w:numPr>
        <w:bidi w:val="0"/>
        <w:ind w:right="0"/>
        <w:jc w:val="both"/>
        <w:rPr>
          <w:rFonts w:ascii="Arial" w:hAnsi="Arial"/>
          <w:rtl w:val="0"/>
          <w:lang w:val="en-US"/>
        </w:rPr>
      </w:pPr>
      <w:r>
        <w:rPr>
          <w:rFonts w:ascii="Arial" w:hAnsi="Arial"/>
          <w:rtl w:val="0"/>
          <w:lang w:val="en-US"/>
        </w:rPr>
        <w:t>Cognitive Decline</w:t>
      </w:r>
    </w:p>
    <w:p>
      <w:pPr>
        <w:pStyle w:val="Normal1"/>
        <w:numPr>
          <w:ilvl w:val="0"/>
          <w:numId w:val="2"/>
        </w:numPr>
        <w:bidi w:val="0"/>
        <w:ind w:right="0"/>
        <w:jc w:val="both"/>
        <w:rPr>
          <w:rFonts w:ascii="Arial" w:hAnsi="Arial"/>
          <w:rtl w:val="0"/>
          <w:lang w:val="en-US"/>
        </w:rPr>
      </w:pPr>
      <w:r>
        <w:rPr>
          <w:rFonts w:ascii="Arial" w:hAnsi="Arial"/>
          <w:rtl w:val="0"/>
          <w:lang w:val="en-US"/>
        </w:rPr>
        <w:t>Hypertension</w:t>
      </w:r>
    </w:p>
    <w:p>
      <w:pPr>
        <w:pStyle w:val="Normal1"/>
        <w:numPr>
          <w:ilvl w:val="0"/>
          <w:numId w:val="2"/>
        </w:numPr>
        <w:bidi w:val="0"/>
        <w:ind w:right="0"/>
        <w:jc w:val="both"/>
        <w:rPr>
          <w:rFonts w:ascii="Arial" w:hAnsi="Arial"/>
          <w:rtl w:val="0"/>
          <w:lang w:val="en-US"/>
        </w:rPr>
      </w:pPr>
      <w:r>
        <w:rPr>
          <w:rFonts w:ascii="Arial" w:hAnsi="Arial"/>
          <w:rtl w:val="0"/>
          <w:lang w:val="en-US"/>
        </w:rPr>
        <w:t>Diabetes</w:t>
      </w:r>
    </w:p>
    <w:p>
      <w:pPr>
        <w:pStyle w:val="Normal1"/>
        <w:numPr>
          <w:ilvl w:val="0"/>
          <w:numId w:val="2"/>
        </w:numPr>
        <w:bidi w:val="0"/>
        <w:ind w:right="0"/>
        <w:jc w:val="both"/>
        <w:rPr>
          <w:rFonts w:ascii="Arial" w:hAnsi="Arial"/>
          <w:rtl w:val="0"/>
          <w:lang w:val="en-US"/>
        </w:rPr>
      </w:pPr>
      <w:r>
        <w:rPr>
          <w:rFonts w:ascii="Arial" w:hAnsi="Arial"/>
          <w:rtl w:val="0"/>
          <w:lang w:val="en-US"/>
        </w:rPr>
        <w:t>Obesity</w:t>
      </w:r>
    </w:p>
    <w:p>
      <w:pPr>
        <w:pStyle w:val="Normal1"/>
        <w:numPr>
          <w:ilvl w:val="0"/>
          <w:numId w:val="2"/>
        </w:numPr>
        <w:bidi w:val="0"/>
        <w:ind w:right="0"/>
        <w:jc w:val="both"/>
        <w:rPr>
          <w:rFonts w:ascii="Arial" w:hAnsi="Arial"/>
          <w:rtl w:val="0"/>
          <w:lang w:val="en-US"/>
        </w:rPr>
      </w:pPr>
      <w:r>
        <w:rPr>
          <w:rFonts w:ascii="Arial" w:hAnsi="Arial"/>
          <w:rtl w:val="0"/>
          <w:lang w:val="en-US"/>
        </w:rPr>
        <w:t>Emotional Strain</w:t>
      </w:r>
    </w:p>
    <w:p>
      <w:pPr>
        <w:pStyle w:val="Normal1"/>
        <w:rPr>
          <w:rFonts w:ascii="Arial" w:cs="Arial" w:hAnsi="Arial" w:eastAsia="Arial"/>
        </w:rPr>
      </w:pPr>
      <w:r>
        <w:rPr>
          <w:rFonts w:ascii="Arial" w:hAnsi="Arial"/>
          <w:rtl w:val="0"/>
          <w:lang w:val="en-US"/>
        </w:rPr>
        <w:t xml:space="preserve">Moreover, it brings psychological distress with common situations, including (WHO, 2025): </w:t>
      </w:r>
    </w:p>
    <w:p>
      <w:pPr>
        <w:pStyle w:val="Normal1"/>
        <w:numPr>
          <w:ilvl w:val="0"/>
          <w:numId w:val="4"/>
        </w:numPr>
        <w:bidi w:val="0"/>
        <w:ind w:right="0"/>
        <w:jc w:val="both"/>
        <w:rPr>
          <w:rFonts w:ascii="Arial" w:hAnsi="Arial"/>
          <w:rtl w:val="0"/>
          <w:lang w:val="en-US"/>
        </w:rPr>
      </w:pPr>
      <w:r>
        <w:rPr>
          <w:rFonts w:ascii="Arial" w:hAnsi="Arial"/>
          <w:rtl w:val="0"/>
          <w:lang w:val="en-US"/>
        </w:rPr>
        <w:t xml:space="preserve">Apathy </w:t>
      </w:r>
    </w:p>
    <w:p>
      <w:pPr>
        <w:pStyle w:val="Normal1"/>
        <w:numPr>
          <w:ilvl w:val="0"/>
          <w:numId w:val="4"/>
        </w:numPr>
        <w:bidi w:val="0"/>
        <w:ind w:right="0"/>
        <w:jc w:val="both"/>
        <w:rPr>
          <w:rFonts w:ascii="Arial" w:hAnsi="Arial"/>
          <w:rtl w:val="0"/>
          <w:lang w:val="en-US"/>
        </w:rPr>
      </w:pPr>
      <w:r>
        <w:rPr>
          <w:rFonts w:ascii="Arial" w:hAnsi="Arial"/>
          <w:rtl w:val="0"/>
          <w:lang w:val="en-US"/>
        </w:rPr>
        <w:t xml:space="preserve">Anxiety and depression </w:t>
      </w:r>
    </w:p>
    <w:p>
      <w:pPr>
        <w:pStyle w:val="Normal1"/>
        <w:numPr>
          <w:ilvl w:val="0"/>
          <w:numId w:val="4"/>
        </w:numPr>
        <w:bidi w:val="0"/>
        <w:ind w:right="0"/>
        <w:jc w:val="both"/>
        <w:rPr>
          <w:rFonts w:ascii="Arial" w:hAnsi="Arial"/>
          <w:rtl w:val="0"/>
          <w:lang w:val="en-US"/>
        </w:rPr>
      </w:pPr>
      <w:r>
        <w:rPr>
          <w:rFonts w:ascii="Arial" w:hAnsi="Arial"/>
          <w:rtl w:val="0"/>
          <w:lang w:val="en-US"/>
        </w:rPr>
        <w:t>Frequent aggression and personality changes</w:t>
      </w:r>
    </w:p>
    <w:p>
      <w:pPr>
        <w:pStyle w:val="Normal1"/>
        <w:rPr>
          <w:rFonts w:ascii="Arial" w:cs="Arial" w:hAnsi="Arial" w:eastAsia="Arial"/>
        </w:rPr>
      </w:pPr>
      <w:r>
        <w:rPr>
          <w:rFonts w:ascii="Arial" w:hAnsi="Arial"/>
          <w:rtl w:val="0"/>
          <w:lang w:val="en-US"/>
        </w:rPr>
        <w:t xml:space="preserve">Furthermore, dementia creates social consequences affecting: </w:t>
      </w:r>
    </w:p>
    <w:p>
      <w:pPr>
        <w:pStyle w:val="Normal1"/>
        <w:numPr>
          <w:ilvl w:val="0"/>
          <w:numId w:val="6"/>
        </w:numPr>
        <w:bidi w:val="0"/>
        <w:ind w:right="0"/>
        <w:jc w:val="both"/>
        <w:rPr>
          <w:rFonts w:ascii="Arial" w:hAnsi="Arial"/>
          <w:rtl w:val="0"/>
          <w:lang w:val="en-US"/>
        </w:rPr>
      </w:pPr>
      <w:r>
        <w:rPr>
          <w:rFonts w:ascii="Arial" w:hAnsi="Arial"/>
          <w:rtl w:val="0"/>
          <w:lang w:val="en-US"/>
        </w:rPr>
        <w:t xml:space="preserve">Community </w:t>
      </w:r>
    </w:p>
    <w:p>
      <w:pPr>
        <w:pStyle w:val="Normal1"/>
        <w:numPr>
          <w:ilvl w:val="0"/>
          <w:numId w:val="6"/>
        </w:numPr>
        <w:bidi w:val="0"/>
        <w:ind w:right="0"/>
        <w:jc w:val="both"/>
        <w:rPr>
          <w:rFonts w:ascii="Arial" w:hAnsi="Arial"/>
          <w:rtl w:val="0"/>
          <w:lang w:val="en-US"/>
        </w:rPr>
      </w:pPr>
      <w:r>
        <w:rPr>
          <w:rFonts w:ascii="Arial" w:hAnsi="Arial"/>
          <w:rtl w:val="0"/>
          <w:lang w:val="en-US"/>
        </w:rPr>
        <w:t xml:space="preserve">Social rights </w:t>
      </w:r>
    </w:p>
    <w:p>
      <w:pPr>
        <w:pStyle w:val="Normal1"/>
        <w:numPr>
          <w:ilvl w:val="0"/>
          <w:numId w:val="6"/>
        </w:numPr>
        <w:bidi w:val="0"/>
        <w:ind w:right="0"/>
        <w:jc w:val="both"/>
        <w:rPr>
          <w:rFonts w:ascii="Arial" w:hAnsi="Arial"/>
          <w:rtl w:val="0"/>
          <w:lang w:val="en-US"/>
        </w:rPr>
      </w:pPr>
      <w:r>
        <w:rPr>
          <w:rFonts w:ascii="Arial" w:hAnsi="Arial"/>
          <w:rtl w:val="0"/>
          <w:lang w:val="en-US"/>
        </w:rPr>
        <w:t xml:space="preserve">Freedom </w:t>
      </w:r>
    </w:p>
    <w:p>
      <w:pPr>
        <w:pStyle w:val="Normal1"/>
        <w:rPr>
          <w:rFonts w:ascii="Arial" w:cs="Arial" w:hAnsi="Arial" w:eastAsia="Arial"/>
          <w:outline w:val="0"/>
          <w:color w:val="351c75"/>
          <w:u w:color="351c75"/>
          <w14:textFill>
            <w14:solidFill>
              <w14:srgbClr w14:val="351C75"/>
            </w14:solidFill>
          </w14:textFill>
        </w:rPr>
      </w:pPr>
      <w:r>
        <w:rPr>
          <w:rFonts w:ascii="Arial" w:hAnsi="Arial"/>
          <w:rtl w:val="0"/>
          <w:lang w:val="en-US"/>
        </w:rPr>
        <w:t xml:space="preserve">To help the people with dementia in the UK, the NHS enabled </w:t>
      </w:r>
      <w:r>
        <w:rPr>
          <w:rFonts w:ascii="Arial" w:hAnsi="Arial" w:hint="default"/>
          <w:rtl w:val="0"/>
          <w:lang w:val="en-US"/>
        </w:rPr>
        <w:t>‘</w:t>
      </w:r>
      <w:r>
        <w:rPr>
          <w:rFonts w:ascii="Arial" w:hAnsi="Arial"/>
          <w:rtl w:val="0"/>
          <w:lang w:val="en-US"/>
        </w:rPr>
        <w:t>Telecare</w:t>
      </w:r>
      <w:r>
        <w:rPr>
          <w:rFonts w:ascii="Arial" w:hAnsi="Arial" w:hint="default"/>
          <w:rtl w:val="0"/>
          <w:lang w:val="en-US"/>
        </w:rPr>
        <w:t xml:space="preserve">’ </w:t>
      </w:r>
      <w:r>
        <w:rPr>
          <w:rFonts w:ascii="Arial" w:hAnsi="Arial"/>
          <w:rtl w:val="0"/>
          <w:lang w:val="en-US"/>
        </w:rPr>
        <w:t xml:space="preserve">and </w:t>
      </w:r>
      <w:r>
        <w:rPr>
          <w:rFonts w:ascii="Arial" w:hAnsi="Arial" w:hint="default"/>
          <w:rtl w:val="0"/>
          <w:lang w:val="en-US"/>
        </w:rPr>
        <w:t>‘</w:t>
      </w:r>
      <w:r>
        <w:rPr>
          <w:rFonts w:ascii="Arial" w:hAnsi="Arial"/>
          <w:rtl w:val="0"/>
          <w:lang w:val="en-US"/>
        </w:rPr>
        <w:t>Assistance Technology (AT)</w:t>
      </w:r>
      <w:r>
        <w:rPr>
          <w:rFonts w:ascii="Arial" w:hAnsi="Arial" w:hint="default"/>
          <w:rtl w:val="0"/>
          <w:lang w:val="en-US"/>
        </w:rPr>
        <w:t xml:space="preserve">’ </w:t>
      </w:r>
      <w:r>
        <w:rPr>
          <w:rFonts w:ascii="Arial" w:hAnsi="Arial"/>
          <w:rtl w:val="0"/>
          <w:lang w:val="en-US"/>
        </w:rPr>
        <w:t xml:space="preserve">to live independently with all necessary medications and treatments required (NHS Commission Assembly, 2021). The booklet is concentrated on enumerating the effects of the long-term condition, </w:t>
      </w:r>
      <w:r>
        <w:rPr>
          <w:rFonts w:ascii="Arial" w:hAnsi="Arial" w:hint="default"/>
          <w:rtl w:val="0"/>
          <w:lang w:val="en-US"/>
        </w:rPr>
        <w:t>‘</w:t>
      </w:r>
      <w:r>
        <w:rPr>
          <w:rFonts w:ascii="Arial" w:hAnsi="Arial"/>
          <w:rtl w:val="0"/>
          <w:lang w:val="en-US"/>
        </w:rPr>
        <w:t>dementia</w:t>
      </w:r>
      <w:r>
        <w:rPr>
          <w:rFonts w:ascii="Arial" w:hAnsi="Arial" w:hint="default"/>
          <w:rtl w:val="0"/>
          <w:lang w:val="en-US"/>
        </w:rPr>
        <w:t>’</w:t>
      </w:r>
      <w:r>
        <w:rPr>
          <w:rFonts w:ascii="Arial" w:hAnsi="Arial"/>
          <w:rtl w:val="0"/>
          <w:lang w:val="en-US"/>
        </w:rPr>
        <w:t>, affecting the daily lives of people.</w:t>
      </w:r>
      <w:r>
        <w:rPr>
          <w:rFonts w:ascii="Arial" w:hAnsi="Arial"/>
          <w:b w:val="1"/>
          <w:bCs w:val="1"/>
          <w:i w:val="1"/>
          <w:iCs w:val="1"/>
          <w:rtl w:val="0"/>
          <w:lang w:val="en-US"/>
        </w:rPr>
        <w:t xml:space="preserve"> </w:t>
      </w:r>
      <w:r>
        <w:rPr>
          <w:rFonts w:ascii="Arial" w:hAnsi="Arial"/>
          <w:rtl w:val="0"/>
          <w:lang w:val="en-US"/>
        </w:rPr>
        <w:t>The booklet will critically evaluate the effects of dementia on the psychological, physical, and social health of people broadly among families in the UK. Moreover, it assesses the aid of local and national political health and social care agendas in improving dementia. Lastly, it recommends a few personal care approaches for the improvement of dementia.</w:t>
      </w:r>
    </w:p>
    <w:p>
      <w:pPr>
        <w:pStyle w:val="Heading"/>
        <w:rPr>
          <w:rFonts w:ascii="Arial" w:cs="Arial" w:hAnsi="Arial" w:eastAsia="Arial"/>
        </w:rPr>
      </w:pPr>
      <w:bookmarkStart w:name="_Toc1" w:id="1"/>
      <w:r>
        <w:rPr>
          <w:rFonts w:ascii="Arial" w:hAnsi="Arial"/>
          <w:rtl w:val="0"/>
          <w:lang w:val="en-US"/>
        </w:rPr>
        <w:t xml:space="preserve">2.Explanation and evaluation of the focused long-term condition </w:t>
      </w:r>
      <w:bookmarkEnd w:id="1"/>
    </w:p>
    <w:p>
      <w:pPr>
        <w:pStyle w:val="Normal1"/>
        <w:rPr>
          <w:rFonts w:ascii="Arial" w:cs="Arial" w:hAnsi="Arial" w:eastAsia="Arial"/>
          <w:b w:val="1"/>
          <w:bCs w:val="1"/>
          <w:i w:val="1"/>
          <w:iCs w:val="1"/>
        </w:rPr>
      </w:pPr>
      <w:r>
        <w:rPr>
          <w:rFonts w:ascii="Arial" w:hAnsi="Arial"/>
          <w:b w:val="1"/>
          <w:bCs w:val="1"/>
          <w:i w:val="1"/>
          <w:iCs w:val="1"/>
          <w:rtl w:val="0"/>
          <w:lang w:val="en-US"/>
        </w:rPr>
        <w:t>Definition</w:t>
      </w:r>
    </w:p>
    <w:p>
      <w:pPr>
        <w:pStyle w:val="Normal1"/>
        <w:rPr>
          <w:rFonts w:ascii="Arial" w:cs="Arial" w:hAnsi="Arial" w:eastAsia="Arial"/>
        </w:rPr>
      </w:pPr>
      <w:r>
        <w:rPr>
          <w:rFonts w:ascii="Arial" w:hAnsi="Arial"/>
          <w:rtl w:val="0"/>
          <w:lang w:val="en-US"/>
        </w:rPr>
        <w:t>A focused long-term condition is a long-term chronic illness within individuals, which can be both physical and mental, affecting patients</w:t>
      </w:r>
      <w:r>
        <w:rPr>
          <w:rFonts w:ascii="Arial" w:hAnsi="Arial" w:hint="default"/>
          <w:rtl w:val="0"/>
          <w:lang w:val="en-US"/>
        </w:rPr>
        <w:t xml:space="preserve">’ </w:t>
      </w:r>
      <w:r>
        <w:rPr>
          <w:rFonts w:ascii="Arial" w:hAnsi="Arial"/>
          <w:rtl w:val="0"/>
          <w:lang w:val="en-US"/>
        </w:rPr>
        <w:t>lives for at least 12 months or more (Herrera et al., 2021). Dementia has emerged as a long-term progressive neurodegenerative condition within the worldwide population, affecting more than 57 million people (WHO, 2025). This is a disease that seriously damages a person</w:t>
      </w:r>
      <w:r>
        <w:rPr>
          <w:rFonts w:ascii="Arial" w:hAnsi="Arial" w:hint="default"/>
          <w:rtl w:val="0"/>
          <w:lang w:val="en-US"/>
        </w:rPr>
        <w:t>’</w:t>
      </w:r>
      <w:r>
        <w:rPr>
          <w:rFonts w:ascii="Arial" w:hAnsi="Arial"/>
          <w:rtl w:val="0"/>
          <w:lang w:val="en-US"/>
        </w:rPr>
        <w:t xml:space="preserve">s memory, thinking, and the capability of carrying out everyday activities. Thus, its focused management through a strategic, patient-centred care approach has become vital across worldwide healthcare </w:t>
      </w:r>
      <w:r>
        <w:rPr>
          <w:rFonts w:ascii="Arial" w:hAnsi="Arial"/>
          <w:rtl w:val="0"/>
          <w:lang w:val="en-US"/>
        </w:rPr>
        <w:t>organisations</w:t>
      </w:r>
      <w:r>
        <w:rPr>
          <w:rFonts w:ascii="Arial" w:hAnsi="Arial"/>
          <w:rtl w:val="0"/>
          <w:lang w:val="en-US"/>
        </w:rPr>
        <w:t>.</w:t>
      </w:r>
    </w:p>
    <w:p>
      <w:pPr>
        <w:pStyle w:val="Heading 2"/>
        <w:rPr>
          <w:rFonts w:ascii="Arial" w:cs="Arial" w:hAnsi="Arial" w:eastAsia="Arial"/>
        </w:rPr>
      </w:pPr>
      <w:bookmarkStart w:name="_Toc2" w:id="2"/>
      <w:r>
        <w:rPr>
          <w:rFonts w:ascii="Arial" w:hAnsi="Arial"/>
          <w:rtl w:val="0"/>
          <w:lang w:val="da-DK"/>
        </w:rPr>
        <w:t>Risk Factors</w:t>
      </w:r>
      <w:bookmarkEnd w:id="2"/>
    </w:p>
    <w:p>
      <w:pPr>
        <w:pStyle w:val="Normal1"/>
        <w:numPr>
          <w:ilvl w:val="0"/>
          <w:numId w:val="8"/>
        </w:numPr>
        <w:bidi w:val="0"/>
        <w:ind w:right="0"/>
        <w:jc w:val="both"/>
        <w:rPr>
          <w:rFonts w:ascii="Arial" w:hAnsi="Arial"/>
          <w:rtl w:val="0"/>
          <w:lang w:val="en-US"/>
        </w:rPr>
      </w:pPr>
      <w:r>
        <w:rPr>
          <w:rFonts w:ascii="Arial" w:hAnsi="Arial"/>
          <w:rtl w:val="0"/>
          <w:lang w:val="en-US"/>
        </w:rPr>
        <w:t>Age</w:t>
      </w:r>
    </w:p>
    <w:p>
      <w:pPr>
        <w:pStyle w:val="Normal1"/>
        <w:numPr>
          <w:ilvl w:val="0"/>
          <w:numId w:val="8"/>
        </w:numPr>
        <w:bidi w:val="0"/>
        <w:ind w:right="0"/>
        <w:jc w:val="both"/>
        <w:rPr>
          <w:rFonts w:ascii="Arial" w:hAnsi="Arial"/>
          <w:rtl w:val="0"/>
          <w:lang w:val="en-US"/>
        </w:rPr>
      </w:pPr>
      <w:r>
        <w:rPr>
          <w:rFonts w:ascii="Arial" w:hAnsi="Arial"/>
          <w:rtl w:val="0"/>
          <w:lang w:val="en-US"/>
        </w:rPr>
        <w:t>Gender</w:t>
      </w:r>
    </w:p>
    <w:p>
      <w:pPr>
        <w:pStyle w:val="Normal1"/>
        <w:numPr>
          <w:ilvl w:val="0"/>
          <w:numId w:val="8"/>
        </w:numPr>
        <w:bidi w:val="0"/>
        <w:ind w:right="0"/>
        <w:jc w:val="both"/>
        <w:rPr>
          <w:rFonts w:ascii="Arial" w:hAnsi="Arial"/>
          <w:rtl w:val="0"/>
          <w:lang w:val="en-US"/>
        </w:rPr>
      </w:pPr>
      <w:r>
        <w:rPr>
          <w:rFonts w:ascii="Arial" w:hAnsi="Arial"/>
          <w:rtl w:val="0"/>
          <w:lang w:val="en-US"/>
        </w:rPr>
        <w:t>Genetics/Family history</w:t>
      </w:r>
    </w:p>
    <w:p>
      <w:pPr>
        <w:pStyle w:val="Normal1"/>
        <w:numPr>
          <w:ilvl w:val="0"/>
          <w:numId w:val="8"/>
        </w:numPr>
        <w:bidi w:val="0"/>
        <w:ind w:right="0"/>
        <w:jc w:val="both"/>
        <w:rPr>
          <w:rFonts w:ascii="Arial" w:hAnsi="Arial"/>
          <w:rtl w:val="0"/>
          <w:lang w:val="en-US"/>
        </w:rPr>
      </w:pPr>
      <w:r>
        <w:rPr>
          <w:rFonts w:ascii="Arial" w:hAnsi="Arial"/>
          <w:rtl w:val="0"/>
          <w:lang w:val="en-US"/>
        </w:rPr>
        <w:t xml:space="preserve">Lifestyle (smoking/alcohol consumption) </w:t>
      </w:r>
    </w:p>
    <w:p>
      <w:pPr>
        <w:pStyle w:val="Normal1"/>
        <w:rPr>
          <w:rFonts w:ascii="Arial" w:cs="Arial" w:hAnsi="Arial" w:eastAsia="Arial"/>
        </w:rPr>
      </w:pPr>
      <w:r>
        <w:rPr>
          <w:rFonts w:ascii="Arial" w:hAnsi="Arial"/>
          <w:rtl w:val="0"/>
          <w:lang w:val="en-US"/>
        </w:rPr>
        <w:t>Dementia consists of multiple risk factors involving lifestyle and environmental factors, which increase the likelihood of developing this disease. Firstly, ageing is a substantial risk factor for dementia, as people between 65 and 69 years of age are more prone to developing this condition, as they have other medical conditions like high blood pressure and a weaker immune system (Alzheimer</w:t>
      </w:r>
      <w:r>
        <w:rPr>
          <w:rFonts w:ascii="Arial" w:hAnsi="Arial" w:hint="default"/>
          <w:rtl w:val="0"/>
          <w:lang w:val="en-US"/>
        </w:rPr>
        <w:t>’</w:t>
      </w:r>
      <w:r>
        <w:rPr>
          <w:rFonts w:ascii="Arial" w:hAnsi="Arial"/>
          <w:rtl w:val="0"/>
          <w:lang w:val="en-US"/>
        </w:rPr>
        <w:t xml:space="preserve">s Society, 2026c). Similarly, gender also plays a key role in increasing the chances of developing dementia, as women are usually more affected by this disease worldwide. The key reason behind this risk factor is changing sex hormones, as women often are under treatment of hormone replacement therapy (HRT), which increases the likelihood of dementia (Alzheimer's Research, 2025a). </w:t>
      </w:r>
    </w:p>
    <w:p>
      <w:pPr>
        <w:pStyle w:val="Normal1"/>
        <w:rPr>
          <w:rFonts w:ascii="Arial" w:cs="Arial" w:hAnsi="Arial" w:eastAsia="Arial"/>
        </w:rPr>
      </w:pPr>
      <w:r>
        <w:rPr>
          <w:rFonts w:ascii="Arial" w:hAnsi="Arial"/>
          <w:rtl w:val="0"/>
          <w:lang w:val="en-US"/>
        </w:rPr>
        <w:t>Genetics and family history, on the other hand, can increase the probability of dementia, as persons whose family members are already affected with dementia pass down their genes to newer generations (Alzheimer's Society, 2026c). Thus, familial genes increase the risk of dementia within individuals. Lastly, lifestyle factors such as excessive smoking or consuming alcohol increase the possibility of developing dementia within individuals by directing pathological changes in the body (Zhou et al., 2014).</w:t>
      </w:r>
    </w:p>
    <w:p>
      <w:pPr>
        <w:pStyle w:val="Heading 2"/>
        <w:rPr>
          <w:rFonts w:ascii="Arial" w:cs="Arial" w:hAnsi="Arial" w:eastAsia="Arial"/>
        </w:rPr>
      </w:pPr>
      <w:bookmarkStart w:name="_Toc3" w:id="3"/>
      <w:r>
        <w:rPr>
          <w:rFonts w:ascii="Arial" w:hAnsi="Arial"/>
          <w:rtl w:val="0"/>
          <w:lang w:val="en-US"/>
        </w:rPr>
        <w:t xml:space="preserve">Prevalence and Burden of Dementia  </w:t>
      </w:r>
      <w:bookmarkEnd w:id="3"/>
    </w:p>
    <w:p>
      <w:pPr>
        <w:pStyle w:val="Normal1"/>
        <w:rPr>
          <w:rFonts w:ascii="Arial" w:cs="Arial" w:hAnsi="Arial" w:eastAsia="Arial"/>
          <w:b w:val="1"/>
          <w:bCs w:val="1"/>
        </w:rPr>
      </w:pPr>
      <w:r>
        <w:rPr>
          <w:rFonts w:ascii="Arial" w:hAnsi="Arial"/>
          <w:b w:val="1"/>
          <w:bCs w:val="1"/>
          <w:rtl w:val="0"/>
          <w:lang w:val="en-US"/>
        </w:rPr>
        <w:t>Worldwide Prevalence and Burden Statistics</w:t>
      </w:r>
    </w:p>
    <w:p>
      <w:pPr>
        <w:pStyle w:val="Normal1"/>
        <w:rPr>
          <w:rFonts w:ascii="Arial" w:cs="Arial" w:hAnsi="Arial" w:eastAsia="Arial"/>
        </w:rPr>
      </w:pPr>
      <w:r>
        <w:rPr>
          <w:rFonts w:ascii="Arial" w:hAnsi="Arial"/>
          <w:rtl w:val="0"/>
          <w:lang w:val="en-US"/>
        </w:rPr>
        <w:t xml:space="preserve">There is a growing trend of prevalence and burden of dementia incidence across North America, Europe, as well as other regions, where the percentage of affected people has presently intensified by 117% (Nichols et al., 2022). This condition is mostly affecting women all over the world, decreasing their fertility rate (You, 2025). </w:t>
      </w:r>
    </w:p>
    <w:p>
      <w:pPr>
        <w:pStyle w:val="Normal1"/>
        <w:jc w:val="center"/>
        <w:rPr>
          <w:rFonts w:ascii="Arial" w:cs="Arial" w:hAnsi="Arial" w:eastAsia="Arial"/>
          <w:b w:val="1"/>
          <w:bCs w:val="1"/>
          <w:i w:val="1"/>
          <w:iCs w:val="1"/>
        </w:rPr>
      </w:pPr>
      <w:r>
        <w:rPr>
          <w:rFonts w:ascii="Arial" w:cs="Arial" w:hAnsi="Arial" w:eastAsia="Arial"/>
          <w:b w:val="1"/>
          <w:bCs w:val="1"/>
        </w:rPr>
        <w:drawing xmlns:a="http://schemas.openxmlformats.org/drawingml/2006/main">
          <wp:inline distT="0" distB="0" distL="0" distR="0">
            <wp:extent cx="2338388" cy="2338388"/>
            <wp:effectExtent l="0" t="0" r="0" b="0"/>
            <wp:docPr id="1073741827" name="officeArt object" descr="image9.png"/>
            <wp:cNvGraphicFramePr/>
            <a:graphic xmlns:a="http://schemas.openxmlformats.org/drawingml/2006/main">
              <a:graphicData uri="http://schemas.openxmlformats.org/drawingml/2006/picture">
                <pic:pic xmlns:pic="http://schemas.openxmlformats.org/drawingml/2006/picture">
                  <pic:nvPicPr>
                    <pic:cNvPr id="1073741827" name="image9.png" descr="image9.png"/>
                    <pic:cNvPicPr>
                      <a:picLocks noChangeAspect="1"/>
                    </pic:cNvPicPr>
                  </pic:nvPicPr>
                  <pic:blipFill>
                    <a:blip r:embed="rId8">
                      <a:extLst/>
                    </a:blip>
                    <a:stretch>
                      <a:fillRect/>
                    </a:stretch>
                  </pic:blipFill>
                  <pic:spPr>
                    <a:xfrm>
                      <a:off x="0" y="0"/>
                      <a:ext cx="2338388" cy="2338388"/>
                    </a:xfrm>
                    <a:prstGeom prst="rect">
                      <a:avLst/>
                    </a:prstGeom>
                    <a:ln w="12700" cap="flat">
                      <a:noFill/>
                      <a:miter lim="400000"/>
                    </a:ln>
                    <a:effectLst/>
                  </pic:spPr>
                </pic:pic>
              </a:graphicData>
            </a:graphic>
          </wp:inline>
        </w:drawing>
      </w:r>
      <w:r>
        <w:rPr>
          <w:rFonts w:ascii="Arial" w:hAnsi="Arial"/>
          <w:b w:val="1"/>
          <w:bCs w:val="1"/>
          <w:i w:val="1"/>
          <w:iCs w:val="1"/>
          <w:rtl w:val="0"/>
          <w:lang w:val="en-US"/>
        </w:rPr>
        <w:t xml:space="preserve">  </w:t>
      </w:r>
    </w:p>
    <w:p>
      <w:pPr>
        <w:pStyle w:val="Normal1"/>
        <w:jc w:val="center"/>
        <w:rPr>
          <w:rFonts w:ascii="Arial" w:cs="Arial" w:hAnsi="Arial" w:eastAsia="Arial"/>
        </w:rPr>
      </w:pPr>
      <w:r>
        <w:rPr>
          <w:rFonts w:ascii="Arial" w:hAnsi="Arial"/>
          <w:b w:val="1"/>
          <w:bCs w:val="1"/>
          <w:rtl w:val="0"/>
          <w:lang w:val="en-US"/>
        </w:rPr>
        <w:t>Figure 2: Global Expense of dementia</w:t>
      </w:r>
      <w:r>
        <w:rPr>
          <w:rFonts w:ascii="Arial" w:hAnsi="Arial"/>
          <w:rtl w:val="0"/>
          <w:lang w:val="en-US"/>
        </w:rPr>
        <w:t xml:space="preserve"> </w:t>
      </w:r>
    </w:p>
    <w:p>
      <w:pPr>
        <w:pStyle w:val="Normal1"/>
        <w:jc w:val="center"/>
        <w:rPr>
          <w:rFonts w:ascii="Arial" w:cs="Arial" w:hAnsi="Arial" w:eastAsia="Arial"/>
        </w:rPr>
      </w:pPr>
      <w:r>
        <w:rPr>
          <w:rFonts w:ascii="Arial" w:hAnsi="Arial"/>
          <w:rtl w:val="0"/>
          <w:lang w:val="en-US"/>
        </w:rPr>
        <w:t>(Source: Alzint, 2026)</w:t>
      </w:r>
    </w:p>
    <w:p>
      <w:pPr>
        <w:pStyle w:val="Normal1"/>
        <w:rPr>
          <w:rFonts w:ascii="Arial" w:cs="Arial" w:hAnsi="Arial" w:eastAsia="Arial"/>
          <w:b w:val="1"/>
          <w:bCs w:val="1"/>
        </w:rPr>
      </w:pPr>
      <w:r>
        <w:rPr>
          <w:rFonts w:ascii="Arial" w:hAnsi="Arial"/>
          <w:rtl w:val="0"/>
          <w:lang w:val="en-US"/>
        </w:rPr>
        <w:t xml:space="preserve">An online Medical Report indicates that the global expense of dementia can reach up to US $2.8 trillion by the year 2030, indicating a significant financial burden on countries and their healthcare associations (Alzint, 2026). As a result, it can be expected that there will be a potential depletion of savings of patients' households. </w:t>
      </w:r>
    </w:p>
    <w:p>
      <w:pPr>
        <w:pStyle w:val="Normal1"/>
        <w:rPr>
          <w:rFonts w:ascii="Arial" w:cs="Arial" w:hAnsi="Arial" w:eastAsia="Arial"/>
        </w:rPr>
      </w:pPr>
      <w:r>
        <w:rPr>
          <w:rFonts w:ascii="Arial" w:hAnsi="Arial"/>
          <w:rtl w:val="0"/>
          <w:lang w:val="en-US"/>
        </w:rPr>
        <w:t xml:space="preserve">Apart from the burden of cost, the burden of worldwide death and physical disability from Dementia is also at its peak presently. Now, Dementia has become the 7th leading cause of death in the UK, by increasing disability and dependency rates among older persons (WHO, 2025). </w:t>
      </w:r>
    </w:p>
    <w:p>
      <w:pPr>
        <w:pStyle w:val="Normal1"/>
        <w:rPr>
          <w:rFonts w:ascii="Arial" w:cs="Arial" w:hAnsi="Arial" w:eastAsia="Arial"/>
          <w:b w:val="1"/>
          <w:bCs w:val="1"/>
        </w:rPr>
      </w:pPr>
      <w:r>
        <w:rPr>
          <w:rFonts w:ascii="Arial" w:hAnsi="Arial"/>
          <w:b w:val="1"/>
          <w:bCs w:val="1"/>
          <w:rtl w:val="0"/>
          <w:lang w:val="en-US"/>
        </w:rPr>
        <w:t xml:space="preserve">UK Prevalence Statistics </w:t>
      </w:r>
    </w:p>
    <w:p>
      <w:pPr>
        <w:pStyle w:val="Normal1"/>
        <w:rPr>
          <w:rFonts w:ascii="Arial" w:cs="Arial" w:hAnsi="Arial" w:eastAsia="Arial"/>
        </w:rPr>
      </w:pPr>
      <w:r>
        <w:rPr>
          <w:rFonts w:ascii="Arial" w:hAnsi="Arial"/>
          <w:rtl w:val="0"/>
          <w:lang w:val="en-US"/>
        </w:rPr>
        <w:t>When it comes to the UK, the number of people affected by dementia is also surging, with an anticipated reach of approximately 982,000 individuals currently, which is expected to reach 1.6 million by 2050 (Nuffieldtrust, 2025).</w:t>
      </w:r>
    </w:p>
    <w:tbl>
      <w:tblPr>
        <w:tblW w:w="45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75"/>
        <w:gridCol w:w="1513"/>
        <w:gridCol w:w="1632"/>
      </w:tblGrid>
      <w:tr>
        <w:tblPrEx>
          <w:shd w:val="clear" w:color="auto" w:fill="ced7e7"/>
        </w:tblPrEx>
        <w:trPr>
          <w:trHeight w:val="480" w:hRule="atLeast"/>
        </w:trPr>
        <w:tc>
          <w:tcPr>
            <w:tcW w:type="dxa" w:w="4520"/>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Dementia</w:t>
            </w:r>
            <w:r>
              <w:rPr>
                <w:rFonts w:ascii="Arial" w:hAnsi="Arial" w:hint="default"/>
                <w:shd w:val="nil" w:color="auto" w:fill="auto"/>
                <w:rtl w:val="0"/>
                <w:lang w:val="en-US"/>
              </w:rPr>
              <w:t>’</w:t>
            </w:r>
            <w:r>
              <w:rPr>
                <w:rFonts w:ascii="Arial" w:hAnsi="Arial"/>
                <w:shd w:val="nil" w:color="auto" w:fill="auto"/>
                <w:rtl w:val="0"/>
                <w:lang w:val="en-US"/>
              </w:rPr>
              <w:t>s UK Prevalence</w:t>
            </w:r>
          </w:p>
        </w:tc>
      </w:tr>
      <w:tr>
        <w:tblPrEx>
          <w:shd w:val="clear" w:color="auto" w:fill="ced7e7"/>
        </w:tblPrEx>
        <w:trPr>
          <w:trHeight w:val="6533" w:hRule="atLeast"/>
        </w:trPr>
        <w:tc>
          <w:tcPr>
            <w:tcW w:type="dxa" w:w="13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Dementia is currently the key reason for mortality among the British population, affecting over 65.4% of people over 65 (NHS England, 2025).</w:t>
            </w:r>
          </w:p>
        </w:tc>
        <w:tc>
          <w:tcPr>
            <w:tcW w:type="dxa" w:w="15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Every 3 minutes, dementia affects at least 1 person across the UK (Alzheimer's Society, 2026).</w:t>
            </w:r>
          </w:p>
        </w:tc>
        <w:tc>
          <w:tcPr>
            <w:tcW w:type="dxa" w:w="163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In the UK, every 1 in 3 people who are born will surely get dementia in their lifetime, as predicted by both the NHS and ONS (Alzheimer</w:t>
            </w:r>
            <w:r>
              <w:rPr>
                <w:rFonts w:ascii="Arial" w:hAnsi="Arial" w:hint="default"/>
                <w:shd w:val="nil" w:color="auto" w:fill="auto"/>
                <w:rtl w:val="0"/>
                <w:lang w:val="en-US"/>
              </w:rPr>
              <w:t>’</w:t>
            </w:r>
            <w:r>
              <w:rPr>
                <w:rFonts w:ascii="Arial" w:hAnsi="Arial"/>
                <w:shd w:val="nil" w:color="auto" w:fill="auto"/>
                <w:rtl w:val="0"/>
                <w:lang w:val="en-US"/>
              </w:rPr>
              <w:t>s Society, 2026).</w:t>
            </w:r>
          </w:p>
        </w:tc>
      </w:tr>
    </w:tbl>
    <w:p>
      <w:pPr>
        <w:pStyle w:val="Normal1"/>
        <w:widowControl w:val="0"/>
        <w:spacing w:line="240" w:lineRule="auto"/>
        <w:rPr>
          <w:rFonts w:ascii="Arial" w:cs="Arial" w:hAnsi="Arial" w:eastAsia="Arial"/>
        </w:rPr>
      </w:pPr>
    </w:p>
    <w:p>
      <w:pPr>
        <w:pStyle w:val="Normal1"/>
        <w:jc w:val="center"/>
        <w:rPr>
          <w:rFonts w:ascii="Arial" w:cs="Arial" w:hAnsi="Arial" w:eastAsia="Arial"/>
          <w:b w:val="1"/>
          <w:bCs w:val="1"/>
        </w:rPr>
      </w:pPr>
      <w:r>
        <w:rPr>
          <w:rFonts w:ascii="Arial" w:hAnsi="Arial"/>
          <w:b w:val="1"/>
          <w:bCs w:val="1"/>
          <w:rtl w:val="0"/>
          <w:lang w:val="en-US"/>
        </w:rPr>
        <w:t>Table 1: Dementia Prevalence in the UK</w:t>
      </w:r>
    </w:p>
    <w:p>
      <w:pPr>
        <w:pStyle w:val="Normal1"/>
        <w:rPr>
          <w:rFonts w:ascii="Arial" w:cs="Arial" w:hAnsi="Arial" w:eastAsia="Arial"/>
          <w:b w:val="1"/>
          <w:bCs w:val="1"/>
        </w:rPr>
      </w:pPr>
      <w:r>
        <w:rPr>
          <w:rFonts w:ascii="Arial" w:hAnsi="Arial"/>
          <w:b w:val="1"/>
          <w:bCs w:val="1"/>
          <w:rtl w:val="0"/>
          <w:lang w:val="en-US"/>
        </w:rPr>
        <w:t>Economic and Social Burden in the UK</w:t>
      </w:r>
    </w:p>
    <w:p>
      <w:pPr>
        <w:pStyle w:val="Normal1"/>
        <w:rPr>
          <w:rFonts w:ascii="Arial" w:cs="Arial" w:hAnsi="Arial" w:eastAsia="Arial"/>
        </w:rPr>
      </w:pPr>
      <w:r>
        <w:rPr>
          <w:rFonts w:ascii="Arial" w:hAnsi="Arial"/>
          <w:rtl w:val="0"/>
          <w:lang w:val="en-US"/>
        </w:rPr>
        <w:t xml:space="preserve">Besides prevalence, the burden of dementia on the UK economy is also increasing day by day. </w:t>
      </w:r>
    </w:p>
    <w:p>
      <w:pPr>
        <w:pStyle w:val="Normal1"/>
        <w:jc w:val="center"/>
        <w:rPr>
          <w:rFonts w:ascii="Arial" w:cs="Arial" w:hAnsi="Arial" w:eastAsia="Arial"/>
        </w:rPr>
      </w:pPr>
      <w:r>
        <w:rPr>
          <w:rFonts w:ascii="Arial" w:cs="Arial" w:hAnsi="Arial" w:eastAsia="Arial"/>
        </w:rPr>
        <w:drawing xmlns:a="http://schemas.openxmlformats.org/drawingml/2006/main">
          <wp:inline distT="0" distB="0" distL="0" distR="0">
            <wp:extent cx="2694940" cy="2100580"/>
            <wp:effectExtent l="0" t="0" r="0" b="0"/>
            <wp:docPr id="1073741828" name="officeArt object" descr="image12.png"/>
            <wp:cNvGraphicFramePr/>
            <a:graphic xmlns:a="http://schemas.openxmlformats.org/drawingml/2006/main">
              <a:graphicData uri="http://schemas.openxmlformats.org/drawingml/2006/picture">
                <pic:pic xmlns:pic="http://schemas.openxmlformats.org/drawingml/2006/picture">
                  <pic:nvPicPr>
                    <pic:cNvPr id="1073741828" name="image12.png" descr="image12.png"/>
                    <pic:cNvPicPr>
                      <a:picLocks noChangeAspect="1"/>
                    </pic:cNvPicPr>
                  </pic:nvPicPr>
                  <pic:blipFill>
                    <a:blip r:embed="rId9">
                      <a:extLst/>
                    </a:blip>
                    <a:stretch>
                      <a:fillRect/>
                    </a:stretch>
                  </pic:blipFill>
                  <pic:spPr>
                    <a:xfrm>
                      <a:off x="0" y="0"/>
                      <a:ext cx="2694940" cy="2100580"/>
                    </a:xfrm>
                    <a:prstGeom prst="rect">
                      <a:avLst/>
                    </a:prstGeom>
                    <a:ln w="25400" cap="flat">
                      <a:solidFill>
                        <a:srgbClr val="000000"/>
                      </a:solidFill>
                      <a:prstDash val="solid"/>
                      <a:round/>
                    </a:ln>
                    <a:effectLst/>
                  </pic:spPr>
                </pic:pic>
              </a:graphicData>
            </a:graphic>
          </wp:inline>
        </w:drawing>
      </w:r>
    </w:p>
    <w:p>
      <w:pPr>
        <w:pStyle w:val="Normal1"/>
        <w:jc w:val="center"/>
        <w:rPr>
          <w:rFonts w:ascii="Arial" w:cs="Arial" w:hAnsi="Arial" w:eastAsia="Arial"/>
          <w:b w:val="1"/>
          <w:bCs w:val="1"/>
        </w:rPr>
      </w:pPr>
      <w:r>
        <w:rPr>
          <w:rFonts w:ascii="Arial" w:hAnsi="Arial"/>
          <w:b w:val="1"/>
          <w:bCs w:val="1"/>
          <w:rtl w:val="0"/>
          <w:lang w:val="en-US"/>
        </w:rPr>
        <w:t>Figure 3: Estimated Cost of Dementia 2024-40</w:t>
      </w:r>
    </w:p>
    <w:p>
      <w:pPr>
        <w:pStyle w:val="Normal1"/>
        <w:jc w:val="center"/>
        <w:rPr>
          <w:rFonts w:ascii="Arial" w:cs="Arial" w:hAnsi="Arial" w:eastAsia="Arial"/>
        </w:rPr>
      </w:pPr>
      <w:r>
        <w:rPr>
          <w:rFonts w:ascii="Arial" w:hAnsi="Arial"/>
          <w:rtl w:val="0"/>
          <w:lang w:val="en-US"/>
        </w:rPr>
        <w:t>(Source: Dementia Statistics Hub, 2024)</w:t>
      </w:r>
    </w:p>
    <w:p>
      <w:pPr>
        <w:pStyle w:val="Normal1"/>
        <w:rPr>
          <w:rFonts w:ascii="Arial" w:cs="Arial" w:hAnsi="Arial" w:eastAsia="Arial"/>
        </w:rPr>
      </w:pPr>
      <w:r>
        <w:rPr>
          <w:rFonts w:ascii="Arial" w:hAnsi="Arial"/>
          <w:rtl w:val="0"/>
          <w:lang w:val="en-US"/>
        </w:rPr>
        <w:t xml:space="preserve">A 2024 medical study revealed that the expense of dementia across the UK will continue to rise from </w:t>
      </w:r>
      <w:r>
        <w:rPr>
          <w:rFonts w:ascii="Arial" w:hAnsi="Arial" w:hint="default"/>
          <w:rtl w:val="0"/>
          <w:lang w:val="en-US"/>
        </w:rPr>
        <w:t>£</w:t>
      </w:r>
      <w:r>
        <w:rPr>
          <w:rFonts w:ascii="Arial" w:hAnsi="Arial"/>
          <w:rtl w:val="0"/>
          <w:lang w:val="en-US"/>
        </w:rPr>
        <w:t xml:space="preserve">42 billion to </w:t>
      </w:r>
      <w:r>
        <w:rPr>
          <w:rFonts w:ascii="Arial" w:hAnsi="Arial" w:hint="default"/>
          <w:rtl w:val="0"/>
          <w:lang w:val="en-US"/>
        </w:rPr>
        <w:t>£</w:t>
      </w:r>
      <w:r>
        <w:rPr>
          <w:rFonts w:ascii="Arial" w:hAnsi="Arial"/>
          <w:rtl w:val="0"/>
          <w:lang w:val="en-US"/>
        </w:rPr>
        <w:t>90 billion by 2040, combining social care, health care, life costs and medications (Dementia Statistics Hub, 2024). Apart from the economic burden, there is also a social burden of this long-term condition.</w:t>
      </w:r>
    </w:p>
    <w:p>
      <w:pPr>
        <w:pStyle w:val="Normal1"/>
        <w:jc w:val="center"/>
        <w:rPr>
          <w:rFonts w:ascii="Arial" w:cs="Arial" w:hAnsi="Arial" w:eastAsia="Arial"/>
        </w:rPr>
      </w:pPr>
      <w:r>
        <w:rPr>
          <w:rFonts w:ascii="Arial" w:cs="Arial" w:hAnsi="Arial" w:eastAsia="Arial"/>
        </w:rPr>
        <w:drawing xmlns:a="http://schemas.openxmlformats.org/drawingml/2006/main">
          <wp:inline distT="0" distB="0" distL="0" distR="0">
            <wp:extent cx="2656840" cy="2032000"/>
            <wp:effectExtent l="0" t="0" r="0" b="0"/>
            <wp:docPr id="1073741829" name="officeArt object" descr="image6.png"/>
            <wp:cNvGraphicFramePr/>
            <a:graphic xmlns:a="http://schemas.openxmlformats.org/drawingml/2006/main">
              <a:graphicData uri="http://schemas.openxmlformats.org/drawingml/2006/picture">
                <pic:pic xmlns:pic="http://schemas.openxmlformats.org/drawingml/2006/picture">
                  <pic:nvPicPr>
                    <pic:cNvPr id="1073741829" name="image6.png" descr="image6.png"/>
                    <pic:cNvPicPr>
                      <a:picLocks noChangeAspect="1"/>
                    </pic:cNvPicPr>
                  </pic:nvPicPr>
                  <pic:blipFill>
                    <a:blip r:embed="rId10">
                      <a:extLst/>
                    </a:blip>
                    <a:stretch>
                      <a:fillRect/>
                    </a:stretch>
                  </pic:blipFill>
                  <pic:spPr>
                    <a:xfrm>
                      <a:off x="0" y="0"/>
                      <a:ext cx="2656840" cy="2032000"/>
                    </a:xfrm>
                    <a:prstGeom prst="rect">
                      <a:avLst/>
                    </a:prstGeom>
                    <a:ln w="25400" cap="flat">
                      <a:solidFill>
                        <a:srgbClr val="000000"/>
                      </a:solidFill>
                      <a:prstDash val="solid"/>
                      <a:round/>
                    </a:ln>
                    <a:effectLst/>
                  </pic:spPr>
                </pic:pic>
              </a:graphicData>
            </a:graphic>
          </wp:inline>
        </w:drawing>
      </w:r>
      <w:r>
        <w:rPr>
          <w:rFonts w:ascii="Arial" w:hAnsi="Arial"/>
          <w:rtl w:val="0"/>
          <w:lang w:val="en-US"/>
        </w:rPr>
        <w:t xml:space="preserve"> </w:t>
      </w:r>
    </w:p>
    <w:p>
      <w:pPr>
        <w:pStyle w:val="Normal1"/>
        <w:jc w:val="center"/>
        <w:rPr>
          <w:rFonts w:ascii="Arial" w:cs="Arial" w:hAnsi="Arial" w:eastAsia="Arial"/>
          <w:b w:val="1"/>
          <w:bCs w:val="1"/>
        </w:rPr>
      </w:pPr>
      <w:r>
        <w:rPr>
          <w:rFonts w:ascii="Arial" w:hAnsi="Arial"/>
          <w:b w:val="1"/>
          <w:bCs w:val="1"/>
          <w:rtl w:val="0"/>
          <w:lang w:val="en-US"/>
        </w:rPr>
        <w:t>Figure 4: Dementia deaths in the UK</w:t>
      </w:r>
    </w:p>
    <w:p>
      <w:pPr>
        <w:pStyle w:val="Normal1"/>
        <w:jc w:val="center"/>
        <w:rPr>
          <w:rFonts w:ascii="Arial" w:cs="Arial" w:hAnsi="Arial" w:eastAsia="Arial"/>
        </w:rPr>
      </w:pPr>
      <w:r>
        <w:rPr>
          <w:rFonts w:ascii="Arial" w:hAnsi="Arial"/>
          <w:rtl w:val="0"/>
          <w:lang w:val="en-US"/>
        </w:rPr>
        <w:t>(Source: Alzheimer</w:t>
      </w:r>
      <w:r>
        <w:rPr>
          <w:rFonts w:ascii="Arial" w:hAnsi="Arial" w:hint="default"/>
          <w:rtl w:val="0"/>
          <w:lang w:val="en-US"/>
        </w:rPr>
        <w:t>’</w:t>
      </w:r>
      <w:r>
        <w:rPr>
          <w:rFonts w:ascii="Arial" w:hAnsi="Arial"/>
          <w:rtl w:val="0"/>
          <w:lang w:val="en-US"/>
        </w:rPr>
        <w:t>s Research, 2025)</w:t>
      </w:r>
    </w:p>
    <w:p>
      <w:pPr>
        <w:pStyle w:val="Normal1"/>
        <w:rPr>
          <w:rFonts w:ascii="Arial" w:cs="Arial" w:hAnsi="Arial" w:eastAsia="Arial"/>
          <w:b w:val="1"/>
          <w:bCs w:val="1"/>
        </w:rPr>
      </w:pPr>
      <w:r>
        <w:rPr>
          <w:rFonts w:ascii="Arial" w:hAnsi="Arial"/>
          <w:rtl w:val="0"/>
          <w:lang w:val="en-US"/>
        </w:rPr>
        <w:t>It has been found that last year (2024), about 11.8% (1 in 10) of overall deaths in the UK were due to dementia (Alzheimer</w:t>
      </w:r>
      <w:r>
        <w:rPr>
          <w:rFonts w:ascii="Arial" w:hAnsi="Arial" w:hint="default"/>
          <w:rtl w:val="0"/>
          <w:lang w:val="en-US"/>
        </w:rPr>
        <w:t>’</w:t>
      </w:r>
      <w:r>
        <w:rPr>
          <w:rFonts w:ascii="Arial" w:hAnsi="Arial"/>
          <w:rtl w:val="0"/>
          <w:lang w:val="en-US"/>
        </w:rPr>
        <w:t xml:space="preserve">s Research, 2025). Therefore, the uncontrolled dementia is creating a heavy social burden on caregivers across the UK as well as worldwide, by causing emotional stress through excessive time demands, which is affecting their quality of life. </w:t>
      </w:r>
    </w:p>
    <w:p>
      <w:pPr>
        <w:pStyle w:val="Heading"/>
        <w:rPr>
          <w:rFonts w:ascii="Arial" w:cs="Arial" w:hAnsi="Arial" w:eastAsia="Arial"/>
        </w:rPr>
      </w:pPr>
      <w:bookmarkStart w:name="_Toc4" w:id="4"/>
      <w:r>
        <w:rPr>
          <w:rFonts w:ascii="Arial" w:hAnsi="Arial"/>
          <w:rtl w:val="0"/>
          <w:lang w:val="en-US"/>
        </w:rPr>
        <w:t xml:space="preserve">3. Physical, Psychological, and Social Impacts </w:t>
      </w:r>
      <w:bookmarkEnd w:id="4"/>
    </w:p>
    <w:p>
      <w:pPr>
        <w:pStyle w:val="Normal1"/>
        <w:rPr>
          <w:rFonts w:ascii="Arial" w:cs="Arial" w:hAnsi="Arial" w:eastAsia="Arial"/>
          <w:b w:val="1"/>
          <w:bCs w:val="1"/>
          <w:i w:val="1"/>
          <w:iCs w:val="1"/>
        </w:rPr>
      </w:pPr>
      <w:r>
        <w:rPr>
          <w:rFonts w:ascii="Arial" w:hAnsi="Arial"/>
          <w:b w:val="1"/>
          <w:bCs w:val="1"/>
          <w:i w:val="1"/>
          <w:iCs w:val="1"/>
          <w:rtl w:val="0"/>
          <w:lang w:val="en-US"/>
        </w:rPr>
        <w:t xml:space="preserve">Dementia Affects Physical, Psychological, and Social Implications </w:t>
      </w:r>
    </w:p>
    <w:p>
      <w:pPr>
        <w:pStyle w:val="Normal1"/>
        <w:rPr>
          <w:rFonts w:ascii="Arial" w:cs="Arial" w:hAnsi="Arial" w:eastAsia="Arial"/>
        </w:rPr>
      </w:pPr>
      <w:r>
        <w:rPr>
          <w:rFonts w:ascii="Arial" w:hAnsi="Arial"/>
          <w:rtl w:val="0"/>
          <w:lang w:val="en-US"/>
        </w:rPr>
        <w:t>Dementia causes deep and various impacts on people</w:t>
      </w:r>
      <w:r>
        <w:rPr>
          <w:rFonts w:ascii="Arial" w:hAnsi="Arial" w:hint="default"/>
          <w:rtl w:val="0"/>
          <w:lang w:val="en-US"/>
        </w:rPr>
        <w:t>’</w:t>
      </w:r>
      <w:r>
        <w:rPr>
          <w:rFonts w:ascii="Arial" w:hAnsi="Arial"/>
          <w:rtl w:val="0"/>
          <w:lang w:val="en-US"/>
        </w:rPr>
        <w:t>s physical health, psychological condition, and social life. It causes physical decline in terms of mobility issues, such as difficulty in moving, bladder and bowel incontinence, and overall disability (WHO, 2025). Below is a detailed evaluation of dementia's impact on Physical, Psychological, and Social Implications, with wide implications, on the individuals and families from:</w:t>
      </w:r>
    </w:p>
    <w:p>
      <w:pPr>
        <w:pStyle w:val="Normal1"/>
        <w:rPr>
          <w:rFonts w:ascii="Arial" w:cs="Arial" w:hAnsi="Arial" w:eastAsia="Arial"/>
          <w:b w:val="1"/>
          <w:bCs w:val="1"/>
        </w:rPr>
      </w:pPr>
      <w:r>
        <w:rPr>
          <w:rFonts w:ascii="Arial" w:hAnsi="Arial"/>
          <w:b w:val="1"/>
          <w:bCs w:val="1"/>
          <w:rtl w:val="0"/>
          <w:lang w:val="en-US"/>
        </w:rPr>
        <w:t xml:space="preserve">Physical: </w:t>
      </w:r>
    </w:p>
    <w:p>
      <w:pPr>
        <w:pStyle w:val="Normal1"/>
        <w:jc w:val="center"/>
        <w:rPr>
          <w:rFonts w:ascii="Arial" w:cs="Arial" w:hAnsi="Arial" w:eastAsia="Arial"/>
        </w:rPr>
      </w:pPr>
      <w:r>
        <w:rPr>
          <w:rFonts w:ascii="Arial" w:cs="Arial" w:hAnsi="Arial" w:eastAsia="Arial"/>
        </w:rPr>
        <w:drawing xmlns:a="http://schemas.openxmlformats.org/drawingml/2006/main">
          <wp:inline distT="0" distB="0" distL="0" distR="0">
            <wp:extent cx="2640330" cy="1459230"/>
            <wp:effectExtent l="0" t="0" r="0" b="0"/>
            <wp:docPr id="1073741830" name="officeArt object" descr="image10.png"/>
            <wp:cNvGraphicFramePr/>
            <a:graphic xmlns:a="http://schemas.openxmlformats.org/drawingml/2006/main">
              <a:graphicData uri="http://schemas.openxmlformats.org/drawingml/2006/picture">
                <pic:pic xmlns:pic="http://schemas.openxmlformats.org/drawingml/2006/picture">
                  <pic:nvPicPr>
                    <pic:cNvPr id="1073741830" name="image10.png" descr="image10.png"/>
                    <pic:cNvPicPr>
                      <a:picLocks noChangeAspect="1"/>
                    </pic:cNvPicPr>
                  </pic:nvPicPr>
                  <pic:blipFill>
                    <a:blip r:embed="rId11">
                      <a:extLst/>
                    </a:blip>
                    <a:stretch>
                      <a:fillRect/>
                    </a:stretch>
                  </pic:blipFill>
                  <pic:spPr>
                    <a:xfrm>
                      <a:off x="0" y="0"/>
                      <a:ext cx="2640330" cy="1459230"/>
                    </a:xfrm>
                    <a:prstGeom prst="rect">
                      <a:avLst/>
                    </a:prstGeom>
                    <a:ln w="25400" cap="flat">
                      <a:solidFill>
                        <a:srgbClr val="000000"/>
                      </a:solidFill>
                      <a:prstDash val="solid"/>
                      <a:round/>
                    </a:ln>
                    <a:effectLst/>
                  </pic:spPr>
                </pic:pic>
              </a:graphicData>
            </a:graphic>
          </wp:inline>
        </w:drawing>
      </w:r>
    </w:p>
    <w:p>
      <w:pPr>
        <w:pStyle w:val="Normal1"/>
        <w:jc w:val="center"/>
        <w:rPr>
          <w:rFonts w:ascii="Arial" w:cs="Arial" w:hAnsi="Arial" w:eastAsia="Arial"/>
          <w:b w:val="1"/>
          <w:bCs w:val="1"/>
        </w:rPr>
      </w:pPr>
      <w:r>
        <w:rPr>
          <w:rFonts w:ascii="Arial" w:hAnsi="Arial"/>
          <w:b w:val="1"/>
          <w:bCs w:val="1"/>
          <w:rtl w:val="0"/>
          <w:lang w:val="en-US"/>
        </w:rPr>
        <w:t>Figure 5: Impact of Dementia on the families in the UK</w:t>
      </w:r>
    </w:p>
    <w:p>
      <w:pPr>
        <w:pStyle w:val="Normal1"/>
        <w:jc w:val="center"/>
        <w:rPr>
          <w:rFonts w:ascii="Arial" w:cs="Arial" w:hAnsi="Arial" w:eastAsia="Arial"/>
        </w:rPr>
      </w:pPr>
      <w:r>
        <w:rPr>
          <w:rFonts w:ascii="Arial" w:hAnsi="Arial"/>
          <w:rtl w:val="0"/>
          <w:lang w:val="en-US"/>
        </w:rPr>
        <w:t>(Source: Shah et al, 2024)</w:t>
      </w:r>
    </w:p>
    <w:tbl>
      <w:tblPr>
        <w:tblW w:w="452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60"/>
        <w:gridCol w:w="2260"/>
      </w:tblGrid>
      <w:tr>
        <w:tblPrEx>
          <w:shd w:val="clear" w:color="auto" w:fill="ced7e7"/>
        </w:tblPrEx>
        <w:trPr>
          <w:trHeight w:val="292" w:hRule="atLeast"/>
        </w:trPr>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b w:val="1"/>
                <w:bCs w:val="1"/>
                <w:shd w:val="nil" w:color="auto" w:fill="auto"/>
                <w:rtl w:val="0"/>
                <w:lang w:val="en-US"/>
              </w:rPr>
              <w:t>Description</w:t>
            </w:r>
          </w:p>
        </w:tc>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b w:val="1"/>
                <w:bCs w:val="1"/>
                <w:shd w:val="nil" w:color="auto" w:fill="auto"/>
                <w:rtl w:val="0"/>
                <w:lang w:val="en-US"/>
              </w:rPr>
              <w:t>Mean Score</w:t>
            </w:r>
          </w:p>
        </w:tc>
      </w:tr>
      <w:tr>
        <w:tblPrEx>
          <w:shd w:val="clear" w:color="auto" w:fill="ced7e7"/>
        </w:tblPrEx>
        <w:trPr>
          <w:trHeight w:val="292" w:hRule="atLeast"/>
        </w:trPr>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pPr>
            <w:r>
              <w:rPr>
                <w:rFonts w:ascii="Arial" w:hAnsi="Arial"/>
                <w:shd w:val="nil" w:color="auto" w:fill="auto"/>
                <w:rtl w:val="0"/>
                <w:lang w:val="en-US"/>
              </w:rPr>
              <w:t xml:space="preserve">Overall </w:t>
            </w:r>
          </w:p>
        </w:tc>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17.48</w:t>
            </w:r>
          </w:p>
        </w:tc>
      </w:tr>
      <w:tr>
        <w:tblPrEx>
          <w:shd w:val="clear" w:color="auto" w:fill="ced7e7"/>
        </w:tblPrEx>
        <w:trPr>
          <w:trHeight w:val="292" w:hRule="atLeast"/>
        </w:trPr>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pPr>
            <w:r>
              <w:rPr>
                <w:rFonts w:ascii="Arial" w:hAnsi="Arial"/>
                <w:shd w:val="nil" w:color="auto" w:fill="auto"/>
                <w:rtl w:val="0"/>
                <w:lang w:val="en-US"/>
              </w:rPr>
              <w:t>Emotional Domain</w:t>
            </w:r>
          </w:p>
        </w:tc>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7.86</w:t>
            </w:r>
          </w:p>
        </w:tc>
      </w:tr>
      <w:tr>
        <w:tblPrEx>
          <w:shd w:val="clear" w:color="auto" w:fill="ced7e7"/>
        </w:tblPrEx>
        <w:trPr>
          <w:trHeight w:val="708" w:hRule="atLeast"/>
        </w:trPr>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pPr>
            <w:r>
              <w:rPr>
                <w:rFonts w:ascii="Arial" w:hAnsi="Arial"/>
                <w:shd w:val="nil" w:color="auto" w:fill="auto"/>
                <w:rtl w:val="0"/>
                <w:lang w:val="en-US"/>
              </w:rPr>
              <w:t>Personal and social life domain</w:t>
            </w:r>
          </w:p>
        </w:tc>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9.62</w:t>
            </w:r>
          </w:p>
        </w:tc>
      </w:tr>
      <w:tr>
        <w:tblPrEx>
          <w:shd w:val="clear" w:color="auto" w:fill="ced7e7"/>
        </w:tblPrEx>
        <w:trPr>
          <w:trHeight w:val="292" w:hRule="atLeast"/>
        </w:trPr>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pPr>
            <w:r>
              <w:rPr>
                <w:rFonts w:ascii="Arial" w:hAnsi="Arial"/>
                <w:shd w:val="nil" w:color="auto" w:fill="auto"/>
                <w:rtl w:val="0"/>
                <w:lang w:val="en-US"/>
              </w:rPr>
              <w:t>Angry</w:t>
            </w:r>
          </w:p>
        </w:tc>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0.86</w:t>
            </w:r>
          </w:p>
        </w:tc>
      </w:tr>
      <w:tr>
        <w:tblPrEx>
          <w:shd w:val="clear" w:color="auto" w:fill="ced7e7"/>
        </w:tblPrEx>
        <w:trPr>
          <w:trHeight w:val="292" w:hRule="atLeast"/>
        </w:trPr>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pPr>
            <w:r>
              <w:rPr>
                <w:rFonts w:ascii="Arial" w:hAnsi="Arial"/>
                <w:shd w:val="nil" w:color="auto" w:fill="auto"/>
                <w:rtl w:val="0"/>
                <w:lang w:val="en-US"/>
              </w:rPr>
              <w:t>Family relationship</w:t>
            </w:r>
          </w:p>
        </w:tc>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1.10</w:t>
            </w:r>
          </w:p>
        </w:tc>
      </w:tr>
      <w:tr>
        <w:tblPrEx>
          <w:shd w:val="clear" w:color="auto" w:fill="ced7e7"/>
        </w:tblPrEx>
        <w:trPr>
          <w:trHeight w:val="292" w:hRule="atLeast"/>
        </w:trPr>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pPr>
            <w:r>
              <w:rPr>
                <w:rFonts w:ascii="Arial" w:hAnsi="Arial"/>
                <w:shd w:val="nil" w:color="auto" w:fill="auto"/>
                <w:rtl w:val="0"/>
                <w:lang w:val="en-US"/>
              </w:rPr>
              <w:t>Sleep</w:t>
            </w:r>
          </w:p>
        </w:tc>
        <w:tc>
          <w:tcPr>
            <w:tcW w:type="dxa" w:w="22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1.18</w:t>
            </w:r>
          </w:p>
        </w:tc>
      </w:tr>
    </w:tbl>
    <w:p>
      <w:pPr>
        <w:pStyle w:val="Normal1"/>
        <w:widowControl w:val="0"/>
        <w:spacing w:line="240" w:lineRule="auto"/>
        <w:jc w:val="center"/>
        <w:rPr>
          <w:rFonts w:ascii="Arial" w:cs="Arial" w:hAnsi="Arial" w:eastAsia="Arial"/>
        </w:rPr>
      </w:pPr>
    </w:p>
    <w:p>
      <w:pPr>
        <w:pStyle w:val="Normal1"/>
        <w:jc w:val="center"/>
        <w:rPr>
          <w:rFonts w:ascii="Arial" w:cs="Arial" w:hAnsi="Arial" w:eastAsia="Arial"/>
          <w:b w:val="1"/>
          <w:bCs w:val="1"/>
        </w:rPr>
      </w:pPr>
      <w:r>
        <w:rPr>
          <w:rFonts w:ascii="Arial" w:hAnsi="Arial"/>
          <w:b w:val="1"/>
          <w:bCs w:val="1"/>
          <w:rtl w:val="0"/>
          <w:lang w:val="en-US"/>
        </w:rPr>
        <w:t>Table 2: Family members and relatives in the UK with Dementia</w:t>
      </w:r>
    </w:p>
    <w:p>
      <w:pPr>
        <w:pStyle w:val="Normal1"/>
        <w:jc w:val="center"/>
        <w:rPr>
          <w:rFonts w:ascii="Arial" w:cs="Arial" w:hAnsi="Arial" w:eastAsia="Arial"/>
        </w:rPr>
      </w:pPr>
      <w:r>
        <w:rPr>
          <w:rFonts w:ascii="Arial" w:hAnsi="Arial"/>
          <w:rtl w:val="0"/>
          <w:lang w:val="en-US"/>
        </w:rPr>
        <w:t>(Source: Shah et al, 2024)</w:t>
      </w:r>
    </w:p>
    <w:p>
      <w:pPr>
        <w:pStyle w:val="Normal1"/>
        <w:rPr>
          <w:rFonts w:ascii="Arial" w:cs="Arial" w:hAnsi="Arial" w:eastAsia="Arial"/>
        </w:rPr>
      </w:pPr>
      <w:r>
        <w:rPr>
          <w:rFonts w:ascii="Arial" w:hAnsi="Arial"/>
          <w:rtl w:val="0"/>
          <w:lang w:val="en-US"/>
        </w:rPr>
        <w:t>The widespread effects of dementia brought significant impacts on the physical and emotional well-being of the families in the UK, particularly their physically drained condition. In the UK, 50% to 70% cases are from Alzheimer</w:t>
      </w:r>
      <w:r>
        <w:rPr>
          <w:rFonts w:ascii="Arial" w:hAnsi="Arial" w:hint="default"/>
          <w:rtl w:val="0"/>
          <w:lang w:val="en-US"/>
        </w:rPr>
        <w:t>’</w:t>
      </w:r>
      <w:r>
        <w:rPr>
          <w:rFonts w:ascii="Arial" w:hAnsi="Arial"/>
          <w:rtl w:val="0"/>
          <w:lang w:val="en-US"/>
        </w:rPr>
        <w:t>s disease (AD), among which 66.9% are females. From the above figure, it can be seen that dementia disrupted the sleep cycle of 81.4% of the family members and their relatives, leading to poor sleeping conditions and increased daytime drowsiness (Shah et al, 2024). Moreover, it increases long-term health risks by affecting the people</w:t>
      </w:r>
      <w:r>
        <w:rPr>
          <w:rFonts w:ascii="Arial" w:hAnsi="Arial" w:hint="default"/>
          <w:rtl w:val="0"/>
          <w:lang w:val="en-US"/>
        </w:rPr>
        <w:t>’</w:t>
      </w:r>
      <w:r>
        <w:rPr>
          <w:rFonts w:ascii="Arial" w:hAnsi="Arial"/>
          <w:rtl w:val="0"/>
          <w:lang w:val="en-US"/>
        </w:rPr>
        <w:t>s immune suppression, exhaustion, poor sexual health and behavioural shifts resulting in cognitive decline and functional impairments. It can be evidenced from Table 1 that dementia highly affected the personal and social life by a 9.62 mean score. Thereafter, the emotional domain had a 7.86 score among the families in the UK. It indicates that dementia highly affects the mental stage of being and impulsiveness (Shah et al, 2024).</w:t>
      </w:r>
    </w:p>
    <w:p>
      <w:pPr>
        <w:pStyle w:val="Normal1"/>
        <w:rPr>
          <w:rFonts w:ascii="Arial" w:cs="Arial" w:hAnsi="Arial" w:eastAsia="Arial"/>
        </w:rPr>
      </w:pPr>
      <w:r>
        <w:rPr>
          <w:rFonts w:ascii="Arial" w:hAnsi="Arial"/>
          <w:b w:val="1"/>
          <w:bCs w:val="1"/>
          <w:rtl w:val="0"/>
          <w:lang w:val="en-US"/>
        </w:rPr>
        <w:t xml:space="preserve">Psychological: </w:t>
      </w:r>
    </w:p>
    <w:tbl>
      <w:tblPr>
        <w:tblW w:w="45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507"/>
        <w:gridCol w:w="1507"/>
        <w:gridCol w:w="1506"/>
      </w:tblGrid>
      <w:tr>
        <w:tblPrEx>
          <w:shd w:val="clear" w:color="auto" w:fill="ced7e7"/>
        </w:tblPrEx>
        <w:trPr>
          <w:trHeight w:val="292" w:hRule="atLeast"/>
        </w:trPr>
        <w:tc>
          <w:tcPr>
            <w:tcW w:type="dxa" w:w="15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b w:val="1"/>
                <w:bCs w:val="1"/>
                <w:shd w:val="nil" w:color="auto" w:fill="auto"/>
                <w:rtl w:val="0"/>
                <w:lang w:val="en-US"/>
              </w:rPr>
              <w:t>Variable</w:t>
            </w:r>
          </w:p>
        </w:tc>
        <w:tc>
          <w:tcPr>
            <w:tcW w:type="dxa" w:w="15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b w:val="1"/>
                <w:bCs w:val="1"/>
                <w:shd w:val="nil" w:color="auto" w:fill="auto"/>
                <w:rtl w:val="0"/>
                <w:lang w:val="en-US"/>
              </w:rPr>
              <w:t>Gender</w:t>
            </w:r>
          </w:p>
        </w:tc>
        <w:tc>
          <w:tcPr>
            <w:tcW w:type="dxa" w:w="150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b w:val="1"/>
                <w:bCs w:val="1"/>
                <w:shd w:val="nil" w:color="auto" w:fill="auto"/>
                <w:rtl w:val="0"/>
                <w:lang w:val="en-US"/>
              </w:rPr>
              <w:t>Mean</w:t>
            </w:r>
          </w:p>
        </w:tc>
      </w:tr>
      <w:tr>
        <w:tblPrEx>
          <w:shd w:val="clear" w:color="auto" w:fill="ced7e7"/>
        </w:tblPrEx>
        <w:trPr>
          <w:trHeight w:val="480" w:hRule="atLeast"/>
        </w:trPr>
        <w:tc>
          <w:tcPr>
            <w:tcW w:type="dxa" w:w="1507"/>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Anxiety</w:t>
            </w:r>
          </w:p>
        </w:tc>
        <w:tc>
          <w:tcPr>
            <w:tcW w:type="dxa" w:w="15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Females</w:t>
            </w:r>
          </w:p>
        </w:tc>
        <w:tc>
          <w:tcPr>
            <w:tcW w:type="dxa" w:w="150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0.80</w:t>
            </w:r>
          </w:p>
        </w:tc>
      </w:tr>
      <w:tr>
        <w:tblPrEx>
          <w:shd w:val="clear" w:color="auto" w:fill="ced7e7"/>
        </w:tblPrEx>
        <w:trPr>
          <w:trHeight w:val="480" w:hRule="atLeast"/>
        </w:trPr>
        <w:tc>
          <w:tcPr>
            <w:tcW w:type="dxa" w:w="1507"/>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15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Males</w:t>
            </w:r>
          </w:p>
        </w:tc>
        <w:tc>
          <w:tcPr>
            <w:tcW w:type="dxa" w:w="150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0.84</w:t>
            </w:r>
          </w:p>
        </w:tc>
      </w:tr>
      <w:tr>
        <w:tblPrEx>
          <w:shd w:val="clear" w:color="auto" w:fill="ced7e7"/>
        </w:tblPrEx>
        <w:trPr>
          <w:trHeight w:val="480" w:hRule="atLeast"/>
        </w:trPr>
        <w:tc>
          <w:tcPr>
            <w:tcW w:type="dxa" w:w="1507"/>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Depression</w:t>
            </w:r>
          </w:p>
        </w:tc>
        <w:tc>
          <w:tcPr>
            <w:tcW w:type="dxa" w:w="15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Females</w:t>
            </w:r>
          </w:p>
        </w:tc>
        <w:tc>
          <w:tcPr>
            <w:tcW w:type="dxa" w:w="150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2.37</w:t>
            </w:r>
          </w:p>
        </w:tc>
      </w:tr>
      <w:tr>
        <w:tblPrEx>
          <w:shd w:val="clear" w:color="auto" w:fill="ced7e7"/>
        </w:tblPrEx>
        <w:trPr>
          <w:trHeight w:val="480" w:hRule="atLeast"/>
        </w:trPr>
        <w:tc>
          <w:tcPr>
            <w:tcW w:type="dxa" w:w="1507"/>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15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Males</w:t>
            </w:r>
          </w:p>
        </w:tc>
        <w:tc>
          <w:tcPr>
            <w:tcW w:type="dxa" w:w="150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2.40</w:t>
            </w:r>
          </w:p>
        </w:tc>
      </w:tr>
      <w:tr>
        <w:tblPrEx>
          <w:shd w:val="clear" w:color="auto" w:fill="ced7e7"/>
        </w:tblPrEx>
        <w:trPr>
          <w:trHeight w:val="480" w:hRule="atLeast"/>
        </w:trPr>
        <w:tc>
          <w:tcPr>
            <w:tcW w:type="dxa" w:w="1507"/>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Overall Quality of Life</w:t>
            </w:r>
          </w:p>
        </w:tc>
        <w:tc>
          <w:tcPr>
            <w:tcW w:type="dxa" w:w="15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Females</w:t>
            </w:r>
          </w:p>
        </w:tc>
        <w:tc>
          <w:tcPr>
            <w:tcW w:type="dxa" w:w="150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2.58</w:t>
            </w:r>
          </w:p>
        </w:tc>
      </w:tr>
      <w:tr>
        <w:tblPrEx>
          <w:shd w:val="clear" w:color="auto" w:fill="ced7e7"/>
        </w:tblPrEx>
        <w:trPr>
          <w:trHeight w:val="484" w:hRule="atLeast"/>
        </w:trPr>
        <w:tc>
          <w:tcPr>
            <w:tcW w:type="dxa" w:w="1507"/>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15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Males</w:t>
            </w:r>
          </w:p>
        </w:tc>
        <w:tc>
          <w:tcPr>
            <w:tcW w:type="dxa" w:w="1506"/>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jc w:val="center"/>
            </w:pPr>
            <w:r>
              <w:rPr>
                <w:rFonts w:ascii="Arial" w:hAnsi="Arial"/>
                <w:shd w:val="nil" w:color="auto" w:fill="auto"/>
                <w:rtl w:val="0"/>
                <w:lang w:val="en-US"/>
              </w:rPr>
              <w:t>2.48</w:t>
            </w:r>
          </w:p>
        </w:tc>
      </w:tr>
    </w:tbl>
    <w:p>
      <w:pPr>
        <w:pStyle w:val="Normal1"/>
        <w:widowControl w:val="0"/>
        <w:spacing w:line="240" w:lineRule="auto"/>
        <w:rPr>
          <w:rFonts w:ascii="Arial" w:cs="Arial" w:hAnsi="Arial" w:eastAsia="Arial"/>
        </w:rPr>
      </w:pPr>
    </w:p>
    <w:p>
      <w:pPr>
        <w:pStyle w:val="Normal1"/>
        <w:jc w:val="center"/>
        <w:rPr>
          <w:rFonts w:ascii="Arial" w:cs="Arial" w:hAnsi="Arial" w:eastAsia="Arial"/>
          <w:b w:val="1"/>
          <w:bCs w:val="1"/>
        </w:rPr>
      </w:pPr>
      <w:r>
        <w:rPr>
          <w:rFonts w:ascii="Arial" w:hAnsi="Arial"/>
          <w:b w:val="1"/>
          <w:bCs w:val="1"/>
          <w:rtl w:val="0"/>
          <w:lang w:val="en-US"/>
        </w:rPr>
        <w:t>Table 3:  Anxiety and Depression Scores from Dementia According to Gender</w:t>
      </w:r>
    </w:p>
    <w:p>
      <w:pPr>
        <w:pStyle w:val="Normal1"/>
        <w:jc w:val="center"/>
        <w:rPr>
          <w:rFonts w:ascii="Arial" w:cs="Arial" w:hAnsi="Arial" w:eastAsia="Arial"/>
        </w:rPr>
      </w:pPr>
      <w:r>
        <w:rPr>
          <w:rFonts w:ascii="Arial" w:hAnsi="Arial"/>
          <w:rtl w:val="0"/>
          <w:lang w:val="en-US"/>
        </w:rPr>
        <w:t>(Source: Alzaben and Shawaqfeh, 2024)</w:t>
      </w:r>
    </w:p>
    <w:p>
      <w:pPr>
        <w:pStyle w:val="Normal1"/>
        <w:rPr>
          <w:rFonts w:ascii="Arial" w:cs="Arial" w:hAnsi="Arial" w:eastAsia="Arial"/>
          <w:shd w:val="clear" w:color="auto" w:fill="b6d7a8"/>
        </w:rPr>
      </w:pPr>
      <w:r>
        <w:rPr>
          <w:rFonts w:ascii="Arial" w:hAnsi="Arial"/>
          <w:rtl w:val="0"/>
          <w:lang w:val="en-US"/>
        </w:rPr>
        <w:t xml:space="preserve">Simultaneously, dementia profoundly shifts the emotional and mental state of elderly people, mainly affecting their physical, psychological, and cognitive health. Table 3 demonstrates that there are gender disparities in the levels of poor psychological condition, in terms of depression and anxiety. Although it can be witnessed that the males are more affected than the females in the UK families, with a 0.80 mean anxiety and 2.40 depression score. </w:t>
      </w:r>
      <w:r>
        <w:rPr>
          <w:rFonts w:ascii="Arial" w:hAnsi="Arial"/>
          <w:outline w:val="0"/>
          <w:color w:val="000000"/>
          <w:u w:color="000000"/>
          <w:rtl w:val="0"/>
          <w:lang w:val="en-US"/>
          <w14:textFill>
            <w14:solidFill>
              <w14:srgbClr w14:val="000000"/>
            </w14:solidFill>
          </w14:textFill>
        </w:rPr>
        <w:t>Eventually, it hampers the overall quality of life, mainly for the male gender (Alzaben and Shawaqfeh, 2024).</w:t>
      </w:r>
    </w:p>
    <w:p>
      <w:pPr>
        <w:pStyle w:val="Normal1"/>
        <w:rPr>
          <w:rFonts w:ascii="Arial" w:cs="Arial" w:hAnsi="Arial" w:eastAsia="Arial"/>
          <w:b w:val="1"/>
          <w:bCs w:val="1"/>
        </w:rPr>
      </w:pPr>
      <w:r>
        <w:rPr>
          <w:rFonts w:ascii="Arial" w:hAnsi="Arial"/>
          <w:b w:val="1"/>
          <w:bCs w:val="1"/>
          <w:rtl w:val="0"/>
          <w:lang w:val="en-US"/>
        </w:rPr>
        <w:t xml:space="preserve">Social: </w:t>
      </w:r>
    </w:p>
    <w:p>
      <w:pPr>
        <w:pStyle w:val="Normal1"/>
        <w:rPr>
          <w:rFonts w:ascii="Arial" w:cs="Arial" w:hAnsi="Arial" w:eastAsia="Arial"/>
        </w:rPr>
      </w:pPr>
      <w:r>
        <w:rPr>
          <w:rFonts w:ascii="Arial" w:hAnsi="Arial"/>
          <w:rtl w:val="0"/>
          <w:lang w:val="en-US"/>
        </w:rPr>
        <w:t>Dementia impacts the social lives of people, leading to the following (Sommerlad et al, 2023):</w:t>
      </w:r>
    </w:p>
    <w:p>
      <w:pPr>
        <w:pStyle w:val="Normal1"/>
        <w:numPr>
          <w:ilvl w:val="0"/>
          <w:numId w:val="10"/>
        </w:numPr>
        <w:bidi w:val="0"/>
        <w:ind w:right="0"/>
        <w:jc w:val="both"/>
        <w:rPr>
          <w:rFonts w:ascii="Arial" w:hAnsi="Arial"/>
          <w:rtl w:val="0"/>
          <w:lang w:val="en-US"/>
        </w:rPr>
      </w:pPr>
      <w:r>
        <w:rPr>
          <w:rFonts w:ascii="Arial" w:hAnsi="Arial"/>
          <w:rtl w:val="0"/>
          <w:lang w:val="en-US"/>
        </w:rPr>
        <w:t>Decline in Social engagement</w:t>
      </w:r>
    </w:p>
    <w:p>
      <w:pPr>
        <w:pStyle w:val="Normal1"/>
        <w:numPr>
          <w:ilvl w:val="0"/>
          <w:numId w:val="10"/>
        </w:numPr>
        <w:bidi w:val="0"/>
        <w:ind w:right="0"/>
        <w:jc w:val="both"/>
        <w:rPr>
          <w:rFonts w:ascii="Arial" w:hAnsi="Arial"/>
          <w:rtl w:val="0"/>
          <w:lang w:val="en-US"/>
        </w:rPr>
      </w:pPr>
      <w:r>
        <w:rPr>
          <w:rFonts w:ascii="Arial" w:hAnsi="Arial"/>
          <w:rtl w:val="0"/>
          <w:lang w:val="en-US"/>
        </w:rPr>
        <w:t>Communication Barriers</w:t>
      </w:r>
    </w:p>
    <w:p>
      <w:pPr>
        <w:pStyle w:val="Normal1"/>
        <w:numPr>
          <w:ilvl w:val="0"/>
          <w:numId w:val="10"/>
        </w:numPr>
        <w:bidi w:val="0"/>
        <w:ind w:right="0"/>
        <w:jc w:val="both"/>
        <w:rPr>
          <w:rFonts w:ascii="Arial" w:hAnsi="Arial"/>
          <w:rtl w:val="0"/>
          <w:lang w:val="en-US"/>
        </w:rPr>
      </w:pPr>
      <w:r>
        <w:rPr>
          <w:rFonts w:ascii="Arial" w:hAnsi="Arial"/>
          <w:rtl w:val="0"/>
          <w:lang w:val="en-US"/>
        </w:rPr>
        <w:t>Loss of Employment Networks</w:t>
      </w:r>
    </w:p>
    <w:p>
      <w:pPr>
        <w:pStyle w:val="Normal1"/>
        <w:numPr>
          <w:ilvl w:val="0"/>
          <w:numId w:val="10"/>
        </w:numPr>
        <w:bidi w:val="0"/>
        <w:ind w:right="0"/>
        <w:jc w:val="both"/>
        <w:rPr>
          <w:rFonts w:ascii="Arial" w:hAnsi="Arial"/>
          <w:rtl w:val="0"/>
          <w:lang w:val="en-US"/>
        </w:rPr>
      </w:pPr>
      <w:r>
        <w:rPr>
          <w:rFonts w:ascii="Arial" w:hAnsi="Arial"/>
          <w:rtl w:val="0"/>
          <w:lang w:val="en-US"/>
        </w:rPr>
        <w:t>Social Restrictions</w:t>
      </w:r>
    </w:p>
    <w:p>
      <w:pPr>
        <w:pStyle w:val="Normal1"/>
        <w:rPr>
          <w:rFonts w:ascii="Arial" w:cs="Arial" w:hAnsi="Arial" w:eastAsia="Arial"/>
        </w:rPr>
      </w:pPr>
      <w:r>
        <w:rPr>
          <w:rFonts w:ascii="Arial" w:hAnsi="Arial"/>
          <w:rtl w:val="0"/>
          <w:lang w:val="en-US"/>
        </w:rPr>
        <w:t xml:space="preserve">Dementia causes relationship harm in the UK among relatives and friends. It creates a situation of frustration and tension with irritable and less patient personality changes, memory loss resulting in social isolation (NHS, 2026a). </w:t>
      </w:r>
    </w:p>
    <w:p>
      <w:pPr>
        <w:pStyle w:val="Normal1"/>
        <w:rPr>
          <w:rFonts w:ascii="Arial" w:cs="Arial" w:hAnsi="Arial" w:eastAsia="Arial"/>
        </w:rPr>
      </w:pPr>
      <w:r>
        <w:rPr>
          <w:rFonts w:ascii="Arial" w:hAnsi="Arial"/>
          <w:rtl w:val="0"/>
          <w:lang w:val="en-US"/>
        </w:rPr>
        <w:t>Evidence from the UK families suggests that dementia not only alters personality and behaviours, but it also brings significant physical, psychological, and social barriers.</w:t>
      </w:r>
    </w:p>
    <w:p>
      <w:pPr>
        <w:pStyle w:val="Heading"/>
        <w:rPr>
          <w:rFonts w:ascii="Arial" w:cs="Arial" w:hAnsi="Arial" w:eastAsia="Arial"/>
        </w:rPr>
      </w:pPr>
      <w:bookmarkStart w:name="_Toc5" w:id="5"/>
      <w:r>
        <w:rPr>
          <w:rFonts w:ascii="Arial" w:hAnsi="Arial"/>
          <w:rtl w:val="0"/>
          <w:lang w:val="en-US"/>
        </w:rPr>
        <w:t xml:space="preserve">4. Theories and Models </w:t>
      </w:r>
      <w:bookmarkEnd w:id="5"/>
    </w:p>
    <w:p>
      <w:pPr>
        <w:pStyle w:val="Normal1"/>
        <w:rPr>
          <w:rFonts w:ascii="Arial" w:cs="Arial" w:hAnsi="Arial" w:eastAsia="Arial"/>
        </w:rPr>
      </w:pPr>
      <w:r>
        <w:rPr>
          <w:rFonts w:ascii="Arial" w:hAnsi="Arial"/>
          <w:rtl w:val="0"/>
          <w:lang w:val="en-US"/>
        </w:rPr>
        <w:t xml:space="preserve">In this section, two theoretical frameworks are being applied to understand how the healthcare associations across the UK and worldwide are doing to treat patients with dementia in order to lower their prevalence and burden.   </w:t>
      </w:r>
    </w:p>
    <w:p>
      <w:pPr>
        <w:pStyle w:val="Heading 2"/>
        <w:rPr>
          <w:rFonts w:ascii="Arial" w:cs="Arial" w:hAnsi="Arial" w:eastAsia="Arial"/>
        </w:rPr>
      </w:pPr>
      <w:bookmarkStart w:name="_Toc6" w:id="6"/>
      <w:r>
        <w:rPr>
          <w:rFonts w:ascii="Arial" w:hAnsi="Arial"/>
          <w:rtl w:val="0"/>
          <w:lang w:val="it-IT"/>
        </w:rPr>
        <w:t xml:space="preserve">UK Model </w:t>
      </w:r>
      <w:bookmarkEnd w:id="6"/>
    </w:p>
    <w:p>
      <w:pPr>
        <w:pStyle w:val="Normal1"/>
        <w:rPr>
          <w:rFonts w:ascii="Arial" w:cs="Arial" w:hAnsi="Arial" w:eastAsia="Arial"/>
          <w:b w:val="1"/>
          <w:bCs w:val="1"/>
        </w:rPr>
      </w:pPr>
      <w:r>
        <w:rPr>
          <w:rFonts w:ascii="Arial" w:hAnsi="Arial"/>
          <w:b w:val="1"/>
          <w:bCs w:val="1"/>
          <w:rtl w:val="0"/>
          <w:lang w:val="en-US"/>
        </w:rPr>
        <w:t xml:space="preserve">The Comprehensive Model of Personalised Care  </w:t>
      </w:r>
    </w:p>
    <w:p>
      <w:pPr>
        <w:pStyle w:val="Normal1"/>
        <w:rPr>
          <w:rFonts w:ascii="Arial" w:cs="Arial" w:hAnsi="Arial" w:eastAsia="Arial"/>
        </w:rPr>
      </w:pPr>
      <w:r>
        <w:rPr>
          <w:rFonts w:ascii="Arial" w:hAnsi="Arial"/>
          <w:rtl w:val="0"/>
          <w:lang w:val="en-US"/>
        </w:rPr>
        <w:t xml:space="preserve">This is a model developed by the NHS UK in order to integrate wider public and health care services to offer personalised physical and mental treatment to patients of all ages who are dealing with any type of long-term conditions (NHS ICB, 2026). </w:t>
      </w:r>
    </w:p>
    <w:p>
      <w:pPr>
        <w:pStyle w:val="Normal1"/>
        <w:jc w:val="center"/>
        <w:rPr>
          <w:rFonts w:ascii="Arial" w:cs="Arial" w:hAnsi="Arial" w:eastAsia="Arial"/>
        </w:rPr>
      </w:pPr>
      <w:r>
        <w:rPr>
          <w:rFonts w:ascii="Arial" w:cs="Arial" w:hAnsi="Arial" w:eastAsia="Arial"/>
        </w:rPr>
        <w:drawing xmlns:a="http://schemas.openxmlformats.org/drawingml/2006/main">
          <wp:inline distT="0" distB="0" distL="0" distR="0">
            <wp:extent cx="2708911" cy="1870710"/>
            <wp:effectExtent l="0" t="0" r="0" b="0"/>
            <wp:docPr id="1073741831" name="officeArt object" descr="image5.png"/>
            <wp:cNvGraphicFramePr/>
            <a:graphic xmlns:a="http://schemas.openxmlformats.org/drawingml/2006/main">
              <a:graphicData uri="http://schemas.openxmlformats.org/drawingml/2006/picture">
                <pic:pic xmlns:pic="http://schemas.openxmlformats.org/drawingml/2006/picture">
                  <pic:nvPicPr>
                    <pic:cNvPr id="1073741831" name="image5.png" descr="image5.png"/>
                    <pic:cNvPicPr>
                      <a:picLocks noChangeAspect="1"/>
                    </pic:cNvPicPr>
                  </pic:nvPicPr>
                  <pic:blipFill>
                    <a:blip r:embed="rId12">
                      <a:extLst/>
                    </a:blip>
                    <a:stretch>
                      <a:fillRect/>
                    </a:stretch>
                  </pic:blipFill>
                  <pic:spPr>
                    <a:xfrm>
                      <a:off x="0" y="0"/>
                      <a:ext cx="2708911" cy="1870710"/>
                    </a:xfrm>
                    <a:prstGeom prst="rect">
                      <a:avLst/>
                    </a:prstGeom>
                    <a:ln w="12700" cap="flat">
                      <a:solidFill>
                        <a:srgbClr val="000000"/>
                      </a:solidFill>
                      <a:prstDash val="solid"/>
                      <a:round/>
                    </a:ln>
                    <a:effectLst/>
                  </pic:spPr>
                </pic:pic>
              </a:graphicData>
            </a:graphic>
          </wp:inline>
        </w:drawing>
      </w:r>
    </w:p>
    <w:p>
      <w:pPr>
        <w:pStyle w:val="Normal1"/>
        <w:jc w:val="center"/>
        <w:rPr>
          <w:rFonts w:ascii="Arial" w:cs="Arial" w:hAnsi="Arial" w:eastAsia="Arial"/>
          <w:b w:val="1"/>
          <w:bCs w:val="1"/>
        </w:rPr>
      </w:pPr>
      <w:r>
        <w:rPr>
          <w:rFonts w:ascii="Arial" w:hAnsi="Arial"/>
          <w:b w:val="1"/>
          <w:bCs w:val="1"/>
          <w:rtl w:val="0"/>
          <w:lang w:val="en-US"/>
        </w:rPr>
        <w:t>Figure 6: Personalised Care Model, NHS</w:t>
      </w:r>
    </w:p>
    <w:p>
      <w:pPr>
        <w:pStyle w:val="Normal1"/>
        <w:jc w:val="center"/>
        <w:rPr>
          <w:rFonts w:ascii="Arial" w:cs="Arial" w:hAnsi="Arial" w:eastAsia="Arial"/>
        </w:rPr>
      </w:pPr>
      <w:r>
        <w:rPr>
          <w:rFonts w:ascii="Arial" w:hAnsi="Arial"/>
          <w:rtl w:val="0"/>
          <w:lang w:val="en-US"/>
        </w:rPr>
        <w:t>(Source: NHS ICB, 2026)</w:t>
      </w:r>
    </w:p>
    <w:p>
      <w:pPr>
        <w:pStyle w:val="Normal1"/>
        <w:rPr>
          <w:rFonts w:ascii="Arial" w:cs="Arial" w:hAnsi="Arial" w:eastAsia="Arial"/>
          <w:b w:val="1"/>
          <w:bCs w:val="1"/>
          <w:i w:val="1"/>
          <w:iCs w:val="1"/>
        </w:rPr>
      </w:pPr>
      <w:r>
        <w:rPr>
          <w:rFonts w:ascii="Arial" w:hAnsi="Arial"/>
          <w:b w:val="1"/>
          <w:bCs w:val="1"/>
          <w:i w:val="1"/>
          <w:iCs w:val="1"/>
          <w:rtl w:val="0"/>
          <w:lang w:val="en-US"/>
        </w:rPr>
        <w:t>Shared Decision-making</w:t>
      </w:r>
    </w:p>
    <w:p>
      <w:pPr>
        <w:pStyle w:val="Normal1"/>
        <w:rPr>
          <w:rFonts w:ascii="Arial" w:cs="Arial" w:hAnsi="Arial" w:eastAsia="Arial"/>
        </w:rPr>
      </w:pPr>
      <w:r>
        <w:rPr>
          <w:rFonts w:ascii="Arial" w:hAnsi="Arial"/>
          <w:rtl w:val="0"/>
          <w:lang w:val="en-US"/>
        </w:rPr>
        <w:t>Based on this model, the UK-based healthcare organisations follow a dementia wellbeing plan under which the organisations, patients and patient families participate in diagnosis decision-making (NHS ICB, 2026). This improves patient satisfaction and makes them future-ready.</w:t>
      </w:r>
    </w:p>
    <w:p>
      <w:pPr>
        <w:pStyle w:val="Normal1"/>
        <w:rPr>
          <w:rFonts w:ascii="Arial" w:cs="Arial" w:hAnsi="Arial" w:eastAsia="Arial"/>
          <w:b w:val="1"/>
          <w:bCs w:val="1"/>
          <w:i w:val="1"/>
          <w:iCs w:val="1"/>
        </w:rPr>
      </w:pPr>
      <w:r>
        <w:rPr>
          <w:rFonts w:ascii="Arial" w:hAnsi="Arial"/>
          <w:b w:val="1"/>
          <w:bCs w:val="1"/>
          <w:i w:val="1"/>
          <w:iCs w:val="1"/>
          <w:rtl w:val="0"/>
          <w:lang w:val="en-US"/>
        </w:rPr>
        <w:t xml:space="preserve">Self-Management Support  </w:t>
      </w:r>
    </w:p>
    <w:p>
      <w:pPr>
        <w:pStyle w:val="Normal1"/>
        <w:rPr>
          <w:rFonts w:ascii="Arial" w:cs="Arial" w:hAnsi="Arial" w:eastAsia="Arial"/>
        </w:rPr>
      </w:pPr>
      <w:r>
        <w:rPr>
          <w:rFonts w:ascii="Arial" w:hAnsi="Arial"/>
          <w:rtl w:val="0"/>
          <w:lang w:val="en-US"/>
        </w:rPr>
        <w:t>Similarly, UK-based health care organisations such as the NHS offer education, health coaching and peer support, which reinforce personalised care by allowing dementia patients to build confidence (England NHS, 2026). Hence, with this confidence, they are able to make better choices in their own treatment and overall lifestyle choices, which improve health outcomes.</w:t>
      </w:r>
    </w:p>
    <w:p>
      <w:pPr>
        <w:pStyle w:val="Normal1"/>
        <w:rPr>
          <w:rFonts w:ascii="Arial" w:cs="Arial" w:hAnsi="Arial" w:eastAsia="Arial"/>
          <w:b w:val="1"/>
          <w:bCs w:val="1"/>
          <w:i w:val="1"/>
          <w:iCs w:val="1"/>
        </w:rPr>
      </w:pPr>
      <w:r>
        <w:rPr>
          <w:rFonts w:ascii="Arial" w:hAnsi="Arial"/>
          <w:b w:val="1"/>
          <w:bCs w:val="1"/>
          <w:i w:val="1"/>
          <w:iCs w:val="1"/>
          <w:rtl w:val="0"/>
          <w:lang w:val="en-US"/>
        </w:rPr>
        <w:t>Key Principle of Personalised Care Model</w:t>
      </w:r>
    </w:p>
    <w:p>
      <w:pPr>
        <w:pStyle w:val="Normal1"/>
        <w:rPr>
          <w:rFonts w:ascii="Arial" w:cs="Arial" w:hAnsi="Arial" w:eastAsia="Arial"/>
        </w:rPr>
      </w:pPr>
      <w:r>
        <w:rPr>
          <w:rFonts w:ascii="Arial" w:hAnsi="Arial"/>
          <w:rtl w:val="0"/>
          <w:lang w:val="en-US"/>
        </w:rPr>
        <w:t>All the health care organisations and trusts under the NHS are utilising the personalised care model under which they follow a basic principle, "what matters to you," rather than just curing the disease (NHS ICB, 2026). This principle is highly beneficial in terms of treating dementia since it allows each healthcare provider to focus on dementia patients</w:t>
      </w:r>
      <w:r>
        <w:rPr>
          <w:rFonts w:ascii="Arial" w:hAnsi="Arial" w:hint="default"/>
          <w:rtl w:val="0"/>
          <w:lang w:val="en-US"/>
        </w:rPr>
        <w:t>’</w:t>
      </w:r>
      <w:r>
        <w:rPr>
          <w:rFonts w:ascii="Arial" w:hAnsi="Arial"/>
          <w:rtl w:val="0"/>
          <w:lang w:val="en-US"/>
        </w:rPr>
        <w:t xml:space="preserve">personal preferences, lifestyle and medical history to plan a coordinated care approach (NHS England, 2026). Following this principle, the UK-based healthcare organisations integrate the process of advance care planning (ACP) under which the caregivers join conversations with patients and their family to empower them to express wishes, which improves care and patient satisfaction (NHS England, 2026a).     </w:t>
      </w:r>
    </w:p>
    <w:p>
      <w:pPr>
        <w:pStyle w:val="Normal1"/>
        <w:rPr>
          <w:rFonts w:ascii="Arial" w:cs="Arial" w:hAnsi="Arial" w:eastAsia="Arial"/>
        </w:rPr>
      </w:pPr>
      <w:r>
        <w:rPr>
          <w:rFonts w:ascii="Arial" w:hAnsi="Arial"/>
          <w:rtl w:val="0"/>
          <w:lang w:val="en-US"/>
        </w:rPr>
        <w:t xml:space="preserve">However, there are factors such as staff crisis and skill gaps within health and social care services that presently make the practical implementation of this model inconsistent (Onyejesi et al., 2025). To address the inconsistency, UK health care organisations are utilising AI to hire more expert professionals, lower workforce burden by automating tasks and offering dedicated training sessions (OECD, 2026). Thus, these approaches are helping the UK-based health care associations to balance dementia care in times of staff and expertise crisis.   </w:t>
      </w:r>
    </w:p>
    <w:p>
      <w:pPr>
        <w:pStyle w:val="Heading 2"/>
        <w:rPr>
          <w:rFonts w:ascii="Arial" w:cs="Arial" w:hAnsi="Arial" w:eastAsia="Arial"/>
        </w:rPr>
      </w:pPr>
      <w:bookmarkStart w:name="_Toc7" w:id="7"/>
      <w:r>
        <w:rPr>
          <w:rFonts w:ascii="Arial" w:hAnsi="Arial"/>
          <w:rtl w:val="0"/>
          <w:lang w:val="en-US"/>
        </w:rPr>
        <w:t xml:space="preserve">International Model </w:t>
      </w:r>
      <w:bookmarkEnd w:id="7"/>
    </w:p>
    <w:p>
      <w:pPr>
        <w:pStyle w:val="Normal1"/>
        <w:rPr>
          <w:rFonts w:ascii="Arial" w:cs="Arial" w:hAnsi="Arial" w:eastAsia="Arial"/>
          <w:b w:val="1"/>
          <w:bCs w:val="1"/>
        </w:rPr>
      </w:pPr>
      <w:r>
        <w:rPr>
          <w:rFonts w:ascii="Arial" w:hAnsi="Arial"/>
          <w:b w:val="1"/>
          <w:bCs w:val="1"/>
          <w:rtl w:val="0"/>
          <w:lang w:val="en-US"/>
        </w:rPr>
        <w:t xml:space="preserve">Transitional Care Model (TCM) </w:t>
      </w:r>
    </w:p>
    <w:p>
      <w:pPr>
        <w:pStyle w:val="Normal1"/>
        <w:rPr>
          <w:rFonts w:ascii="Arial" w:cs="Arial" w:hAnsi="Arial" w:eastAsia="Arial"/>
        </w:rPr>
      </w:pPr>
      <w:r>
        <w:rPr>
          <w:rFonts w:ascii="Arial" w:hAnsi="Arial"/>
          <w:rtl w:val="0"/>
          <w:lang w:val="en-US"/>
        </w:rPr>
        <w:t>TCM is an evidence-based intervention that helps healthcare organisations to target patients with long-term conditions and improve their health outcomes through nurse-led care (Morkisch et al., 2020). Hence, it usually lowers patients</w:t>
      </w:r>
      <w:r>
        <w:rPr>
          <w:rFonts w:ascii="Arial" w:hAnsi="Arial" w:hint="default"/>
          <w:rtl w:val="0"/>
          <w:lang w:val="en-US"/>
        </w:rPr>
        <w:t xml:space="preserve">’ </w:t>
      </w:r>
      <w:r>
        <w:rPr>
          <w:rFonts w:ascii="Arial" w:hAnsi="Arial"/>
          <w:rtl w:val="0"/>
          <w:lang w:val="en-US"/>
        </w:rPr>
        <w:t xml:space="preserve">readmission rates to hospitals as well as the costs related to overall care. </w:t>
      </w:r>
    </w:p>
    <w:p>
      <w:pPr>
        <w:pStyle w:val="Normal1"/>
        <w:jc w:val="center"/>
        <w:rPr>
          <w:rFonts w:ascii="Arial" w:cs="Arial" w:hAnsi="Arial" w:eastAsia="Arial"/>
        </w:rPr>
      </w:pPr>
      <w:r>
        <w:rPr>
          <w:rFonts w:ascii="Arial" w:cs="Arial" w:hAnsi="Arial" w:eastAsia="Arial"/>
        </w:rPr>
        <w:drawing xmlns:a="http://schemas.openxmlformats.org/drawingml/2006/main">
          <wp:inline distT="0" distB="0" distL="0" distR="0">
            <wp:extent cx="2609850" cy="2602230"/>
            <wp:effectExtent l="0" t="0" r="0" b="0"/>
            <wp:docPr id="1073741832" name="officeArt object" descr="image4.png"/>
            <wp:cNvGraphicFramePr/>
            <a:graphic xmlns:a="http://schemas.openxmlformats.org/drawingml/2006/main">
              <a:graphicData uri="http://schemas.openxmlformats.org/drawingml/2006/picture">
                <pic:pic xmlns:pic="http://schemas.openxmlformats.org/drawingml/2006/picture">
                  <pic:nvPicPr>
                    <pic:cNvPr id="1073741832" name="image4.png" descr="image4.png"/>
                    <pic:cNvPicPr>
                      <a:picLocks noChangeAspect="1"/>
                    </pic:cNvPicPr>
                  </pic:nvPicPr>
                  <pic:blipFill>
                    <a:blip r:embed="rId13">
                      <a:extLst/>
                    </a:blip>
                    <a:stretch>
                      <a:fillRect/>
                    </a:stretch>
                  </pic:blipFill>
                  <pic:spPr>
                    <a:xfrm>
                      <a:off x="0" y="0"/>
                      <a:ext cx="2609850" cy="2602230"/>
                    </a:xfrm>
                    <a:prstGeom prst="rect">
                      <a:avLst/>
                    </a:prstGeom>
                    <a:ln w="12700" cap="flat">
                      <a:solidFill>
                        <a:srgbClr val="000000"/>
                      </a:solidFill>
                      <a:prstDash val="solid"/>
                      <a:round/>
                    </a:ln>
                    <a:effectLst/>
                  </pic:spPr>
                </pic:pic>
              </a:graphicData>
            </a:graphic>
          </wp:inline>
        </w:drawing>
      </w:r>
    </w:p>
    <w:p>
      <w:pPr>
        <w:pStyle w:val="Normal1"/>
        <w:jc w:val="center"/>
        <w:rPr>
          <w:rFonts w:ascii="Arial" w:cs="Arial" w:hAnsi="Arial" w:eastAsia="Arial"/>
          <w:b w:val="1"/>
          <w:bCs w:val="1"/>
        </w:rPr>
      </w:pPr>
      <w:r>
        <w:rPr>
          <w:rFonts w:ascii="Arial" w:hAnsi="Arial"/>
          <w:b w:val="1"/>
          <w:bCs w:val="1"/>
          <w:rtl w:val="0"/>
          <w:lang w:val="en-US"/>
        </w:rPr>
        <w:t xml:space="preserve">Figure 7: TCM Core Components </w:t>
      </w:r>
    </w:p>
    <w:p>
      <w:pPr>
        <w:pStyle w:val="Normal1"/>
        <w:jc w:val="center"/>
        <w:rPr>
          <w:rFonts w:ascii="Arial" w:cs="Arial" w:hAnsi="Arial" w:eastAsia="Arial"/>
        </w:rPr>
      </w:pPr>
      <w:r>
        <w:rPr>
          <w:rFonts w:ascii="Arial" w:hAnsi="Arial"/>
          <w:rtl w:val="0"/>
          <w:lang w:val="en-US"/>
        </w:rPr>
        <w:t>(Source: Naylor et al., 2017)</w:t>
      </w:r>
    </w:p>
    <w:p>
      <w:pPr>
        <w:pStyle w:val="Normal1"/>
        <w:rPr>
          <w:rFonts w:ascii="Arial" w:cs="Arial" w:hAnsi="Arial" w:eastAsia="Arial"/>
        </w:rPr>
      </w:pPr>
      <w:r>
        <w:rPr>
          <w:rFonts w:ascii="Arial" w:hAnsi="Arial"/>
          <w:rtl w:val="0"/>
          <w:lang w:val="en-US"/>
        </w:rPr>
        <w:t>Following the core components of the TCM model, international healthcare organisations such as Alzheimer's Disease International (ADI) work with over 100 associations to offer early diagnosis and post-diagnosis support to dementia patients (ADI, 2026). This involves counselling, education and lifestyle adjustments, which deliberately support patient wellbeing by maintaining their physical and cognitive health, thereby lowering their frequent hospitalisation. Similarly, to reduce old dementia patients</w:t>
      </w:r>
      <w:r>
        <w:rPr>
          <w:rFonts w:ascii="Arial" w:hAnsi="Arial" w:hint="default"/>
          <w:rtl w:val="0"/>
          <w:lang w:val="en-US"/>
        </w:rPr>
        <w:t xml:space="preserve">’ </w:t>
      </w:r>
      <w:r>
        <w:rPr>
          <w:rFonts w:ascii="Arial" w:hAnsi="Arial"/>
          <w:rtl w:val="0"/>
          <w:lang w:val="en-US"/>
        </w:rPr>
        <w:t xml:space="preserve">hospital visits, NHS UK prioritises early detection of dementia through free health checks of individuals aged between 40 and 74 (NHS UK, 2024). This helps the association to enable timely treatment and prevent risk escalation. </w:t>
      </w:r>
    </w:p>
    <w:p>
      <w:pPr>
        <w:pStyle w:val="Normal1"/>
        <w:rPr>
          <w:rFonts w:ascii="Arial" w:cs="Arial" w:hAnsi="Arial" w:eastAsia="Arial"/>
        </w:rPr>
      </w:pPr>
      <w:r>
        <w:rPr>
          <w:rFonts w:ascii="Arial" w:hAnsi="Arial"/>
          <w:rtl w:val="0"/>
          <w:lang w:val="en-US"/>
        </w:rPr>
        <w:t xml:space="preserve">Moreover, for the continuation of dementia patients, worldwide health care associations such as the WHO recently partnered with Noora Health, a nonprofit organisation, to train caregivers to maintain a positive relationship with patients. For instance, Noora Health has trained over 30 million caregivers worldwide to make them eligible to offer person-centred care to dementia patients (WHO, 2025a). Therefore, the training allows caregivers to maintain accountable care to dementia through transparent reporting, regular check-ins and monitoring, which lowers rehospitalisation rates.  </w:t>
      </w:r>
    </w:p>
    <w:p>
      <w:pPr>
        <w:pStyle w:val="Normal1"/>
        <w:rPr>
          <w:rFonts w:ascii="Arial" w:cs="Arial" w:hAnsi="Arial" w:eastAsia="Arial"/>
        </w:rPr>
      </w:pPr>
      <w:r>
        <w:rPr>
          <w:rFonts w:ascii="Arial" w:hAnsi="Arial"/>
          <w:rtl w:val="0"/>
          <w:lang w:val="en-US"/>
        </w:rPr>
        <w:t xml:space="preserve">Despite the benefits of the TCM model, its wider integration is prevented by limited funding, as 25% countries are experiencing economic crises (UN News, 2025). Therefore, to address this issue, intensifying the usage of digital technology can help in optimising efficiency and ensuring the successful integration of the TCM model.             </w:t>
      </w:r>
    </w:p>
    <w:p>
      <w:pPr>
        <w:pStyle w:val="Heading"/>
        <w:rPr>
          <w:rFonts w:ascii="Arial" w:cs="Arial" w:hAnsi="Arial" w:eastAsia="Arial"/>
          <w:b w:val="0"/>
          <w:bCs w:val="0"/>
          <w:i w:val="1"/>
          <w:iCs w:val="1"/>
          <w:shd w:val="clear" w:color="auto" w:fill="d0e0e3"/>
        </w:rPr>
      </w:pPr>
      <w:bookmarkStart w:name="_Toc8" w:id="8"/>
      <w:bookmarkStart w:name="_nvn2i27sewj1" w:id="9"/>
      <w:bookmarkEnd w:id="9"/>
      <w:r>
        <w:rPr>
          <w:rFonts w:ascii="Arial" w:hAnsi="Arial"/>
          <w:rtl w:val="0"/>
        </w:rPr>
        <w:t>5</w:t>
      </w:r>
      <w:r>
        <w:rPr>
          <w:rFonts w:ascii="Arial" w:hAnsi="Arial"/>
          <w:rtl w:val="0"/>
          <w:lang w:val="en-US"/>
        </w:rPr>
        <w:t>. UK Policies and Strategic Frameworks</w:t>
      </w:r>
      <w:bookmarkEnd w:id="8"/>
    </w:p>
    <w:p>
      <w:pPr>
        <w:pStyle w:val="Normal1"/>
        <w:rPr>
          <w:rFonts w:ascii="Arial" w:cs="Arial" w:hAnsi="Arial" w:eastAsia="Arial"/>
          <w:b w:val="1"/>
          <w:bCs w:val="1"/>
          <w:i w:val="1"/>
          <w:iCs w:val="1"/>
        </w:rPr>
      </w:pPr>
      <w:r>
        <w:rPr>
          <w:rFonts w:ascii="Arial" w:hAnsi="Arial"/>
          <w:b w:val="1"/>
          <w:bCs w:val="1"/>
          <w:i w:val="1"/>
          <w:iCs w:val="1"/>
          <w:rtl w:val="0"/>
          <w:lang w:val="en-US"/>
        </w:rPr>
        <w:t xml:space="preserve">National Dementia Strategy </w:t>
      </w:r>
    </w:p>
    <w:p>
      <w:pPr>
        <w:pStyle w:val="Normal1"/>
        <w:rPr>
          <w:rFonts w:ascii="Arial" w:cs="Arial" w:hAnsi="Arial" w:eastAsia="Arial"/>
        </w:rPr>
      </w:pPr>
      <w:bookmarkStart w:name="_xw4wiibb2ow" w:id="10"/>
      <w:bookmarkEnd w:id="10"/>
      <w:r>
        <w:rPr>
          <w:rFonts w:ascii="Arial" w:hAnsi="Arial"/>
          <w:rtl w:val="0"/>
          <w:lang w:val="en-US"/>
        </w:rPr>
        <w:t>T</w:t>
      </w:r>
      <w:r>
        <w:rPr>
          <w:rFonts w:ascii="Arial" w:hAnsi="Arial"/>
          <w:rtl w:val="0"/>
          <w:lang w:val="en-US"/>
        </w:rPr>
        <w:t xml:space="preserve">he UK is followed by a five-year National Dementia Strategy of </w:t>
      </w:r>
      <w:r>
        <w:rPr>
          <w:rFonts w:ascii="Arial" w:hAnsi="Arial" w:hint="default"/>
          <w:rtl w:val="0"/>
          <w:lang w:val="en-US"/>
        </w:rPr>
        <w:t>‘</w:t>
      </w:r>
      <w:r>
        <w:rPr>
          <w:rFonts w:ascii="Arial" w:hAnsi="Arial"/>
          <w:rtl w:val="0"/>
          <w:lang w:val="en-US"/>
        </w:rPr>
        <w:t>Living Well with Dementia</w:t>
      </w:r>
      <w:r>
        <w:rPr>
          <w:rFonts w:ascii="Arial" w:hAnsi="Arial" w:hint="default"/>
          <w:rtl w:val="0"/>
          <w:lang w:val="en-US"/>
        </w:rPr>
        <w:t>’</w:t>
      </w:r>
      <w:r>
        <w:rPr>
          <w:rFonts w:ascii="Arial" w:hAnsi="Arial"/>
          <w:rtl w:val="0"/>
          <w:lang w:val="en-US"/>
        </w:rPr>
        <w:t>, established by the Department of Health to improve the social lives and health of people with dementia. This policy is built on three core steps of ensuring better understanding and awareness, early diagnosis to improve long-term outcomes, and a range of services as required (GOV.UK, 2026). It has 17 comprehensive objectives to improve the roadmap of dementia condition improvements. Below are the broad mentioned Objectives:</w:t>
      </w:r>
    </w:p>
    <w:p>
      <w:pPr>
        <w:pStyle w:val="Normal1"/>
        <w:numPr>
          <w:ilvl w:val="0"/>
          <w:numId w:val="12"/>
        </w:numPr>
        <w:bidi w:val="0"/>
        <w:ind w:right="0"/>
        <w:jc w:val="both"/>
        <w:rPr>
          <w:rFonts w:ascii="Arial" w:hAnsi="Arial"/>
          <w:rtl w:val="0"/>
          <w:lang w:val="en-US"/>
        </w:rPr>
      </w:pPr>
      <w:r>
        <w:rPr>
          <w:rFonts w:ascii="Arial" w:hAnsi="Arial"/>
          <w:rtl w:val="0"/>
          <w:lang w:val="en-US"/>
        </w:rPr>
        <w:t xml:space="preserve">It depicts the awareness that this long-term condition should be diagnosed at the earliest (objectives 1 and 4). </w:t>
      </w:r>
    </w:p>
    <w:p>
      <w:pPr>
        <w:pStyle w:val="Normal1"/>
        <w:numPr>
          <w:ilvl w:val="0"/>
          <w:numId w:val="12"/>
        </w:numPr>
        <w:bidi w:val="0"/>
        <w:ind w:right="0"/>
        <w:jc w:val="both"/>
        <w:rPr>
          <w:rFonts w:ascii="Arial" w:hAnsi="Arial"/>
          <w:rtl w:val="0"/>
          <w:lang w:val="en-US"/>
        </w:rPr>
      </w:pPr>
      <w:r>
        <w:rPr>
          <w:rFonts w:ascii="Arial" w:hAnsi="Arial"/>
          <w:rtl w:val="0"/>
          <w:lang w:val="en-US"/>
        </w:rPr>
        <w:t>Its objectives 5 and 6 prioritise flexible communication and peer support when affected with dementia for its early prevention.</w:t>
      </w:r>
    </w:p>
    <w:p>
      <w:pPr>
        <w:pStyle w:val="Normal1"/>
        <w:numPr>
          <w:ilvl w:val="0"/>
          <w:numId w:val="12"/>
        </w:numPr>
        <w:bidi w:val="0"/>
        <w:ind w:right="0"/>
        <w:jc w:val="both"/>
        <w:rPr>
          <w:rFonts w:ascii="Arial" w:hAnsi="Arial"/>
          <w:rtl w:val="0"/>
          <w:lang w:val="en-US"/>
        </w:rPr>
      </w:pPr>
      <w:r>
        <w:rPr>
          <w:rFonts w:ascii="Arial" w:hAnsi="Arial"/>
          <w:rtl w:val="0"/>
          <w:lang w:val="en-US"/>
        </w:rPr>
        <w:t xml:space="preserve"> Moreover, this strategy offers better care services and intermediary hospitals to support the dementia patients (Objective 8 and 9) (GOV.UK, 2026).</w:t>
      </w:r>
    </w:p>
    <w:p>
      <w:pPr>
        <w:pStyle w:val="Normal1"/>
        <w:rPr>
          <w:rFonts w:ascii="Arial" w:cs="Arial" w:hAnsi="Arial" w:eastAsia="Arial"/>
          <w:b w:val="1"/>
          <w:bCs w:val="1"/>
          <w:i w:val="1"/>
          <w:iCs w:val="1"/>
        </w:rPr>
      </w:pPr>
      <w:r>
        <w:rPr>
          <w:rFonts w:ascii="Arial" w:hAnsi="Arial"/>
          <w:b w:val="1"/>
          <w:bCs w:val="1"/>
          <w:i w:val="1"/>
          <w:iCs w:val="1"/>
          <w:rtl w:val="0"/>
          <w:lang w:val="en-US"/>
        </w:rPr>
        <w:t>Mental Capacity Act 2005</w:t>
      </w:r>
    </w:p>
    <w:p>
      <w:pPr>
        <w:pStyle w:val="Normal1"/>
        <w:rPr>
          <w:rFonts w:ascii="Arial" w:cs="Arial" w:hAnsi="Arial" w:eastAsia="Arial"/>
        </w:rPr>
      </w:pPr>
      <w:r>
        <w:rPr>
          <w:rFonts w:ascii="Arial" w:hAnsi="Arial"/>
          <w:rtl w:val="0"/>
          <w:lang w:val="en-US"/>
        </w:rPr>
        <w:t>Moreover, the UK designed the Mental Capacity Act 2005 to help people with dementia, mainly in London (Alzheimer</w:t>
      </w:r>
      <w:r>
        <w:rPr>
          <w:rFonts w:ascii="Arial" w:hAnsi="Arial" w:hint="default"/>
          <w:rtl w:val="0"/>
          <w:lang w:val="en-US"/>
        </w:rPr>
        <w:t>’</w:t>
      </w:r>
      <w:r>
        <w:rPr>
          <w:rFonts w:ascii="Arial" w:hAnsi="Arial"/>
          <w:rtl w:val="0"/>
          <w:lang w:val="en-US"/>
        </w:rPr>
        <w:t xml:space="preserve">s Society, 2026b). The key policies include: </w:t>
      </w:r>
    </w:p>
    <w:p>
      <w:pPr>
        <w:pStyle w:val="Normal1"/>
        <w:numPr>
          <w:ilvl w:val="0"/>
          <w:numId w:val="14"/>
        </w:numPr>
        <w:bidi w:val="0"/>
        <w:ind w:right="0"/>
        <w:jc w:val="both"/>
        <w:rPr>
          <w:rFonts w:ascii="Arial" w:hAnsi="Arial"/>
          <w:rtl w:val="0"/>
          <w:lang w:val="en-US"/>
        </w:rPr>
      </w:pPr>
      <w:r>
        <w:rPr>
          <w:rFonts w:ascii="Arial" w:hAnsi="Arial"/>
          <w:rtl w:val="0"/>
          <w:lang w:val="en-US"/>
        </w:rPr>
        <w:t>Advance decisions by pledging medical, planning for future care, and protesting against social injustice</w:t>
      </w:r>
    </w:p>
    <w:p>
      <w:pPr>
        <w:pStyle w:val="Normal1"/>
        <w:numPr>
          <w:ilvl w:val="0"/>
          <w:numId w:val="14"/>
        </w:numPr>
        <w:bidi w:val="0"/>
        <w:ind w:right="0"/>
        <w:jc w:val="both"/>
        <w:rPr>
          <w:rFonts w:ascii="Arial" w:hAnsi="Arial"/>
          <w:rtl w:val="0"/>
          <w:lang w:val="en-US"/>
        </w:rPr>
      </w:pPr>
      <w:r>
        <w:rPr>
          <w:rFonts w:ascii="Arial" w:hAnsi="Arial"/>
          <w:rtl w:val="0"/>
          <w:lang w:val="en-US"/>
        </w:rPr>
        <w:t>Planning ahead to safeguard the rights of people with dementia</w:t>
      </w:r>
    </w:p>
    <w:p>
      <w:pPr>
        <w:pStyle w:val="Normal1"/>
        <w:numPr>
          <w:ilvl w:val="0"/>
          <w:numId w:val="14"/>
        </w:numPr>
        <w:bidi w:val="0"/>
        <w:ind w:right="0"/>
        <w:jc w:val="both"/>
        <w:rPr>
          <w:rFonts w:ascii="Arial" w:hAnsi="Arial"/>
          <w:rtl w:val="0"/>
          <w:lang w:val="en-US"/>
        </w:rPr>
      </w:pPr>
      <w:r>
        <w:rPr>
          <w:rFonts w:ascii="Arial" w:hAnsi="Arial"/>
          <w:rtl w:val="0"/>
          <w:lang w:val="en-US"/>
        </w:rPr>
        <w:t xml:space="preserve">Lasting power of attorney to address the health and welfare of the dementia patients </w:t>
      </w:r>
    </w:p>
    <w:p>
      <w:pPr>
        <w:pStyle w:val="Normal1"/>
        <w:rPr>
          <w:rFonts w:ascii="Arial" w:cs="Arial" w:hAnsi="Arial" w:eastAsia="Arial"/>
        </w:rPr>
      </w:pPr>
      <w:r>
        <w:rPr>
          <w:rFonts w:ascii="Arial" w:hAnsi="Arial"/>
          <w:rtl w:val="0"/>
          <w:lang w:val="en-US"/>
        </w:rPr>
        <w:t>However, the patients often face criminal offences in terms of ill treatment and wilful negligence. To support the patients, MCA 2005 empowers and protects dementia patients in their everyday life, serving their best interests (Alzheimer's Society, 2026b).</w:t>
      </w:r>
    </w:p>
    <w:p>
      <w:pPr>
        <w:pStyle w:val="Normal1"/>
        <w:rPr>
          <w:rFonts w:ascii="Arial" w:cs="Arial" w:hAnsi="Arial" w:eastAsia="Arial"/>
        </w:rPr>
      </w:pPr>
      <w:r>
        <w:rPr>
          <w:rFonts w:ascii="Arial" w:hAnsi="Arial"/>
          <w:rtl w:val="0"/>
          <w:lang w:val="en-US"/>
        </w:rPr>
        <w:t>Thus, it can be said that the UK, with its 'Dementia UK 2025-2030 Strategy' and 'Living Well with Dementia' policies, strives to support people affected by dementia by emphasising early diagnosis and specialised care.</w:t>
      </w:r>
    </w:p>
    <w:p>
      <w:pPr>
        <w:pStyle w:val="Heading"/>
        <w:rPr>
          <w:rFonts w:ascii="Arial" w:cs="Arial" w:hAnsi="Arial" w:eastAsia="Arial"/>
          <w:i w:val="1"/>
          <w:iCs w:val="1"/>
          <w:shd w:val="clear" w:color="auto" w:fill="d0e0e3"/>
        </w:rPr>
      </w:pPr>
      <w:bookmarkStart w:name="_Toc9" w:id="11"/>
      <w:r>
        <w:rPr>
          <w:rFonts w:ascii="Arial" w:hAnsi="Arial"/>
          <w:rtl w:val="0"/>
        </w:rPr>
        <w:t>6. NHS</w:t>
      </w:r>
      <w:r>
        <w:rPr>
          <w:rFonts w:ascii="Arial" w:hAnsi="Arial" w:hint="default"/>
          <w:rtl w:val="0"/>
          <w:lang w:val="en-US"/>
        </w:rPr>
        <w:t>’</w:t>
      </w:r>
      <w:r>
        <w:rPr>
          <w:rFonts w:ascii="Arial" w:hAnsi="Arial"/>
          <w:rtl w:val="0"/>
          <w:lang w:val="en-US"/>
        </w:rPr>
        <w:t>s Suitable Evidence-Based Treatments</w:t>
      </w:r>
      <w:bookmarkEnd w:id="11"/>
    </w:p>
    <w:p>
      <w:pPr>
        <w:pStyle w:val="Normal1"/>
        <w:rPr>
          <w:rFonts w:ascii="Arial" w:cs="Arial" w:hAnsi="Arial" w:eastAsia="Arial"/>
        </w:rPr>
      </w:pPr>
      <w:r>
        <w:rPr>
          <w:rFonts w:ascii="Arial" w:hAnsi="Arial"/>
          <w:rtl w:val="0"/>
          <w:lang w:val="en-US"/>
        </w:rPr>
        <w:t xml:space="preserve">The NHS focuses on improving the health of people affected by dementia, with its pledge of personalised support care and early diagnosis to make the community a better place. For example, the jointly developed </w:t>
      </w:r>
      <w:r>
        <w:rPr>
          <w:rFonts w:ascii="Arial" w:hAnsi="Arial" w:hint="default"/>
          <w:rtl w:val="0"/>
          <w:lang w:val="en-US"/>
        </w:rPr>
        <w:t>‘</w:t>
      </w:r>
      <w:r>
        <w:rPr>
          <w:rFonts w:ascii="Arial" w:hAnsi="Arial"/>
          <w:rtl w:val="0"/>
          <w:lang w:val="en-US"/>
        </w:rPr>
        <w:t>Dementia Strategy 2023-28</w:t>
      </w:r>
      <w:r>
        <w:rPr>
          <w:rFonts w:ascii="Arial" w:hAnsi="Arial" w:hint="default"/>
          <w:rtl w:val="0"/>
          <w:lang w:val="en-US"/>
        </w:rPr>
        <w:t>’</w:t>
      </w:r>
      <w:r>
        <w:rPr>
          <w:rFonts w:ascii="Arial" w:hAnsi="Arial"/>
          <w:rtl w:val="0"/>
          <w:lang w:val="en-US"/>
        </w:rPr>
        <w:t>, primarily in the Birmingham and Solihull Integrated Care Board (ICB), outlines supporting the health and social care services for dementia patients (NHS, 2026b). It is committed to helping the patients in every stage of the dementia journey to prevent end-of-life care by prioritising:</w:t>
      </w:r>
    </w:p>
    <w:p>
      <w:pPr>
        <w:pStyle w:val="Normal1"/>
        <w:numPr>
          <w:ilvl w:val="0"/>
          <w:numId w:val="16"/>
        </w:numPr>
        <w:bidi w:val="0"/>
        <w:ind w:right="0"/>
        <w:jc w:val="both"/>
        <w:rPr>
          <w:rFonts w:ascii="Arial" w:hAnsi="Arial"/>
          <w:rtl w:val="0"/>
          <w:lang w:val="en-US"/>
        </w:rPr>
      </w:pPr>
      <w:r>
        <w:rPr>
          <w:rFonts w:ascii="Arial" w:hAnsi="Arial"/>
          <w:b w:val="1"/>
          <w:bCs w:val="1"/>
          <w:rtl w:val="0"/>
          <w:lang w:val="en-US"/>
        </w:rPr>
        <w:t xml:space="preserve">Preventing Well: </w:t>
      </w:r>
      <w:r>
        <w:rPr>
          <w:rFonts w:ascii="Arial" w:hAnsi="Arial"/>
          <w:rtl w:val="0"/>
          <w:lang w:val="en-US"/>
        </w:rPr>
        <w:t>Prevention and Early Intervention to spread awareness among people.</w:t>
      </w:r>
    </w:p>
    <w:p>
      <w:pPr>
        <w:pStyle w:val="Normal1"/>
        <w:numPr>
          <w:ilvl w:val="0"/>
          <w:numId w:val="16"/>
        </w:numPr>
        <w:bidi w:val="0"/>
        <w:ind w:right="0"/>
        <w:jc w:val="both"/>
        <w:rPr>
          <w:rFonts w:ascii="Arial" w:hAnsi="Arial"/>
          <w:rtl w:val="0"/>
          <w:lang w:val="en-US"/>
        </w:rPr>
      </w:pPr>
      <w:r>
        <w:rPr>
          <w:rFonts w:ascii="Arial" w:hAnsi="Arial"/>
          <w:b w:val="1"/>
          <w:bCs w:val="1"/>
          <w:rtl w:val="0"/>
          <w:lang w:val="en-US"/>
        </w:rPr>
        <w:t>Diagnosing Well:</w:t>
      </w:r>
      <w:r>
        <w:rPr>
          <w:rFonts w:ascii="Arial" w:hAnsi="Arial"/>
          <w:rtl w:val="0"/>
          <w:lang w:val="en-US"/>
        </w:rPr>
        <w:t xml:space="preserve"> Accurate Diagnosis to Mitigate Rising Threats</w:t>
      </w:r>
    </w:p>
    <w:p>
      <w:pPr>
        <w:pStyle w:val="Normal1"/>
        <w:numPr>
          <w:ilvl w:val="0"/>
          <w:numId w:val="16"/>
        </w:numPr>
        <w:bidi w:val="0"/>
        <w:ind w:right="0"/>
        <w:jc w:val="both"/>
        <w:rPr>
          <w:rFonts w:ascii="Arial" w:hAnsi="Arial"/>
          <w:rtl w:val="0"/>
          <w:lang w:val="en-US"/>
        </w:rPr>
      </w:pPr>
      <w:r>
        <w:rPr>
          <w:rFonts w:ascii="Arial" w:hAnsi="Arial"/>
          <w:b w:val="1"/>
          <w:bCs w:val="1"/>
          <w:rtl w:val="0"/>
          <w:lang w:val="en-US"/>
        </w:rPr>
        <w:t>Supporting Well:</w:t>
      </w:r>
      <w:r>
        <w:rPr>
          <w:rFonts w:ascii="Arial" w:hAnsi="Arial"/>
          <w:rtl w:val="0"/>
          <w:lang w:val="en-US"/>
        </w:rPr>
        <w:t xml:space="preserve"> Integrated Personalised Care to provide tailored services as required</w:t>
      </w:r>
    </w:p>
    <w:p>
      <w:pPr>
        <w:pStyle w:val="Normal1"/>
        <w:numPr>
          <w:ilvl w:val="0"/>
          <w:numId w:val="16"/>
        </w:numPr>
        <w:bidi w:val="0"/>
        <w:ind w:right="0"/>
        <w:jc w:val="both"/>
        <w:rPr>
          <w:rFonts w:ascii="Arial" w:hAnsi="Arial"/>
          <w:rtl w:val="0"/>
          <w:lang w:val="en-US"/>
        </w:rPr>
      </w:pPr>
      <w:r>
        <w:rPr>
          <w:rFonts w:ascii="Arial" w:hAnsi="Arial"/>
          <w:b w:val="1"/>
          <w:bCs w:val="1"/>
          <w:rtl w:val="0"/>
          <w:lang w:val="en-US"/>
        </w:rPr>
        <w:t xml:space="preserve">Living Well: </w:t>
      </w:r>
      <w:r>
        <w:rPr>
          <w:rFonts w:ascii="Arial" w:hAnsi="Arial"/>
          <w:rtl w:val="0"/>
          <w:lang w:val="en-US"/>
        </w:rPr>
        <w:t>Withstanding the community to prevent a crisis.</w:t>
      </w:r>
    </w:p>
    <w:p>
      <w:pPr>
        <w:pStyle w:val="Normal1"/>
        <w:rPr>
          <w:rFonts w:ascii="Arial" w:cs="Arial" w:hAnsi="Arial" w:eastAsia="Arial"/>
        </w:rPr>
      </w:pPr>
      <w:r>
        <w:rPr>
          <w:rFonts w:ascii="Arial" w:hAnsi="Arial"/>
          <w:rtl w:val="0"/>
          <w:lang w:val="en-US"/>
        </w:rPr>
        <w:t>With evidence from similar conditions to dementia, particularly hypertension and vascular dementia, the NHS provides suitable treatments to reduce the impact of dementia. For example, medications are used for behavioural and psychological symptoms, such as agitation, delusions, and anxiety. Alternative remedies, including cognitive rehabilitation and stimulation therapy, are used for improving communication, problem-solving ability, and memory loss (NHS.UK, 2026).</w:t>
      </w:r>
    </w:p>
    <w:p>
      <w:pPr>
        <w:pStyle w:val="Normal1"/>
        <w:rPr>
          <w:rFonts w:ascii="Arial" w:cs="Arial" w:hAnsi="Arial" w:eastAsia="Arial"/>
        </w:rPr>
      </w:pPr>
      <w:r>
        <w:rPr>
          <w:rFonts w:ascii="Arial" w:hAnsi="Arial"/>
          <w:rtl w:val="0"/>
          <w:lang w:val="en-US"/>
        </w:rPr>
        <w:t>Thus, it can be said that it strives to foster a healthy community and support the dementia patients by offering them social and health care services to recover from dementia.</w:t>
      </w:r>
    </w:p>
    <w:p>
      <w:pPr>
        <w:pStyle w:val="Heading"/>
        <w:rPr>
          <w:rFonts w:ascii="Arial" w:cs="Arial" w:hAnsi="Arial" w:eastAsia="Arial"/>
          <w:b w:val="0"/>
          <w:bCs w:val="0"/>
          <w:shd w:val="clear" w:color="auto" w:fill="d0e0e3"/>
        </w:rPr>
      </w:pPr>
      <w:bookmarkStart w:name="_Toc10" w:id="12"/>
      <w:bookmarkStart w:name="_ofgwhoiqpw2u" w:id="13"/>
      <w:bookmarkEnd w:id="13"/>
      <w:r>
        <w:rPr>
          <w:rFonts w:ascii="Arial" w:hAnsi="Arial"/>
          <w:rtl w:val="0"/>
        </w:rPr>
        <w:t>7</w:t>
      </w:r>
      <w:r>
        <w:rPr>
          <w:rFonts w:ascii="Arial" w:hAnsi="Arial"/>
          <w:rtl w:val="0"/>
          <w:lang w:val="en-US"/>
        </w:rPr>
        <w:t>. Personalised Care in Dementia</w:t>
      </w:r>
      <w:bookmarkEnd w:id="12"/>
    </w:p>
    <w:p>
      <w:pPr>
        <w:pStyle w:val="Normal1"/>
        <w:rPr>
          <w:rFonts w:ascii="Arial" w:cs="Arial" w:hAnsi="Arial" w:eastAsia="Arial"/>
        </w:rPr>
      </w:pPr>
      <w:r>
        <w:rPr>
          <w:rFonts w:ascii="Arial" w:hAnsi="Arial"/>
          <w:rtl w:val="0"/>
          <w:lang w:val="en-US"/>
        </w:rPr>
        <w:t>Personalised care for dementia involves maintaining the well-being and supportive aids of people affected by dementia. Personalised care and support planning are pivotal for NHS England due to its commitment to providing dementia treatments and post-diagnosis services. The core objectives of developing effective personalised care for dementia are to address communication challenges, pledging support to under-privileged populations (NIHR, 2026). Below are two of the most well-known caregivers for dementia patients in the UK, who pledge support amidst a serious crisis:</w:t>
      </w:r>
    </w:p>
    <w:p>
      <w:pPr>
        <w:pStyle w:val="Normal1"/>
        <w:rPr>
          <w:rFonts w:ascii="Arial" w:cs="Arial" w:hAnsi="Arial" w:eastAsia="Arial"/>
          <w:b w:val="1"/>
          <w:bCs w:val="1"/>
          <w:i w:val="1"/>
          <w:iCs w:val="1"/>
        </w:rPr>
      </w:pPr>
      <w:r>
        <w:rPr>
          <w:rFonts w:ascii="Arial" w:hAnsi="Arial"/>
          <w:b w:val="1"/>
          <w:bCs w:val="1"/>
          <w:i w:val="1"/>
          <w:iCs w:val="1"/>
          <w:rtl w:val="0"/>
          <w:lang w:val="en-US"/>
        </w:rPr>
        <w:t>Dementia UK</w:t>
      </w:r>
    </w:p>
    <w:p>
      <w:pPr>
        <w:pStyle w:val="Normal1"/>
        <w:rPr>
          <w:rFonts w:ascii="Arial" w:cs="Arial" w:hAnsi="Arial" w:eastAsia="Arial"/>
        </w:rPr>
      </w:pPr>
      <w:r>
        <w:rPr>
          <w:rFonts w:ascii="Arial" w:hAnsi="Arial"/>
          <w:rtl w:val="0"/>
          <w:lang w:val="en-US"/>
        </w:rPr>
        <w:t>Dementia UK Admiral Nurses work as supportive caregivers for people in the UK. They support families of dementia patients as required, both in terms of specialist advice and free treatment for the best life possible (Dementia UK, 2026). Their nurses provide tailored services for all conditions of dementia, such as:</w:t>
      </w:r>
    </w:p>
    <w:p>
      <w:pPr>
        <w:pStyle w:val="Normal1"/>
        <w:numPr>
          <w:ilvl w:val="0"/>
          <w:numId w:val="18"/>
        </w:numPr>
        <w:bidi w:val="0"/>
        <w:ind w:right="0"/>
        <w:jc w:val="both"/>
        <w:rPr>
          <w:rFonts w:ascii="Arial" w:hAnsi="Arial"/>
          <w:rtl w:val="0"/>
          <w:lang w:val="en-US"/>
        </w:rPr>
      </w:pPr>
      <w:r>
        <w:rPr>
          <w:rFonts w:ascii="Arial" w:hAnsi="Arial"/>
          <w:rtl w:val="0"/>
          <w:lang w:val="en-US"/>
        </w:rPr>
        <w:t>Community helpline</w:t>
      </w:r>
    </w:p>
    <w:p>
      <w:pPr>
        <w:pStyle w:val="Normal1"/>
        <w:numPr>
          <w:ilvl w:val="0"/>
          <w:numId w:val="18"/>
        </w:numPr>
        <w:bidi w:val="0"/>
        <w:ind w:right="0"/>
        <w:jc w:val="both"/>
        <w:rPr>
          <w:rFonts w:ascii="Arial" w:hAnsi="Arial"/>
          <w:rtl w:val="0"/>
          <w:lang w:val="en-US"/>
        </w:rPr>
      </w:pPr>
      <w:r>
        <w:rPr>
          <w:rFonts w:ascii="Arial" w:hAnsi="Arial"/>
          <w:rtl w:val="0"/>
          <w:lang w:val="en-US"/>
        </w:rPr>
        <w:t>Supporting Care home transitions</w:t>
      </w:r>
    </w:p>
    <w:p>
      <w:pPr>
        <w:pStyle w:val="Normal1"/>
        <w:numPr>
          <w:ilvl w:val="0"/>
          <w:numId w:val="18"/>
        </w:numPr>
        <w:bidi w:val="0"/>
        <w:ind w:right="0"/>
        <w:jc w:val="both"/>
        <w:rPr>
          <w:rFonts w:ascii="Arial" w:hAnsi="Arial"/>
          <w:rtl w:val="0"/>
          <w:lang w:val="en-US"/>
        </w:rPr>
      </w:pPr>
      <w:r>
        <w:rPr>
          <w:rFonts w:ascii="Arial" w:hAnsi="Arial"/>
          <w:rtl w:val="0"/>
          <w:lang w:val="en-US"/>
        </w:rPr>
        <w:t>One-to-one advice with face-to-face, telephone and emails</w:t>
      </w:r>
    </w:p>
    <w:p>
      <w:pPr>
        <w:pStyle w:val="Normal1"/>
        <w:numPr>
          <w:ilvl w:val="0"/>
          <w:numId w:val="18"/>
        </w:numPr>
        <w:bidi w:val="0"/>
        <w:ind w:right="0"/>
        <w:jc w:val="both"/>
        <w:rPr>
          <w:rFonts w:ascii="Arial" w:hAnsi="Arial"/>
          <w:rtl w:val="0"/>
          <w:lang w:val="en-US"/>
        </w:rPr>
      </w:pPr>
      <w:r>
        <w:rPr>
          <w:rFonts w:ascii="Arial" w:hAnsi="Arial"/>
          <w:rtl w:val="0"/>
          <w:lang w:val="en-US"/>
        </w:rPr>
        <w:t>Hospice and Admiral Nurse clinics</w:t>
      </w:r>
    </w:p>
    <w:p>
      <w:pPr>
        <w:pStyle w:val="Normal1"/>
        <w:rPr>
          <w:rFonts w:ascii="Arial" w:cs="Arial" w:hAnsi="Arial" w:eastAsia="Arial"/>
          <w:b w:val="1"/>
          <w:bCs w:val="1"/>
          <w:i w:val="1"/>
          <w:iCs w:val="1"/>
        </w:rPr>
      </w:pPr>
      <w:r>
        <w:rPr>
          <w:rFonts w:ascii="Arial" w:hAnsi="Arial"/>
          <w:b w:val="1"/>
          <w:bCs w:val="1"/>
          <w:i w:val="1"/>
          <w:iCs w:val="1"/>
          <w:rtl w:val="0"/>
          <w:lang w:val="en-US"/>
        </w:rPr>
        <w:t>Age UK</w:t>
      </w:r>
    </w:p>
    <w:p>
      <w:pPr>
        <w:pStyle w:val="Normal1"/>
        <w:rPr>
          <w:rFonts w:ascii="Arial" w:cs="Arial" w:hAnsi="Arial" w:eastAsia="Arial"/>
        </w:rPr>
      </w:pPr>
      <w:r>
        <w:rPr>
          <w:rFonts w:ascii="Arial" w:hAnsi="Arial"/>
          <w:rtl w:val="0"/>
          <w:lang w:val="en-US"/>
        </w:rPr>
        <w:t>The Age UK caregivers support, which helps people with dementia by offering local companionship and financial support, in terms of free treatment aids, supportive group activities (Age UK, 2026). It provides care and assessment support for:</w:t>
      </w:r>
    </w:p>
    <w:p>
      <w:pPr>
        <w:pStyle w:val="Normal1"/>
        <w:numPr>
          <w:ilvl w:val="0"/>
          <w:numId w:val="20"/>
        </w:numPr>
        <w:bidi w:val="0"/>
        <w:ind w:right="0"/>
        <w:jc w:val="both"/>
        <w:rPr>
          <w:rFonts w:ascii="Arial" w:hAnsi="Arial"/>
          <w:rtl w:val="0"/>
          <w:lang w:val="en-US"/>
        </w:rPr>
      </w:pPr>
      <w:r>
        <w:rPr>
          <w:rFonts w:ascii="Arial" w:hAnsi="Arial"/>
          <w:b w:val="1"/>
          <w:bCs w:val="1"/>
          <w:rtl w:val="0"/>
          <w:lang w:val="en-US"/>
        </w:rPr>
        <w:t>Financial Assessment:</w:t>
      </w:r>
      <w:r>
        <w:rPr>
          <w:rFonts w:ascii="Arial" w:hAnsi="Arial"/>
          <w:rtl w:val="0"/>
          <w:lang w:val="en-US"/>
        </w:rPr>
        <w:t xml:space="preserve"> It arranges financial support with the support of local councils to cover the medical and home care costs of the dementia patients (Age UK, 2026).</w:t>
      </w:r>
    </w:p>
    <w:p>
      <w:pPr>
        <w:pStyle w:val="Normal1"/>
        <w:numPr>
          <w:ilvl w:val="0"/>
          <w:numId w:val="20"/>
        </w:numPr>
        <w:bidi w:val="0"/>
        <w:ind w:right="0"/>
        <w:jc w:val="both"/>
        <w:rPr>
          <w:rFonts w:ascii="Arial" w:hAnsi="Arial"/>
          <w:b w:val="1"/>
          <w:bCs w:val="1"/>
          <w:rtl w:val="0"/>
          <w:lang w:val="en-US"/>
        </w:rPr>
      </w:pPr>
      <w:r>
        <w:rPr>
          <w:rFonts w:ascii="Arial" w:hAnsi="Arial"/>
          <w:b w:val="1"/>
          <w:bCs w:val="1"/>
          <w:rtl w:val="0"/>
          <w:lang w:val="en-US"/>
        </w:rPr>
        <w:t xml:space="preserve">NHS Healthcare: </w:t>
      </w:r>
      <w:r>
        <w:rPr>
          <w:rFonts w:ascii="Arial" w:hAnsi="Arial"/>
          <w:b w:val="0"/>
          <w:bCs w:val="0"/>
          <w:rtl w:val="0"/>
          <w:lang w:val="en-US"/>
        </w:rPr>
        <w:t xml:space="preserve">In addition to its local support, the NHS provides assistance for dementia affected individuals and their ongoing health condition (Age UK, 2026).  </w:t>
      </w:r>
    </w:p>
    <w:p>
      <w:pPr>
        <w:pStyle w:val="Normal1"/>
        <w:rPr>
          <w:rFonts w:ascii="Arial" w:cs="Arial" w:hAnsi="Arial" w:eastAsia="Arial"/>
          <w:b w:val="1"/>
          <w:bCs w:val="1"/>
        </w:rPr>
      </w:pPr>
      <w:r>
        <w:rPr>
          <w:rFonts w:ascii="Arial" w:hAnsi="Arial"/>
          <w:rtl w:val="0"/>
          <w:lang w:val="en-US"/>
        </w:rPr>
        <w:t>Additionally, UK healthcare organisations promote management and community support as personalised care options to encourage both patients and caregivers across the UK.</w:t>
      </w:r>
    </w:p>
    <w:p>
      <w:pPr>
        <w:pStyle w:val="Heading"/>
        <w:rPr>
          <w:rFonts w:ascii="Arial" w:cs="Arial" w:hAnsi="Arial" w:eastAsia="Arial"/>
          <w:b w:val="0"/>
          <w:bCs w:val="0"/>
        </w:rPr>
      </w:pPr>
      <w:bookmarkStart w:name="_Toc11" w:id="14"/>
      <w:bookmarkStart w:name="_osmibzugd19e" w:id="15"/>
      <w:bookmarkEnd w:id="15"/>
      <w:r>
        <w:rPr>
          <w:rFonts w:ascii="Arial" w:hAnsi="Arial"/>
          <w:rtl w:val="0"/>
        </w:rPr>
        <w:t>8</w:t>
      </w:r>
      <w:r>
        <w:rPr>
          <w:rFonts w:ascii="Arial" w:hAnsi="Arial"/>
          <w:rtl w:val="0"/>
          <w:lang w:val="en-US"/>
        </w:rPr>
        <w:t>. Future Directions and Potential Solutions</w:t>
      </w:r>
      <w:bookmarkEnd w:id="14"/>
    </w:p>
    <w:p>
      <w:pPr>
        <w:pStyle w:val="Normal1"/>
        <w:rPr>
          <w:rFonts w:ascii="Arial" w:cs="Arial" w:hAnsi="Arial" w:eastAsia="Arial"/>
        </w:rPr>
      </w:pPr>
      <w:r>
        <w:rPr>
          <w:rFonts w:ascii="Arial" w:hAnsi="Arial"/>
          <w:rtl w:val="0"/>
          <w:lang w:val="en-US"/>
        </w:rPr>
        <w:t>Considering the increasing prevalence and burden of dementia, worldwide healthcare organisations require actionable strategic suggestions to improve the care.</w:t>
      </w:r>
    </w:p>
    <w:p>
      <w:pPr>
        <w:pStyle w:val="Normal1"/>
        <w:rPr>
          <w:rFonts w:ascii="Arial" w:cs="Arial" w:hAnsi="Arial" w:eastAsia="Arial"/>
          <w:b w:val="1"/>
          <w:bCs w:val="1"/>
          <w:i w:val="1"/>
          <w:iCs w:val="1"/>
        </w:rPr>
      </w:pPr>
      <w:r>
        <w:rPr>
          <w:rFonts w:ascii="Arial" w:hAnsi="Arial"/>
          <w:b w:val="1"/>
          <w:bCs w:val="1"/>
          <w:i w:val="1"/>
          <w:iCs w:val="1"/>
          <w:rtl w:val="0"/>
          <w:lang w:val="en-US"/>
        </w:rPr>
        <w:t>Strengthen early diagnosis and Preventive interventions.</w:t>
      </w:r>
    </w:p>
    <w:p>
      <w:pPr>
        <w:pStyle w:val="Normal1"/>
        <w:rPr>
          <w:rFonts w:ascii="Arial" w:cs="Arial" w:hAnsi="Arial" w:eastAsia="Arial"/>
        </w:rPr>
      </w:pPr>
      <w:r>
        <w:rPr>
          <w:rFonts w:ascii="Arial" w:hAnsi="Arial"/>
          <w:rtl w:val="0"/>
          <w:lang w:val="en-US"/>
        </w:rPr>
        <w:t xml:space="preserve">Global healthcare organisations should learn to identify and prevent dementia at early stages. To do so, they need to expand their routine community screening programmes, conduct digital cognitive assessment and offer GP training, which will help in reducing progression of the disease (Fowler et al., 2025). </w:t>
      </w:r>
    </w:p>
    <w:p>
      <w:pPr>
        <w:pStyle w:val="Normal1"/>
        <w:rPr>
          <w:rFonts w:ascii="Arial" w:cs="Arial" w:hAnsi="Arial" w:eastAsia="Arial"/>
        </w:rPr>
      </w:pPr>
      <w:r>
        <w:rPr>
          <w:rFonts w:ascii="Arial" w:hAnsi="Arial"/>
          <w:rtl w:val="0"/>
          <w:lang w:val="en-US"/>
        </w:rPr>
        <w:t>Although implementation of these initiatives could be uneven in underserved areas, it can be addressed through comprehensive awareness campaigns that will bridge the education gap and promote wellness to ensure effective integration (Rehman Aslam, 2025).</w:t>
      </w:r>
    </w:p>
    <w:p>
      <w:pPr>
        <w:pStyle w:val="Normal1"/>
        <w:rPr>
          <w:rFonts w:ascii="Arial" w:cs="Arial" w:hAnsi="Arial" w:eastAsia="Arial"/>
          <w:b w:val="1"/>
          <w:bCs w:val="1"/>
          <w:i w:val="1"/>
          <w:iCs w:val="1"/>
        </w:rPr>
      </w:pPr>
      <w:r>
        <w:rPr>
          <w:rFonts w:ascii="Arial" w:hAnsi="Arial"/>
          <w:b w:val="1"/>
          <w:bCs w:val="1"/>
          <w:i w:val="1"/>
          <w:iCs w:val="1"/>
          <w:rtl w:val="0"/>
          <w:lang w:val="en-US"/>
        </w:rPr>
        <w:t>Expanding Workforce support</w:t>
      </w:r>
    </w:p>
    <w:p>
      <w:pPr>
        <w:pStyle w:val="Normal1"/>
        <w:rPr>
          <w:rFonts w:ascii="Arial" w:cs="Arial" w:hAnsi="Arial" w:eastAsia="Arial"/>
        </w:rPr>
      </w:pPr>
      <w:r>
        <w:rPr>
          <w:rFonts w:ascii="Arial" w:hAnsi="Arial"/>
          <w:rtl w:val="0"/>
          <w:lang w:val="en-US"/>
        </w:rPr>
        <w:t>Considering the shortage of skilled caregivers, health organisations all over the world should increasingly hire nurses who are specialists in dementia care and consistently educate them under routine upskilling programmes. This will ensure consistent care to dementia patients through a skilled workforce that will further improve their health outcomes (Hung, 2022).</w:t>
      </w:r>
    </w:p>
    <w:p>
      <w:pPr>
        <w:pStyle w:val="Normal1"/>
        <w:rPr>
          <w:rFonts w:ascii="Arial" w:cs="Arial" w:hAnsi="Arial" w:eastAsia="Arial"/>
        </w:rPr>
      </w:pPr>
      <w:r>
        <w:rPr>
          <w:rFonts w:ascii="Arial" w:hAnsi="Arial"/>
          <w:rtl w:val="0"/>
          <w:lang w:val="en-US"/>
        </w:rPr>
        <w:t>However, organisations can encounter a lack of adequate funding for successfully implementing this suggestion, which can be addressed through diversifying revenue streams by pursuing further strategic partnerships.</w:t>
      </w:r>
    </w:p>
    <w:p>
      <w:pPr>
        <w:pStyle w:val="Normal1"/>
        <w:rPr>
          <w:rFonts w:ascii="Arial" w:cs="Arial" w:hAnsi="Arial" w:eastAsia="Arial"/>
        </w:rPr>
      </w:pPr>
      <w:r>
        <w:rPr>
          <w:rFonts w:ascii="Arial" w:hAnsi="Arial"/>
          <w:rtl w:val="0"/>
          <w:lang w:val="en-US"/>
        </w:rPr>
        <w:t>Overall, these two suggestions can assist healthcare associations in coping with the increasing prevalence of dementia worldwide.</w:t>
      </w:r>
    </w:p>
    <w:p>
      <w:pPr>
        <w:pStyle w:val="Heading"/>
        <w:rPr>
          <w:rFonts w:ascii="Arial" w:cs="Arial" w:hAnsi="Arial" w:eastAsia="Arial"/>
          <w:b w:val="0"/>
          <w:bCs w:val="0"/>
        </w:rPr>
      </w:pPr>
      <w:bookmarkStart w:name="_Toc12" w:id="16"/>
      <w:bookmarkStart w:name="_m8wor14994b2" w:id="17"/>
      <w:bookmarkEnd w:id="17"/>
      <w:r>
        <w:rPr>
          <w:rFonts w:ascii="Arial" w:hAnsi="Arial"/>
          <w:rtl w:val="0"/>
        </w:rPr>
        <w:t>9</w:t>
      </w:r>
      <w:r>
        <w:rPr>
          <w:rFonts w:ascii="Arial" w:hAnsi="Arial"/>
          <w:rtl w:val="0"/>
          <w:lang w:val="it-IT"/>
        </w:rPr>
        <w:t>. Conclusion</w:t>
      </w:r>
      <w:bookmarkEnd w:id="16"/>
    </w:p>
    <w:p>
      <w:pPr>
        <w:pStyle w:val="Normal1"/>
        <w:rPr>
          <w:rFonts w:ascii="Arial" w:cs="Arial" w:hAnsi="Arial" w:eastAsia="Arial"/>
          <w:b w:val="1"/>
          <w:bCs w:val="1"/>
        </w:rPr>
      </w:pPr>
      <w:bookmarkStart w:name="_li9tc7ydw" w:id="18"/>
      <w:bookmarkEnd w:id="18"/>
      <w:r>
        <w:rPr>
          <w:rFonts w:ascii="Arial" w:hAnsi="Arial"/>
          <w:rtl w:val="0"/>
          <w:lang w:val="en-US"/>
        </w:rPr>
        <w:t>S</w:t>
      </w:r>
      <w:r>
        <w:rPr>
          <w:rFonts w:ascii="Arial" w:hAnsi="Arial"/>
          <w:rtl w:val="0"/>
          <w:lang w:val="en-US"/>
        </w:rPr>
        <w:t xml:space="preserve">ummarising the widespread effect of dementia, it can be witnessed that mainly elderly people and females are affected by dementia. From the evaluation of dementia's long-term impact, it is seen that it brings significant changes to the physical, psychological and social lives of people. Moreover, it is enumerated how dementia affects the individuals and their families in the UK, regardless of gender, age and equality disparities. </w:t>
      </w:r>
      <w:r>
        <w:rPr>
          <w:rFonts w:ascii="Arial" w:hAnsi="Arial"/>
          <w:outline w:val="0"/>
          <w:color w:val="000000"/>
          <w:u w:color="000000"/>
          <w:rtl w:val="0"/>
          <w:lang w:val="en-US"/>
          <w14:textFill>
            <w14:solidFill>
              <w14:srgbClr w14:val="000000"/>
            </w14:solidFill>
          </w14:textFill>
        </w:rPr>
        <w:t>To address the increasing prevalence, the healthcare clinics should strengthen their early diagnosis and prevention, combined with hiring specialised nurses, which will enhance the overall care.</w:t>
      </w:r>
    </w:p>
    <w:p>
      <w:pPr>
        <w:pStyle w:val="Body"/>
        <w:rPr>
          <w:b w:val="1"/>
          <w:bCs w:val="1"/>
        </w:rPr>
        <w:sectPr>
          <w:type w:val="continuous"/>
          <w:pgSz w:w="12240" w:h="15840" w:orient="portrait"/>
          <w:pgMar w:top="1440" w:right="1440" w:bottom="1440" w:left="1440" w:header="720" w:footer="720"/>
          <w:pgNumType w:start="1"/>
          <w:cols w:space="720" w:num="2" w:equalWidth="1"/>
          <w:bidi w:val="0"/>
        </w:sectPr>
      </w:pPr>
      <w:r>
        <w:rPr>
          <w:b w:val="1"/>
          <w:bCs w:val="1"/>
        </w:rPr>
      </w:r>
    </w:p>
    <w:p>
      <w:pPr>
        <w:pStyle w:val="Body"/>
        <w:rPr>
          <w:b w:val="1"/>
          <w:bCs w:val="1"/>
        </w:rPr>
        <w:sectPr>
          <w:type w:val="continuous"/>
          <w:pgSz w:w="12240" w:h="15840" w:orient="portrait"/>
          <w:pgMar w:top="1440" w:right="1440" w:bottom="1440" w:left="1440" w:header="720" w:footer="720"/>
          <w:pgNumType w:start="1"/>
          <w:bidi w:val="0"/>
        </w:sectPr>
      </w:pPr>
      <w:r>
        <w:rPr>
          <w:b w:val="1"/>
          <w:bCs w:val="1"/>
        </w:rPr>
      </w:r>
    </w:p>
    <w:p>
      <w:pPr>
        <w:pStyle w:val="Body"/>
      </w:pPr>
      <w:r>
        <w:rPr>
          <w:rFonts w:ascii="Arial Unicode MS" w:cs="Arial Unicode MS" w:hAnsi="Arial Unicode MS" w:eastAsia="Arial Unicode MS"/>
          <w:b w:val="0"/>
          <w:bCs w:val="0"/>
          <w:i w:val="0"/>
          <w:iCs w:val="0"/>
        </w:rPr>
        <w:br w:type="page"/>
      </w:r>
    </w:p>
    <w:p>
      <w:pPr>
        <w:pStyle w:val="Heading"/>
        <w:rPr>
          <w:rFonts w:ascii="Arial" w:cs="Arial" w:hAnsi="Arial" w:eastAsia="Arial"/>
        </w:rPr>
      </w:pPr>
      <w:bookmarkStart w:name="_Toc13" w:id="19"/>
      <w:r>
        <w:rPr>
          <w:rFonts w:ascii="Arial" w:hAnsi="Arial"/>
          <w:rtl w:val="0"/>
          <w:lang w:val="fr-FR"/>
        </w:rPr>
        <w:t>References</w:t>
      </w:r>
      <w:bookmarkEnd w:id="19"/>
    </w:p>
    <w:p>
      <w:pPr>
        <w:pStyle w:val="Normal1"/>
        <w:rPr>
          <w:rStyle w:val="None"/>
          <w:rFonts w:ascii="Arial" w:cs="Arial" w:hAnsi="Arial" w:eastAsia="Arial"/>
        </w:rPr>
      </w:pPr>
      <w:r>
        <w:rPr>
          <w:rFonts w:ascii="Arial" w:hAnsi="Arial"/>
          <w:rtl w:val="0"/>
          <w:lang w:val="en-US"/>
        </w:rPr>
        <w:t xml:space="preserve">ADI, (2026). </w:t>
      </w:r>
      <w:r>
        <w:rPr>
          <w:rFonts w:ascii="Arial" w:hAnsi="Arial"/>
          <w:i w:val="1"/>
          <w:iCs w:val="1"/>
          <w:rtl w:val="0"/>
          <w:lang w:val="en-US"/>
        </w:rPr>
        <w:t>About Us</w:t>
      </w:r>
      <w:r>
        <w:rPr>
          <w:rFonts w:ascii="Arial" w:hAnsi="Arial"/>
          <w:rtl w:val="0"/>
          <w:lang w:val="en-US"/>
        </w:rPr>
        <w:t xml:space="preserve">. Available at: </w:t>
      </w:r>
      <w:r>
        <w:rPr>
          <w:rStyle w:val="Hyperlink.0"/>
        </w:rPr>
        <w:fldChar w:fldCharType="begin" w:fldLock="0"/>
      </w:r>
      <w:r>
        <w:rPr>
          <w:rStyle w:val="Hyperlink.0"/>
        </w:rPr>
        <w:instrText xml:space="preserve"> HYPERLINK "https://www.alzint.org/about-us/#:~:text=Alzheimer's%2520Disease%2520International%2520(ADI)%2520is,organisation%2520registered%2520in%2520the%2520USA"</w:instrText>
      </w:r>
      <w:r>
        <w:rPr>
          <w:rStyle w:val="Hyperlink.0"/>
        </w:rPr>
        <w:fldChar w:fldCharType="separate" w:fldLock="0"/>
      </w:r>
      <w:r>
        <w:rPr>
          <w:rStyle w:val="Hyperlink.0"/>
          <w:rtl w:val="0"/>
        </w:rPr>
        <w:t>https://www.alzint.org/about-us/#:~:text=Alzheimer's%20Disease%20International%20(ADI)%20is,organisation%20registered%20in%20the%20USA</w:t>
      </w:r>
      <w:r>
        <w:rPr/>
        <w:fldChar w:fldCharType="end" w:fldLock="0"/>
      </w:r>
      <w:r>
        <w:rPr>
          <w:rStyle w:val="None"/>
          <w:rFonts w:ascii="Arial" w:hAnsi="Arial"/>
          <w:rtl w:val="0"/>
          <w:lang w:val="en-US"/>
        </w:rPr>
        <w:t>. (Accessed: 8 March 2026).</w:t>
      </w:r>
    </w:p>
    <w:p>
      <w:pPr>
        <w:pStyle w:val="Normal1"/>
        <w:rPr>
          <w:rStyle w:val="None"/>
          <w:rFonts w:ascii="Arial" w:cs="Arial" w:hAnsi="Arial" w:eastAsia="Arial"/>
        </w:rPr>
      </w:pPr>
      <w:r>
        <w:rPr>
          <w:rStyle w:val="None"/>
          <w:rFonts w:ascii="Arial" w:hAnsi="Arial"/>
          <w:rtl w:val="0"/>
          <w:lang w:val="en-US"/>
        </w:rPr>
        <w:t xml:space="preserve">Age UK, (2026) </w:t>
      </w:r>
      <w:r>
        <w:rPr>
          <w:rStyle w:val="None"/>
          <w:rFonts w:ascii="Arial" w:hAnsi="Arial"/>
          <w:i w:val="1"/>
          <w:iCs w:val="1"/>
          <w:rtl w:val="0"/>
          <w:lang w:val="en-US"/>
        </w:rPr>
        <w:t>Caring for someone with dementia.</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"https://www.ageuk.org.uk/information-advice/care/helping-a-loved-one/caring-dementia/"</w:instrText>
      </w:r>
      <w:r>
        <w:rPr>
          <w:rStyle w:val="Hyperlink.0"/>
        </w:rPr>
        <w:fldChar w:fldCharType="separate" w:fldLock="0"/>
      </w:r>
      <w:r>
        <w:rPr>
          <w:rStyle w:val="Hyperlink.0"/>
          <w:rtl w:val="0"/>
        </w:rPr>
        <w:t>https://www.ageuk.org.uk/information-advice/care/helping-a-loved-one/caring-dementia/</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Alzaben, M., B., L., and Shawaqfeh, B., S., M. (2024) The Psychological Symptoms and Their Relationship to the Quality of Life Among Dementia Patients Caregivers. </w:t>
      </w:r>
      <w:r>
        <w:rPr>
          <w:rStyle w:val="Hyperlink.0"/>
        </w:rPr>
        <w:fldChar w:fldCharType="begin" w:fldLock="0"/>
      </w:r>
      <w:r>
        <w:rPr>
          <w:rStyle w:val="Hyperlink.0"/>
        </w:rPr>
        <w:instrText xml:space="preserve"> HYPERLINK "https://doi.org/10.1177/15333175241248056"</w:instrText>
      </w:r>
      <w:r>
        <w:rPr>
          <w:rStyle w:val="Hyperlink.0"/>
        </w:rPr>
        <w:fldChar w:fldCharType="separate" w:fldLock="0"/>
      </w:r>
      <w:r>
        <w:rPr>
          <w:rStyle w:val="Hyperlink.0"/>
          <w:rtl w:val="0"/>
        </w:rPr>
        <w:t>https://doi.org/10.1177/15333175241248056</w:t>
      </w:r>
      <w:r>
        <w:rPr/>
        <w:fldChar w:fldCharType="end" w:fldLock="0"/>
      </w:r>
      <w:r>
        <w:rPr>
          <w:rStyle w:val="None"/>
          <w:rFonts w:ascii="Arial" w:hAnsi="Arial"/>
          <w:rtl w:val="0"/>
          <w:lang w:val="en-US"/>
        </w:rPr>
        <w:t xml:space="preserve">  (Accessed: 8 March 2026). </w:t>
      </w:r>
    </w:p>
    <w:p>
      <w:pPr>
        <w:pStyle w:val="Normal1"/>
        <w:rPr>
          <w:rStyle w:val="None"/>
          <w:rFonts w:ascii="Arial" w:cs="Arial" w:hAnsi="Arial" w:eastAsia="Arial"/>
        </w:rPr>
      </w:pPr>
      <w:r>
        <w:rPr>
          <w:rStyle w:val="None"/>
          <w:rFonts w:ascii="Arial" w:hAnsi="Arial"/>
          <w:rtl w:val="0"/>
          <w:lang w:val="en-US"/>
        </w:rPr>
        <w:t>Alzheimer</w:t>
      </w:r>
      <w:r>
        <w:rPr>
          <w:rStyle w:val="None"/>
          <w:rFonts w:ascii="Arial" w:hAnsi="Arial" w:hint="default"/>
          <w:rtl w:val="0"/>
          <w:lang w:val="en-US"/>
        </w:rPr>
        <w:t>’</w:t>
      </w:r>
      <w:r>
        <w:rPr>
          <w:rStyle w:val="None"/>
          <w:rFonts w:ascii="Arial" w:hAnsi="Arial"/>
          <w:rtl w:val="0"/>
          <w:lang w:val="en-US"/>
        </w:rPr>
        <w:t xml:space="preserve">s Research (2025) </w:t>
      </w:r>
      <w:r>
        <w:rPr>
          <w:rStyle w:val="None"/>
          <w:rFonts w:ascii="Arial" w:hAnsi="Arial"/>
          <w:i w:val="1"/>
          <w:iCs w:val="1"/>
          <w:rtl w:val="0"/>
          <w:lang w:val="en-US"/>
        </w:rPr>
        <w:t>Dementia is still UK</w:t>
      </w:r>
      <w:r>
        <w:rPr>
          <w:rStyle w:val="None"/>
          <w:rFonts w:ascii="Arial" w:hAnsi="Arial" w:hint="default"/>
          <w:i w:val="1"/>
          <w:iCs w:val="1"/>
          <w:rtl w:val="0"/>
          <w:lang w:val="en-US"/>
        </w:rPr>
        <w:t>’</w:t>
      </w:r>
      <w:r>
        <w:rPr>
          <w:rStyle w:val="None"/>
          <w:rFonts w:ascii="Arial" w:hAnsi="Arial"/>
          <w:i w:val="1"/>
          <w:iCs w:val="1"/>
          <w:rtl w:val="0"/>
          <w:lang w:val="en-US"/>
        </w:rPr>
        <w:t xml:space="preserve">s biggest killer </w:t>
      </w:r>
      <w:r>
        <w:rPr>
          <w:rStyle w:val="None"/>
          <w:rFonts w:ascii="Arial" w:hAnsi="Arial" w:hint="default"/>
          <w:i w:val="1"/>
          <w:iCs w:val="1"/>
          <w:rtl w:val="0"/>
          <w:lang w:val="en-US"/>
        </w:rPr>
        <w:t xml:space="preserve">– </w:t>
      </w:r>
      <w:r>
        <w:rPr>
          <w:rStyle w:val="None"/>
          <w:rFonts w:ascii="Arial" w:hAnsi="Arial"/>
          <w:i w:val="1"/>
          <w:iCs w:val="1"/>
          <w:rtl w:val="0"/>
          <w:lang w:val="en-US"/>
        </w:rPr>
        <w:t>where do we go from here?</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"https://www.alzheimersresearchuk.org/news/dementia-is-still-uks-biggest-killer-where-do-we-go-from-here/"</w:instrText>
      </w:r>
      <w:r>
        <w:rPr>
          <w:rStyle w:val="Hyperlink.0"/>
        </w:rPr>
        <w:fldChar w:fldCharType="separate" w:fldLock="0"/>
      </w:r>
      <w:r>
        <w:rPr>
          <w:rStyle w:val="Hyperlink.0"/>
          <w:rtl w:val="0"/>
        </w:rPr>
        <w:t>https://www.alzheimersresearchuk.org/news/dementia-is-still-uks-biggest-killer-where-do-we-go-from-here/</w:t>
      </w:r>
      <w:r>
        <w:rPr/>
        <w:fldChar w:fldCharType="end" w:fldLock="0"/>
      </w:r>
      <w:r>
        <w:rPr>
          <w:rStyle w:val="None"/>
          <w:rFonts w:ascii="Arial" w:hAnsi="Arial"/>
          <w:rtl w:val="0"/>
          <w:lang w:val="en-US"/>
        </w:rPr>
        <w:t xml:space="preserve">  (Accessed: 8 March 2026). </w:t>
      </w:r>
    </w:p>
    <w:p>
      <w:pPr>
        <w:pStyle w:val="Normal1"/>
        <w:rPr>
          <w:rStyle w:val="None"/>
          <w:rFonts w:ascii="Arial" w:cs="Arial" w:hAnsi="Arial" w:eastAsia="Arial"/>
        </w:rPr>
      </w:pPr>
      <w:r>
        <w:rPr>
          <w:rStyle w:val="None"/>
          <w:rFonts w:ascii="Arial" w:hAnsi="Arial"/>
          <w:rtl w:val="0"/>
          <w:lang w:val="en-US"/>
        </w:rPr>
        <w:t>Alzheimer</w:t>
      </w:r>
      <w:r>
        <w:rPr>
          <w:rStyle w:val="None"/>
          <w:rFonts w:ascii="Arial" w:hAnsi="Arial" w:hint="default"/>
          <w:rtl w:val="0"/>
          <w:lang w:val="en-US"/>
        </w:rPr>
        <w:t>’</w:t>
      </w:r>
      <w:r>
        <w:rPr>
          <w:rStyle w:val="None"/>
          <w:rFonts w:ascii="Arial" w:hAnsi="Arial"/>
          <w:rtl w:val="0"/>
          <w:lang w:val="en-US"/>
        </w:rPr>
        <w:t xml:space="preserve">s Society (2026) </w:t>
      </w:r>
      <w:r>
        <w:rPr>
          <w:rStyle w:val="None"/>
          <w:rFonts w:ascii="Arial" w:hAnsi="Arial"/>
          <w:i w:val="1"/>
          <w:iCs w:val="1"/>
          <w:rtl w:val="0"/>
          <w:lang w:val="en-US"/>
        </w:rPr>
        <w:t>Dementia is the UK's biggest killer</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"https://www.alzheimers.org.uk/about-us/dementia-UK-leading-cause-of-death#:~:text=Raising%2520awareness%2520of%2520the%2520scale,caring%2520for%2520their%2520loved%2520ones"</w:instrText>
      </w:r>
      <w:r>
        <w:rPr>
          <w:rStyle w:val="Hyperlink.0"/>
        </w:rPr>
        <w:fldChar w:fldCharType="separate" w:fldLock="0"/>
      </w:r>
      <w:r>
        <w:rPr>
          <w:rStyle w:val="Hyperlink.0"/>
          <w:rtl w:val="0"/>
        </w:rPr>
        <w:t>https://www.alzheimers.org.uk/about-us/dementia-UK-leading-cause-of-death#:~:text=Raising%20awareness%20of%20the%20scale,caring%20for%20their%20loved%20ones</w:t>
      </w:r>
      <w:r>
        <w:rPr/>
        <w:fldChar w:fldCharType="end" w:fldLock="0"/>
      </w:r>
      <w:r>
        <w:rPr>
          <w:rStyle w:val="None"/>
          <w:rFonts w:ascii="Arial" w:hAnsi="Arial"/>
          <w:rtl w:val="0"/>
          <w:lang w:val="en-US"/>
        </w:rPr>
        <w:t>. (Accessed: 8 March 2026).</w:t>
      </w:r>
    </w:p>
    <w:p>
      <w:pPr>
        <w:pStyle w:val="Normal1"/>
        <w:rPr>
          <w:rStyle w:val="None"/>
          <w:rFonts w:ascii="Arial" w:cs="Arial" w:hAnsi="Arial" w:eastAsia="Arial"/>
        </w:rPr>
      </w:pPr>
      <w:r>
        <w:rPr>
          <w:rStyle w:val="None"/>
          <w:rFonts w:ascii="Arial" w:hAnsi="Arial"/>
          <w:rtl w:val="0"/>
          <w:lang w:val="en-US"/>
        </w:rPr>
        <w:t>Alzheimer</w:t>
      </w:r>
      <w:r>
        <w:rPr>
          <w:rStyle w:val="None"/>
          <w:rFonts w:ascii="Arial" w:hAnsi="Arial" w:hint="default"/>
          <w:rtl w:val="0"/>
          <w:lang w:val="en-US"/>
        </w:rPr>
        <w:t>’</w:t>
      </w:r>
      <w:r>
        <w:rPr>
          <w:rStyle w:val="None"/>
          <w:rFonts w:ascii="Arial" w:hAnsi="Arial"/>
          <w:rtl w:val="0"/>
          <w:lang w:val="en-US"/>
        </w:rPr>
        <w:t xml:space="preserve">s Society (2026a) </w:t>
      </w:r>
      <w:r>
        <w:rPr>
          <w:rStyle w:val="None"/>
          <w:rFonts w:ascii="Arial" w:hAnsi="Arial"/>
          <w:i w:val="1"/>
          <w:iCs w:val="1"/>
          <w:rtl w:val="0"/>
          <w:lang w:val="en-US"/>
        </w:rPr>
        <w:t>Prevalence and incidence</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"https://dementiastatistics.org/about-dementia/prevalence-and-incidence/"</w:instrText>
      </w:r>
      <w:r>
        <w:rPr>
          <w:rStyle w:val="Hyperlink.0"/>
        </w:rPr>
        <w:fldChar w:fldCharType="separate" w:fldLock="0"/>
      </w:r>
      <w:r>
        <w:rPr>
          <w:rStyle w:val="Hyperlink.0"/>
          <w:rtl w:val="0"/>
        </w:rPr>
        <w:t>https://dementiastatistics.org/about-dementia/prevalence-and-incidence/</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Alzheimer</w:t>
      </w:r>
      <w:r>
        <w:rPr>
          <w:rStyle w:val="None"/>
          <w:rFonts w:ascii="Arial" w:hAnsi="Arial" w:hint="default"/>
          <w:rtl w:val="0"/>
          <w:lang w:val="en-US"/>
        </w:rPr>
        <w:t>’</w:t>
      </w:r>
      <w:r>
        <w:rPr>
          <w:rStyle w:val="None"/>
          <w:rFonts w:ascii="Arial" w:hAnsi="Arial"/>
          <w:rtl w:val="0"/>
          <w:lang w:val="en-US"/>
        </w:rPr>
        <w:t xml:space="preserve">s Society (2026b) </w:t>
      </w:r>
      <w:r>
        <w:rPr>
          <w:rStyle w:val="None"/>
          <w:rFonts w:ascii="Arial" w:hAnsi="Arial"/>
          <w:i w:val="1"/>
          <w:iCs w:val="1"/>
          <w:rtl w:val="0"/>
          <w:lang w:val="en-US"/>
        </w:rPr>
        <w:t>Dementia and the Mental Capacity Act 2005</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"https://www.alzheimers.org.uk/get-support/legal-financial/dementia-mental-capacity-act"</w:instrText>
      </w:r>
      <w:r>
        <w:rPr>
          <w:rStyle w:val="Hyperlink.0"/>
        </w:rPr>
        <w:fldChar w:fldCharType="separate" w:fldLock="0"/>
      </w:r>
      <w:r>
        <w:rPr>
          <w:rStyle w:val="Hyperlink.0"/>
          <w:rtl w:val="0"/>
        </w:rPr>
        <w:t>https://www.alzheimers.org.uk/get-support/legal-financial/dementia-mental-capacity-act</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Alzheimer</w:t>
      </w:r>
      <w:r>
        <w:rPr>
          <w:rStyle w:val="None"/>
          <w:rFonts w:ascii="Arial" w:hAnsi="Arial" w:hint="default"/>
          <w:rtl w:val="0"/>
          <w:lang w:val="en-US"/>
        </w:rPr>
        <w:t>’</w:t>
      </w:r>
      <w:r>
        <w:rPr>
          <w:rStyle w:val="None"/>
          <w:rFonts w:ascii="Arial" w:hAnsi="Arial"/>
          <w:rtl w:val="0"/>
          <w:lang w:val="en-US"/>
        </w:rPr>
        <w:t xml:space="preserve">s Society (2026c) </w:t>
      </w:r>
      <w:r>
        <w:rPr>
          <w:rStyle w:val="None"/>
          <w:rFonts w:ascii="Arial" w:hAnsi="Arial"/>
          <w:i w:val="1"/>
          <w:iCs w:val="1"/>
          <w:rtl w:val="0"/>
          <w:lang w:val="en-US"/>
        </w:rPr>
        <w:t>Risk factors for dementia.</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"https://www.alzheimers.org.uk/about-dementia/managing-the-risk-of-dementia/risk-factors-for-dementia"</w:instrText>
      </w:r>
      <w:r>
        <w:rPr>
          <w:rStyle w:val="Hyperlink.0"/>
        </w:rPr>
        <w:fldChar w:fldCharType="separate" w:fldLock="0"/>
      </w:r>
      <w:r>
        <w:rPr>
          <w:rStyle w:val="Hyperlink.0"/>
          <w:rtl w:val="0"/>
        </w:rPr>
        <w:t>https://www.alzheimers.org.uk/about-dementia/managing-the-risk-of-dementia/risk-factors-for-dementia</w:t>
      </w:r>
      <w:r>
        <w:rPr/>
        <w:fldChar w:fldCharType="end" w:fldLock="0"/>
      </w:r>
      <w:r>
        <w:rPr>
          <w:rStyle w:val="None"/>
          <w:rFonts w:ascii="Arial" w:hAnsi="Arial"/>
          <w:rtl w:val="0"/>
          <w:lang w:val="en-US"/>
        </w:rPr>
        <w:t xml:space="preserve"> (Accessed: 8 March 2026). </w:t>
      </w:r>
    </w:p>
    <w:p>
      <w:pPr>
        <w:pStyle w:val="Normal1"/>
        <w:rPr>
          <w:rStyle w:val="None"/>
          <w:rFonts w:ascii="Arial" w:cs="Arial" w:hAnsi="Arial" w:eastAsia="Arial"/>
        </w:rPr>
      </w:pPr>
      <w:r>
        <w:rPr>
          <w:rStyle w:val="None"/>
          <w:rFonts w:ascii="Arial" w:hAnsi="Arial"/>
          <w:rtl w:val="0"/>
          <w:lang w:val="en-US"/>
        </w:rPr>
        <w:t>Alzheimer's Research, (2025a).</w:t>
      </w:r>
      <w:r>
        <w:rPr>
          <w:rStyle w:val="None"/>
          <w:rFonts w:ascii="Arial" w:hAnsi="Arial"/>
          <w:i w:val="1"/>
          <w:iCs w:val="1"/>
          <w:rtl w:val="0"/>
          <w:lang w:val="en-US"/>
        </w:rPr>
        <w:t xml:space="preserve"> Risk factors for dementia</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"https://www.alzheimersresearchuk.org/dementia-information/dementia-risk/?gad_source=1&amp;gad_campaignid=22937760924&amp;gbraid=0AAAAACUWuFW_wH0e5WZFoFXDpvbvhiYIO&amp;gclid=CjwKCAjw1N7NBhAoEiwAcPchp260h5Gc3AClAGwxlS7gjv0QqQ65rIDXD39o4smwU5T-oXuh85BODBoCKrkQAvD_BwE"</w:instrText>
      </w:r>
      <w:r>
        <w:rPr>
          <w:rStyle w:val="Hyperlink.0"/>
        </w:rPr>
        <w:fldChar w:fldCharType="separate" w:fldLock="0"/>
      </w:r>
      <w:r>
        <w:rPr>
          <w:rStyle w:val="Hyperlink.0"/>
          <w:rtl w:val="0"/>
        </w:rPr>
        <w:t>https://www.alzheimersresearchuk.org/dementia-information/dementia-risk/?gad_source=1&amp;gad_campaignid=22937760924&amp;gbraid=0AAAAACUWuFW_wH0e5WZFoFXDpvbvhiYIO&amp;gclid=CjwKCAjw1N7NBhAoEiwAcPchp260h5Gc3AClAGwxlS7gjv0QqQ65rIDXD39o4smwU5T-oXuh85BODBoCKrkQAvD_BwE</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Alzint (2026). </w:t>
      </w:r>
      <w:r>
        <w:rPr>
          <w:rStyle w:val="None"/>
          <w:rFonts w:ascii="Arial" w:hAnsi="Arial"/>
          <w:i w:val="1"/>
          <w:iCs w:val="1"/>
          <w:rtl w:val="0"/>
          <w:lang w:val="en-US"/>
        </w:rPr>
        <w:t>dementia statistics</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"https://www.alzint.org/about/dementia-facts-figures/dementia-statistics/#:~:text=Numbers%2520of%2520people%2520with%2520dementia,Asian%2520and%2520western%2520Pacific%2520neighbours"</w:instrText>
      </w:r>
      <w:r>
        <w:rPr>
          <w:rStyle w:val="Hyperlink.0"/>
        </w:rPr>
        <w:fldChar w:fldCharType="separate" w:fldLock="0"/>
      </w:r>
      <w:r>
        <w:rPr>
          <w:rStyle w:val="Hyperlink.0"/>
          <w:rtl w:val="0"/>
        </w:rPr>
        <w:t>https://www.alzint.org/about/dementia-facts-figures/dementia-statistics/#:~:text=Numbers%20of%20people%20with%20dementia,Asian%20and%20western%20Pacific%20neighbours</w:t>
      </w:r>
      <w:r>
        <w:rPr/>
        <w:fldChar w:fldCharType="end" w:fldLock="0"/>
      </w:r>
      <w:r>
        <w:rPr>
          <w:rStyle w:val="None"/>
          <w:rFonts w:ascii="Arial" w:hAnsi="Arial"/>
          <w:rtl w:val="0"/>
          <w:lang w:val="en-US"/>
        </w:rPr>
        <w:t xml:space="preserve">. (Accessed: 8 March 2026).  </w:t>
      </w:r>
    </w:p>
    <w:p>
      <w:pPr>
        <w:pStyle w:val="Normal1"/>
        <w:rPr>
          <w:rStyle w:val="None"/>
          <w:rFonts w:ascii="Arial" w:cs="Arial" w:hAnsi="Arial" w:eastAsia="Arial"/>
        </w:rPr>
      </w:pPr>
      <w:r>
        <w:rPr>
          <w:rStyle w:val="None"/>
          <w:rFonts w:ascii="Arial" w:hAnsi="Arial"/>
          <w:rtl w:val="0"/>
          <w:lang w:val="en-US"/>
        </w:rPr>
        <w:t xml:space="preserve">Dementia UK (2025) </w:t>
      </w:r>
      <w:r>
        <w:rPr>
          <w:rStyle w:val="None"/>
          <w:rFonts w:ascii="Arial" w:hAnsi="Arial"/>
          <w:i w:val="1"/>
          <w:iCs w:val="1"/>
          <w:rtl w:val="0"/>
          <w:lang w:val="en-US"/>
        </w:rPr>
        <w:t>Strategy 2025-30.</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"https://www.dementiauk.org/wp-content/uploads/dementia-uk-2025-2030-strategy.pdf"</w:instrText>
      </w:r>
      <w:r>
        <w:rPr>
          <w:rStyle w:val="Hyperlink.0"/>
        </w:rPr>
        <w:fldChar w:fldCharType="separate" w:fldLock="0"/>
      </w:r>
      <w:r>
        <w:rPr>
          <w:rStyle w:val="Hyperlink.0"/>
          <w:rtl w:val="0"/>
        </w:rPr>
        <w:t>https://www.dementiauk.org/wp-content/uploads/dementia-uk-2025-2030-strategy.pdf</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Dementia UK (2026) </w:t>
      </w:r>
      <w:r>
        <w:rPr>
          <w:rStyle w:val="None"/>
          <w:rFonts w:ascii="Arial" w:hAnsi="Arial"/>
          <w:i w:val="1"/>
          <w:iCs w:val="1"/>
          <w:rtl w:val="0"/>
          <w:lang w:val="en-US"/>
        </w:rPr>
        <w:t>What do Admiral Nurses do?.</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"https://www.dementiauk.org/for-professionals/how-to-become-an-admiral-nurse/what-do-admiral-nurses-do/"</w:instrText>
      </w:r>
      <w:r>
        <w:rPr>
          <w:rStyle w:val="Hyperlink.0"/>
        </w:rPr>
        <w:fldChar w:fldCharType="separate" w:fldLock="0"/>
      </w:r>
      <w:r>
        <w:rPr>
          <w:rStyle w:val="Hyperlink.0"/>
          <w:rtl w:val="0"/>
        </w:rPr>
        <w:t>https://www.dementiauk.org/for-professionals/how-to-become-an-admiral-nurse/what-do-admiral-nurses-do/</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England NHS, (2026). </w:t>
      </w:r>
      <w:r>
        <w:rPr>
          <w:rStyle w:val="None"/>
          <w:rFonts w:ascii="Arial" w:hAnsi="Arial"/>
          <w:i w:val="1"/>
          <w:iCs w:val="1"/>
          <w:rtl w:val="0"/>
          <w:lang w:val="en-US"/>
        </w:rPr>
        <w:t>Supported self-management.</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"https://www.england.nhs.uk/personalisedcare/supported-self-management/"</w:instrText>
      </w:r>
      <w:r>
        <w:rPr>
          <w:rStyle w:val="Hyperlink.0"/>
        </w:rPr>
        <w:fldChar w:fldCharType="separate" w:fldLock="0"/>
      </w:r>
      <w:r>
        <w:rPr>
          <w:rStyle w:val="Hyperlink.0"/>
          <w:rtl w:val="0"/>
        </w:rPr>
        <w:t>https://www.england.nhs.uk/personalisedcare/supported-self-management/</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Fowler, N. R., Partrick, K. A., Taylor, J., Hornbecker, M., Kelleher, K., Boustani, M., ... and Willis, D. R. (2025). Implementing early detection of cognitive impairment in primary care to improve care for older adults. Journal of internal medicine, 298(1), 31-45. Available at: </w:t>
      </w:r>
      <w:r>
        <w:rPr>
          <w:rStyle w:val="Hyperlink.0"/>
        </w:rPr>
        <w:fldChar w:fldCharType="begin" w:fldLock="0"/>
      </w:r>
      <w:r>
        <w:rPr>
          <w:rStyle w:val="Hyperlink.0"/>
        </w:rPr>
        <w:instrText xml:space="preserve"> HYPERLINK "https://onlinelibrary.wiley.com/doi/pdf/10.1111/joim.20098"</w:instrText>
      </w:r>
      <w:r>
        <w:rPr>
          <w:rStyle w:val="Hyperlink.0"/>
        </w:rPr>
        <w:fldChar w:fldCharType="separate" w:fldLock="0"/>
      </w:r>
      <w:r>
        <w:rPr>
          <w:rStyle w:val="Hyperlink.0"/>
          <w:rtl w:val="0"/>
        </w:rPr>
        <w:t>https://onlinelibrary.wiley.com/doi/pdf/10.1111/joim.20098</w:t>
      </w:r>
      <w:r>
        <w:rPr/>
        <w:fldChar w:fldCharType="end" w:fldLock="0"/>
      </w:r>
    </w:p>
    <w:p>
      <w:pPr>
        <w:pStyle w:val="Normal1"/>
        <w:rPr>
          <w:rStyle w:val="None"/>
          <w:rFonts w:ascii="Arial" w:cs="Arial" w:hAnsi="Arial" w:eastAsia="Arial"/>
        </w:rPr>
      </w:pPr>
      <w:r>
        <w:rPr>
          <w:rStyle w:val="None"/>
          <w:rFonts w:ascii="Arial" w:hAnsi="Arial"/>
          <w:rtl w:val="0"/>
          <w:lang w:val="en-US"/>
        </w:rPr>
        <w:t xml:space="preserve">GOV.UK (2026) Living well with dementia: A National Dementia Strategy. Available at: </w:t>
      </w:r>
      <w:r>
        <w:rPr>
          <w:rStyle w:val="Hyperlink.0"/>
        </w:rPr>
        <w:fldChar w:fldCharType="begin" w:fldLock="0"/>
      </w:r>
      <w:r>
        <w:rPr>
          <w:rStyle w:val="Hyperlink.0"/>
        </w:rPr>
        <w:instrText xml:space="preserve"> HYPERLINK "https://assets.publishing.service.gov.uk/media/5a7b63e9e5274a34770eb5f4/dh_094052.pdf"</w:instrText>
      </w:r>
      <w:r>
        <w:rPr>
          <w:rStyle w:val="Hyperlink.0"/>
        </w:rPr>
        <w:fldChar w:fldCharType="separate" w:fldLock="0"/>
      </w:r>
      <w:r>
        <w:rPr>
          <w:rStyle w:val="Hyperlink.0"/>
          <w:rtl w:val="0"/>
        </w:rPr>
        <w:t>https://assets.publishing.service.gov.uk/media/5a7b63e9e5274a34770eb5f4/dh_094052.pdf</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Herrera, P. A., Campos-Romero, S., Szabo, W., Mart</w:t>
      </w:r>
      <w:r>
        <w:rPr>
          <w:rStyle w:val="None"/>
          <w:rFonts w:ascii="Arial" w:hAnsi="Arial" w:hint="default"/>
          <w:rtl w:val="0"/>
          <w:lang w:val="en-US"/>
        </w:rPr>
        <w:t>í</w:t>
      </w:r>
      <w:r>
        <w:rPr>
          <w:rStyle w:val="None"/>
          <w:rFonts w:ascii="Arial" w:hAnsi="Arial"/>
          <w:rtl w:val="0"/>
          <w:lang w:val="en-US"/>
        </w:rPr>
        <w:t xml:space="preserve">nez, P., Guajardo, V., &amp; Rojas, G. (2021). Understanding the relationship between depression and chronic diseases such as diabetes and hypertension: a grounded theory study. </w:t>
      </w:r>
      <w:r>
        <w:rPr>
          <w:rStyle w:val="None"/>
          <w:rFonts w:ascii="Arial" w:hAnsi="Arial"/>
          <w:i w:val="1"/>
          <w:iCs w:val="1"/>
          <w:rtl w:val="0"/>
          <w:lang w:val="en-US"/>
        </w:rPr>
        <w:t>International journal of environmental research and public health</w:t>
      </w:r>
      <w:r>
        <w:rPr>
          <w:rStyle w:val="None"/>
          <w:rFonts w:ascii="Arial" w:hAnsi="Arial"/>
          <w:rtl w:val="0"/>
          <w:lang w:val="en-US"/>
        </w:rPr>
        <w:t xml:space="preserve">, 18(22), 12130. Available at: </w:t>
      </w:r>
      <w:r>
        <w:rPr>
          <w:rStyle w:val="Hyperlink.0"/>
        </w:rPr>
        <w:fldChar w:fldCharType="begin" w:fldLock="0"/>
      </w:r>
      <w:r>
        <w:rPr>
          <w:rStyle w:val="Hyperlink.0"/>
        </w:rPr>
        <w:instrText xml:space="preserve"> HYPERLINK "https://www.mdpi.com/1660-4601/18/22/12130"</w:instrText>
      </w:r>
      <w:r>
        <w:rPr>
          <w:rStyle w:val="Hyperlink.0"/>
        </w:rPr>
        <w:fldChar w:fldCharType="separate" w:fldLock="0"/>
      </w:r>
      <w:r>
        <w:rPr>
          <w:rStyle w:val="Hyperlink.0"/>
          <w:rtl w:val="0"/>
        </w:rPr>
        <w:t>https://www.mdpi.com/1660-4601/18/22/12130</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Hung, J. (2022). Policy development on upskilling/reskilling older population care staff in China. </w:t>
      </w:r>
      <w:r>
        <w:rPr>
          <w:rStyle w:val="None"/>
          <w:rFonts w:ascii="Arial" w:hAnsi="Arial"/>
          <w:i w:val="1"/>
          <w:iCs w:val="1"/>
          <w:rtl w:val="0"/>
          <w:lang w:val="en-US"/>
        </w:rPr>
        <w:t>International Journal of Environmental Research and Public Health</w:t>
      </w:r>
      <w:r>
        <w:rPr>
          <w:rStyle w:val="None"/>
          <w:rFonts w:ascii="Arial" w:hAnsi="Arial"/>
          <w:rtl w:val="0"/>
          <w:lang w:val="en-US"/>
        </w:rPr>
        <w:t xml:space="preserve">, 19(15), 9440. Available at: </w:t>
      </w:r>
      <w:r>
        <w:rPr>
          <w:rStyle w:val="Hyperlink.0"/>
        </w:rPr>
        <w:fldChar w:fldCharType="begin" w:fldLock="0"/>
      </w:r>
      <w:r>
        <w:rPr>
          <w:rStyle w:val="Hyperlink.0"/>
        </w:rPr>
        <w:instrText xml:space="preserve"> HYPERLINK "https://www.mdpi.com/1660-4601/19/15/9440"</w:instrText>
      </w:r>
      <w:r>
        <w:rPr>
          <w:rStyle w:val="Hyperlink.0"/>
        </w:rPr>
        <w:fldChar w:fldCharType="separate" w:fldLock="0"/>
      </w:r>
      <w:r>
        <w:rPr>
          <w:rStyle w:val="Hyperlink.0"/>
          <w:rtl w:val="0"/>
        </w:rPr>
        <w:t>https://www.mdpi.com/1660-4601/19/15/9440</w:t>
      </w:r>
      <w:r>
        <w:rPr/>
        <w:fldChar w:fldCharType="end" w:fldLock="0"/>
      </w:r>
      <w:r>
        <w:rPr>
          <w:rStyle w:val="None"/>
          <w:rFonts w:ascii="Arial" w:hAnsi="Arial"/>
          <w:rtl w:val="0"/>
          <w:lang w:val="en-US"/>
        </w:rPr>
        <w:t xml:space="preserve"> </w:t>
      </w:r>
    </w:p>
    <w:p>
      <w:pPr>
        <w:pStyle w:val="Normal1"/>
        <w:rPr>
          <w:rStyle w:val="None"/>
          <w:rFonts w:ascii="Arial" w:cs="Arial" w:hAnsi="Arial" w:eastAsia="Arial"/>
        </w:rPr>
      </w:pPr>
      <w:r>
        <w:rPr>
          <w:rStyle w:val="None"/>
          <w:rFonts w:ascii="Arial" w:hAnsi="Arial"/>
          <w:rtl w:val="0"/>
          <w:lang w:val="en-US"/>
        </w:rPr>
        <w:t xml:space="preserve">Moradikor, N., Chatterjee, I. and Mohamed, W. eds., (2024) Nutrition in Brain Aging and dementia. </w:t>
      </w:r>
      <w:r>
        <w:rPr>
          <w:rStyle w:val="None"/>
          <w:rFonts w:ascii="Arial" w:hAnsi="Arial"/>
          <w:i w:val="1"/>
          <w:iCs w:val="1"/>
          <w:rtl w:val="0"/>
          <w:lang w:val="en-US"/>
        </w:rPr>
        <w:t>Springer</w:t>
      </w:r>
      <w:r>
        <w:rPr>
          <w:rStyle w:val="None"/>
          <w:rFonts w:ascii="Arial" w:hAnsi="Arial"/>
          <w:rtl w:val="0"/>
          <w:lang w:val="en-US"/>
        </w:rPr>
        <w:t xml:space="preserve">. </w:t>
      </w:r>
      <w:r>
        <w:rPr>
          <w:rStyle w:val="Hyperlink.0"/>
        </w:rPr>
        <w:fldChar w:fldCharType="begin" w:fldLock="0"/>
      </w:r>
      <w:r>
        <w:rPr>
          <w:rStyle w:val="Hyperlink.0"/>
        </w:rPr>
        <w:instrText xml:space="preserve"> HYPERLINK "https://www.researchgate.net/profile/Dr-Saeid-Abbasi-Maleki/publication/383474532_Probiotic_Agents_for_Alzheimer_and_Dementia/links/68258c02be1b507dce8b5912/Probiotic-Agents-for-Alzheimer-and-Dementia.pdf#page=122"</w:instrText>
      </w:r>
      <w:r>
        <w:rPr>
          <w:rStyle w:val="Hyperlink.0"/>
        </w:rPr>
        <w:fldChar w:fldCharType="separate" w:fldLock="0"/>
      </w:r>
      <w:r>
        <w:rPr>
          <w:rStyle w:val="Hyperlink.0"/>
          <w:rtl w:val="0"/>
        </w:rPr>
        <w:t>https://www.researchgate.net/profile/Dr-Saeid-Abbasi-Maleki/publication/383474532_Probiotic_Agents_for_Alzheimer_and_dementia/links/68258c02be1b507dce8b5912/Probiotic-Agents-for-Alzheimer-and-dementia.pdf#page=122</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Morkisch, N., Upegui-Arango, L. D., Cardona, M. I., van den Heuvel, D., Rimmele, M., Sieber, C. C., and Freiberger, E. (2020). Components of the transitional care model (TCM) to reduce readmission in geriatric patients: a systematic review. </w:t>
      </w:r>
      <w:r>
        <w:rPr>
          <w:rStyle w:val="None"/>
          <w:rFonts w:ascii="Arial" w:hAnsi="Arial"/>
          <w:i w:val="1"/>
          <w:iCs w:val="1"/>
          <w:rtl w:val="0"/>
          <w:lang w:val="en-US"/>
        </w:rPr>
        <w:t>BMC geriatrics</w:t>
      </w:r>
      <w:r>
        <w:rPr>
          <w:rStyle w:val="None"/>
          <w:rFonts w:ascii="Arial" w:hAnsi="Arial"/>
          <w:rtl w:val="0"/>
          <w:lang w:val="en-US"/>
        </w:rPr>
        <w:t xml:space="preserve">, 20(1), 345. Available at: </w:t>
      </w:r>
      <w:r>
        <w:rPr>
          <w:rStyle w:val="Hyperlink.0"/>
        </w:rPr>
        <w:fldChar w:fldCharType="begin" w:fldLock="0"/>
      </w:r>
      <w:r>
        <w:rPr>
          <w:rStyle w:val="Hyperlink.0"/>
        </w:rPr>
        <w:instrText xml:space="preserve"> HYPERLINK "https://link.springer.com/article/10.1186/s12877-020-01747-w"</w:instrText>
      </w:r>
      <w:r>
        <w:rPr>
          <w:rStyle w:val="Hyperlink.0"/>
        </w:rPr>
        <w:fldChar w:fldCharType="separate" w:fldLock="0"/>
      </w:r>
      <w:r>
        <w:rPr>
          <w:rStyle w:val="Hyperlink.0"/>
          <w:rtl w:val="0"/>
        </w:rPr>
        <w:t>https://link.springer.com/article/10.1186/s12877-020-01747-w</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Naylor, M. D., Shaid, E. C., Carpenter, D., Gass, B., Levine, C., Li, J., ... and Williams, M. V. (2017). Components of comprehensive and effective transitional care. </w:t>
      </w:r>
      <w:r>
        <w:rPr>
          <w:rStyle w:val="None"/>
          <w:rFonts w:ascii="Arial" w:hAnsi="Arial"/>
          <w:i w:val="1"/>
          <w:iCs w:val="1"/>
          <w:rtl w:val="0"/>
          <w:lang w:val="en-US"/>
        </w:rPr>
        <w:t>Journal of the American Geriatrics Society,</w:t>
      </w:r>
      <w:r>
        <w:rPr>
          <w:rStyle w:val="None"/>
          <w:rFonts w:ascii="Arial" w:hAnsi="Arial"/>
          <w:rtl w:val="0"/>
          <w:lang w:val="en-US"/>
        </w:rPr>
        <w:t xml:space="preserve"> 65(6), 1119-1125. Available at: </w:t>
      </w:r>
      <w:r>
        <w:rPr>
          <w:rStyle w:val="Hyperlink.0"/>
        </w:rPr>
        <w:fldChar w:fldCharType="begin" w:fldLock="0"/>
      </w:r>
      <w:r>
        <w:rPr>
          <w:rStyle w:val="Hyperlink.0"/>
        </w:rPr>
        <w:instrText xml:space="preserve"> HYPERLINK "https://pmc.ncbi.nlm.nih.gov/articles/PMC5497308/pdf/nihms832332.pdf"</w:instrText>
      </w:r>
      <w:r>
        <w:rPr>
          <w:rStyle w:val="Hyperlink.0"/>
        </w:rPr>
        <w:fldChar w:fldCharType="separate" w:fldLock="0"/>
      </w:r>
      <w:r>
        <w:rPr>
          <w:rStyle w:val="Hyperlink.0"/>
          <w:rtl w:val="0"/>
        </w:rPr>
        <w:t>https://pmc.ncbi.nlm.nih.gov/articles/PMC5497308/pdf/nihms832332.pdf</w:t>
      </w:r>
      <w:r>
        <w:rPr/>
        <w:fldChar w:fldCharType="end" w:fldLock="0"/>
      </w:r>
      <w:r>
        <w:rPr>
          <w:rStyle w:val="None"/>
          <w:rFonts w:ascii="Arial" w:hAnsi="Arial"/>
          <w:rtl w:val="0"/>
          <w:lang w:val="en-US"/>
        </w:rPr>
        <w:t xml:space="preserve"> </w:t>
      </w:r>
    </w:p>
    <w:p>
      <w:pPr>
        <w:pStyle w:val="Normal1"/>
        <w:rPr>
          <w:rStyle w:val="None"/>
          <w:rFonts w:ascii="Arial" w:cs="Arial" w:hAnsi="Arial" w:eastAsia="Arial"/>
        </w:rPr>
      </w:pPr>
      <w:r>
        <w:rPr>
          <w:rStyle w:val="None"/>
          <w:rFonts w:ascii="Arial" w:hAnsi="Arial"/>
          <w:rtl w:val="0"/>
          <w:lang w:val="en-US"/>
        </w:rPr>
        <w:t xml:space="preserve">NHS (2026b). </w:t>
      </w:r>
      <w:r>
        <w:rPr>
          <w:rStyle w:val="None"/>
          <w:rFonts w:ascii="Arial" w:hAnsi="Arial"/>
          <w:i w:val="1"/>
          <w:iCs w:val="1"/>
          <w:rtl w:val="0"/>
          <w:lang w:val="en-US"/>
        </w:rPr>
        <w:t>Our Dementia Strategy.</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"https://www.birminghamsolihull.icb.nhs.uk/health-information/dementia/our-dementia-strategy"</w:instrText>
      </w:r>
      <w:r>
        <w:rPr>
          <w:rStyle w:val="Hyperlink.0"/>
        </w:rPr>
        <w:fldChar w:fldCharType="separate" w:fldLock="0"/>
      </w:r>
      <w:r>
        <w:rPr>
          <w:rStyle w:val="Hyperlink.0"/>
          <w:rtl w:val="0"/>
        </w:rPr>
        <w:t>https://www.birminghamsolihull.icb.nhs.uk/health-information/dementia/our-dementia-strategy</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NHS Commission Assembly (2021) </w:t>
      </w:r>
      <w:r>
        <w:rPr>
          <w:rStyle w:val="None"/>
          <w:rFonts w:ascii="Arial" w:hAnsi="Arial"/>
          <w:i w:val="1"/>
          <w:iCs w:val="1"/>
          <w:rtl w:val="0"/>
          <w:lang w:val="en-US"/>
        </w:rPr>
        <w:t>TECHNOLOGY ENABLED CARE SERVICES</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"https://www.england.nhs.uk/wp-content/uploads/2014/12/TECS_FinalDraft_0901.pdf"</w:instrText>
      </w:r>
      <w:r>
        <w:rPr>
          <w:rStyle w:val="Hyperlink.0"/>
        </w:rPr>
        <w:fldChar w:fldCharType="separate" w:fldLock="0"/>
      </w:r>
      <w:r>
        <w:rPr>
          <w:rStyle w:val="Hyperlink.0"/>
          <w:rtl w:val="0"/>
        </w:rPr>
        <w:t>https://www.england.nhs.uk/wp-content/uploads/2014/12/TECS_FinalDraft_0901.pdf</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NHS England (2025). </w:t>
      </w:r>
      <w:r>
        <w:rPr>
          <w:rStyle w:val="None"/>
          <w:rFonts w:ascii="Arial" w:hAnsi="Arial"/>
          <w:i w:val="1"/>
          <w:iCs w:val="1"/>
          <w:rtl w:val="0"/>
          <w:lang w:val="en-US"/>
        </w:rPr>
        <w:t>Primary Care Dementia Data, January 2025</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"https://digital.nhs.uk/data-and-information/publications/statistical/primary-care-dementia-data/january-2025"</w:instrText>
      </w:r>
      <w:r>
        <w:rPr>
          <w:rStyle w:val="Hyperlink.0"/>
        </w:rPr>
        <w:fldChar w:fldCharType="separate" w:fldLock="0"/>
      </w:r>
      <w:r>
        <w:rPr>
          <w:rStyle w:val="Hyperlink.0"/>
          <w:rtl w:val="0"/>
        </w:rPr>
        <w:t>https://digital.nhs.uk/data-and-information/publications/statistical/primary-care-dementia-data/january-2025</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NHS England (2026). </w:t>
      </w:r>
      <w:r>
        <w:rPr>
          <w:rStyle w:val="None"/>
          <w:rFonts w:ascii="Arial" w:hAnsi="Arial"/>
          <w:i w:val="1"/>
          <w:iCs w:val="1"/>
          <w:rtl w:val="0"/>
          <w:lang w:val="en-US"/>
        </w:rPr>
        <w:t>What is personalised care?</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"https://www.england.nhs.uk/personalisedcare/what-is-personalised-care/#:~:text=Personalised%2520care%2520means%2520people%2520have,their%2520individual%2520strengths%2520and%2520needs"</w:instrText>
      </w:r>
      <w:r>
        <w:rPr>
          <w:rStyle w:val="Hyperlink.0"/>
        </w:rPr>
        <w:fldChar w:fldCharType="separate" w:fldLock="0"/>
      </w:r>
      <w:r>
        <w:rPr>
          <w:rStyle w:val="Hyperlink.0"/>
          <w:rtl w:val="0"/>
        </w:rPr>
        <w:t>https://www.england.nhs.uk/personalisedcare/what-is-personalised-care/#:~:text=Personalised%20care%20means%20people%20have,their%20individual%20strengths%20and%20needs</w:t>
      </w:r>
      <w:r>
        <w:rPr/>
        <w:fldChar w:fldCharType="end" w:fldLock="0"/>
      </w:r>
      <w:r>
        <w:rPr>
          <w:rStyle w:val="None"/>
          <w:rFonts w:ascii="Arial" w:hAnsi="Arial"/>
          <w:rtl w:val="0"/>
          <w:lang w:val="en-US"/>
        </w:rPr>
        <w:t>. (Accessed: 8 March 2026).</w:t>
      </w:r>
    </w:p>
    <w:p>
      <w:pPr>
        <w:pStyle w:val="Normal1"/>
        <w:rPr>
          <w:rStyle w:val="None"/>
          <w:rFonts w:ascii="Arial" w:cs="Arial" w:hAnsi="Arial" w:eastAsia="Arial"/>
        </w:rPr>
      </w:pPr>
      <w:r>
        <w:rPr>
          <w:rStyle w:val="None"/>
          <w:rFonts w:ascii="Arial" w:hAnsi="Arial"/>
          <w:rtl w:val="0"/>
          <w:lang w:val="en-US"/>
        </w:rPr>
        <w:t xml:space="preserve">NHS England, (2026a). Dementia. Available at: </w:t>
      </w:r>
      <w:r>
        <w:rPr>
          <w:rStyle w:val="Hyperlink.0"/>
        </w:rPr>
        <w:fldChar w:fldCharType="begin" w:fldLock="0"/>
      </w:r>
      <w:r>
        <w:rPr>
          <w:rStyle w:val="Hyperlink.0"/>
        </w:rPr>
        <w:instrText xml:space="preserve"> HYPERLINK "https://www.england.nhs.uk/mental-health/resources/dementia/"</w:instrText>
      </w:r>
      <w:r>
        <w:rPr>
          <w:rStyle w:val="Hyperlink.0"/>
        </w:rPr>
        <w:fldChar w:fldCharType="separate" w:fldLock="0"/>
      </w:r>
      <w:r>
        <w:rPr>
          <w:rStyle w:val="Hyperlink.0"/>
          <w:rtl w:val="0"/>
        </w:rPr>
        <w:t>https://www.england.nhs.uk/mental-health/resources/dementia/</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NHS ICB (2026) </w:t>
      </w:r>
      <w:r>
        <w:rPr>
          <w:rStyle w:val="None"/>
          <w:rFonts w:ascii="Arial" w:hAnsi="Arial"/>
          <w:i w:val="1"/>
          <w:iCs w:val="1"/>
          <w:rtl w:val="0"/>
          <w:lang w:val="en-US"/>
        </w:rPr>
        <w:t>What is Personalised Care? The Comprehensive Model and the six components.</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"https://www.happyhealthylives.uk/integrated-care-board/resources-and-services/personalising-care-for-our-people/what-is-personalised-care-the-comprehensive-model-and-the-six-components/"</w:instrText>
      </w:r>
      <w:r>
        <w:rPr>
          <w:rStyle w:val="Hyperlink.0"/>
        </w:rPr>
        <w:fldChar w:fldCharType="separate" w:fldLock="0"/>
      </w:r>
      <w:r>
        <w:rPr>
          <w:rStyle w:val="Hyperlink.0"/>
          <w:rtl w:val="0"/>
        </w:rPr>
        <w:t>https://www.happyhealthylives.uk/integrated-care-board/resources-and-services/personalising-care-for-our-people/what-is-personalised-care-the-comprehensive-model-and-the-six-components/</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NHS UK (2024) </w:t>
      </w:r>
      <w:r>
        <w:rPr>
          <w:rStyle w:val="None"/>
          <w:rFonts w:ascii="Arial" w:hAnsi="Arial"/>
          <w:i w:val="1"/>
          <w:iCs w:val="1"/>
          <w:rtl w:val="0"/>
          <w:lang w:val="en-US"/>
        </w:rPr>
        <w:t>Can dementia be prevented?</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"https://www.nhs.uk/conditions/dementia/about-dementia/prevention/"</w:instrText>
      </w:r>
      <w:r>
        <w:rPr>
          <w:rStyle w:val="Hyperlink.0"/>
        </w:rPr>
        <w:fldChar w:fldCharType="separate" w:fldLock="0"/>
      </w:r>
      <w:r>
        <w:rPr>
          <w:rStyle w:val="Hyperlink.0"/>
          <w:rtl w:val="0"/>
        </w:rPr>
        <w:t>https://www.nhs.uk/conditions/dementia/about-dementia/prevention/</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NHS. (2026a) </w:t>
      </w:r>
      <w:r>
        <w:rPr>
          <w:rStyle w:val="None"/>
          <w:rFonts w:ascii="Arial" w:hAnsi="Arial"/>
          <w:i w:val="1"/>
          <w:iCs w:val="1"/>
          <w:rtl w:val="0"/>
          <w:lang w:val="en-US"/>
        </w:rPr>
        <w:t>Dementia and relationships</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"https://www.nhs.uk/conditions/dementia/living-with-dementia/relationships/"</w:instrText>
      </w:r>
      <w:r>
        <w:rPr>
          <w:rStyle w:val="Hyperlink.0"/>
        </w:rPr>
        <w:fldChar w:fldCharType="separate" w:fldLock="0"/>
      </w:r>
      <w:r>
        <w:rPr>
          <w:rStyle w:val="Hyperlink.0"/>
          <w:rtl w:val="0"/>
        </w:rPr>
        <w:t>https://www.nhs.uk/conditions/dementia/living-with-dementia/relationships/</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NHS.UK  (2026) </w:t>
      </w:r>
      <w:r>
        <w:rPr>
          <w:rStyle w:val="None"/>
          <w:rFonts w:ascii="Arial" w:hAnsi="Arial"/>
          <w:i w:val="1"/>
          <w:iCs w:val="1"/>
          <w:rtl w:val="0"/>
          <w:lang w:val="en-US"/>
        </w:rPr>
        <w:t>What are the treatments for dementia?</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"https://www.nhs.uk/conditions/dementia/about-dementia/treatment/"</w:instrText>
      </w:r>
      <w:r>
        <w:rPr>
          <w:rStyle w:val="Hyperlink.0"/>
        </w:rPr>
        <w:fldChar w:fldCharType="separate" w:fldLock="0"/>
      </w:r>
      <w:r>
        <w:rPr>
          <w:rStyle w:val="Hyperlink.0"/>
          <w:rtl w:val="0"/>
        </w:rPr>
        <w:t>https://www.nhs.uk/conditions/dementia/about-dementia/treatment/</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Nichols, E., Steinmetz, J. D., Vollset, S. E., Fukutaki, K., Chalek, J., Abd-Allah, F., ... and Liu, X. (2022). Estimation of the global prevalence of dementia in 2019 and forecasted prevalence in 2050: an analysis for the Global Burden of Disease Study 2019. The Lancet Public Health, 7(2), e105-e125. Available at: </w:t>
      </w:r>
      <w:r>
        <w:rPr>
          <w:rStyle w:val="Hyperlink.0"/>
        </w:rPr>
        <w:fldChar w:fldCharType="begin" w:fldLock="0"/>
      </w:r>
      <w:r>
        <w:rPr>
          <w:rStyle w:val="Hyperlink.0"/>
        </w:rPr>
        <w:instrText xml:space="preserve"> HYPERLINK "https://www.thelancet.com/journals/lanpub/article/PIIS2468-2667(21)00249-8/fulltext?origen%255Cx3dapp"</w:instrText>
      </w:r>
      <w:r>
        <w:rPr>
          <w:rStyle w:val="Hyperlink.0"/>
        </w:rPr>
        <w:fldChar w:fldCharType="separate" w:fldLock="0"/>
      </w:r>
      <w:r>
        <w:rPr>
          <w:rStyle w:val="Hyperlink.0"/>
          <w:rtl w:val="0"/>
        </w:rPr>
        <w:t>https://www.thelancet.com/journals/lanpub/article/PIIS2468-2667(21)00249-8/fulltext?origen\x3dapp</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NIHR. (2026) </w:t>
      </w:r>
      <w:r>
        <w:rPr>
          <w:rStyle w:val="None"/>
          <w:rFonts w:ascii="Arial" w:hAnsi="Arial"/>
          <w:i w:val="1"/>
          <w:iCs w:val="1"/>
          <w:rtl w:val="0"/>
          <w:lang w:val="en-US"/>
        </w:rPr>
        <w:t>Communication aspects of personalised care planning in dementia</w:t>
      </w:r>
      <w:r>
        <w:rPr>
          <w:rStyle w:val="None"/>
          <w:rFonts w:ascii="Arial" w:hAnsi="Arial" w:hint="default"/>
          <w:i w:val="1"/>
          <w:iCs w:val="1"/>
          <w:rtl w:val="0"/>
          <w:lang w:val="en-US"/>
        </w:rPr>
        <w:t> </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"https://www.arc-nt.nihr.ac.uk/research/projects/communication-aspects-of-personalised-care-planning-in-dementia/"</w:instrText>
      </w:r>
      <w:r>
        <w:rPr>
          <w:rStyle w:val="Hyperlink.0"/>
        </w:rPr>
        <w:fldChar w:fldCharType="separate" w:fldLock="0"/>
      </w:r>
      <w:r>
        <w:rPr>
          <w:rStyle w:val="Hyperlink.0"/>
          <w:rtl w:val="0"/>
        </w:rPr>
        <w:t>https://www.arc-nt.nihr.ac.uk/research/projects/communication-aspects-of-personalised-care-planning-in-dementia/</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Nuffieldtrust. (2025). </w:t>
      </w:r>
      <w:r>
        <w:rPr>
          <w:rStyle w:val="None"/>
          <w:rFonts w:ascii="Arial" w:hAnsi="Arial"/>
          <w:i w:val="1"/>
          <w:iCs w:val="1"/>
          <w:rtl w:val="0"/>
          <w:lang w:val="en-US"/>
        </w:rPr>
        <w:t>dementia care in primary and secondary care in England</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"https://www.nuffieldtrust.org.uk/resource/dementia-care-in-primary-and-secondary-care-in-england"</w:instrText>
      </w:r>
      <w:r>
        <w:rPr>
          <w:rStyle w:val="Hyperlink.0"/>
        </w:rPr>
        <w:fldChar w:fldCharType="separate" w:fldLock="0"/>
      </w:r>
      <w:r>
        <w:rPr>
          <w:rStyle w:val="Hyperlink.0"/>
          <w:rtl w:val="0"/>
        </w:rPr>
        <w:t>https://www.nuffieldtrust.org.uk/resource/dementia-care-in-primary-and-secondary-care-in-england</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OECD (2026) </w:t>
      </w:r>
      <w:r>
        <w:rPr>
          <w:rStyle w:val="None"/>
          <w:rFonts w:ascii="Arial" w:hAnsi="Arial"/>
          <w:i w:val="1"/>
          <w:iCs w:val="1"/>
          <w:rtl w:val="0"/>
          <w:lang w:val="en-US"/>
        </w:rPr>
        <w:t>Progress in Implementing the European Union Coordinated Plan on Artificial Intelligence (Volume 2)</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"https://www.oecd.org/en/publications/progress-in-implementing-the-european-union-coordinated-plan-on-artificial-intelligence-volume-2_3ac96d41-en/full-report/ai-in-healthcare_7e518d41.html"</w:instrText>
      </w:r>
      <w:r>
        <w:rPr>
          <w:rStyle w:val="Hyperlink.0"/>
        </w:rPr>
        <w:fldChar w:fldCharType="separate" w:fldLock="0"/>
      </w:r>
      <w:r>
        <w:rPr>
          <w:rStyle w:val="Hyperlink.0"/>
          <w:rtl w:val="0"/>
        </w:rPr>
        <w:t>https://www.oecd.org/en/publications/progress-in-implementing-the-european-union-coordinated-plan-on-artificial-intelligence-volume-2_3ac96d41-en/full-report/ai-in-healthcare_7e518d41.html</w:t>
      </w:r>
      <w:r>
        <w:rPr/>
        <w:fldChar w:fldCharType="end" w:fldLock="0"/>
      </w:r>
      <w:r>
        <w:rPr>
          <w:rStyle w:val="None"/>
          <w:rFonts w:ascii="Arial" w:hAnsi="Arial"/>
          <w:rtl w:val="0"/>
          <w:lang w:val="en-US"/>
        </w:rPr>
        <w:t xml:space="preserve"> (Accessed: 8 March 2026). </w:t>
      </w:r>
    </w:p>
    <w:p>
      <w:pPr>
        <w:pStyle w:val="Normal1"/>
        <w:rPr>
          <w:rStyle w:val="None"/>
          <w:rFonts w:ascii="Arial" w:cs="Arial" w:hAnsi="Arial" w:eastAsia="Arial"/>
        </w:rPr>
      </w:pPr>
      <w:r>
        <w:rPr>
          <w:rStyle w:val="None"/>
          <w:rFonts w:ascii="Arial" w:hAnsi="Arial"/>
          <w:rtl w:val="0"/>
          <w:lang w:val="en-US"/>
        </w:rPr>
        <w:t>Onyejesi, C. R., James, T., and Kharicha, K. (2025). Understanding why health professionals are leaving the UK national health service (NHS)</w:t>
      </w:r>
      <w:r>
        <w:rPr>
          <w:rStyle w:val="None"/>
          <w:rFonts w:ascii="Arial" w:hAnsi="Arial" w:hint="default"/>
          <w:rtl w:val="0"/>
          <w:lang w:val="en-US"/>
        </w:rPr>
        <w:t>–</w:t>
      </w:r>
      <w:r>
        <w:rPr>
          <w:rStyle w:val="None"/>
          <w:rFonts w:ascii="Arial" w:hAnsi="Arial"/>
          <w:rtl w:val="0"/>
          <w:lang w:val="en-US"/>
        </w:rPr>
        <w:t xml:space="preserve">A systematic review and narrative synthesis. </w:t>
      </w:r>
      <w:r>
        <w:rPr>
          <w:rStyle w:val="None"/>
          <w:rFonts w:ascii="Arial" w:hAnsi="Arial"/>
          <w:i w:val="1"/>
          <w:iCs w:val="1"/>
          <w:rtl w:val="0"/>
          <w:lang w:val="en-US"/>
        </w:rPr>
        <w:t>Journal of Health Services Research &amp; Policy</w:t>
      </w:r>
      <w:r>
        <w:rPr>
          <w:rStyle w:val="None"/>
          <w:rFonts w:ascii="Arial" w:hAnsi="Arial"/>
          <w:rtl w:val="0"/>
          <w:lang w:val="en-US"/>
        </w:rPr>
        <w:t xml:space="preserve">, 13558196251384845. </w:t>
      </w:r>
      <w:r>
        <w:rPr>
          <w:rStyle w:val="Hyperlink.0"/>
        </w:rPr>
        <w:fldChar w:fldCharType="begin" w:fldLock="0"/>
      </w:r>
      <w:r>
        <w:rPr>
          <w:rStyle w:val="Hyperlink.0"/>
        </w:rPr>
        <w:instrText xml:space="preserve"> HYPERLINK "https://journals.sagepub.com/doi/pdf/10.1177/13558196251384845"</w:instrText>
      </w:r>
      <w:r>
        <w:rPr>
          <w:rStyle w:val="Hyperlink.0"/>
        </w:rPr>
        <w:fldChar w:fldCharType="separate" w:fldLock="0"/>
      </w:r>
      <w:r>
        <w:rPr>
          <w:rStyle w:val="Hyperlink.0"/>
          <w:rtl w:val="0"/>
        </w:rPr>
        <w:t>https://journals.sagepub.com/doi/pdf/10.1177/13558196251384845</w:t>
      </w:r>
      <w:r>
        <w:rPr/>
        <w:fldChar w:fldCharType="end" w:fldLock="0"/>
      </w:r>
      <w:r>
        <w:rPr>
          <w:rStyle w:val="None"/>
          <w:rFonts w:ascii="Arial" w:hAnsi="Arial"/>
          <w:rtl w:val="0"/>
          <w:lang w:val="en-US"/>
        </w:rPr>
        <w:t xml:space="preserve">  (Accessed: 8 March 2026).   </w:t>
      </w:r>
    </w:p>
    <w:p>
      <w:pPr>
        <w:pStyle w:val="Normal1"/>
        <w:rPr>
          <w:rStyle w:val="None"/>
          <w:rFonts w:ascii="Arial" w:cs="Arial" w:hAnsi="Arial" w:eastAsia="Arial"/>
        </w:rPr>
      </w:pPr>
      <w:r>
        <w:rPr>
          <w:rStyle w:val="None"/>
          <w:rFonts w:ascii="Arial" w:hAnsi="Arial"/>
          <w:rtl w:val="0"/>
          <w:lang w:val="en-US"/>
        </w:rPr>
        <w:t xml:space="preserve">Rehman Aslam, M. A. (2025). From Awareness to Wellness: Transforming Chronic Disease Prevention Through Grassroots Health Education. Available at: </w:t>
      </w:r>
      <w:r>
        <w:rPr>
          <w:rStyle w:val="Hyperlink.0"/>
        </w:rPr>
        <w:fldChar w:fldCharType="begin" w:fldLock="0"/>
      </w:r>
      <w:r>
        <w:rPr>
          <w:rStyle w:val="Hyperlink.0"/>
        </w:rPr>
        <w:instrText xml:space="preserve"> HYPERLINK "https://www.researchgate.net/profile/Muhammad-Asim-173/publication/387963991_From_Awareness_to_Wellness_Transforming_Chronic_Disease_Prevention_Through_Grassroots_Health_Education/links/67854c361afb4e11f5e3db00/From-Awareness-to-Wellness-Transforming-Chronic-Disease-Prevention-Through-Grassroots-Health-Education.pdf"</w:instrText>
      </w:r>
      <w:r>
        <w:rPr>
          <w:rStyle w:val="Hyperlink.0"/>
        </w:rPr>
        <w:fldChar w:fldCharType="separate" w:fldLock="0"/>
      </w:r>
      <w:r>
        <w:rPr>
          <w:rStyle w:val="Hyperlink.0"/>
          <w:rtl w:val="0"/>
        </w:rPr>
        <w:t>https://www.researchgate.net/profile/Muhammad-Asim-173/publication/387963991_From_Awareness_to_Wellness_Transforming_Chronic_Disease_Prevention_Through_Grassroots_Health_Education/links/67854c361afb4e11f5e3db00/From-Awareness-to-Wellness-Transforming-Chronic-Disease-Prevention-Through-Grassroots-Health-Education.pdf</w:t>
      </w:r>
      <w:r>
        <w:rPr/>
        <w:fldChar w:fldCharType="end" w:fldLock="0"/>
      </w:r>
      <w:r>
        <w:rPr>
          <w:rStyle w:val="None"/>
          <w:rFonts w:ascii="Arial" w:hAnsi="Arial"/>
          <w:rtl w:val="0"/>
          <w:lang w:val="en-US"/>
        </w:rPr>
        <w:t xml:space="preserve"> </w:t>
      </w:r>
    </w:p>
    <w:p>
      <w:pPr>
        <w:pStyle w:val="Normal1"/>
        <w:rPr>
          <w:rStyle w:val="None"/>
          <w:rFonts w:ascii="Arial" w:cs="Arial" w:hAnsi="Arial" w:eastAsia="Arial"/>
        </w:rPr>
      </w:pPr>
      <w:r>
        <w:rPr>
          <w:rStyle w:val="None"/>
          <w:rFonts w:ascii="Arial" w:hAnsi="Arial"/>
          <w:rtl w:val="0"/>
          <w:lang w:val="en-US"/>
        </w:rPr>
        <w:t xml:space="preserve">Shah, R., Salek, MS., Ali, FM., Nixon, SJ., Otwombe, K., Ingram, JR., Finlay, AY. (2024) Dementia and Its Profound Impact on Family Members and Partners. </w:t>
      </w:r>
      <w:r>
        <w:rPr>
          <w:rStyle w:val="None"/>
          <w:rFonts w:ascii="Arial" w:hAnsi="Arial"/>
          <w:i w:val="1"/>
          <w:iCs w:val="1"/>
          <w:rtl w:val="0"/>
          <w:lang w:val="en-US"/>
        </w:rPr>
        <w:t xml:space="preserve">NHS. </w:t>
      </w:r>
      <w:r>
        <w:rPr>
          <w:rStyle w:val="Hyperlink.0"/>
        </w:rPr>
        <w:fldChar w:fldCharType="begin" w:fldLock="0"/>
      </w:r>
      <w:r>
        <w:rPr>
          <w:rStyle w:val="Hyperlink.0"/>
        </w:rPr>
        <w:instrText xml:space="preserve"> HYPERLINK "https://pmc.ncbi.nlm.nih.gov/articles/PMC11584184/"</w:instrText>
      </w:r>
      <w:r>
        <w:rPr>
          <w:rStyle w:val="Hyperlink.0"/>
        </w:rPr>
        <w:fldChar w:fldCharType="separate" w:fldLock="0"/>
      </w:r>
      <w:r>
        <w:rPr>
          <w:rStyle w:val="Hyperlink.0"/>
          <w:rtl w:val="0"/>
        </w:rPr>
        <w:t>https://pmc.ncbi.nlm.nih.gov/articles/PMC11584184/</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Sommerlad, A., Kivim</w:t>
      </w:r>
      <w:r>
        <w:rPr>
          <w:rStyle w:val="None"/>
          <w:rFonts w:ascii="Arial" w:hAnsi="Arial" w:hint="default"/>
          <w:rtl w:val="0"/>
          <w:lang w:val="en-US"/>
        </w:rPr>
        <w:t>ä</w:t>
      </w:r>
      <w:r>
        <w:rPr>
          <w:rStyle w:val="None"/>
          <w:rFonts w:ascii="Arial" w:hAnsi="Arial"/>
          <w:rtl w:val="0"/>
          <w:lang w:val="en-US"/>
        </w:rPr>
        <w:t>ki, M., Larson, E.B., R</w:t>
      </w:r>
      <w:r>
        <w:rPr>
          <w:rStyle w:val="None"/>
          <w:rFonts w:ascii="Arial" w:hAnsi="Arial" w:hint="default"/>
          <w:rtl w:val="0"/>
          <w:lang w:val="en-US"/>
        </w:rPr>
        <w:t>ö</w:t>
      </w:r>
      <w:r>
        <w:rPr>
          <w:rStyle w:val="None"/>
          <w:rFonts w:ascii="Arial" w:hAnsi="Arial"/>
          <w:rtl w:val="0"/>
          <w:lang w:val="en-US"/>
        </w:rPr>
        <w:t xml:space="preserve">hr, S., Shirai, K., Singh-Manoux, A. and Livingston, G., (2023) Social participation and risk of developing dementia. Nature aging, 3(5), pp.532-545. </w:t>
      </w:r>
      <w:r>
        <w:rPr>
          <w:rStyle w:val="Hyperlink.0"/>
        </w:rPr>
        <w:fldChar w:fldCharType="begin" w:fldLock="0"/>
      </w:r>
      <w:r>
        <w:rPr>
          <w:rStyle w:val="Hyperlink.0"/>
        </w:rPr>
        <w:instrText xml:space="preserve"> HYPERLINK "https://discovery.ucl.ac.uk/id/eprint/10166084/1/Submitted%2520manuscript.pdf"</w:instrText>
      </w:r>
      <w:r>
        <w:rPr>
          <w:rStyle w:val="Hyperlink.0"/>
        </w:rPr>
        <w:fldChar w:fldCharType="separate" w:fldLock="0"/>
      </w:r>
      <w:r>
        <w:rPr>
          <w:rStyle w:val="Hyperlink.0"/>
          <w:rtl w:val="0"/>
        </w:rPr>
        <w:t>https://discovery.ucl.ac.uk/id/eprint/10166084/1/Submitted%20manuscript.pdf</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Stevenson-Hoare, J., Schalkamp, A., Sandor, C., Hardy, J., Escott-Price, V. (2023).  New cases of dementia are rising in elderly populations in Wales, UK. </w:t>
      </w:r>
      <w:r>
        <w:rPr>
          <w:rStyle w:val="None"/>
          <w:rFonts w:ascii="Arial" w:hAnsi="Arial"/>
          <w:i w:val="1"/>
          <w:iCs w:val="1"/>
          <w:rtl w:val="0"/>
          <w:lang w:val="en-US"/>
        </w:rPr>
        <w:t xml:space="preserve">NHS. </w:t>
      </w:r>
      <w:r>
        <w:rPr>
          <w:rStyle w:val="None"/>
          <w:rFonts w:ascii="Arial" w:hAnsi="Arial"/>
          <w:rtl w:val="0"/>
          <w:lang w:val="en-US"/>
        </w:rPr>
        <w:t xml:space="preserve">Available at: </w:t>
      </w:r>
      <w:r>
        <w:rPr>
          <w:rStyle w:val="Hyperlink.0"/>
        </w:rPr>
        <w:fldChar w:fldCharType="begin" w:fldLock="0"/>
      </w:r>
      <w:r>
        <w:rPr>
          <w:rStyle w:val="Hyperlink.0"/>
        </w:rPr>
        <w:instrText xml:space="preserve"> HYPERLINK "https://pmc.ncbi.nlm.nih.gov/articles/PMC7615574/"</w:instrText>
      </w:r>
      <w:r>
        <w:rPr>
          <w:rStyle w:val="Hyperlink.0"/>
        </w:rPr>
        <w:fldChar w:fldCharType="separate" w:fldLock="0"/>
      </w:r>
      <w:r>
        <w:rPr>
          <w:rStyle w:val="Hyperlink.0"/>
          <w:rtl w:val="0"/>
        </w:rPr>
        <w:t>https://pmc.ncbi.nlm.nih.gov/articles/PMC7615574/</w:t>
      </w:r>
      <w:r>
        <w:rPr/>
        <w:fldChar w:fldCharType="end" w:fldLock="0"/>
      </w:r>
      <w:r>
        <w:rPr>
          <w:rStyle w:val="None"/>
          <w:rFonts w:ascii="Arial" w:hAnsi="Arial"/>
          <w:rtl w:val="0"/>
          <w:lang w:val="en-US"/>
        </w:rPr>
        <w:t xml:space="preserve"> (Accessed: 8 March 2026).</w:t>
      </w:r>
    </w:p>
    <w:p>
      <w:pPr>
        <w:pStyle w:val="Normal1"/>
        <w:rPr>
          <w:rStyle w:val="None"/>
          <w:rFonts w:ascii="Arial" w:cs="Arial" w:hAnsi="Arial" w:eastAsia="Arial"/>
        </w:rPr>
      </w:pPr>
      <w:r>
        <w:rPr>
          <w:rStyle w:val="None"/>
          <w:rFonts w:ascii="Arial" w:hAnsi="Arial"/>
          <w:rtl w:val="0"/>
          <w:lang w:val="en-US"/>
        </w:rPr>
        <w:t xml:space="preserve">UN News (2025) </w:t>
      </w:r>
      <w:r>
        <w:rPr>
          <w:rStyle w:val="None"/>
          <w:rFonts w:ascii="Arial" w:hAnsi="Arial"/>
          <w:i w:val="1"/>
          <w:iCs w:val="1"/>
          <w:rtl w:val="0"/>
          <w:lang w:val="en-US"/>
        </w:rPr>
        <w:t>Who warns severe disruptions to health services amid funding cuts.</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"https://news.un.org/en/story/2025/04/1162091#:~:text=Recent%2520funding%2520cuts%2520have%2520caused,100%2520countries%2520compiled%2520by%2520WHO"</w:instrText>
      </w:r>
      <w:r>
        <w:rPr>
          <w:rStyle w:val="Hyperlink.0"/>
        </w:rPr>
        <w:fldChar w:fldCharType="separate" w:fldLock="0"/>
      </w:r>
      <w:r>
        <w:rPr>
          <w:rStyle w:val="Hyperlink.0"/>
          <w:rtl w:val="0"/>
        </w:rPr>
        <w:t>https://news.un.org/en/story/2025/04/1162091#:~:text=Recent%20funding%20cuts%20have%20caused,100%20countries%20compiled%20by%20WHO</w:t>
      </w:r>
      <w:r>
        <w:rPr/>
        <w:fldChar w:fldCharType="end" w:fldLock="0"/>
      </w:r>
      <w:r>
        <w:rPr>
          <w:rStyle w:val="None"/>
          <w:rFonts w:ascii="Arial" w:hAnsi="Arial"/>
          <w:rtl w:val="0"/>
          <w:lang w:val="en-US"/>
        </w:rPr>
        <w:t>. (Accessed: 8 March 2026)</w:t>
      </w:r>
    </w:p>
    <w:p>
      <w:pPr>
        <w:pStyle w:val="Normal1"/>
        <w:rPr>
          <w:rStyle w:val="None"/>
          <w:rFonts w:ascii="Arial" w:cs="Arial" w:hAnsi="Arial" w:eastAsia="Arial"/>
        </w:rPr>
      </w:pPr>
      <w:r>
        <w:rPr>
          <w:rStyle w:val="None"/>
          <w:rFonts w:ascii="Arial" w:hAnsi="Arial"/>
          <w:rtl w:val="0"/>
          <w:lang w:val="en-US"/>
        </w:rPr>
        <w:t xml:space="preserve">WHO, (2025). </w:t>
      </w:r>
      <w:r>
        <w:rPr>
          <w:rStyle w:val="None"/>
          <w:rFonts w:ascii="Arial" w:hAnsi="Arial"/>
          <w:i w:val="1"/>
          <w:iCs w:val="1"/>
          <w:rtl w:val="0"/>
          <w:lang w:val="en-US"/>
        </w:rPr>
        <w:t>dementia</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"https://www.who.int/news-room/fact-sheets/detail/dementia#:~:text=Most%2520symptoms%2520become%2520worse%2520over,well%2520as%2520those%2520around%2520them"</w:instrText>
      </w:r>
      <w:r>
        <w:rPr>
          <w:rStyle w:val="Hyperlink.0"/>
        </w:rPr>
        <w:fldChar w:fldCharType="separate" w:fldLock="0"/>
      </w:r>
      <w:r>
        <w:rPr>
          <w:rStyle w:val="Hyperlink.0"/>
          <w:rtl w:val="0"/>
        </w:rPr>
        <w:t>https://www.who.int/news-room/fact-sheets/detail/dementia#:~:text=Most%20symptoms%20become%20worse%20over,well%20as%20those%20around%20them</w:t>
      </w:r>
      <w:r>
        <w:rPr/>
        <w:fldChar w:fldCharType="end" w:fldLock="0"/>
      </w:r>
      <w:r>
        <w:rPr>
          <w:rStyle w:val="None"/>
          <w:rFonts w:ascii="Arial" w:hAnsi="Arial"/>
          <w:rtl w:val="0"/>
          <w:lang w:val="en-US"/>
        </w:rPr>
        <w:t xml:space="preserve">. </w:t>
      </w:r>
    </w:p>
    <w:p>
      <w:pPr>
        <w:pStyle w:val="Normal1"/>
        <w:rPr>
          <w:rStyle w:val="None"/>
          <w:rFonts w:ascii="Arial" w:cs="Arial" w:hAnsi="Arial" w:eastAsia="Arial"/>
        </w:rPr>
      </w:pPr>
      <w:r>
        <w:rPr>
          <w:rStyle w:val="None"/>
          <w:rFonts w:ascii="Arial" w:hAnsi="Arial"/>
          <w:rtl w:val="0"/>
          <w:lang w:val="en-US"/>
        </w:rPr>
        <w:t xml:space="preserve">WHO, (2025a). </w:t>
      </w:r>
      <w:r>
        <w:rPr>
          <w:rStyle w:val="None"/>
          <w:rFonts w:ascii="Arial" w:hAnsi="Arial"/>
          <w:i w:val="1"/>
          <w:iCs w:val="1"/>
          <w:rtl w:val="0"/>
          <w:lang w:val="en-US"/>
        </w:rPr>
        <w:t>WHO and Noora Health begin collaboration to strengthen support for family caregivers</w:t>
      </w:r>
      <w:r>
        <w:rPr>
          <w:rStyle w:val="None"/>
          <w:rFonts w:ascii="Arial" w:hAnsi="Arial"/>
          <w:rtl w:val="0"/>
          <w:lang w:val="en-US"/>
        </w:rPr>
        <w:t xml:space="preserve">. Available at: </w:t>
      </w:r>
      <w:r>
        <w:rPr>
          <w:rStyle w:val="Hyperlink.0"/>
        </w:rPr>
        <w:fldChar w:fldCharType="begin" w:fldLock="0"/>
      </w:r>
      <w:r>
        <w:rPr>
          <w:rStyle w:val="Hyperlink.0"/>
        </w:rPr>
        <w:instrText xml:space="preserve"> HYPERLINK "https://www.who.int/news/item/29-07-2025-who-and-noora-health-begin-collaboration-to-strengthen-support-for-family-caregivers#:~:text=%25C2%25A9-,WHO%2520and%2520Noora%2520Health%2520begin%2520collaboration%2520to%2520strengthen%2520support%2520for,vital%2520component%2520of%2520health%2520systems"</w:instrText>
      </w:r>
      <w:r>
        <w:rPr>
          <w:rStyle w:val="Hyperlink.0"/>
        </w:rPr>
        <w:fldChar w:fldCharType="separate" w:fldLock="0"/>
      </w:r>
      <w:r>
        <w:rPr>
          <w:rStyle w:val="Hyperlink.0"/>
          <w:rtl w:val="0"/>
        </w:rPr>
        <w:t>https://www.who.int/news/item/29-07-2025-who-and-noora-health-begin-collaboration-to-strengthen-support-for-family-caregivers#:~:text=%C2%A9-,WHO%20and%20Noora%20Health%20begin%20collaboration%20to%20strengthen%20support%20for,vital%20component%20of%20health%20systems</w:t>
      </w:r>
      <w:r>
        <w:rPr/>
        <w:fldChar w:fldCharType="end" w:fldLock="0"/>
      </w:r>
      <w:r>
        <w:rPr>
          <w:rStyle w:val="None"/>
          <w:rFonts w:ascii="Arial" w:hAnsi="Arial"/>
          <w:rtl w:val="0"/>
          <w:lang w:val="en-US"/>
        </w:rPr>
        <w:t>. (Accessed: 8 March 2026)</w:t>
      </w:r>
    </w:p>
    <w:p>
      <w:pPr>
        <w:pStyle w:val="Normal1"/>
        <w:rPr>
          <w:rStyle w:val="None"/>
          <w:rFonts w:ascii="Arial" w:cs="Arial" w:hAnsi="Arial" w:eastAsia="Arial"/>
        </w:rPr>
      </w:pPr>
      <w:r>
        <w:rPr>
          <w:rStyle w:val="None"/>
          <w:rFonts w:ascii="Arial" w:hAnsi="Arial"/>
          <w:rtl w:val="0"/>
          <w:lang w:val="en-US"/>
        </w:rPr>
        <w:t xml:space="preserve">You, W. (2025). Lower birth rate, greater female dementia risk: global and regional patterns and public health implications. </w:t>
      </w:r>
      <w:r>
        <w:rPr>
          <w:rStyle w:val="None"/>
          <w:rFonts w:ascii="Arial" w:hAnsi="Arial"/>
          <w:i w:val="1"/>
          <w:iCs w:val="1"/>
          <w:rtl w:val="0"/>
          <w:lang w:val="en-US"/>
        </w:rPr>
        <w:t>Future Science OA,</w:t>
      </w:r>
      <w:r>
        <w:rPr>
          <w:rStyle w:val="None"/>
          <w:rFonts w:ascii="Arial" w:hAnsi="Arial"/>
          <w:rtl w:val="0"/>
          <w:lang w:val="en-US"/>
        </w:rPr>
        <w:t xml:space="preserve"> 11(1), 2550897. Available at: </w:t>
      </w:r>
      <w:r>
        <w:rPr>
          <w:rStyle w:val="Hyperlink.0"/>
        </w:rPr>
        <w:fldChar w:fldCharType="begin" w:fldLock="0"/>
      </w:r>
      <w:r>
        <w:rPr>
          <w:rStyle w:val="Hyperlink.0"/>
        </w:rPr>
        <w:instrText xml:space="preserve"> HYPERLINK "https://www.tandfonline.com/doi/abs/10.1080/20565623.2025.2550897"</w:instrText>
      </w:r>
      <w:r>
        <w:rPr>
          <w:rStyle w:val="Hyperlink.0"/>
        </w:rPr>
        <w:fldChar w:fldCharType="separate" w:fldLock="0"/>
      </w:r>
      <w:r>
        <w:rPr>
          <w:rStyle w:val="Hyperlink.0"/>
          <w:rtl w:val="0"/>
        </w:rPr>
        <w:t>https://www.tandfonline.com/doi/abs/10.1080/20565623.2025.2550897</w:t>
      </w:r>
      <w:r>
        <w:rPr/>
        <w:fldChar w:fldCharType="end" w:fldLock="0"/>
      </w:r>
    </w:p>
    <w:p>
      <w:pPr>
        <w:pStyle w:val="Normal1"/>
        <w:rPr>
          <w:rStyle w:val="None"/>
          <w:rFonts w:ascii="Arial" w:cs="Arial" w:hAnsi="Arial" w:eastAsia="Arial"/>
        </w:rPr>
        <w:sectPr>
          <w:type w:val="continuous"/>
          <w:pgSz w:w="12240" w:h="15840" w:orient="portrait"/>
          <w:pgMar w:top="1440" w:right="1440" w:bottom="1440" w:left="1440" w:header="720" w:footer="720"/>
          <w:pgNumType w:start="1"/>
          <w:cols w:space="720" w:num="2" w:equalWidth="1"/>
          <w:bidi w:val="0"/>
        </w:sectPr>
      </w:pPr>
      <w:r>
        <w:rPr>
          <w:rStyle w:val="None"/>
          <w:rFonts w:ascii="Arial" w:hAnsi="Arial"/>
          <w:rtl w:val="0"/>
          <w:lang w:val="en-US"/>
        </w:rPr>
        <w:t xml:space="preserve">Zhou, S., Zhou, R., Zhong, T., Li, R., Tan, J., and Zhou, H. (2014). Association of smoking and alcohol drinking with dementia risk among elderly men in China. </w:t>
      </w:r>
      <w:r>
        <w:rPr>
          <w:rStyle w:val="None"/>
          <w:rFonts w:ascii="Arial" w:hAnsi="Arial"/>
          <w:i w:val="1"/>
          <w:iCs w:val="1"/>
          <w:rtl w:val="0"/>
          <w:lang w:val="en-US"/>
        </w:rPr>
        <w:t>Current Alzheimer Research</w:t>
      </w:r>
      <w:r>
        <w:rPr>
          <w:rStyle w:val="None"/>
          <w:rFonts w:ascii="Arial" w:hAnsi="Arial"/>
          <w:rtl w:val="0"/>
          <w:lang w:val="en-US"/>
        </w:rPr>
        <w:t xml:space="preserve">, 11(9), 899-907. Available at: </w:t>
      </w:r>
      <w:r>
        <w:rPr>
          <w:rStyle w:val="Hyperlink.0"/>
        </w:rPr>
        <w:fldChar w:fldCharType="begin" w:fldLock="0"/>
      </w:r>
      <w:r>
        <w:rPr>
          <w:rStyle w:val="Hyperlink.0"/>
        </w:rPr>
        <w:instrText xml:space="preserve"> HYPERLINK "https://www.ingentaconnect.com/content/ben/car/2014/00000011/00000009/art00009?crawler=true&amp;mimetype=application/pdf"</w:instrText>
      </w:r>
      <w:r>
        <w:rPr>
          <w:rStyle w:val="Hyperlink.0"/>
        </w:rPr>
        <w:fldChar w:fldCharType="separate" w:fldLock="0"/>
      </w:r>
      <w:r>
        <w:rPr>
          <w:rStyle w:val="Hyperlink.0"/>
          <w:rtl w:val="0"/>
        </w:rPr>
        <w:t>https://www.ingentaconnect.com/content/ben/car/2014/00000011/00000009/art00009?crawler=true&amp;mimetype=application/pdf</w:t>
      </w:r>
      <w:r>
        <w:rPr/>
        <w:fldChar w:fldCharType="end" w:fldLock="0"/>
      </w:r>
      <w:r>
        <w:rPr>
          <w:rStyle w:val="None"/>
          <w:rFonts w:ascii="Arial" w:hAnsi="Arial"/>
          <w:rtl w:val="0"/>
          <w:lang w:val="en-US"/>
        </w:rPr>
        <w:t xml:space="preserve"> (Accessed: 8 March 2026).</w:t>
      </w:r>
      <w:r>
        <w:rPr>
          <w:rStyle w:val="None"/>
          <w:rFonts w:ascii="Arial" w:cs="Arial" w:hAnsi="Arial" w:eastAsia="Arial"/>
        </w:rPr>
      </w:r>
    </w:p>
    <w:p>
      <w:pPr>
        <w:pStyle w:val="Normal1"/>
        <w:rPr>
          <w:rStyle w:val="None"/>
          <w:rFonts w:ascii="Arial" w:cs="Arial" w:hAnsi="Arial" w:eastAsia="Arial"/>
        </w:rPr>
      </w:pPr>
    </w:p>
    <w:p>
      <w:pPr>
        <w:pStyle w:val="Normal1"/>
        <w:rPr>
          <w:rStyle w:val="None"/>
          <w:rFonts w:ascii="Arial" w:cs="Arial" w:hAnsi="Arial" w:eastAsia="Arial"/>
        </w:rPr>
      </w:pPr>
    </w:p>
    <w:p>
      <w:pPr>
        <w:pStyle w:val="Normal1"/>
      </w:pPr>
      <w:r>
        <w:rPr>
          <w:rStyle w:val="None"/>
          <w:rFonts w:ascii="Arial" w:cs="Arial" w:hAnsi="Arial" w:eastAsia="Arial"/>
          <w:b w:val="1"/>
          <w:bCs w:val="1"/>
        </w:rPr>
      </w:r>
    </w:p>
    <w:sectPr>
      <w:type w:val="continuous"/>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Imported Style 7"/>
  </w:abstractNum>
  <w:abstractNum w:abstractNumId="13">
    <w:multiLevelType w:val="hybridMultilevel"/>
    <w:styleLink w:val="Imported Style 7"/>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multiLevelType w:val="hybridMultilevel"/>
    <w:numStyleLink w:val="Imported Style 8"/>
  </w:abstractNum>
  <w:abstractNum w:abstractNumId="15">
    <w:multiLevelType w:val="hybridMultilevel"/>
    <w:styleLink w:val="Imported Style 8"/>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numStyleLink w:val="Imported Style 9"/>
  </w:abstractNum>
  <w:abstractNum w:abstractNumId="17">
    <w:multiLevelType w:val="hybridMultilevel"/>
    <w:styleLink w:val="Imported Style 9"/>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8">
    <w:multiLevelType w:val="hybridMultilevel"/>
    <w:numStyleLink w:val="Imported Style 10"/>
  </w:abstractNum>
  <w:abstractNum w:abstractNumId="19">
    <w:multiLevelType w:val="hybridMultilevel"/>
    <w:styleLink w:val="Imported Style 10"/>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 w:numId="19">
    <w:abstractNumId w:val="19"/>
  </w:num>
  <w:num w:numId="20">
    <w:abstractNumId w:val="1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1">
    <w:name w:val="Normal1"/>
    <w:next w:val="Normal1"/>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libri" w:cs="Arial Unicode MS" w:hAnsi="Calibri"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Fill>
        <w14:solidFill>
          <w14:srgbClr w14:val="000000"/>
        </w14:solidFill>
      </w14:textFill>
    </w:rPr>
  </w:style>
  <w:style w:type="paragraph" w:styleId="Heading">
    <w:name w:val="Heading"/>
    <w:next w:val="Normal1"/>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Fill>
        <w14:solidFill>
          <w14:srgbClr w14:val="000000"/>
        </w14:solidFill>
      </w14:textFill>
    </w:rPr>
  </w:style>
  <w:style w:type="paragraph" w:styleId="Heading 2">
    <w:name w:val="Heading 2"/>
    <w:next w:val="Normal1"/>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 w:type="numbering" w:styleId="Imported Style 7">
    <w:name w:val="Imported Style 7"/>
    <w:pPr>
      <w:numPr>
        <w:numId w:val="13"/>
      </w:numPr>
    </w:pPr>
  </w:style>
  <w:style w:type="numbering" w:styleId="Imported Style 8">
    <w:name w:val="Imported Style 8"/>
    <w:pPr>
      <w:numPr>
        <w:numId w:val="15"/>
      </w:numPr>
    </w:pPr>
  </w:style>
  <w:style w:type="numbering" w:styleId="Imported Style 9">
    <w:name w:val="Imported Style 9"/>
    <w:pPr>
      <w:numPr>
        <w:numId w:val="17"/>
      </w:numPr>
    </w:pPr>
  </w:style>
  <w:style w:type="numbering" w:styleId="Imported Style 10">
    <w:name w:val="Imported Style 10"/>
    <w:pPr>
      <w:numPr>
        <w:numId w:val="19"/>
      </w:numPr>
    </w:pPr>
  </w:style>
  <w:style w:type="character" w:styleId="None">
    <w:name w:val="None"/>
  </w:style>
  <w:style w:type="character" w:styleId="Hyperlink.0">
    <w:name w:val="Hyperlink.0"/>
    <w:basedOn w:val="None"/>
    <w:next w:val="Hyperlink.0"/>
    <w:rPr>
      <w:rFonts w:ascii="Arial" w:cs="Arial" w:hAnsi="Arial" w:eastAsia="Arial"/>
      <w:outline w:val="0"/>
      <w:color w:val="1155cc"/>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numbering" Target="numbering.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