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ore0.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metadata/core-properties" Target="docProps/core0.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82150C" w14:textId="77777777" w:rsidR="004B4463" w:rsidRDefault="00F763E6">
      <w:pPr>
        <w:jc w:val="center"/>
        <w:rPr>
          <w:rFonts w:cs="Arial"/>
          <w:b/>
          <w:bCs/>
          <w:sz w:val="28"/>
          <w:szCs w:val="24"/>
        </w:rPr>
      </w:pPr>
      <w:r>
        <w:rPr>
          <w:rFonts w:cs="Arial"/>
          <w:b/>
          <w:bCs/>
          <w:noProof/>
          <w:sz w:val="28"/>
          <w:szCs w:val="24"/>
        </w:rPr>
        <mc:AlternateContent>
          <mc:Choice Requires="wps">
            <w:drawing>
              <wp:anchor distT="0" distB="0" distL="114300" distR="114300" simplePos="0" relativeHeight="5" behindDoc="0" locked="0" layoutInCell="0" allowOverlap="1" wp14:anchorId="04441B7A" wp14:editId="43DEB7FD">
                <wp:simplePos x="0" y="0"/>
                <wp:positionH relativeFrom="margin">
                  <wp:align>center</wp:align>
                </wp:positionH>
                <wp:positionV relativeFrom="paragraph">
                  <wp:posOffset>635</wp:posOffset>
                </wp:positionV>
                <wp:extent cx="3454400" cy="1145540"/>
                <wp:effectExtent l="0" t="0" r="0" b="0"/>
                <wp:wrapTopAndBottom/>
                <wp:docPr id="1" name="Picture 1967843545"/>
                <wp:cNvGraphicFramePr/>
                <a:graphic xmlns:a="http://schemas.openxmlformats.org/drawingml/2006/main">
                  <a:graphicData uri="http://schemas.openxmlformats.org/drawingml/2006/picture">
                    <pic:pic xmlns:pic="http://schemas.openxmlformats.org/drawingml/2006/picture">
                      <pic:nvPicPr>
                        <pic:cNvPr id="2" name="Picture 1967843545"/>
                        <pic:cNvPicPr/>
                      </pic:nvPicPr>
                      <pic:blipFill>
                        <a:blip r:embed="rId8">
                          <a:extLst>
                            <a:ext uri="{BEBA8EAE-BF5A-486C-A8C5-ECC9F3942E4B}">
                              <a14:imgProps xmlns:a14="http://schemas.microsoft.com/office/drawing/2010/main">
                                <a14:imgLayer r:embed="rId9">
                                  <a14:imgEffect>
                                    <a14:colorTemperature colorTemp="8800"/>
                                  </a14:imgEffect>
                                </a14:imgLayer>
                              </a14:imgProps>
                            </a:ext>
                          </a:extLst>
                        </a:blip>
                        <a:stretch/>
                      </pic:blipFill>
                      <pic:spPr>
                        <a:xfrm>
                          <a:off x="0" y="0"/>
                          <a:ext cx="3454560" cy="1145520"/>
                        </a:xfrm>
                        <a:prstGeom prst="rect">
                          <a:avLst/>
                        </a:prstGeom>
                        <a:noFill/>
                        <a:ln w="0">
                          <a:noFill/>
                        </a:ln>
                      </pic:spPr>
                    </pic:pic>
                  </a:graphicData>
                </a:graphic>
              </wp:anchor>
            </w:drawing>
          </mc:Choice>
          <mc:Fallback xmlns:pic="http://schemas.openxmlformats.org/drawingml/2006/picture">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_0" ID="Picture 1967843545" stroked="f" o:allowincell="f" style="position:absolute;margin-left:98pt;margin-top:0.05pt;width:271.95pt;height:90.15pt;mso-wrap-style:none;v-text-anchor:middle;mso-position-horizontal:center;mso-position-horizontal-relative:margin" wp14:anchorId="753192A5" type="_x0000_t75">
                <v:imagedata r:id="rId10" o:detectmouseclick="t"/>
                <v:stroke color="#3465a4" joinstyle="round" endcap="flat"/>
                <w10:wrap type="topAndBottom"/>
              </v:shape>
            </w:pict>
          </mc:Fallback>
        </mc:AlternateContent>
      </w:r>
    </w:p>
    <w:p w14:paraId="326E62FF" w14:textId="77777777" w:rsidR="004B4463" w:rsidRDefault="00F763E6">
      <w:pPr>
        <w:jc w:val="center"/>
        <w:rPr>
          <w:rFonts w:cs="Arial"/>
          <w:b/>
          <w:bCs/>
          <w:sz w:val="28"/>
          <w:szCs w:val="24"/>
        </w:rPr>
      </w:pPr>
      <w:r>
        <w:rPr>
          <w:rFonts w:cs="Arial"/>
          <w:b/>
          <w:bCs/>
          <w:sz w:val="28"/>
          <w:szCs w:val="24"/>
        </w:rPr>
        <w:t>Institute of Inner-City Learning</w:t>
      </w:r>
    </w:p>
    <w:p w14:paraId="4FD8B15E" w14:textId="77777777" w:rsidR="004B4463" w:rsidRDefault="00F763E6">
      <w:pPr>
        <w:jc w:val="center"/>
        <w:rPr>
          <w:rFonts w:cs="Arial"/>
          <w:b/>
          <w:bCs/>
          <w:sz w:val="28"/>
          <w:szCs w:val="24"/>
        </w:rPr>
      </w:pPr>
      <w:r>
        <w:rPr>
          <w:rFonts w:cs="Arial"/>
          <w:b/>
          <w:bCs/>
          <w:sz w:val="28"/>
          <w:szCs w:val="24"/>
        </w:rPr>
        <w:t>London Campus</w:t>
      </w:r>
    </w:p>
    <w:p w14:paraId="47195018" w14:textId="43A9F092" w:rsidR="004B4463" w:rsidRDefault="00F763E6">
      <w:pPr>
        <w:jc w:val="center"/>
        <w:rPr>
          <w:rFonts w:cs="Arial"/>
          <w:b/>
          <w:bCs/>
          <w:sz w:val="28"/>
          <w:szCs w:val="24"/>
        </w:rPr>
      </w:pPr>
      <w:r>
        <w:rPr>
          <w:rFonts w:cs="Arial"/>
          <w:b/>
          <w:bCs/>
          <w:sz w:val="28"/>
          <w:szCs w:val="24"/>
        </w:rPr>
        <w:t>Master of Business Administration (MBA)</w:t>
      </w:r>
    </w:p>
    <w:p w14:paraId="697EEA47" w14:textId="77777777" w:rsidR="007959CC" w:rsidRDefault="007959CC">
      <w:pPr>
        <w:jc w:val="center"/>
        <w:rPr>
          <w:rFonts w:cs="Arial"/>
          <w:b/>
          <w:bCs/>
          <w:sz w:val="28"/>
          <w:szCs w:val="24"/>
        </w:rPr>
      </w:pPr>
    </w:p>
    <w:p w14:paraId="3122869B" w14:textId="77777777" w:rsidR="004B4463" w:rsidRDefault="00F763E6">
      <w:pPr>
        <w:jc w:val="center"/>
        <w:rPr>
          <w:rFonts w:cs="Arial"/>
          <w:b/>
          <w:bCs/>
          <w:sz w:val="28"/>
          <w:szCs w:val="24"/>
        </w:rPr>
      </w:pPr>
      <w:r>
        <w:rPr>
          <w:rFonts w:cs="Arial"/>
          <w:b/>
          <w:bCs/>
          <w:sz w:val="28"/>
          <w:szCs w:val="24"/>
        </w:rPr>
        <w:t xml:space="preserve">Dissertation Title: </w:t>
      </w:r>
    </w:p>
    <w:p w14:paraId="1492B2A4" w14:textId="44EE8C72" w:rsidR="004B4463" w:rsidRDefault="00F763E6">
      <w:pPr>
        <w:jc w:val="center"/>
        <w:rPr>
          <w:rFonts w:cs="Arial"/>
          <w:b/>
          <w:bCs/>
          <w:sz w:val="28"/>
          <w:szCs w:val="24"/>
        </w:rPr>
      </w:pPr>
      <w:r>
        <w:rPr>
          <w:rFonts w:cs="Arial"/>
          <w:b/>
          <w:bCs/>
          <w:sz w:val="28"/>
          <w:szCs w:val="24"/>
        </w:rPr>
        <w:t>"Evaluating the Impact of Environmental, Social and Governance (ESG) Strategy on Corporate Reputation and Long-Term Competitive Advantage: A Secondary Study of the UK Consumer Goods Industry"</w:t>
      </w:r>
    </w:p>
    <w:p w14:paraId="0E8EC569" w14:textId="77777777" w:rsidR="007959CC" w:rsidRDefault="007959CC">
      <w:pPr>
        <w:jc w:val="center"/>
        <w:rPr>
          <w:rFonts w:cs="Arial"/>
          <w:b/>
          <w:bCs/>
          <w:sz w:val="28"/>
          <w:szCs w:val="24"/>
        </w:rPr>
      </w:pPr>
    </w:p>
    <w:p w14:paraId="5ADBF83F" w14:textId="77777777" w:rsidR="004B4463" w:rsidRDefault="00F763E6">
      <w:pPr>
        <w:jc w:val="center"/>
        <w:rPr>
          <w:rFonts w:cs="Arial"/>
          <w:b/>
          <w:bCs/>
          <w:sz w:val="28"/>
          <w:szCs w:val="24"/>
        </w:rPr>
      </w:pPr>
      <w:r>
        <w:rPr>
          <w:rFonts w:cs="Arial"/>
          <w:b/>
          <w:bCs/>
          <w:sz w:val="28"/>
          <w:szCs w:val="24"/>
        </w:rPr>
        <w:t>Student Name: Resvy Ahmed</w:t>
      </w:r>
    </w:p>
    <w:p w14:paraId="43CF6B58" w14:textId="77777777" w:rsidR="004B4463" w:rsidRDefault="00F763E6">
      <w:pPr>
        <w:jc w:val="center"/>
        <w:rPr>
          <w:rFonts w:cs="Arial"/>
          <w:b/>
          <w:bCs/>
          <w:sz w:val="28"/>
          <w:szCs w:val="24"/>
        </w:rPr>
      </w:pPr>
      <w:r>
        <w:rPr>
          <w:rFonts w:cs="Arial"/>
          <w:b/>
          <w:bCs/>
          <w:sz w:val="28"/>
          <w:szCs w:val="24"/>
        </w:rPr>
        <w:t>Student Number:</w:t>
      </w:r>
      <w:r>
        <w:rPr>
          <w:rFonts w:cs="Arial"/>
          <w:sz w:val="28"/>
          <w:szCs w:val="24"/>
        </w:rPr>
        <w:t xml:space="preserve"> </w:t>
      </w:r>
      <w:r>
        <w:rPr>
          <w:rFonts w:cs="Arial"/>
          <w:b/>
          <w:bCs/>
          <w:sz w:val="28"/>
          <w:szCs w:val="24"/>
        </w:rPr>
        <w:t>2504376</w:t>
      </w:r>
    </w:p>
    <w:p w14:paraId="0755DC60" w14:textId="77777777" w:rsidR="004B4463" w:rsidRDefault="00F763E6">
      <w:pPr>
        <w:jc w:val="center"/>
        <w:rPr>
          <w:rFonts w:cs="Arial"/>
          <w:b/>
          <w:bCs/>
          <w:sz w:val="28"/>
          <w:szCs w:val="24"/>
        </w:rPr>
      </w:pPr>
      <w:r>
        <w:rPr>
          <w:rFonts w:cs="Arial"/>
          <w:b/>
          <w:bCs/>
          <w:sz w:val="28"/>
          <w:szCs w:val="24"/>
        </w:rPr>
        <w:t>Module code: LCMB7035</w:t>
      </w:r>
    </w:p>
    <w:p w14:paraId="03F3F458" w14:textId="77777777" w:rsidR="004B4463" w:rsidRDefault="00F763E6">
      <w:pPr>
        <w:jc w:val="center"/>
        <w:rPr>
          <w:rFonts w:cs="Arial"/>
          <w:b/>
          <w:bCs/>
          <w:sz w:val="28"/>
          <w:szCs w:val="24"/>
        </w:rPr>
      </w:pPr>
      <w:r>
        <w:rPr>
          <w:rFonts w:cs="Arial"/>
          <w:b/>
          <w:bCs/>
          <w:sz w:val="28"/>
          <w:szCs w:val="24"/>
        </w:rPr>
        <w:t xml:space="preserve">Module Name: Dissertation </w:t>
      </w:r>
    </w:p>
    <w:p w14:paraId="40F1808D" w14:textId="77777777" w:rsidR="004B4463" w:rsidRDefault="00F763E6">
      <w:pPr>
        <w:jc w:val="center"/>
        <w:rPr>
          <w:rFonts w:cs="Arial"/>
          <w:b/>
          <w:bCs/>
          <w:sz w:val="28"/>
          <w:szCs w:val="24"/>
        </w:rPr>
      </w:pPr>
      <w:r>
        <w:rPr>
          <w:rFonts w:cs="Arial"/>
          <w:b/>
          <w:bCs/>
          <w:sz w:val="28"/>
          <w:szCs w:val="24"/>
        </w:rPr>
        <w:t>Supervisor: Dr Ghulam Mujtaba</w:t>
      </w:r>
    </w:p>
    <w:p w14:paraId="49940DC7" w14:textId="77777777" w:rsidR="007959CC" w:rsidRDefault="007959CC">
      <w:pPr>
        <w:jc w:val="center"/>
      </w:pPr>
    </w:p>
    <w:p w14:paraId="0BDD7DFD" w14:textId="0EA3C3F1" w:rsidR="004B4463" w:rsidRPr="007959CC" w:rsidRDefault="00F763E6">
      <w:pPr>
        <w:jc w:val="center"/>
        <w:rPr>
          <w:rFonts w:cs="Arial"/>
          <w:b/>
          <w:bCs/>
          <w:i/>
          <w:iCs/>
          <w:sz w:val="28"/>
          <w:szCs w:val="28"/>
        </w:rPr>
      </w:pPr>
      <w:r w:rsidRPr="007959CC">
        <w:rPr>
          <w:b/>
          <w:bCs/>
          <w:sz w:val="28"/>
          <w:szCs w:val="28"/>
        </w:rPr>
        <w:t>Word Count: 1</w:t>
      </w:r>
      <w:r w:rsidR="00C41846">
        <w:rPr>
          <w:b/>
          <w:bCs/>
          <w:sz w:val="28"/>
          <w:szCs w:val="28"/>
        </w:rPr>
        <w:t>558</w:t>
      </w:r>
      <w:r w:rsidR="004C243B">
        <w:rPr>
          <w:b/>
          <w:bCs/>
          <w:sz w:val="28"/>
          <w:szCs w:val="28"/>
        </w:rPr>
        <w:t>6</w:t>
      </w:r>
    </w:p>
    <w:p w14:paraId="4B370171" w14:textId="77777777" w:rsidR="004B4463" w:rsidRPr="00624E33" w:rsidRDefault="00F763E6">
      <w:pPr>
        <w:jc w:val="center"/>
        <w:rPr>
          <w:rFonts w:cs="Arial"/>
          <w:b/>
          <w:bCs/>
          <w:i/>
          <w:iCs/>
          <w:sz w:val="28"/>
          <w:szCs w:val="28"/>
        </w:rPr>
        <w:sectPr w:rsidR="004B4463" w:rsidRPr="00624E33">
          <w:pgSz w:w="12240" w:h="15840"/>
          <w:pgMar w:top="1440" w:right="1440" w:bottom="1440" w:left="1440" w:header="0" w:footer="0" w:gutter="0"/>
          <w:cols w:space="720"/>
          <w:formProt w:val="0"/>
          <w:docGrid w:linePitch="360"/>
        </w:sectPr>
      </w:pPr>
      <w:r w:rsidRPr="007959CC">
        <w:rPr>
          <w:b/>
          <w:bCs/>
          <w:sz w:val="28"/>
          <w:szCs w:val="28"/>
        </w:rPr>
        <w:t>Submission Date: 25 September 2026</w:t>
      </w:r>
    </w:p>
    <w:p w14:paraId="3EED490E" w14:textId="77777777" w:rsidR="004B4463" w:rsidRDefault="004B4463" w:rsidP="00D90FFE">
      <w:pPr>
        <w:pStyle w:val="Heading1"/>
      </w:pPr>
    </w:p>
    <w:p w14:paraId="30186186" w14:textId="77777777" w:rsidR="004B4463" w:rsidRDefault="00F763E6">
      <w:pPr>
        <w:pStyle w:val="Heading1"/>
      </w:pPr>
      <w:bookmarkStart w:id="0" w:name="_Toc240378592"/>
      <w:bookmarkStart w:id="1" w:name="_Toc241154014"/>
      <w:r>
        <w:t>Acknowledgements</w:t>
      </w:r>
      <w:bookmarkEnd w:id="0"/>
      <w:bookmarkEnd w:id="1"/>
    </w:p>
    <w:p w14:paraId="32621770" w14:textId="674E12BF" w:rsidR="004B4463" w:rsidRDefault="008320B7">
      <w:r>
        <w:t>I would like to express my gratitude to Dr Ghulam Mujtaba for his guidance and supervision in the writing of this dissertation, and to the academic staff at the Institute of Inner-City Learning for the learning environment provided. Thanks, are also due to the researchers, regulators, assurance providers and companies whose published research and work facilitated the secondary analysis. If there are some parts that I have misunderstood in between, it's me</w:t>
      </w:r>
      <w:r w:rsidR="00F763E6">
        <w:t>.</w:t>
      </w:r>
    </w:p>
    <w:p w14:paraId="782A01A5" w14:textId="77777777" w:rsidR="004B4463" w:rsidRDefault="004B4463"/>
    <w:p w14:paraId="7E8E0E99" w14:textId="77777777" w:rsidR="004B4463" w:rsidRDefault="004B4463"/>
    <w:p w14:paraId="06770632" w14:textId="77777777" w:rsidR="008320B7" w:rsidRDefault="008320B7" w:rsidP="008320B7">
      <w:r>
        <w:t>Name: Resvy Ahmed</w:t>
      </w:r>
    </w:p>
    <w:p w14:paraId="2AD306EF" w14:textId="1F355F31" w:rsidR="004B4463" w:rsidRDefault="008320B7" w:rsidP="008320B7">
      <w:r>
        <w:t>Student number: 2504376</w:t>
      </w:r>
    </w:p>
    <w:p w14:paraId="7CBDC255" w14:textId="77777777" w:rsidR="004B4463" w:rsidRDefault="004B4463"/>
    <w:p w14:paraId="16D529F9" w14:textId="77777777" w:rsidR="004B4463" w:rsidRDefault="004B4463"/>
    <w:p w14:paraId="0AB7E8F0" w14:textId="77777777" w:rsidR="004B4463" w:rsidRDefault="004B4463"/>
    <w:p w14:paraId="4C6FEA7F" w14:textId="77777777" w:rsidR="004B4463" w:rsidRDefault="004B4463"/>
    <w:p w14:paraId="7C83E386" w14:textId="77777777" w:rsidR="004B4463" w:rsidRDefault="004B4463"/>
    <w:p w14:paraId="6ABC8044" w14:textId="77777777" w:rsidR="004B4463" w:rsidRDefault="004B4463"/>
    <w:p w14:paraId="5C91A2D1" w14:textId="77777777" w:rsidR="004B4463" w:rsidRDefault="004B4463"/>
    <w:p w14:paraId="5A201E44" w14:textId="77777777" w:rsidR="004B4463" w:rsidRDefault="004B4463"/>
    <w:p w14:paraId="1D35F796" w14:textId="77777777" w:rsidR="004B4463" w:rsidRDefault="004B4463"/>
    <w:p w14:paraId="3A680A03" w14:textId="77777777" w:rsidR="004B4463" w:rsidRDefault="004B4463"/>
    <w:p w14:paraId="4454EABC" w14:textId="77777777" w:rsidR="004B4463" w:rsidRDefault="004B4463"/>
    <w:p w14:paraId="08BDF961" w14:textId="77777777" w:rsidR="004B4463" w:rsidRDefault="004B4463"/>
    <w:p w14:paraId="7B14B1DC" w14:textId="77777777" w:rsidR="004B4463" w:rsidRDefault="00F763E6">
      <w:pPr>
        <w:pStyle w:val="Heading1"/>
      </w:pPr>
      <w:bookmarkStart w:id="2" w:name="_Toc240378593"/>
      <w:bookmarkStart w:id="3" w:name="_Toc241154015"/>
      <w:r>
        <w:lastRenderedPageBreak/>
        <w:t>Abstract</w:t>
      </w:r>
      <w:bookmarkEnd w:id="2"/>
      <w:bookmarkEnd w:id="3"/>
    </w:p>
    <w:p w14:paraId="64BE47DB" w14:textId="638FF05C" w:rsidR="00B4429C" w:rsidRPr="008320B7" w:rsidRDefault="008320B7" w:rsidP="00B4429C">
      <w:r>
        <w:t>This dissertation explores the potential role of environmental, social and governance (ESG) strategy in improving corporate reputation and gaining long-term competitive advantage in the UK consumer goods industry. It tackles a nagging issue in ESG research: correlations of ESG scores and financial value do not necessarily elucidate value creation and disclosure is not value creation. The analysis of four UK-listed companies (Unilever PLC, Reckitt Benckiser Group plc, Diageo plc and Associated British Foods plc) adopts a qualitative, abductive, multiple-case design that is qualitatively dominant, using annual and sustainability reports, assurance statements, regulatory material, independent benchmarks and peer-reviewed research. Analysis of evidence is by reflexive thematic analysis, within case timelines, and across cases pattern matching and descriptive trend comparison. Results show two interdependent pathways. The operational pathway is about innovation, resource efficiency and supply-chain capability and risk management, while the relational pathway is about credibility, trust and reputation. The first pathway cannot be assumed and the second pathway is not automatic. Factors that support contribution include materiality, governance ownership, incentive alignment, transparent baselines and credible assurance, while factors that detract from contribution include Scope 3 dependency, affordability pressure, portfolio change, inconsistent measurement and greenwashing risk. Because of mixed commercial outcomes along with ESG progress, the one-to-one causal interpretation is not warranted, nor is reputation a statistical mediator. Rather, the reputation is regarded as an ancillary mechanism and it is the embedding operational abilities that offer more straightforward evidence for sustained gains. The study suggests materiality-driven portfolio selection, claim level evidence-control, progressive assurance, affordable eco-innovation, stakeholder-specific reputation measurement and supplier transition partnerships. It states that defensible advantage is based on turning material ESG commitments into tangible and demonstrable benefits that are important to stakeholders and not easily replicable by rivals</w:t>
      </w:r>
      <w:r w:rsidR="00F763E6">
        <w:t>.</w:t>
      </w:r>
    </w:p>
    <w:p w14:paraId="375BB4D7" w14:textId="113B6EFD" w:rsidR="00B4429C" w:rsidRDefault="00B4429C" w:rsidP="00B4429C">
      <w:pPr>
        <w:sectPr w:rsidR="00B4429C">
          <w:footerReference w:type="even" r:id="rId11"/>
          <w:footerReference w:type="default" r:id="rId12"/>
          <w:footerReference w:type="first" r:id="rId13"/>
          <w:pgSz w:w="12240" w:h="15840"/>
          <w:pgMar w:top="1440" w:right="1440" w:bottom="1440" w:left="1440" w:header="0" w:footer="720" w:gutter="0"/>
          <w:pgNumType w:fmt="lowerRoman" w:start="1"/>
          <w:cols w:space="720"/>
          <w:formProt w:val="0"/>
          <w:docGrid w:linePitch="360"/>
        </w:sectPr>
      </w:pPr>
      <w:r w:rsidRPr="00B4429C">
        <w:rPr>
          <w:b/>
          <w:bCs/>
        </w:rPr>
        <w:t>Keywords:</w:t>
      </w:r>
      <w:r w:rsidRPr="00B4429C">
        <w:t xml:space="preserve"> ESG strategy; corporate reputation; competitive advantage; consumer goods; greenwashing; secondary research; United Kingdom</w:t>
      </w:r>
    </w:p>
    <w:sdt>
      <w:sdtPr>
        <w:rPr>
          <w:rFonts w:ascii="Arial" w:eastAsia="Times New Roman" w:hAnsi="Arial" w:cstheme="minorBidi"/>
          <w:color w:val="111111"/>
          <w:sz w:val="24"/>
          <w:szCs w:val="22"/>
        </w:rPr>
        <w:id w:val="-326136090"/>
        <w:docPartObj>
          <w:docPartGallery w:val="Table of Contents"/>
          <w:docPartUnique/>
        </w:docPartObj>
      </w:sdtPr>
      <w:sdtEndPr/>
      <w:sdtContent>
        <w:p w14:paraId="5435654F" w14:textId="77777777" w:rsidR="004B4463" w:rsidRPr="00624E33" w:rsidRDefault="00F763E6">
          <w:pPr>
            <w:pStyle w:val="TOCHeading"/>
            <w:rPr>
              <w:rFonts w:ascii="Arial" w:hAnsi="Arial" w:cs="Arial"/>
              <w:b/>
              <w:bCs/>
              <w:color w:val="auto"/>
            </w:rPr>
          </w:pPr>
          <w:r w:rsidRPr="00624E33">
            <w:rPr>
              <w:rFonts w:ascii="Arial" w:hAnsi="Arial" w:cs="Arial"/>
              <w:b/>
              <w:bCs/>
              <w:color w:val="auto"/>
            </w:rPr>
            <w:t>Table of Contents</w:t>
          </w:r>
        </w:p>
        <w:p w14:paraId="17F98052" w14:textId="5C90BAFE" w:rsidR="008A72C6" w:rsidRDefault="00F763E6">
          <w:pPr>
            <w:pStyle w:val="TOC1"/>
            <w:tabs>
              <w:tab w:val="right" w:leader="dot" w:pos="9350"/>
            </w:tabs>
            <w:rPr>
              <w:rFonts w:asciiTheme="minorHAnsi" w:eastAsiaTheme="minorEastAsia" w:hAnsiTheme="minorHAnsi"/>
              <w:noProof/>
              <w:color w:val="auto"/>
              <w:sz w:val="22"/>
            </w:rPr>
          </w:pPr>
          <w:r>
            <w:fldChar w:fldCharType="begin"/>
          </w:r>
          <w:r>
            <w:rPr>
              <w:rStyle w:val="IndexLink"/>
              <w:webHidden/>
            </w:rPr>
            <w:instrText xml:space="preserve"> TOC \z \o "1-3" \u \h</w:instrText>
          </w:r>
          <w:r>
            <w:rPr>
              <w:rStyle w:val="IndexLink"/>
            </w:rPr>
            <w:fldChar w:fldCharType="separate"/>
          </w:r>
          <w:hyperlink w:anchor="_Toc241154014" w:history="1">
            <w:r w:rsidR="008A72C6" w:rsidRPr="008146EC">
              <w:rPr>
                <w:rStyle w:val="Hyperlink"/>
                <w:noProof/>
              </w:rPr>
              <w:t>Acknowledgements</w:t>
            </w:r>
            <w:r w:rsidR="008A72C6">
              <w:rPr>
                <w:noProof/>
                <w:webHidden/>
              </w:rPr>
              <w:tab/>
            </w:r>
            <w:r w:rsidR="008A72C6">
              <w:rPr>
                <w:noProof/>
                <w:webHidden/>
              </w:rPr>
              <w:fldChar w:fldCharType="begin"/>
            </w:r>
            <w:r w:rsidR="008A72C6">
              <w:rPr>
                <w:noProof/>
                <w:webHidden/>
              </w:rPr>
              <w:instrText xml:space="preserve"> PAGEREF _Toc241154014 \h </w:instrText>
            </w:r>
            <w:r w:rsidR="008A72C6">
              <w:rPr>
                <w:noProof/>
                <w:webHidden/>
              </w:rPr>
            </w:r>
            <w:r w:rsidR="008A72C6">
              <w:rPr>
                <w:noProof/>
                <w:webHidden/>
              </w:rPr>
              <w:fldChar w:fldCharType="separate"/>
            </w:r>
            <w:r w:rsidR="008A72C6">
              <w:rPr>
                <w:noProof/>
                <w:webHidden/>
              </w:rPr>
              <w:t>i</w:t>
            </w:r>
            <w:r w:rsidR="008A72C6">
              <w:rPr>
                <w:noProof/>
                <w:webHidden/>
              </w:rPr>
              <w:fldChar w:fldCharType="end"/>
            </w:r>
          </w:hyperlink>
        </w:p>
        <w:p w14:paraId="59BC8D73" w14:textId="00D545E5" w:rsidR="008A72C6" w:rsidRDefault="008A72C6">
          <w:pPr>
            <w:pStyle w:val="TOC1"/>
            <w:tabs>
              <w:tab w:val="right" w:leader="dot" w:pos="9350"/>
            </w:tabs>
            <w:rPr>
              <w:rFonts w:asciiTheme="minorHAnsi" w:eastAsiaTheme="minorEastAsia" w:hAnsiTheme="minorHAnsi"/>
              <w:noProof/>
              <w:color w:val="auto"/>
              <w:sz w:val="22"/>
            </w:rPr>
          </w:pPr>
          <w:hyperlink w:anchor="_Toc241154015" w:history="1">
            <w:r w:rsidRPr="008146EC">
              <w:rPr>
                <w:rStyle w:val="Hyperlink"/>
                <w:noProof/>
              </w:rPr>
              <w:t>Abstract</w:t>
            </w:r>
            <w:r>
              <w:rPr>
                <w:noProof/>
                <w:webHidden/>
              </w:rPr>
              <w:tab/>
            </w:r>
            <w:r>
              <w:rPr>
                <w:noProof/>
                <w:webHidden/>
              </w:rPr>
              <w:fldChar w:fldCharType="begin"/>
            </w:r>
            <w:r>
              <w:rPr>
                <w:noProof/>
                <w:webHidden/>
              </w:rPr>
              <w:instrText xml:space="preserve"> PAGEREF _Toc241154015 \h </w:instrText>
            </w:r>
            <w:r>
              <w:rPr>
                <w:noProof/>
                <w:webHidden/>
              </w:rPr>
            </w:r>
            <w:r>
              <w:rPr>
                <w:noProof/>
                <w:webHidden/>
              </w:rPr>
              <w:fldChar w:fldCharType="separate"/>
            </w:r>
            <w:r>
              <w:rPr>
                <w:noProof/>
                <w:webHidden/>
              </w:rPr>
              <w:t>ii</w:t>
            </w:r>
            <w:r>
              <w:rPr>
                <w:noProof/>
                <w:webHidden/>
              </w:rPr>
              <w:fldChar w:fldCharType="end"/>
            </w:r>
          </w:hyperlink>
        </w:p>
        <w:p w14:paraId="318B4F71" w14:textId="2AECA306" w:rsidR="008A72C6" w:rsidRDefault="008A72C6">
          <w:pPr>
            <w:pStyle w:val="TOC1"/>
            <w:tabs>
              <w:tab w:val="right" w:leader="dot" w:pos="9350"/>
            </w:tabs>
            <w:rPr>
              <w:rFonts w:asciiTheme="minorHAnsi" w:eastAsiaTheme="minorEastAsia" w:hAnsiTheme="minorHAnsi"/>
              <w:noProof/>
              <w:color w:val="auto"/>
              <w:sz w:val="22"/>
            </w:rPr>
          </w:pPr>
          <w:hyperlink w:anchor="_Toc241154016" w:history="1">
            <w:r w:rsidRPr="008146EC">
              <w:rPr>
                <w:rStyle w:val="Hyperlink"/>
                <w:noProof/>
              </w:rPr>
              <w:t>Chapter 1: Introduction</w:t>
            </w:r>
            <w:r>
              <w:rPr>
                <w:noProof/>
                <w:webHidden/>
              </w:rPr>
              <w:tab/>
            </w:r>
            <w:r>
              <w:rPr>
                <w:noProof/>
                <w:webHidden/>
              </w:rPr>
              <w:fldChar w:fldCharType="begin"/>
            </w:r>
            <w:r>
              <w:rPr>
                <w:noProof/>
                <w:webHidden/>
              </w:rPr>
              <w:instrText xml:space="preserve"> PAGEREF _Toc241154016 \h </w:instrText>
            </w:r>
            <w:r>
              <w:rPr>
                <w:noProof/>
                <w:webHidden/>
              </w:rPr>
            </w:r>
            <w:r>
              <w:rPr>
                <w:noProof/>
                <w:webHidden/>
              </w:rPr>
              <w:fldChar w:fldCharType="separate"/>
            </w:r>
            <w:r>
              <w:rPr>
                <w:noProof/>
                <w:webHidden/>
              </w:rPr>
              <w:t>1</w:t>
            </w:r>
            <w:r>
              <w:rPr>
                <w:noProof/>
                <w:webHidden/>
              </w:rPr>
              <w:fldChar w:fldCharType="end"/>
            </w:r>
          </w:hyperlink>
        </w:p>
        <w:p w14:paraId="487373A6" w14:textId="5C9542CB" w:rsidR="008A72C6" w:rsidRDefault="008A72C6">
          <w:pPr>
            <w:pStyle w:val="TOC2"/>
            <w:tabs>
              <w:tab w:val="right" w:leader="dot" w:pos="9350"/>
            </w:tabs>
            <w:rPr>
              <w:rFonts w:asciiTheme="minorHAnsi" w:eastAsiaTheme="minorEastAsia" w:hAnsiTheme="minorHAnsi"/>
              <w:noProof/>
              <w:color w:val="auto"/>
              <w:sz w:val="22"/>
            </w:rPr>
          </w:pPr>
          <w:hyperlink w:anchor="_Toc241154017" w:history="1">
            <w:r w:rsidRPr="008146EC">
              <w:rPr>
                <w:rStyle w:val="Hyperlink"/>
                <w:noProof/>
              </w:rPr>
              <w:t>1.1 Background of the Study</w:t>
            </w:r>
            <w:r>
              <w:rPr>
                <w:noProof/>
                <w:webHidden/>
              </w:rPr>
              <w:tab/>
            </w:r>
            <w:r>
              <w:rPr>
                <w:noProof/>
                <w:webHidden/>
              </w:rPr>
              <w:fldChar w:fldCharType="begin"/>
            </w:r>
            <w:r>
              <w:rPr>
                <w:noProof/>
                <w:webHidden/>
              </w:rPr>
              <w:instrText xml:space="preserve"> PAGEREF _Toc241154017 \h </w:instrText>
            </w:r>
            <w:r>
              <w:rPr>
                <w:noProof/>
                <w:webHidden/>
              </w:rPr>
            </w:r>
            <w:r>
              <w:rPr>
                <w:noProof/>
                <w:webHidden/>
              </w:rPr>
              <w:fldChar w:fldCharType="separate"/>
            </w:r>
            <w:r>
              <w:rPr>
                <w:noProof/>
                <w:webHidden/>
              </w:rPr>
              <w:t>1</w:t>
            </w:r>
            <w:r>
              <w:rPr>
                <w:noProof/>
                <w:webHidden/>
              </w:rPr>
              <w:fldChar w:fldCharType="end"/>
            </w:r>
          </w:hyperlink>
        </w:p>
        <w:p w14:paraId="102879BB" w14:textId="45CBA398" w:rsidR="008A72C6" w:rsidRDefault="008A72C6">
          <w:pPr>
            <w:pStyle w:val="TOC2"/>
            <w:tabs>
              <w:tab w:val="right" w:leader="dot" w:pos="9350"/>
            </w:tabs>
            <w:rPr>
              <w:rFonts w:asciiTheme="minorHAnsi" w:eastAsiaTheme="minorEastAsia" w:hAnsiTheme="minorHAnsi"/>
              <w:noProof/>
              <w:color w:val="auto"/>
              <w:sz w:val="22"/>
            </w:rPr>
          </w:pPr>
          <w:hyperlink w:anchor="_Toc241154018" w:history="1">
            <w:r w:rsidRPr="008146EC">
              <w:rPr>
                <w:rStyle w:val="Hyperlink"/>
                <w:noProof/>
              </w:rPr>
              <w:t>1.2 Problem Statement</w:t>
            </w:r>
            <w:r>
              <w:rPr>
                <w:noProof/>
                <w:webHidden/>
              </w:rPr>
              <w:tab/>
            </w:r>
            <w:r>
              <w:rPr>
                <w:noProof/>
                <w:webHidden/>
              </w:rPr>
              <w:fldChar w:fldCharType="begin"/>
            </w:r>
            <w:r>
              <w:rPr>
                <w:noProof/>
                <w:webHidden/>
              </w:rPr>
              <w:instrText xml:space="preserve"> PAGEREF _Toc241154018 \h </w:instrText>
            </w:r>
            <w:r>
              <w:rPr>
                <w:noProof/>
                <w:webHidden/>
              </w:rPr>
            </w:r>
            <w:r>
              <w:rPr>
                <w:noProof/>
                <w:webHidden/>
              </w:rPr>
              <w:fldChar w:fldCharType="separate"/>
            </w:r>
            <w:r>
              <w:rPr>
                <w:noProof/>
                <w:webHidden/>
              </w:rPr>
              <w:t>2</w:t>
            </w:r>
            <w:r>
              <w:rPr>
                <w:noProof/>
                <w:webHidden/>
              </w:rPr>
              <w:fldChar w:fldCharType="end"/>
            </w:r>
          </w:hyperlink>
        </w:p>
        <w:p w14:paraId="7BD2A6EA" w14:textId="5BABA87E" w:rsidR="008A72C6" w:rsidRDefault="008A72C6">
          <w:pPr>
            <w:pStyle w:val="TOC2"/>
            <w:tabs>
              <w:tab w:val="right" w:leader="dot" w:pos="9350"/>
            </w:tabs>
            <w:rPr>
              <w:rFonts w:asciiTheme="minorHAnsi" w:eastAsiaTheme="minorEastAsia" w:hAnsiTheme="minorHAnsi"/>
              <w:noProof/>
              <w:color w:val="auto"/>
              <w:sz w:val="22"/>
            </w:rPr>
          </w:pPr>
          <w:hyperlink w:anchor="_Toc241154019" w:history="1">
            <w:r w:rsidRPr="008146EC">
              <w:rPr>
                <w:rStyle w:val="Hyperlink"/>
                <w:noProof/>
              </w:rPr>
              <w:t>1.3 Research Aim</w:t>
            </w:r>
            <w:r>
              <w:rPr>
                <w:noProof/>
                <w:webHidden/>
              </w:rPr>
              <w:tab/>
            </w:r>
            <w:r>
              <w:rPr>
                <w:noProof/>
                <w:webHidden/>
              </w:rPr>
              <w:fldChar w:fldCharType="begin"/>
            </w:r>
            <w:r>
              <w:rPr>
                <w:noProof/>
                <w:webHidden/>
              </w:rPr>
              <w:instrText xml:space="preserve"> PAGEREF _Toc241154019 \h </w:instrText>
            </w:r>
            <w:r>
              <w:rPr>
                <w:noProof/>
                <w:webHidden/>
              </w:rPr>
            </w:r>
            <w:r>
              <w:rPr>
                <w:noProof/>
                <w:webHidden/>
              </w:rPr>
              <w:fldChar w:fldCharType="separate"/>
            </w:r>
            <w:r>
              <w:rPr>
                <w:noProof/>
                <w:webHidden/>
              </w:rPr>
              <w:t>3</w:t>
            </w:r>
            <w:r>
              <w:rPr>
                <w:noProof/>
                <w:webHidden/>
              </w:rPr>
              <w:fldChar w:fldCharType="end"/>
            </w:r>
          </w:hyperlink>
        </w:p>
        <w:p w14:paraId="5B5A50BF" w14:textId="4D084111" w:rsidR="008A72C6" w:rsidRDefault="008A72C6">
          <w:pPr>
            <w:pStyle w:val="TOC2"/>
            <w:tabs>
              <w:tab w:val="right" w:leader="dot" w:pos="9350"/>
            </w:tabs>
            <w:rPr>
              <w:rFonts w:asciiTheme="minorHAnsi" w:eastAsiaTheme="minorEastAsia" w:hAnsiTheme="minorHAnsi"/>
              <w:noProof/>
              <w:color w:val="auto"/>
              <w:sz w:val="22"/>
            </w:rPr>
          </w:pPr>
          <w:hyperlink w:anchor="_Toc241154020" w:history="1">
            <w:r w:rsidRPr="008146EC">
              <w:rPr>
                <w:rStyle w:val="Hyperlink"/>
                <w:noProof/>
              </w:rPr>
              <w:t>1.4 Research Objectives</w:t>
            </w:r>
            <w:r>
              <w:rPr>
                <w:noProof/>
                <w:webHidden/>
              </w:rPr>
              <w:tab/>
            </w:r>
            <w:r>
              <w:rPr>
                <w:noProof/>
                <w:webHidden/>
              </w:rPr>
              <w:fldChar w:fldCharType="begin"/>
            </w:r>
            <w:r>
              <w:rPr>
                <w:noProof/>
                <w:webHidden/>
              </w:rPr>
              <w:instrText xml:space="preserve"> PAGEREF _Toc241154020 \h </w:instrText>
            </w:r>
            <w:r>
              <w:rPr>
                <w:noProof/>
                <w:webHidden/>
              </w:rPr>
            </w:r>
            <w:r>
              <w:rPr>
                <w:noProof/>
                <w:webHidden/>
              </w:rPr>
              <w:fldChar w:fldCharType="separate"/>
            </w:r>
            <w:r>
              <w:rPr>
                <w:noProof/>
                <w:webHidden/>
              </w:rPr>
              <w:t>3</w:t>
            </w:r>
            <w:r>
              <w:rPr>
                <w:noProof/>
                <w:webHidden/>
              </w:rPr>
              <w:fldChar w:fldCharType="end"/>
            </w:r>
          </w:hyperlink>
        </w:p>
        <w:p w14:paraId="32D8A566" w14:textId="4CE7811F" w:rsidR="008A72C6" w:rsidRDefault="008A72C6">
          <w:pPr>
            <w:pStyle w:val="TOC2"/>
            <w:tabs>
              <w:tab w:val="right" w:leader="dot" w:pos="9350"/>
            </w:tabs>
            <w:rPr>
              <w:rFonts w:asciiTheme="minorHAnsi" w:eastAsiaTheme="minorEastAsia" w:hAnsiTheme="minorHAnsi"/>
              <w:noProof/>
              <w:color w:val="auto"/>
              <w:sz w:val="22"/>
            </w:rPr>
          </w:pPr>
          <w:hyperlink w:anchor="_Toc241154021" w:history="1">
            <w:r w:rsidRPr="008146EC">
              <w:rPr>
                <w:rStyle w:val="Hyperlink"/>
                <w:noProof/>
              </w:rPr>
              <w:t>1.5 Research questions</w:t>
            </w:r>
            <w:r>
              <w:rPr>
                <w:noProof/>
                <w:webHidden/>
              </w:rPr>
              <w:tab/>
            </w:r>
            <w:r>
              <w:rPr>
                <w:noProof/>
                <w:webHidden/>
              </w:rPr>
              <w:fldChar w:fldCharType="begin"/>
            </w:r>
            <w:r>
              <w:rPr>
                <w:noProof/>
                <w:webHidden/>
              </w:rPr>
              <w:instrText xml:space="preserve"> PAGEREF _Toc241154021 \h </w:instrText>
            </w:r>
            <w:r>
              <w:rPr>
                <w:noProof/>
                <w:webHidden/>
              </w:rPr>
            </w:r>
            <w:r>
              <w:rPr>
                <w:noProof/>
                <w:webHidden/>
              </w:rPr>
              <w:fldChar w:fldCharType="separate"/>
            </w:r>
            <w:r>
              <w:rPr>
                <w:noProof/>
                <w:webHidden/>
              </w:rPr>
              <w:t>4</w:t>
            </w:r>
            <w:r>
              <w:rPr>
                <w:noProof/>
                <w:webHidden/>
              </w:rPr>
              <w:fldChar w:fldCharType="end"/>
            </w:r>
          </w:hyperlink>
        </w:p>
        <w:p w14:paraId="3C4E171E" w14:textId="610D1751" w:rsidR="008A72C6" w:rsidRDefault="008A72C6">
          <w:pPr>
            <w:pStyle w:val="TOC2"/>
            <w:tabs>
              <w:tab w:val="right" w:leader="dot" w:pos="9350"/>
            </w:tabs>
            <w:rPr>
              <w:rFonts w:asciiTheme="minorHAnsi" w:eastAsiaTheme="minorEastAsia" w:hAnsiTheme="minorHAnsi"/>
              <w:noProof/>
              <w:color w:val="auto"/>
              <w:sz w:val="22"/>
            </w:rPr>
          </w:pPr>
          <w:hyperlink w:anchor="_Toc241154022" w:history="1">
            <w:r w:rsidRPr="008146EC">
              <w:rPr>
                <w:rStyle w:val="Hyperlink"/>
                <w:noProof/>
              </w:rPr>
              <w:t>1.6 Scope of the Study</w:t>
            </w:r>
            <w:r>
              <w:rPr>
                <w:noProof/>
                <w:webHidden/>
              </w:rPr>
              <w:tab/>
            </w:r>
            <w:r>
              <w:rPr>
                <w:noProof/>
                <w:webHidden/>
              </w:rPr>
              <w:fldChar w:fldCharType="begin"/>
            </w:r>
            <w:r>
              <w:rPr>
                <w:noProof/>
                <w:webHidden/>
              </w:rPr>
              <w:instrText xml:space="preserve"> PAGEREF _Toc241154022 \h </w:instrText>
            </w:r>
            <w:r>
              <w:rPr>
                <w:noProof/>
                <w:webHidden/>
              </w:rPr>
            </w:r>
            <w:r>
              <w:rPr>
                <w:noProof/>
                <w:webHidden/>
              </w:rPr>
              <w:fldChar w:fldCharType="separate"/>
            </w:r>
            <w:r>
              <w:rPr>
                <w:noProof/>
                <w:webHidden/>
              </w:rPr>
              <w:t>4</w:t>
            </w:r>
            <w:r>
              <w:rPr>
                <w:noProof/>
                <w:webHidden/>
              </w:rPr>
              <w:fldChar w:fldCharType="end"/>
            </w:r>
          </w:hyperlink>
        </w:p>
        <w:p w14:paraId="1AD9A44E" w14:textId="6DD11855" w:rsidR="008A72C6" w:rsidRDefault="008A72C6">
          <w:pPr>
            <w:pStyle w:val="TOC2"/>
            <w:tabs>
              <w:tab w:val="right" w:leader="dot" w:pos="9350"/>
            </w:tabs>
            <w:rPr>
              <w:rFonts w:asciiTheme="minorHAnsi" w:eastAsiaTheme="minorEastAsia" w:hAnsiTheme="minorHAnsi"/>
              <w:noProof/>
              <w:color w:val="auto"/>
              <w:sz w:val="22"/>
            </w:rPr>
          </w:pPr>
          <w:hyperlink w:anchor="_Toc241154023" w:history="1">
            <w:r w:rsidRPr="008146EC">
              <w:rPr>
                <w:rStyle w:val="Hyperlink"/>
                <w:noProof/>
              </w:rPr>
              <w:t>1.7 Significance of the Study</w:t>
            </w:r>
            <w:r>
              <w:rPr>
                <w:noProof/>
                <w:webHidden/>
              </w:rPr>
              <w:tab/>
            </w:r>
            <w:r>
              <w:rPr>
                <w:noProof/>
                <w:webHidden/>
              </w:rPr>
              <w:fldChar w:fldCharType="begin"/>
            </w:r>
            <w:r>
              <w:rPr>
                <w:noProof/>
                <w:webHidden/>
              </w:rPr>
              <w:instrText xml:space="preserve"> PAGEREF _Toc241154023 \h </w:instrText>
            </w:r>
            <w:r>
              <w:rPr>
                <w:noProof/>
                <w:webHidden/>
              </w:rPr>
            </w:r>
            <w:r>
              <w:rPr>
                <w:noProof/>
                <w:webHidden/>
              </w:rPr>
              <w:fldChar w:fldCharType="separate"/>
            </w:r>
            <w:r>
              <w:rPr>
                <w:noProof/>
                <w:webHidden/>
              </w:rPr>
              <w:t>5</w:t>
            </w:r>
            <w:r>
              <w:rPr>
                <w:noProof/>
                <w:webHidden/>
              </w:rPr>
              <w:fldChar w:fldCharType="end"/>
            </w:r>
          </w:hyperlink>
        </w:p>
        <w:p w14:paraId="2A8105FA" w14:textId="68D4C9E6" w:rsidR="008A72C6" w:rsidRDefault="008A72C6">
          <w:pPr>
            <w:pStyle w:val="TOC1"/>
            <w:tabs>
              <w:tab w:val="right" w:leader="dot" w:pos="9350"/>
            </w:tabs>
            <w:rPr>
              <w:rFonts w:asciiTheme="minorHAnsi" w:eastAsiaTheme="minorEastAsia" w:hAnsiTheme="minorHAnsi"/>
              <w:noProof/>
              <w:color w:val="auto"/>
              <w:sz w:val="22"/>
            </w:rPr>
          </w:pPr>
          <w:hyperlink w:anchor="_Toc241154024" w:history="1">
            <w:r w:rsidRPr="008146EC">
              <w:rPr>
                <w:rStyle w:val="Hyperlink"/>
                <w:noProof/>
              </w:rPr>
              <w:t>Chapter 2: Literature Review</w:t>
            </w:r>
            <w:r>
              <w:rPr>
                <w:noProof/>
                <w:webHidden/>
              </w:rPr>
              <w:tab/>
            </w:r>
            <w:r>
              <w:rPr>
                <w:noProof/>
                <w:webHidden/>
              </w:rPr>
              <w:fldChar w:fldCharType="begin"/>
            </w:r>
            <w:r>
              <w:rPr>
                <w:noProof/>
                <w:webHidden/>
              </w:rPr>
              <w:instrText xml:space="preserve"> PAGEREF _Toc241154024 \h </w:instrText>
            </w:r>
            <w:r>
              <w:rPr>
                <w:noProof/>
                <w:webHidden/>
              </w:rPr>
            </w:r>
            <w:r>
              <w:rPr>
                <w:noProof/>
                <w:webHidden/>
              </w:rPr>
              <w:fldChar w:fldCharType="separate"/>
            </w:r>
            <w:r>
              <w:rPr>
                <w:noProof/>
                <w:webHidden/>
              </w:rPr>
              <w:t>6</w:t>
            </w:r>
            <w:r>
              <w:rPr>
                <w:noProof/>
                <w:webHidden/>
              </w:rPr>
              <w:fldChar w:fldCharType="end"/>
            </w:r>
          </w:hyperlink>
        </w:p>
        <w:p w14:paraId="32CEFFCB" w14:textId="4B687F61" w:rsidR="008A72C6" w:rsidRDefault="008A72C6">
          <w:pPr>
            <w:pStyle w:val="TOC2"/>
            <w:tabs>
              <w:tab w:val="right" w:leader="dot" w:pos="9350"/>
            </w:tabs>
            <w:rPr>
              <w:rFonts w:asciiTheme="minorHAnsi" w:eastAsiaTheme="minorEastAsia" w:hAnsiTheme="minorHAnsi"/>
              <w:noProof/>
              <w:color w:val="auto"/>
              <w:sz w:val="22"/>
            </w:rPr>
          </w:pPr>
          <w:hyperlink w:anchor="_Toc241154025" w:history="1">
            <w:r w:rsidRPr="008146EC">
              <w:rPr>
                <w:rStyle w:val="Hyperlink"/>
                <w:noProof/>
              </w:rPr>
              <w:t>2.1 Introduction</w:t>
            </w:r>
            <w:r>
              <w:rPr>
                <w:noProof/>
                <w:webHidden/>
              </w:rPr>
              <w:tab/>
            </w:r>
            <w:r>
              <w:rPr>
                <w:noProof/>
                <w:webHidden/>
              </w:rPr>
              <w:fldChar w:fldCharType="begin"/>
            </w:r>
            <w:r>
              <w:rPr>
                <w:noProof/>
                <w:webHidden/>
              </w:rPr>
              <w:instrText xml:space="preserve"> PAGEREF _Toc241154025 \h </w:instrText>
            </w:r>
            <w:r>
              <w:rPr>
                <w:noProof/>
                <w:webHidden/>
              </w:rPr>
            </w:r>
            <w:r>
              <w:rPr>
                <w:noProof/>
                <w:webHidden/>
              </w:rPr>
              <w:fldChar w:fldCharType="separate"/>
            </w:r>
            <w:r>
              <w:rPr>
                <w:noProof/>
                <w:webHidden/>
              </w:rPr>
              <w:t>6</w:t>
            </w:r>
            <w:r>
              <w:rPr>
                <w:noProof/>
                <w:webHidden/>
              </w:rPr>
              <w:fldChar w:fldCharType="end"/>
            </w:r>
          </w:hyperlink>
        </w:p>
        <w:p w14:paraId="4A37DC85" w14:textId="604C6102" w:rsidR="008A72C6" w:rsidRDefault="008A72C6">
          <w:pPr>
            <w:pStyle w:val="TOC2"/>
            <w:tabs>
              <w:tab w:val="right" w:leader="dot" w:pos="9350"/>
            </w:tabs>
            <w:rPr>
              <w:rFonts w:asciiTheme="minorHAnsi" w:eastAsiaTheme="minorEastAsia" w:hAnsiTheme="minorHAnsi"/>
              <w:noProof/>
              <w:color w:val="auto"/>
              <w:sz w:val="22"/>
            </w:rPr>
          </w:pPr>
          <w:hyperlink w:anchor="_Toc241154026" w:history="1">
            <w:r w:rsidRPr="008146EC">
              <w:rPr>
                <w:rStyle w:val="Hyperlink"/>
                <w:noProof/>
              </w:rPr>
              <w:t>2.2 Conceptualising ESG strategy, reputation and competitive advantage</w:t>
            </w:r>
            <w:r>
              <w:rPr>
                <w:noProof/>
                <w:webHidden/>
              </w:rPr>
              <w:tab/>
            </w:r>
            <w:r>
              <w:rPr>
                <w:noProof/>
                <w:webHidden/>
              </w:rPr>
              <w:fldChar w:fldCharType="begin"/>
            </w:r>
            <w:r>
              <w:rPr>
                <w:noProof/>
                <w:webHidden/>
              </w:rPr>
              <w:instrText xml:space="preserve"> PAGEREF _Toc241154026 \h </w:instrText>
            </w:r>
            <w:r>
              <w:rPr>
                <w:noProof/>
                <w:webHidden/>
              </w:rPr>
            </w:r>
            <w:r>
              <w:rPr>
                <w:noProof/>
                <w:webHidden/>
              </w:rPr>
              <w:fldChar w:fldCharType="separate"/>
            </w:r>
            <w:r>
              <w:rPr>
                <w:noProof/>
                <w:webHidden/>
              </w:rPr>
              <w:t>6</w:t>
            </w:r>
            <w:r>
              <w:rPr>
                <w:noProof/>
                <w:webHidden/>
              </w:rPr>
              <w:fldChar w:fldCharType="end"/>
            </w:r>
          </w:hyperlink>
        </w:p>
        <w:p w14:paraId="5C13C8FC" w14:textId="75C7259A" w:rsidR="008A72C6" w:rsidRDefault="008A72C6">
          <w:pPr>
            <w:pStyle w:val="TOC2"/>
            <w:tabs>
              <w:tab w:val="right" w:leader="dot" w:pos="9350"/>
            </w:tabs>
            <w:rPr>
              <w:rFonts w:asciiTheme="minorHAnsi" w:eastAsiaTheme="minorEastAsia" w:hAnsiTheme="minorHAnsi"/>
              <w:noProof/>
              <w:color w:val="auto"/>
              <w:sz w:val="22"/>
            </w:rPr>
          </w:pPr>
          <w:hyperlink w:anchor="_Toc241154027" w:history="1">
            <w:r w:rsidRPr="008146EC">
              <w:rPr>
                <w:rStyle w:val="Hyperlink"/>
                <w:noProof/>
              </w:rPr>
              <w:t>2.3 Theoretical foundation</w:t>
            </w:r>
            <w:r>
              <w:rPr>
                <w:noProof/>
                <w:webHidden/>
              </w:rPr>
              <w:tab/>
            </w:r>
            <w:r>
              <w:rPr>
                <w:noProof/>
                <w:webHidden/>
              </w:rPr>
              <w:fldChar w:fldCharType="begin"/>
            </w:r>
            <w:r>
              <w:rPr>
                <w:noProof/>
                <w:webHidden/>
              </w:rPr>
              <w:instrText xml:space="preserve"> PAGEREF _Toc241154027 \h </w:instrText>
            </w:r>
            <w:r>
              <w:rPr>
                <w:noProof/>
                <w:webHidden/>
              </w:rPr>
            </w:r>
            <w:r>
              <w:rPr>
                <w:noProof/>
                <w:webHidden/>
              </w:rPr>
              <w:fldChar w:fldCharType="separate"/>
            </w:r>
            <w:r>
              <w:rPr>
                <w:noProof/>
                <w:webHidden/>
              </w:rPr>
              <w:t>8</w:t>
            </w:r>
            <w:r>
              <w:rPr>
                <w:noProof/>
                <w:webHidden/>
              </w:rPr>
              <w:fldChar w:fldCharType="end"/>
            </w:r>
          </w:hyperlink>
        </w:p>
        <w:p w14:paraId="7E12503F" w14:textId="1C514DD9" w:rsidR="008A72C6" w:rsidRDefault="008A72C6">
          <w:pPr>
            <w:pStyle w:val="TOC3"/>
            <w:tabs>
              <w:tab w:val="right" w:leader="dot" w:pos="9350"/>
            </w:tabs>
            <w:rPr>
              <w:rFonts w:asciiTheme="minorHAnsi" w:eastAsiaTheme="minorEastAsia" w:hAnsiTheme="minorHAnsi"/>
              <w:noProof/>
              <w:color w:val="auto"/>
              <w:sz w:val="22"/>
            </w:rPr>
          </w:pPr>
          <w:hyperlink w:anchor="_Toc241154028" w:history="1">
            <w:r w:rsidRPr="008146EC">
              <w:rPr>
                <w:rStyle w:val="Hyperlink"/>
                <w:noProof/>
              </w:rPr>
              <w:t>2.3.1 Stakeholder theory</w:t>
            </w:r>
            <w:r>
              <w:rPr>
                <w:noProof/>
                <w:webHidden/>
              </w:rPr>
              <w:tab/>
            </w:r>
            <w:r>
              <w:rPr>
                <w:noProof/>
                <w:webHidden/>
              </w:rPr>
              <w:fldChar w:fldCharType="begin"/>
            </w:r>
            <w:r>
              <w:rPr>
                <w:noProof/>
                <w:webHidden/>
              </w:rPr>
              <w:instrText xml:space="preserve"> PAGEREF _Toc241154028 \h </w:instrText>
            </w:r>
            <w:r>
              <w:rPr>
                <w:noProof/>
                <w:webHidden/>
              </w:rPr>
            </w:r>
            <w:r>
              <w:rPr>
                <w:noProof/>
                <w:webHidden/>
              </w:rPr>
              <w:fldChar w:fldCharType="separate"/>
            </w:r>
            <w:r>
              <w:rPr>
                <w:noProof/>
                <w:webHidden/>
              </w:rPr>
              <w:t>8</w:t>
            </w:r>
            <w:r>
              <w:rPr>
                <w:noProof/>
                <w:webHidden/>
              </w:rPr>
              <w:fldChar w:fldCharType="end"/>
            </w:r>
          </w:hyperlink>
        </w:p>
        <w:p w14:paraId="1F9D85E3" w14:textId="410DAF24" w:rsidR="008A72C6" w:rsidRDefault="008A72C6">
          <w:pPr>
            <w:pStyle w:val="TOC3"/>
            <w:tabs>
              <w:tab w:val="right" w:leader="dot" w:pos="9350"/>
            </w:tabs>
            <w:rPr>
              <w:rFonts w:asciiTheme="minorHAnsi" w:eastAsiaTheme="minorEastAsia" w:hAnsiTheme="minorHAnsi"/>
              <w:noProof/>
              <w:color w:val="auto"/>
              <w:sz w:val="22"/>
            </w:rPr>
          </w:pPr>
          <w:hyperlink w:anchor="_Toc241154029" w:history="1">
            <w:r w:rsidRPr="008146EC">
              <w:rPr>
                <w:rStyle w:val="Hyperlink"/>
                <w:noProof/>
              </w:rPr>
              <w:t>2.3.2 Resource-based view and dynamic capability</w:t>
            </w:r>
            <w:r>
              <w:rPr>
                <w:noProof/>
                <w:webHidden/>
              </w:rPr>
              <w:tab/>
            </w:r>
            <w:r>
              <w:rPr>
                <w:noProof/>
                <w:webHidden/>
              </w:rPr>
              <w:fldChar w:fldCharType="begin"/>
            </w:r>
            <w:r>
              <w:rPr>
                <w:noProof/>
                <w:webHidden/>
              </w:rPr>
              <w:instrText xml:space="preserve"> PAGEREF _Toc241154029 \h </w:instrText>
            </w:r>
            <w:r>
              <w:rPr>
                <w:noProof/>
                <w:webHidden/>
              </w:rPr>
            </w:r>
            <w:r>
              <w:rPr>
                <w:noProof/>
                <w:webHidden/>
              </w:rPr>
              <w:fldChar w:fldCharType="separate"/>
            </w:r>
            <w:r>
              <w:rPr>
                <w:noProof/>
                <w:webHidden/>
              </w:rPr>
              <w:t>8</w:t>
            </w:r>
            <w:r>
              <w:rPr>
                <w:noProof/>
                <w:webHidden/>
              </w:rPr>
              <w:fldChar w:fldCharType="end"/>
            </w:r>
          </w:hyperlink>
        </w:p>
        <w:p w14:paraId="792618D2" w14:textId="2BF7B5B5" w:rsidR="008A72C6" w:rsidRDefault="008A72C6">
          <w:pPr>
            <w:pStyle w:val="TOC3"/>
            <w:tabs>
              <w:tab w:val="right" w:leader="dot" w:pos="9350"/>
            </w:tabs>
            <w:rPr>
              <w:rFonts w:asciiTheme="minorHAnsi" w:eastAsiaTheme="minorEastAsia" w:hAnsiTheme="minorHAnsi"/>
              <w:noProof/>
              <w:color w:val="auto"/>
              <w:sz w:val="22"/>
            </w:rPr>
          </w:pPr>
          <w:hyperlink w:anchor="_Toc241154030" w:history="1">
            <w:r w:rsidRPr="008146EC">
              <w:rPr>
                <w:rStyle w:val="Hyperlink"/>
                <w:noProof/>
              </w:rPr>
              <w:t>2.3.3 Legitimacy and signalling</w:t>
            </w:r>
            <w:r>
              <w:rPr>
                <w:noProof/>
                <w:webHidden/>
              </w:rPr>
              <w:tab/>
            </w:r>
            <w:r>
              <w:rPr>
                <w:noProof/>
                <w:webHidden/>
              </w:rPr>
              <w:fldChar w:fldCharType="begin"/>
            </w:r>
            <w:r>
              <w:rPr>
                <w:noProof/>
                <w:webHidden/>
              </w:rPr>
              <w:instrText xml:space="preserve"> PAGEREF _Toc241154030 \h </w:instrText>
            </w:r>
            <w:r>
              <w:rPr>
                <w:noProof/>
                <w:webHidden/>
              </w:rPr>
            </w:r>
            <w:r>
              <w:rPr>
                <w:noProof/>
                <w:webHidden/>
              </w:rPr>
              <w:fldChar w:fldCharType="separate"/>
            </w:r>
            <w:r>
              <w:rPr>
                <w:noProof/>
                <w:webHidden/>
              </w:rPr>
              <w:t>9</w:t>
            </w:r>
            <w:r>
              <w:rPr>
                <w:noProof/>
                <w:webHidden/>
              </w:rPr>
              <w:fldChar w:fldCharType="end"/>
            </w:r>
          </w:hyperlink>
        </w:p>
        <w:p w14:paraId="45933BCE" w14:textId="16202F65" w:rsidR="008A72C6" w:rsidRDefault="008A72C6">
          <w:pPr>
            <w:pStyle w:val="TOC3"/>
            <w:tabs>
              <w:tab w:val="right" w:leader="dot" w:pos="9350"/>
            </w:tabs>
            <w:rPr>
              <w:rFonts w:asciiTheme="minorHAnsi" w:eastAsiaTheme="minorEastAsia" w:hAnsiTheme="minorHAnsi"/>
              <w:noProof/>
              <w:color w:val="auto"/>
              <w:sz w:val="22"/>
            </w:rPr>
          </w:pPr>
          <w:hyperlink w:anchor="_Toc241154031" w:history="1">
            <w:r w:rsidRPr="008146EC">
              <w:rPr>
                <w:rStyle w:val="Hyperlink"/>
                <w:noProof/>
              </w:rPr>
              <w:t>2.3.4 Integrated theoretical proposition</w:t>
            </w:r>
            <w:r>
              <w:rPr>
                <w:noProof/>
                <w:webHidden/>
              </w:rPr>
              <w:tab/>
            </w:r>
            <w:r>
              <w:rPr>
                <w:noProof/>
                <w:webHidden/>
              </w:rPr>
              <w:fldChar w:fldCharType="begin"/>
            </w:r>
            <w:r>
              <w:rPr>
                <w:noProof/>
                <w:webHidden/>
              </w:rPr>
              <w:instrText xml:space="preserve"> PAGEREF _Toc241154031 \h </w:instrText>
            </w:r>
            <w:r>
              <w:rPr>
                <w:noProof/>
                <w:webHidden/>
              </w:rPr>
            </w:r>
            <w:r>
              <w:rPr>
                <w:noProof/>
                <w:webHidden/>
              </w:rPr>
              <w:fldChar w:fldCharType="separate"/>
            </w:r>
            <w:r>
              <w:rPr>
                <w:noProof/>
                <w:webHidden/>
              </w:rPr>
              <w:t>10</w:t>
            </w:r>
            <w:r>
              <w:rPr>
                <w:noProof/>
                <w:webHidden/>
              </w:rPr>
              <w:fldChar w:fldCharType="end"/>
            </w:r>
          </w:hyperlink>
        </w:p>
        <w:p w14:paraId="3C6A3011" w14:textId="44900932" w:rsidR="008A72C6" w:rsidRDefault="008A72C6">
          <w:pPr>
            <w:pStyle w:val="TOC2"/>
            <w:tabs>
              <w:tab w:val="right" w:leader="dot" w:pos="9350"/>
            </w:tabs>
            <w:rPr>
              <w:rFonts w:asciiTheme="minorHAnsi" w:eastAsiaTheme="minorEastAsia" w:hAnsiTheme="minorHAnsi"/>
              <w:noProof/>
              <w:color w:val="auto"/>
              <w:sz w:val="22"/>
            </w:rPr>
          </w:pPr>
          <w:hyperlink w:anchor="_Toc241154032" w:history="1">
            <w:r w:rsidRPr="008146EC">
              <w:rPr>
                <w:rStyle w:val="Hyperlink"/>
                <w:noProof/>
              </w:rPr>
              <w:t>2.4 Theme one: from disclosure to strategically material implementation</w:t>
            </w:r>
            <w:r>
              <w:rPr>
                <w:noProof/>
                <w:webHidden/>
              </w:rPr>
              <w:tab/>
            </w:r>
            <w:r>
              <w:rPr>
                <w:noProof/>
                <w:webHidden/>
              </w:rPr>
              <w:fldChar w:fldCharType="begin"/>
            </w:r>
            <w:r>
              <w:rPr>
                <w:noProof/>
                <w:webHidden/>
              </w:rPr>
              <w:instrText xml:space="preserve"> PAGEREF _Toc241154032 \h </w:instrText>
            </w:r>
            <w:r>
              <w:rPr>
                <w:noProof/>
                <w:webHidden/>
              </w:rPr>
            </w:r>
            <w:r>
              <w:rPr>
                <w:noProof/>
                <w:webHidden/>
              </w:rPr>
              <w:fldChar w:fldCharType="separate"/>
            </w:r>
            <w:r>
              <w:rPr>
                <w:noProof/>
                <w:webHidden/>
              </w:rPr>
              <w:t>11</w:t>
            </w:r>
            <w:r>
              <w:rPr>
                <w:noProof/>
                <w:webHidden/>
              </w:rPr>
              <w:fldChar w:fldCharType="end"/>
            </w:r>
          </w:hyperlink>
        </w:p>
        <w:p w14:paraId="50C2DB09" w14:textId="461723D5" w:rsidR="008A72C6" w:rsidRDefault="008A72C6">
          <w:pPr>
            <w:pStyle w:val="TOC2"/>
            <w:tabs>
              <w:tab w:val="right" w:leader="dot" w:pos="9350"/>
            </w:tabs>
            <w:rPr>
              <w:rFonts w:asciiTheme="minorHAnsi" w:eastAsiaTheme="minorEastAsia" w:hAnsiTheme="minorHAnsi"/>
              <w:noProof/>
              <w:color w:val="auto"/>
              <w:sz w:val="22"/>
            </w:rPr>
          </w:pPr>
          <w:hyperlink w:anchor="_Toc241154033" w:history="1">
            <w:r w:rsidRPr="008146EC">
              <w:rPr>
                <w:rStyle w:val="Hyperlink"/>
                <w:noProof/>
              </w:rPr>
              <w:t>2.5 Theme two: stakeholder trust and corporate reputation</w:t>
            </w:r>
            <w:r>
              <w:rPr>
                <w:noProof/>
                <w:webHidden/>
              </w:rPr>
              <w:tab/>
            </w:r>
            <w:r>
              <w:rPr>
                <w:noProof/>
                <w:webHidden/>
              </w:rPr>
              <w:fldChar w:fldCharType="begin"/>
            </w:r>
            <w:r>
              <w:rPr>
                <w:noProof/>
                <w:webHidden/>
              </w:rPr>
              <w:instrText xml:space="preserve"> PAGEREF _Toc241154033 \h </w:instrText>
            </w:r>
            <w:r>
              <w:rPr>
                <w:noProof/>
                <w:webHidden/>
              </w:rPr>
            </w:r>
            <w:r>
              <w:rPr>
                <w:noProof/>
                <w:webHidden/>
              </w:rPr>
              <w:fldChar w:fldCharType="separate"/>
            </w:r>
            <w:r>
              <w:rPr>
                <w:noProof/>
                <w:webHidden/>
              </w:rPr>
              <w:t>12</w:t>
            </w:r>
            <w:r>
              <w:rPr>
                <w:noProof/>
                <w:webHidden/>
              </w:rPr>
              <w:fldChar w:fldCharType="end"/>
            </w:r>
          </w:hyperlink>
        </w:p>
        <w:p w14:paraId="5E59C075" w14:textId="3F9B35C1" w:rsidR="008A72C6" w:rsidRDefault="008A72C6">
          <w:pPr>
            <w:pStyle w:val="TOC2"/>
            <w:tabs>
              <w:tab w:val="right" w:leader="dot" w:pos="9350"/>
            </w:tabs>
            <w:rPr>
              <w:rFonts w:asciiTheme="minorHAnsi" w:eastAsiaTheme="minorEastAsia" w:hAnsiTheme="minorHAnsi"/>
              <w:noProof/>
              <w:color w:val="auto"/>
              <w:sz w:val="22"/>
            </w:rPr>
          </w:pPr>
          <w:hyperlink w:anchor="_Toc241154034" w:history="1">
            <w:r w:rsidRPr="008146EC">
              <w:rPr>
                <w:rStyle w:val="Hyperlink"/>
                <w:noProof/>
              </w:rPr>
              <w:t>2.6 Theme three: innovation, efficiency, resilience and advantage</w:t>
            </w:r>
            <w:r>
              <w:rPr>
                <w:noProof/>
                <w:webHidden/>
              </w:rPr>
              <w:tab/>
            </w:r>
            <w:r>
              <w:rPr>
                <w:noProof/>
                <w:webHidden/>
              </w:rPr>
              <w:fldChar w:fldCharType="begin"/>
            </w:r>
            <w:r>
              <w:rPr>
                <w:noProof/>
                <w:webHidden/>
              </w:rPr>
              <w:instrText xml:space="preserve"> PAGEREF _Toc241154034 \h </w:instrText>
            </w:r>
            <w:r>
              <w:rPr>
                <w:noProof/>
                <w:webHidden/>
              </w:rPr>
            </w:r>
            <w:r>
              <w:rPr>
                <w:noProof/>
                <w:webHidden/>
              </w:rPr>
              <w:fldChar w:fldCharType="separate"/>
            </w:r>
            <w:r>
              <w:rPr>
                <w:noProof/>
                <w:webHidden/>
              </w:rPr>
              <w:t>13</w:t>
            </w:r>
            <w:r>
              <w:rPr>
                <w:noProof/>
                <w:webHidden/>
              </w:rPr>
              <w:fldChar w:fldCharType="end"/>
            </w:r>
          </w:hyperlink>
        </w:p>
        <w:p w14:paraId="343940B1" w14:textId="72EBEB13" w:rsidR="008A72C6" w:rsidRDefault="008A72C6">
          <w:pPr>
            <w:pStyle w:val="TOC2"/>
            <w:tabs>
              <w:tab w:val="right" w:leader="dot" w:pos="9350"/>
            </w:tabs>
            <w:rPr>
              <w:rFonts w:asciiTheme="minorHAnsi" w:eastAsiaTheme="minorEastAsia" w:hAnsiTheme="minorHAnsi"/>
              <w:noProof/>
              <w:color w:val="auto"/>
              <w:sz w:val="22"/>
            </w:rPr>
          </w:pPr>
          <w:hyperlink w:anchor="_Toc241154035" w:history="1">
            <w:r w:rsidRPr="008146EC">
              <w:rPr>
                <w:rStyle w:val="Hyperlink"/>
                <w:noProof/>
              </w:rPr>
              <w:t>2.7 Theme four: consumer response, affordability and category fit</w:t>
            </w:r>
            <w:r>
              <w:rPr>
                <w:noProof/>
                <w:webHidden/>
              </w:rPr>
              <w:tab/>
            </w:r>
            <w:r>
              <w:rPr>
                <w:noProof/>
                <w:webHidden/>
              </w:rPr>
              <w:fldChar w:fldCharType="begin"/>
            </w:r>
            <w:r>
              <w:rPr>
                <w:noProof/>
                <w:webHidden/>
              </w:rPr>
              <w:instrText xml:space="preserve"> PAGEREF _Toc241154035 \h </w:instrText>
            </w:r>
            <w:r>
              <w:rPr>
                <w:noProof/>
                <w:webHidden/>
              </w:rPr>
            </w:r>
            <w:r>
              <w:rPr>
                <w:noProof/>
                <w:webHidden/>
              </w:rPr>
              <w:fldChar w:fldCharType="separate"/>
            </w:r>
            <w:r>
              <w:rPr>
                <w:noProof/>
                <w:webHidden/>
              </w:rPr>
              <w:t>14</w:t>
            </w:r>
            <w:r>
              <w:rPr>
                <w:noProof/>
                <w:webHidden/>
              </w:rPr>
              <w:fldChar w:fldCharType="end"/>
            </w:r>
          </w:hyperlink>
        </w:p>
        <w:p w14:paraId="13738744" w14:textId="102245B6" w:rsidR="008A72C6" w:rsidRDefault="008A72C6">
          <w:pPr>
            <w:pStyle w:val="TOC2"/>
            <w:tabs>
              <w:tab w:val="right" w:leader="dot" w:pos="9350"/>
            </w:tabs>
            <w:rPr>
              <w:rFonts w:asciiTheme="minorHAnsi" w:eastAsiaTheme="minorEastAsia" w:hAnsiTheme="minorHAnsi"/>
              <w:noProof/>
              <w:color w:val="auto"/>
              <w:sz w:val="22"/>
            </w:rPr>
          </w:pPr>
          <w:hyperlink w:anchor="_Toc241154036" w:history="1">
            <w:r w:rsidRPr="008146EC">
              <w:rPr>
                <w:rStyle w:val="Hyperlink"/>
                <w:noProof/>
              </w:rPr>
              <w:t>2.8 Theme five: measurement divergence, assurance and greenwashing risk</w:t>
            </w:r>
            <w:r>
              <w:rPr>
                <w:noProof/>
                <w:webHidden/>
              </w:rPr>
              <w:tab/>
            </w:r>
            <w:r>
              <w:rPr>
                <w:noProof/>
                <w:webHidden/>
              </w:rPr>
              <w:fldChar w:fldCharType="begin"/>
            </w:r>
            <w:r>
              <w:rPr>
                <w:noProof/>
                <w:webHidden/>
              </w:rPr>
              <w:instrText xml:space="preserve"> PAGEREF _Toc241154036 \h </w:instrText>
            </w:r>
            <w:r>
              <w:rPr>
                <w:noProof/>
                <w:webHidden/>
              </w:rPr>
            </w:r>
            <w:r>
              <w:rPr>
                <w:noProof/>
                <w:webHidden/>
              </w:rPr>
              <w:fldChar w:fldCharType="separate"/>
            </w:r>
            <w:r>
              <w:rPr>
                <w:noProof/>
                <w:webHidden/>
              </w:rPr>
              <w:t>15</w:t>
            </w:r>
            <w:r>
              <w:rPr>
                <w:noProof/>
                <w:webHidden/>
              </w:rPr>
              <w:fldChar w:fldCharType="end"/>
            </w:r>
          </w:hyperlink>
        </w:p>
        <w:p w14:paraId="521901AF" w14:textId="029682BE" w:rsidR="008A72C6" w:rsidRDefault="008A72C6">
          <w:pPr>
            <w:pStyle w:val="TOC2"/>
            <w:tabs>
              <w:tab w:val="right" w:leader="dot" w:pos="9350"/>
            </w:tabs>
            <w:rPr>
              <w:rFonts w:asciiTheme="minorHAnsi" w:eastAsiaTheme="minorEastAsia" w:hAnsiTheme="minorHAnsi"/>
              <w:noProof/>
              <w:color w:val="auto"/>
              <w:sz w:val="22"/>
            </w:rPr>
          </w:pPr>
          <w:hyperlink w:anchor="_Toc241154037" w:history="1">
            <w:r w:rsidRPr="008146EC">
              <w:rPr>
                <w:rStyle w:val="Hyperlink"/>
                <w:noProof/>
              </w:rPr>
              <w:t>2.9 Conceptual framework</w:t>
            </w:r>
            <w:r>
              <w:rPr>
                <w:noProof/>
                <w:webHidden/>
              </w:rPr>
              <w:tab/>
            </w:r>
            <w:r>
              <w:rPr>
                <w:noProof/>
                <w:webHidden/>
              </w:rPr>
              <w:fldChar w:fldCharType="begin"/>
            </w:r>
            <w:r>
              <w:rPr>
                <w:noProof/>
                <w:webHidden/>
              </w:rPr>
              <w:instrText xml:space="preserve"> PAGEREF _Toc241154037 \h </w:instrText>
            </w:r>
            <w:r>
              <w:rPr>
                <w:noProof/>
                <w:webHidden/>
              </w:rPr>
            </w:r>
            <w:r>
              <w:rPr>
                <w:noProof/>
                <w:webHidden/>
              </w:rPr>
              <w:fldChar w:fldCharType="separate"/>
            </w:r>
            <w:r>
              <w:rPr>
                <w:noProof/>
                <w:webHidden/>
              </w:rPr>
              <w:t>16</w:t>
            </w:r>
            <w:r>
              <w:rPr>
                <w:noProof/>
                <w:webHidden/>
              </w:rPr>
              <w:fldChar w:fldCharType="end"/>
            </w:r>
          </w:hyperlink>
        </w:p>
        <w:p w14:paraId="24628971" w14:textId="2F593911" w:rsidR="008A72C6" w:rsidRDefault="008A72C6">
          <w:pPr>
            <w:pStyle w:val="TOC2"/>
            <w:tabs>
              <w:tab w:val="right" w:leader="dot" w:pos="9350"/>
            </w:tabs>
            <w:rPr>
              <w:rFonts w:asciiTheme="minorHAnsi" w:eastAsiaTheme="minorEastAsia" w:hAnsiTheme="minorHAnsi"/>
              <w:noProof/>
              <w:color w:val="auto"/>
              <w:sz w:val="22"/>
            </w:rPr>
          </w:pPr>
          <w:hyperlink w:anchor="_Toc241154038" w:history="1">
            <w:r w:rsidRPr="008146EC">
              <w:rPr>
                <w:rStyle w:val="Hyperlink"/>
                <w:noProof/>
              </w:rPr>
              <w:t>2.10 Research gap</w:t>
            </w:r>
            <w:r>
              <w:rPr>
                <w:noProof/>
                <w:webHidden/>
              </w:rPr>
              <w:tab/>
            </w:r>
            <w:r>
              <w:rPr>
                <w:noProof/>
                <w:webHidden/>
              </w:rPr>
              <w:fldChar w:fldCharType="begin"/>
            </w:r>
            <w:r>
              <w:rPr>
                <w:noProof/>
                <w:webHidden/>
              </w:rPr>
              <w:instrText xml:space="preserve"> PAGEREF _Toc241154038 \h </w:instrText>
            </w:r>
            <w:r>
              <w:rPr>
                <w:noProof/>
                <w:webHidden/>
              </w:rPr>
            </w:r>
            <w:r>
              <w:rPr>
                <w:noProof/>
                <w:webHidden/>
              </w:rPr>
              <w:fldChar w:fldCharType="separate"/>
            </w:r>
            <w:r>
              <w:rPr>
                <w:noProof/>
                <w:webHidden/>
              </w:rPr>
              <w:t>17</w:t>
            </w:r>
            <w:r>
              <w:rPr>
                <w:noProof/>
                <w:webHidden/>
              </w:rPr>
              <w:fldChar w:fldCharType="end"/>
            </w:r>
          </w:hyperlink>
        </w:p>
        <w:p w14:paraId="733F78FB" w14:textId="69CF9B3D" w:rsidR="008A72C6" w:rsidRDefault="008A72C6">
          <w:pPr>
            <w:pStyle w:val="TOC1"/>
            <w:tabs>
              <w:tab w:val="right" w:leader="dot" w:pos="9350"/>
            </w:tabs>
            <w:rPr>
              <w:rFonts w:asciiTheme="minorHAnsi" w:eastAsiaTheme="minorEastAsia" w:hAnsiTheme="minorHAnsi"/>
              <w:noProof/>
              <w:color w:val="auto"/>
              <w:sz w:val="22"/>
            </w:rPr>
          </w:pPr>
          <w:hyperlink w:anchor="_Toc241154039" w:history="1">
            <w:r w:rsidRPr="008146EC">
              <w:rPr>
                <w:rStyle w:val="Hyperlink"/>
                <w:noProof/>
              </w:rPr>
              <w:t>Chapter 3: Research Methodology</w:t>
            </w:r>
            <w:r>
              <w:rPr>
                <w:noProof/>
                <w:webHidden/>
              </w:rPr>
              <w:tab/>
            </w:r>
            <w:r>
              <w:rPr>
                <w:noProof/>
                <w:webHidden/>
              </w:rPr>
              <w:fldChar w:fldCharType="begin"/>
            </w:r>
            <w:r>
              <w:rPr>
                <w:noProof/>
                <w:webHidden/>
              </w:rPr>
              <w:instrText xml:space="preserve"> PAGEREF _Toc241154039 \h </w:instrText>
            </w:r>
            <w:r>
              <w:rPr>
                <w:noProof/>
                <w:webHidden/>
              </w:rPr>
            </w:r>
            <w:r>
              <w:rPr>
                <w:noProof/>
                <w:webHidden/>
              </w:rPr>
              <w:fldChar w:fldCharType="separate"/>
            </w:r>
            <w:r>
              <w:rPr>
                <w:noProof/>
                <w:webHidden/>
              </w:rPr>
              <w:t>18</w:t>
            </w:r>
            <w:r>
              <w:rPr>
                <w:noProof/>
                <w:webHidden/>
              </w:rPr>
              <w:fldChar w:fldCharType="end"/>
            </w:r>
          </w:hyperlink>
        </w:p>
        <w:p w14:paraId="65113994" w14:textId="648E61C6" w:rsidR="008A72C6" w:rsidRDefault="008A72C6">
          <w:pPr>
            <w:pStyle w:val="TOC2"/>
            <w:tabs>
              <w:tab w:val="right" w:leader="dot" w:pos="9350"/>
            </w:tabs>
            <w:rPr>
              <w:rFonts w:asciiTheme="minorHAnsi" w:eastAsiaTheme="minorEastAsia" w:hAnsiTheme="minorHAnsi"/>
              <w:noProof/>
              <w:color w:val="auto"/>
              <w:sz w:val="22"/>
            </w:rPr>
          </w:pPr>
          <w:hyperlink w:anchor="_Toc241154040" w:history="1">
            <w:r w:rsidRPr="008146EC">
              <w:rPr>
                <w:rStyle w:val="Hyperlink"/>
                <w:noProof/>
              </w:rPr>
              <w:t>3.1 Introduction</w:t>
            </w:r>
            <w:r>
              <w:rPr>
                <w:noProof/>
                <w:webHidden/>
              </w:rPr>
              <w:tab/>
            </w:r>
            <w:r>
              <w:rPr>
                <w:noProof/>
                <w:webHidden/>
              </w:rPr>
              <w:fldChar w:fldCharType="begin"/>
            </w:r>
            <w:r>
              <w:rPr>
                <w:noProof/>
                <w:webHidden/>
              </w:rPr>
              <w:instrText xml:space="preserve"> PAGEREF _Toc241154040 \h </w:instrText>
            </w:r>
            <w:r>
              <w:rPr>
                <w:noProof/>
                <w:webHidden/>
              </w:rPr>
            </w:r>
            <w:r>
              <w:rPr>
                <w:noProof/>
                <w:webHidden/>
              </w:rPr>
              <w:fldChar w:fldCharType="separate"/>
            </w:r>
            <w:r>
              <w:rPr>
                <w:noProof/>
                <w:webHidden/>
              </w:rPr>
              <w:t>18</w:t>
            </w:r>
            <w:r>
              <w:rPr>
                <w:noProof/>
                <w:webHidden/>
              </w:rPr>
              <w:fldChar w:fldCharType="end"/>
            </w:r>
          </w:hyperlink>
        </w:p>
        <w:p w14:paraId="60DAE178" w14:textId="31B285CF" w:rsidR="008A72C6" w:rsidRDefault="008A72C6">
          <w:pPr>
            <w:pStyle w:val="TOC2"/>
            <w:tabs>
              <w:tab w:val="right" w:leader="dot" w:pos="9350"/>
            </w:tabs>
            <w:rPr>
              <w:rFonts w:asciiTheme="minorHAnsi" w:eastAsiaTheme="minorEastAsia" w:hAnsiTheme="minorHAnsi"/>
              <w:noProof/>
              <w:color w:val="auto"/>
              <w:sz w:val="22"/>
            </w:rPr>
          </w:pPr>
          <w:hyperlink w:anchor="_Toc241154041" w:history="1">
            <w:r w:rsidRPr="008146EC">
              <w:rPr>
                <w:rStyle w:val="Hyperlink"/>
                <w:noProof/>
              </w:rPr>
              <w:t>3.2 Research philosophy</w:t>
            </w:r>
            <w:r>
              <w:rPr>
                <w:noProof/>
                <w:webHidden/>
              </w:rPr>
              <w:tab/>
            </w:r>
            <w:r>
              <w:rPr>
                <w:noProof/>
                <w:webHidden/>
              </w:rPr>
              <w:fldChar w:fldCharType="begin"/>
            </w:r>
            <w:r>
              <w:rPr>
                <w:noProof/>
                <w:webHidden/>
              </w:rPr>
              <w:instrText xml:space="preserve"> PAGEREF _Toc241154041 \h </w:instrText>
            </w:r>
            <w:r>
              <w:rPr>
                <w:noProof/>
                <w:webHidden/>
              </w:rPr>
            </w:r>
            <w:r>
              <w:rPr>
                <w:noProof/>
                <w:webHidden/>
              </w:rPr>
              <w:fldChar w:fldCharType="separate"/>
            </w:r>
            <w:r>
              <w:rPr>
                <w:noProof/>
                <w:webHidden/>
              </w:rPr>
              <w:t>18</w:t>
            </w:r>
            <w:r>
              <w:rPr>
                <w:noProof/>
                <w:webHidden/>
              </w:rPr>
              <w:fldChar w:fldCharType="end"/>
            </w:r>
          </w:hyperlink>
        </w:p>
        <w:p w14:paraId="4808985A" w14:textId="62B3B4C0" w:rsidR="008A72C6" w:rsidRDefault="008A72C6">
          <w:pPr>
            <w:pStyle w:val="TOC2"/>
            <w:tabs>
              <w:tab w:val="right" w:leader="dot" w:pos="9350"/>
            </w:tabs>
            <w:rPr>
              <w:rFonts w:asciiTheme="minorHAnsi" w:eastAsiaTheme="minorEastAsia" w:hAnsiTheme="minorHAnsi"/>
              <w:noProof/>
              <w:color w:val="auto"/>
              <w:sz w:val="22"/>
            </w:rPr>
          </w:pPr>
          <w:hyperlink w:anchor="_Toc241154042" w:history="1">
            <w:r w:rsidRPr="008146EC">
              <w:rPr>
                <w:rStyle w:val="Hyperlink"/>
                <w:noProof/>
              </w:rPr>
              <w:t>3.3 Research approach</w:t>
            </w:r>
            <w:r>
              <w:rPr>
                <w:noProof/>
                <w:webHidden/>
              </w:rPr>
              <w:tab/>
            </w:r>
            <w:r>
              <w:rPr>
                <w:noProof/>
                <w:webHidden/>
              </w:rPr>
              <w:fldChar w:fldCharType="begin"/>
            </w:r>
            <w:r>
              <w:rPr>
                <w:noProof/>
                <w:webHidden/>
              </w:rPr>
              <w:instrText xml:space="preserve"> PAGEREF _Toc241154042 \h </w:instrText>
            </w:r>
            <w:r>
              <w:rPr>
                <w:noProof/>
                <w:webHidden/>
              </w:rPr>
            </w:r>
            <w:r>
              <w:rPr>
                <w:noProof/>
                <w:webHidden/>
              </w:rPr>
              <w:fldChar w:fldCharType="separate"/>
            </w:r>
            <w:r>
              <w:rPr>
                <w:noProof/>
                <w:webHidden/>
              </w:rPr>
              <w:t>18</w:t>
            </w:r>
            <w:r>
              <w:rPr>
                <w:noProof/>
                <w:webHidden/>
              </w:rPr>
              <w:fldChar w:fldCharType="end"/>
            </w:r>
          </w:hyperlink>
        </w:p>
        <w:p w14:paraId="0CC993C8" w14:textId="473BF73B" w:rsidR="008A72C6" w:rsidRDefault="008A72C6">
          <w:pPr>
            <w:pStyle w:val="TOC2"/>
            <w:tabs>
              <w:tab w:val="right" w:leader="dot" w:pos="9350"/>
            </w:tabs>
            <w:rPr>
              <w:rFonts w:asciiTheme="minorHAnsi" w:eastAsiaTheme="minorEastAsia" w:hAnsiTheme="minorHAnsi"/>
              <w:noProof/>
              <w:color w:val="auto"/>
              <w:sz w:val="22"/>
            </w:rPr>
          </w:pPr>
          <w:hyperlink w:anchor="_Toc241154043" w:history="1">
            <w:r w:rsidRPr="008146EC">
              <w:rPr>
                <w:rStyle w:val="Hyperlink"/>
                <w:noProof/>
              </w:rPr>
              <w:t>3.4 Research Design and case logic</w:t>
            </w:r>
            <w:r>
              <w:rPr>
                <w:noProof/>
                <w:webHidden/>
              </w:rPr>
              <w:tab/>
            </w:r>
            <w:r>
              <w:rPr>
                <w:noProof/>
                <w:webHidden/>
              </w:rPr>
              <w:fldChar w:fldCharType="begin"/>
            </w:r>
            <w:r>
              <w:rPr>
                <w:noProof/>
                <w:webHidden/>
              </w:rPr>
              <w:instrText xml:space="preserve"> PAGEREF _Toc241154043 \h </w:instrText>
            </w:r>
            <w:r>
              <w:rPr>
                <w:noProof/>
                <w:webHidden/>
              </w:rPr>
            </w:r>
            <w:r>
              <w:rPr>
                <w:noProof/>
                <w:webHidden/>
              </w:rPr>
              <w:fldChar w:fldCharType="separate"/>
            </w:r>
            <w:r>
              <w:rPr>
                <w:noProof/>
                <w:webHidden/>
              </w:rPr>
              <w:t>19</w:t>
            </w:r>
            <w:r>
              <w:rPr>
                <w:noProof/>
                <w:webHidden/>
              </w:rPr>
              <w:fldChar w:fldCharType="end"/>
            </w:r>
          </w:hyperlink>
        </w:p>
        <w:p w14:paraId="2C372664" w14:textId="3595B13A" w:rsidR="008A72C6" w:rsidRDefault="008A72C6">
          <w:pPr>
            <w:pStyle w:val="TOC2"/>
            <w:tabs>
              <w:tab w:val="right" w:leader="dot" w:pos="9350"/>
            </w:tabs>
            <w:rPr>
              <w:rFonts w:asciiTheme="minorHAnsi" w:eastAsiaTheme="minorEastAsia" w:hAnsiTheme="minorHAnsi"/>
              <w:noProof/>
              <w:color w:val="auto"/>
              <w:sz w:val="22"/>
            </w:rPr>
          </w:pPr>
          <w:hyperlink w:anchor="_Toc241154044" w:history="1">
            <w:r w:rsidRPr="008146EC">
              <w:rPr>
                <w:rStyle w:val="Hyperlink"/>
                <w:noProof/>
              </w:rPr>
              <w:t>3.5 Evidence identification and selection</w:t>
            </w:r>
            <w:r>
              <w:rPr>
                <w:noProof/>
                <w:webHidden/>
              </w:rPr>
              <w:tab/>
            </w:r>
            <w:r>
              <w:rPr>
                <w:noProof/>
                <w:webHidden/>
              </w:rPr>
              <w:fldChar w:fldCharType="begin"/>
            </w:r>
            <w:r>
              <w:rPr>
                <w:noProof/>
                <w:webHidden/>
              </w:rPr>
              <w:instrText xml:space="preserve"> PAGEREF _Toc241154044 \h </w:instrText>
            </w:r>
            <w:r>
              <w:rPr>
                <w:noProof/>
                <w:webHidden/>
              </w:rPr>
            </w:r>
            <w:r>
              <w:rPr>
                <w:noProof/>
                <w:webHidden/>
              </w:rPr>
              <w:fldChar w:fldCharType="separate"/>
            </w:r>
            <w:r>
              <w:rPr>
                <w:noProof/>
                <w:webHidden/>
              </w:rPr>
              <w:t>20</w:t>
            </w:r>
            <w:r>
              <w:rPr>
                <w:noProof/>
                <w:webHidden/>
              </w:rPr>
              <w:fldChar w:fldCharType="end"/>
            </w:r>
          </w:hyperlink>
        </w:p>
        <w:p w14:paraId="5AC88FC9" w14:textId="09B2BC5E" w:rsidR="008A72C6" w:rsidRDefault="008A72C6">
          <w:pPr>
            <w:pStyle w:val="TOC2"/>
            <w:tabs>
              <w:tab w:val="right" w:leader="dot" w:pos="9350"/>
            </w:tabs>
            <w:rPr>
              <w:rFonts w:asciiTheme="minorHAnsi" w:eastAsiaTheme="minorEastAsia" w:hAnsiTheme="minorHAnsi"/>
              <w:noProof/>
              <w:color w:val="auto"/>
              <w:sz w:val="22"/>
            </w:rPr>
          </w:pPr>
          <w:hyperlink w:anchor="_Toc241154045" w:history="1">
            <w:r w:rsidRPr="008146EC">
              <w:rPr>
                <w:rStyle w:val="Hyperlink"/>
                <w:noProof/>
              </w:rPr>
              <w:t>3.6 Data extraction and operationalisation</w:t>
            </w:r>
            <w:r>
              <w:rPr>
                <w:noProof/>
                <w:webHidden/>
              </w:rPr>
              <w:tab/>
            </w:r>
            <w:r>
              <w:rPr>
                <w:noProof/>
                <w:webHidden/>
              </w:rPr>
              <w:fldChar w:fldCharType="begin"/>
            </w:r>
            <w:r>
              <w:rPr>
                <w:noProof/>
                <w:webHidden/>
              </w:rPr>
              <w:instrText xml:space="preserve"> PAGEREF _Toc241154045 \h </w:instrText>
            </w:r>
            <w:r>
              <w:rPr>
                <w:noProof/>
                <w:webHidden/>
              </w:rPr>
            </w:r>
            <w:r>
              <w:rPr>
                <w:noProof/>
                <w:webHidden/>
              </w:rPr>
              <w:fldChar w:fldCharType="separate"/>
            </w:r>
            <w:r>
              <w:rPr>
                <w:noProof/>
                <w:webHidden/>
              </w:rPr>
              <w:t>21</w:t>
            </w:r>
            <w:r>
              <w:rPr>
                <w:noProof/>
                <w:webHidden/>
              </w:rPr>
              <w:fldChar w:fldCharType="end"/>
            </w:r>
          </w:hyperlink>
        </w:p>
        <w:p w14:paraId="5B40FA78" w14:textId="76C7C465" w:rsidR="008A72C6" w:rsidRDefault="008A72C6">
          <w:pPr>
            <w:pStyle w:val="TOC2"/>
            <w:tabs>
              <w:tab w:val="right" w:leader="dot" w:pos="9350"/>
            </w:tabs>
            <w:rPr>
              <w:rFonts w:asciiTheme="minorHAnsi" w:eastAsiaTheme="minorEastAsia" w:hAnsiTheme="minorHAnsi"/>
              <w:noProof/>
              <w:color w:val="auto"/>
              <w:sz w:val="22"/>
            </w:rPr>
          </w:pPr>
          <w:hyperlink w:anchor="_Toc241154046" w:history="1">
            <w:r w:rsidRPr="008146EC">
              <w:rPr>
                <w:rStyle w:val="Hyperlink"/>
                <w:noProof/>
              </w:rPr>
              <w:t>3.7 Analytical procedure</w:t>
            </w:r>
            <w:r>
              <w:rPr>
                <w:noProof/>
                <w:webHidden/>
              </w:rPr>
              <w:tab/>
            </w:r>
            <w:r>
              <w:rPr>
                <w:noProof/>
                <w:webHidden/>
              </w:rPr>
              <w:fldChar w:fldCharType="begin"/>
            </w:r>
            <w:r>
              <w:rPr>
                <w:noProof/>
                <w:webHidden/>
              </w:rPr>
              <w:instrText xml:space="preserve"> PAGEREF _Toc241154046 \h </w:instrText>
            </w:r>
            <w:r>
              <w:rPr>
                <w:noProof/>
                <w:webHidden/>
              </w:rPr>
            </w:r>
            <w:r>
              <w:rPr>
                <w:noProof/>
                <w:webHidden/>
              </w:rPr>
              <w:fldChar w:fldCharType="separate"/>
            </w:r>
            <w:r>
              <w:rPr>
                <w:noProof/>
                <w:webHidden/>
              </w:rPr>
              <w:t>24</w:t>
            </w:r>
            <w:r>
              <w:rPr>
                <w:noProof/>
                <w:webHidden/>
              </w:rPr>
              <w:fldChar w:fldCharType="end"/>
            </w:r>
          </w:hyperlink>
        </w:p>
        <w:p w14:paraId="66D5AF60" w14:textId="339ECA83" w:rsidR="008A72C6" w:rsidRDefault="008A72C6">
          <w:pPr>
            <w:pStyle w:val="TOC2"/>
            <w:tabs>
              <w:tab w:val="right" w:leader="dot" w:pos="9350"/>
            </w:tabs>
            <w:rPr>
              <w:rFonts w:asciiTheme="minorHAnsi" w:eastAsiaTheme="minorEastAsia" w:hAnsiTheme="minorHAnsi"/>
              <w:noProof/>
              <w:color w:val="auto"/>
              <w:sz w:val="22"/>
            </w:rPr>
          </w:pPr>
          <w:hyperlink w:anchor="_Toc241154047" w:history="1">
            <w:r w:rsidRPr="008146EC">
              <w:rPr>
                <w:rStyle w:val="Hyperlink"/>
                <w:noProof/>
              </w:rPr>
              <w:t>3.8 Research quality and reflexivity</w:t>
            </w:r>
            <w:r>
              <w:rPr>
                <w:noProof/>
                <w:webHidden/>
              </w:rPr>
              <w:tab/>
            </w:r>
            <w:r>
              <w:rPr>
                <w:noProof/>
                <w:webHidden/>
              </w:rPr>
              <w:fldChar w:fldCharType="begin"/>
            </w:r>
            <w:r>
              <w:rPr>
                <w:noProof/>
                <w:webHidden/>
              </w:rPr>
              <w:instrText xml:space="preserve"> PAGEREF _Toc241154047 \h </w:instrText>
            </w:r>
            <w:r>
              <w:rPr>
                <w:noProof/>
                <w:webHidden/>
              </w:rPr>
            </w:r>
            <w:r>
              <w:rPr>
                <w:noProof/>
                <w:webHidden/>
              </w:rPr>
              <w:fldChar w:fldCharType="separate"/>
            </w:r>
            <w:r>
              <w:rPr>
                <w:noProof/>
                <w:webHidden/>
              </w:rPr>
              <w:t>25</w:t>
            </w:r>
            <w:r>
              <w:rPr>
                <w:noProof/>
                <w:webHidden/>
              </w:rPr>
              <w:fldChar w:fldCharType="end"/>
            </w:r>
          </w:hyperlink>
        </w:p>
        <w:p w14:paraId="2EB5D14A" w14:textId="5FB8FEAA" w:rsidR="008A72C6" w:rsidRDefault="008A72C6">
          <w:pPr>
            <w:pStyle w:val="TOC2"/>
            <w:tabs>
              <w:tab w:val="right" w:leader="dot" w:pos="9350"/>
            </w:tabs>
            <w:rPr>
              <w:rFonts w:asciiTheme="minorHAnsi" w:eastAsiaTheme="minorEastAsia" w:hAnsiTheme="minorHAnsi"/>
              <w:noProof/>
              <w:color w:val="auto"/>
              <w:sz w:val="22"/>
            </w:rPr>
          </w:pPr>
          <w:hyperlink w:anchor="_Toc241154048" w:history="1">
            <w:r w:rsidRPr="008146EC">
              <w:rPr>
                <w:rStyle w:val="Hyperlink"/>
                <w:noProof/>
              </w:rPr>
              <w:t>3.9 Ethical considerations</w:t>
            </w:r>
            <w:r>
              <w:rPr>
                <w:noProof/>
                <w:webHidden/>
              </w:rPr>
              <w:tab/>
            </w:r>
            <w:r>
              <w:rPr>
                <w:noProof/>
                <w:webHidden/>
              </w:rPr>
              <w:fldChar w:fldCharType="begin"/>
            </w:r>
            <w:r>
              <w:rPr>
                <w:noProof/>
                <w:webHidden/>
              </w:rPr>
              <w:instrText xml:space="preserve"> PAGEREF _Toc241154048 \h </w:instrText>
            </w:r>
            <w:r>
              <w:rPr>
                <w:noProof/>
                <w:webHidden/>
              </w:rPr>
            </w:r>
            <w:r>
              <w:rPr>
                <w:noProof/>
                <w:webHidden/>
              </w:rPr>
              <w:fldChar w:fldCharType="separate"/>
            </w:r>
            <w:r>
              <w:rPr>
                <w:noProof/>
                <w:webHidden/>
              </w:rPr>
              <w:t>25</w:t>
            </w:r>
            <w:r>
              <w:rPr>
                <w:noProof/>
                <w:webHidden/>
              </w:rPr>
              <w:fldChar w:fldCharType="end"/>
            </w:r>
          </w:hyperlink>
        </w:p>
        <w:p w14:paraId="102ACE71" w14:textId="4DA816BE" w:rsidR="008A72C6" w:rsidRDefault="008A72C6">
          <w:pPr>
            <w:pStyle w:val="TOC2"/>
            <w:tabs>
              <w:tab w:val="right" w:leader="dot" w:pos="9350"/>
            </w:tabs>
            <w:rPr>
              <w:rFonts w:asciiTheme="minorHAnsi" w:eastAsiaTheme="minorEastAsia" w:hAnsiTheme="minorHAnsi"/>
              <w:noProof/>
              <w:color w:val="auto"/>
              <w:sz w:val="22"/>
            </w:rPr>
          </w:pPr>
          <w:hyperlink w:anchor="_Toc241154049" w:history="1">
            <w:r w:rsidRPr="008146EC">
              <w:rPr>
                <w:rStyle w:val="Hyperlink"/>
                <w:noProof/>
              </w:rPr>
              <w:t>3.10 Methodological limitations</w:t>
            </w:r>
            <w:r>
              <w:rPr>
                <w:noProof/>
                <w:webHidden/>
              </w:rPr>
              <w:tab/>
            </w:r>
            <w:r>
              <w:rPr>
                <w:noProof/>
                <w:webHidden/>
              </w:rPr>
              <w:fldChar w:fldCharType="begin"/>
            </w:r>
            <w:r>
              <w:rPr>
                <w:noProof/>
                <w:webHidden/>
              </w:rPr>
              <w:instrText xml:space="preserve"> PAGEREF _Toc241154049 \h </w:instrText>
            </w:r>
            <w:r>
              <w:rPr>
                <w:noProof/>
                <w:webHidden/>
              </w:rPr>
            </w:r>
            <w:r>
              <w:rPr>
                <w:noProof/>
                <w:webHidden/>
              </w:rPr>
              <w:fldChar w:fldCharType="separate"/>
            </w:r>
            <w:r>
              <w:rPr>
                <w:noProof/>
                <w:webHidden/>
              </w:rPr>
              <w:t>26</w:t>
            </w:r>
            <w:r>
              <w:rPr>
                <w:noProof/>
                <w:webHidden/>
              </w:rPr>
              <w:fldChar w:fldCharType="end"/>
            </w:r>
          </w:hyperlink>
        </w:p>
        <w:p w14:paraId="553E6E43" w14:textId="32D9D3F1" w:rsidR="008A72C6" w:rsidRDefault="008A72C6">
          <w:pPr>
            <w:pStyle w:val="TOC1"/>
            <w:tabs>
              <w:tab w:val="right" w:leader="dot" w:pos="9350"/>
            </w:tabs>
            <w:rPr>
              <w:rFonts w:asciiTheme="minorHAnsi" w:eastAsiaTheme="minorEastAsia" w:hAnsiTheme="minorHAnsi"/>
              <w:noProof/>
              <w:color w:val="auto"/>
              <w:sz w:val="22"/>
            </w:rPr>
          </w:pPr>
          <w:hyperlink w:anchor="_Toc241154050" w:history="1">
            <w:r w:rsidRPr="008146EC">
              <w:rPr>
                <w:rStyle w:val="Hyperlink"/>
                <w:rFonts w:cs="Arial"/>
                <w:noProof/>
              </w:rPr>
              <w:t>Chapter 4: Data Analysis and Findings</w:t>
            </w:r>
            <w:r>
              <w:rPr>
                <w:noProof/>
                <w:webHidden/>
              </w:rPr>
              <w:tab/>
            </w:r>
            <w:r>
              <w:rPr>
                <w:noProof/>
                <w:webHidden/>
              </w:rPr>
              <w:fldChar w:fldCharType="begin"/>
            </w:r>
            <w:r>
              <w:rPr>
                <w:noProof/>
                <w:webHidden/>
              </w:rPr>
              <w:instrText xml:space="preserve"> PAGEREF _Toc241154050 \h </w:instrText>
            </w:r>
            <w:r>
              <w:rPr>
                <w:noProof/>
                <w:webHidden/>
              </w:rPr>
            </w:r>
            <w:r>
              <w:rPr>
                <w:noProof/>
                <w:webHidden/>
              </w:rPr>
              <w:fldChar w:fldCharType="separate"/>
            </w:r>
            <w:r>
              <w:rPr>
                <w:noProof/>
                <w:webHidden/>
              </w:rPr>
              <w:t>27</w:t>
            </w:r>
            <w:r>
              <w:rPr>
                <w:noProof/>
                <w:webHidden/>
              </w:rPr>
              <w:fldChar w:fldCharType="end"/>
            </w:r>
          </w:hyperlink>
        </w:p>
        <w:p w14:paraId="5718D66E" w14:textId="4ECC67EE" w:rsidR="008A72C6" w:rsidRDefault="008A72C6">
          <w:pPr>
            <w:pStyle w:val="TOC2"/>
            <w:tabs>
              <w:tab w:val="right" w:leader="dot" w:pos="9350"/>
            </w:tabs>
            <w:rPr>
              <w:rFonts w:asciiTheme="minorHAnsi" w:eastAsiaTheme="minorEastAsia" w:hAnsiTheme="minorHAnsi"/>
              <w:noProof/>
              <w:color w:val="auto"/>
              <w:sz w:val="22"/>
            </w:rPr>
          </w:pPr>
          <w:hyperlink w:anchor="_Toc241154051" w:history="1">
            <w:r w:rsidRPr="008146EC">
              <w:rPr>
                <w:rStyle w:val="Hyperlink"/>
                <w:rFonts w:cs="Arial"/>
                <w:noProof/>
              </w:rPr>
              <w:t>4.1 Introduction</w:t>
            </w:r>
            <w:r>
              <w:rPr>
                <w:noProof/>
                <w:webHidden/>
              </w:rPr>
              <w:tab/>
            </w:r>
            <w:r>
              <w:rPr>
                <w:noProof/>
                <w:webHidden/>
              </w:rPr>
              <w:fldChar w:fldCharType="begin"/>
            </w:r>
            <w:r>
              <w:rPr>
                <w:noProof/>
                <w:webHidden/>
              </w:rPr>
              <w:instrText xml:space="preserve"> PAGEREF _Toc241154051 \h </w:instrText>
            </w:r>
            <w:r>
              <w:rPr>
                <w:noProof/>
                <w:webHidden/>
              </w:rPr>
            </w:r>
            <w:r>
              <w:rPr>
                <w:noProof/>
                <w:webHidden/>
              </w:rPr>
              <w:fldChar w:fldCharType="separate"/>
            </w:r>
            <w:r>
              <w:rPr>
                <w:noProof/>
                <w:webHidden/>
              </w:rPr>
              <w:t>27</w:t>
            </w:r>
            <w:r>
              <w:rPr>
                <w:noProof/>
                <w:webHidden/>
              </w:rPr>
              <w:fldChar w:fldCharType="end"/>
            </w:r>
          </w:hyperlink>
        </w:p>
        <w:p w14:paraId="6EE72ED9" w14:textId="519B72F6" w:rsidR="008A72C6" w:rsidRDefault="008A72C6">
          <w:pPr>
            <w:pStyle w:val="TOC2"/>
            <w:tabs>
              <w:tab w:val="right" w:leader="dot" w:pos="9350"/>
            </w:tabs>
            <w:rPr>
              <w:rFonts w:asciiTheme="minorHAnsi" w:eastAsiaTheme="minorEastAsia" w:hAnsiTheme="minorHAnsi"/>
              <w:noProof/>
              <w:color w:val="auto"/>
              <w:sz w:val="22"/>
            </w:rPr>
          </w:pPr>
          <w:hyperlink w:anchor="_Toc241154052" w:history="1">
            <w:r w:rsidRPr="008146EC">
              <w:rPr>
                <w:rStyle w:val="Hyperlink"/>
                <w:rFonts w:cs="Arial"/>
                <w:noProof/>
              </w:rPr>
              <w:t>4.2 Cross-case strategic configuration</w:t>
            </w:r>
            <w:r>
              <w:rPr>
                <w:noProof/>
                <w:webHidden/>
              </w:rPr>
              <w:tab/>
            </w:r>
            <w:r>
              <w:rPr>
                <w:noProof/>
                <w:webHidden/>
              </w:rPr>
              <w:fldChar w:fldCharType="begin"/>
            </w:r>
            <w:r>
              <w:rPr>
                <w:noProof/>
                <w:webHidden/>
              </w:rPr>
              <w:instrText xml:space="preserve"> PAGEREF _Toc241154052 \h </w:instrText>
            </w:r>
            <w:r>
              <w:rPr>
                <w:noProof/>
                <w:webHidden/>
              </w:rPr>
            </w:r>
            <w:r>
              <w:rPr>
                <w:noProof/>
                <w:webHidden/>
              </w:rPr>
              <w:fldChar w:fldCharType="separate"/>
            </w:r>
            <w:r>
              <w:rPr>
                <w:noProof/>
                <w:webHidden/>
              </w:rPr>
              <w:t>27</w:t>
            </w:r>
            <w:r>
              <w:rPr>
                <w:noProof/>
                <w:webHidden/>
              </w:rPr>
              <w:fldChar w:fldCharType="end"/>
            </w:r>
          </w:hyperlink>
        </w:p>
        <w:p w14:paraId="35FD2275" w14:textId="70D338D8" w:rsidR="008A72C6" w:rsidRDefault="008A72C6">
          <w:pPr>
            <w:pStyle w:val="TOC2"/>
            <w:tabs>
              <w:tab w:val="right" w:leader="dot" w:pos="9350"/>
            </w:tabs>
            <w:rPr>
              <w:rFonts w:asciiTheme="minorHAnsi" w:eastAsiaTheme="minorEastAsia" w:hAnsiTheme="minorHAnsi"/>
              <w:noProof/>
              <w:color w:val="auto"/>
              <w:sz w:val="22"/>
            </w:rPr>
          </w:pPr>
          <w:hyperlink w:anchor="_Toc241154053" w:history="1">
            <w:r w:rsidRPr="008146EC">
              <w:rPr>
                <w:rStyle w:val="Hyperlink"/>
                <w:rFonts w:cs="Arial"/>
                <w:noProof/>
              </w:rPr>
              <w:t>4.3 Unilever: mature systems, operational progress and claim scrutiny</w:t>
            </w:r>
            <w:r>
              <w:rPr>
                <w:noProof/>
                <w:webHidden/>
              </w:rPr>
              <w:tab/>
            </w:r>
            <w:r>
              <w:rPr>
                <w:noProof/>
                <w:webHidden/>
              </w:rPr>
              <w:fldChar w:fldCharType="begin"/>
            </w:r>
            <w:r>
              <w:rPr>
                <w:noProof/>
                <w:webHidden/>
              </w:rPr>
              <w:instrText xml:space="preserve"> PAGEREF _Toc241154053 \h </w:instrText>
            </w:r>
            <w:r>
              <w:rPr>
                <w:noProof/>
                <w:webHidden/>
              </w:rPr>
            </w:r>
            <w:r>
              <w:rPr>
                <w:noProof/>
                <w:webHidden/>
              </w:rPr>
              <w:fldChar w:fldCharType="separate"/>
            </w:r>
            <w:r>
              <w:rPr>
                <w:noProof/>
                <w:webHidden/>
              </w:rPr>
              <w:t>29</w:t>
            </w:r>
            <w:r>
              <w:rPr>
                <w:noProof/>
                <w:webHidden/>
              </w:rPr>
              <w:fldChar w:fldCharType="end"/>
            </w:r>
          </w:hyperlink>
        </w:p>
        <w:p w14:paraId="4B1FC46F" w14:textId="1687A007" w:rsidR="008A72C6" w:rsidRDefault="008A72C6">
          <w:pPr>
            <w:pStyle w:val="TOC2"/>
            <w:tabs>
              <w:tab w:val="right" w:leader="dot" w:pos="9350"/>
            </w:tabs>
            <w:rPr>
              <w:rFonts w:asciiTheme="minorHAnsi" w:eastAsiaTheme="minorEastAsia" w:hAnsiTheme="minorHAnsi"/>
              <w:noProof/>
              <w:color w:val="auto"/>
              <w:sz w:val="22"/>
            </w:rPr>
          </w:pPr>
          <w:hyperlink w:anchor="_Toc241154054" w:history="1">
            <w:r w:rsidRPr="008146EC">
              <w:rPr>
                <w:rStyle w:val="Hyperlink"/>
                <w:rFonts w:cs="Arial"/>
                <w:noProof/>
              </w:rPr>
              <w:t>4.4 Reckitt: sustainable-product integration, target recalibration and governance exposure</w:t>
            </w:r>
            <w:r>
              <w:rPr>
                <w:noProof/>
                <w:webHidden/>
              </w:rPr>
              <w:tab/>
            </w:r>
            <w:r>
              <w:rPr>
                <w:noProof/>
                <w:webHidden/>
              </w:rPr>
              <w:fldChar w:fldCharType="begin"/>
            </w:r>
            <w:r>
              <w:rPr>
                <w:noProof/>
                <w:webHidden/>
              </w:rPr>
              <w:instrText xml:space="preserve"> PAGEREF _Toc241154054 \h </w:instrText>
            </w:r>
            <w:r>
              <w:rPr>
                <w:noProof/>
                <w:webHidden/>
              </w:rPr>
            </w:r>
            <w:r>
              <w:rPr>
                <w:noProof/>
                <w:webHidden/>
              </w:rPr>
              <w:fldChar w:fldCharType="separate"/>
            </w:r>
            <w:r>
              <w:rPr>
                <w:noProof/>
                <w:webHidden/>
              </w:rPr>
              <w:t>31</w:t>
            </w:r>
            <w:r>
              <w:rPr>
                <w:noProof/>
                <w:webHidden/>
              </w:rPr>
              <w:fldChar w:fldCharType="end"/>
            </w:r>
          </w:hyperlink>
        </w:p>
        <w:p w14:paraId="1CBFBFAD" w14:textId="4FB71A8D" w:rsidR="008A72C6" w:rsidRDefault="008A72C6">
          <w:pPr>
            <w:pStyle w:val="TOC2"/>
            <w:tabs>
              <w:tab w:val="right" w:leader="dot" w:pos="9350"/>
            </w:tabs>
            <w:rPr>
              <w:rFonts w:asciiTheme="minorHAnsi" w:eastAsiaTheme="minorEastAsia" w:hAnsiTheme="minorHAnsi"/>
              <w:noProof/>
              <w:color w:val="auto"/>
              <w:sz w:val="22"/>
            </w:rPr>
          </w:pPr>
          <w:hyperlink w:anchor="_Toc241154055" w:history="1">
            <w:r w:rsidRPr="008146EC">
              <w:rPr>
                <w:rStyle w:val="Hyperlink"/>
                <w:rFonts w:cs="Arial"/>
                <w:noProof/>
              </w:rPr>
              <w:t>4.5 Diageo: category-specific social purpose, credible external signals and commercial counter-evidence</w:t>
            </w:r>
            <w:r>
              <w:rPr>
                <w:noProof/>
                <w:webHidden/>
              </w:rPr>
              <w:tab/>
            </w:r>
            <w:r>
              <w:rPr>
                <w:noProof/>
                <w:webHidden/>
              </w:rPr>
              <w:fldChar w:fldCharType="begin"/>
            </w:r>
            <w:r>
              <w:rPr>
                <w:noProof/>
                <w:webHidden/>
              </w:rPr>
              <w:instrText xml:space="preserve"> PAGEREF _Toc241154055 \h </w:instrText>
            </w:r>
            <w:r>
              <w:rPr>
                <w:noProof/>
                <w:webHidden/>
              </w:rPr>
            </w:r>
            <w:r>
              <w:rPr>
                <w:noProof/>
                <w:webHidden/>
              </w:rPr>
              <w:fldChar w:fldCharType="separate"/>
            </w:r>
            <w:r>
              <w:rPr>
                <w:noProof/>
                <w:webHidden/>
              </w:rPr>
              <w:t>32</w:t>
            </w:r>
            <w:r>
              <w:rPr>
                <w:noProof/>
                <w:webHidden/>
              </w:rPr>
              <w:fldChar w:fldCharType="end"/>
            </w:r>
          </w:hyperlink>
        </w:p>
        <w:p w14:paraId="0329122A" w14:textId="15293E6C" w:rsidR="008A72C6" w:rsidRDefault="008A72C6">
          <w:pPr>
            <w:pStyle w:val="TOC2"/>
            <w:tabs>
              <w:tab w:val="right" w:leader="dot" w:pos="9350"/>
            </w:tabs>
            <w:rPr>
              <w:rFonts w:asciiTheme="minorHAnsi" w:eastAsiaTheme="minorEastAsia" w:hAnsiTheme="minorHAnsi"/>
              <w:noProof/>
              <w:color w:val="auto"/>
              <w:sz w:val="22"/>
            </w:rPr>
          </w:pPr>
          <w:hyperlink w:anchor="_Toc241154056" w:history="1">
            <w:r w:rsidRPr="008146EC">
              <w:rPr>
                <w:rStyle w:val="Hyperlink"/>
                <w:rFonts w:cs="Arial"/>
                <w:noProof/>
              </w:rPr>
              <w:t>4.6 Associated British Foods: decentralised materiality, affordability and portfolio confounding</w:t>
            </w:r>
            <w:r>
              <w:rPr>
                <w:noProof/>
                <w:webHidden/>
              </w:rPr>
              <w:tab/>
            </w:r>
            <w:r>
              <w:rPr>
                <w:noProof/>
                <w:webHidden/>
              </w:rPr>
              <w:fldChar w:fldCharType="begin"/>
            </w:r>
            <w:r>
              <w:rPr>
                <w:noProof/>
                <w:webHidden/>
              </w:rPr>
              <w:instrText xml:space="preserve"> PAGEREF _Toc241154056 \h </w:instrText>
            </w:r>
            <w:r>
              <w:rPr>
                <w:noProof/>
                <w:webHidden/>
              </w:rPr>
            </w:r>
            <w:r>
              <w:rPr>
                <w:noProof/>
                <w:webHidden/>
              </w:rPr>
              <w:fldChar w:fldCharType="separate"/>
            </w:r>
            <w:r>
              <w:rPr>
                <w:noProof/>
                <w:webHidden/>
              </w:rPr>
              <w:t>34</w:t>
            </w:r>
            <w:r>
              <w:rPr>
                <w:noProof/>
                <w:webHidden/>
              </w:rPr>
              <w:fldChar w:fldCharType="end"/>
            </w:r>
          </w:hyperlink>
        </w:p>
        <w:p w14:paraId="59AA7F37" w14:textId="1AE48B26" w:rsidR="008A72C6" w:rsidRDefault="008A72C6">
          <w:pPr>
            <w:pStyle w:val="TOC2"/>
            <w:tabs>
              <w:tab w:val="right" w:leader="dot" w:pos="9350"/>
            </w:tabs>
            <w:rPr>
              <w:rFonts w:asciiTheme="minorHAnsi" w:eastAsiaTheme="minorEastAsia" w:hAnsiTheme="minorHAnsi"/>
              <w:noProof/>
              <w:color w:val="auto"/>
              <w:sz w:val="22"/>
            </w:rPr>
          </w:pPr>
          <w:hyperlink w:anchor="_Toc241154057" w:history="1">
            <w:r w:rsidRPr="008146EC">
              <w:rPr>
                <w:rStyle w:val="Hyperlink"/>
                <w:rFonts w:cs="Arial"/>
                <w:noProof/>
              </w:rPr>
              <w:t>4.7 Cross-case synthesis</w:t>
            </w:r>
            <w:r>
              <w:rPr>
                <w:noProof/>
                <w:webHidden/>
              </w:rPr>
              <w:tab/>
            </w:r>
            <w:r>
              <w:rPr>
                <w:noProof/>
                <w:webHidden/>
              </w:rPr>
              <w:fldChar w:fldCharType="begin"/>
            </w:r>
            <w:r>
              <w:rPr>
                <w:noProof/>
                <w:webHidden/>
              </w:rPr>
              <w:instrText xml:space="preserve"> PAGEREF _Toc241154057 \h </w:instrText>
            </w:r>
            <w:r>
              <w:rPr>
                <w:noProof/>
                <w:webHidden/>
              </w:rPr>
            </w:r>
            <w:r>
              <w:rPr>
                <w:noProof/>
                <w:webHidden/>
              </w:rPr>
              <w:fldChar w:fldCharType="separate"/>
            </w:r>
            <w:r>
              <w:rPr>
                <w:noProof/>
                <w:webHidden/>
              </w:rPr>
              <w:t>36</w:t>
            </w:r>
            <w:r>
              <w:rPr>
                <w:noProof/>
                <w:webHidden/>
              </w:rPr>
              <w:fldChar w:fldCharType="end"/>
            </w:r>
          </w:hyperlink>
        </w:p>
        <w:p w14:paraId="7CDF5664" w14:textId="1A679905" w:rsidR="008A72C6" w:rsidRDefault="008A72C6">
          <w:pPr>
            <w:pStyle w:val="TOC1"/>
            <w:tabs>
              <w:tab w:val="right" w:leader="dot" w:pos="9350"/>
            </w:tabs>
            <w:rPr>
              <w:rFonts w:asciiTheme="minorHAnsi" w:eastAsiaTheme="minorEastAsia" w:hAnsiTheme="minorHAnsi"/>
              <w:noProof/>
              <w:color w:val="auto"/>
              <w:sz w:val="22"/>
            </w:rPr>
          </w:pPr>
          <w:hyperlink w:anchor="_Toc241154058" w:history="1">
            <w:r w:rsidRPr="008146EC">
              <w:rPr>
                <w:rStyle w:val="Hyperlink"/>
                <w:noProof/>
              </w:rPr>
              <w:t>Chapter 5: Discussion</w:t>
            </w:r>
            <w:r>
              <w:rPr>
                <w:noProof/>
                <w:webHidden/>
              </w:rPr>
              <w:tab/>
            </w:r>
            <w:r>
              <w:rPr>
                <w:noProof/>
                <w:webHidden/>
              </w:rPr>
              <w:fldChar w:fldCharType="begin"/>
            </w:r>
            <w:r>
              <w:rPr>
                <w:noProof/>
                <w:webHidden/>
              </w:rPr>
              <w:instrText xml:space="preserve"> PAGEREF _Toc241154058 \h </w:instrText>
            </w:r>
            <w:r>
              <w:rPr>
                <w:noProof/>
                <w:webHidden/>
              </w:rPr>
            </w:r>
            <w:r>
              <w:rPr>
                <w:noProof/>
                <w:webHidden/>
              </w:rPr>
              <w:fldChar w:fldCharType="separate"/>
            </w:r>
            <w:r>
              <w:rPr>
                <w:noProof/>
                <w:webHidden/>
              </w:rPr>
              <w:t>39</w:t>
            </w:r>
            <w:r>
              <w:rPr>
                <w:noProof/>
                <w:webHidden/>
              </w:rPr>
              <w:fldChar w:fldCharType="end"/>
            </w:r>
          </w:hyperlink>
        </w:p>
        <w:p w14:paraId="1F024360" w14:textId="0D061DC5" w:rsidR="008A72C6" w:rsidRDefault="008A72C6">
          <w:pPr>
            <w:pStyle w:val="TOC2"/>
            <w:tabs>
              <w:tab w:val="right" w:leader="dot" w:pos="9350"/>
            </w:tabs>
            <w:rPr>
              <w:rFonts w:asciiTheme="minorHAnsi" w:eastAsiaTheme="minorEastAsia" w:hAnsiTheme="minorHAnsi"/>
              <w:noProof/>
              <w:color w:val="auto"/>
              <w:sz w:val="22"/>
            </w:rPr>
          </w:pPr>
          <w:hyperlink w:anchor="_Toc241154059" w:history="1">
            <w:r w:rsidRPr="008146EC">
              <w:rPr>
                <w:rStyle w:val="Hyperlink"/>
                <w:noProof/>
              </w:rPr>
              <w:t>5.1 Introduction</w:t>
            </w:r>
            <w:r>
              <w:rPr>
                <w:noProof/>
                <w:webHidden/>
              </w:rPr>
              <w:tab/>
            </w:r>
            <w:r>
              <w:rPr>
                <w:noProof/>
                <w:webHidden/>
              </w:rPr>
              <w:fldChar w:fldCharType="begin"/>
            </w:r>
            <w:r>
              <w:rPr>
                <w:noProof/>
                <w:webHidden/>
              </w:rPr>
              <w:instrText xml:space="preserve"> PAGEREF _Toc241154059 \h </w:instrText>
            </w:r>
            <w:r>
              <w:rPr>
                <w:noProof/>
                <w:webHidden/>
              </w:rPr>
            </w:r>
            <w:r>
              <w:rPr>
                <w:noProof/>
                <w:webHidden/>
              </w:rPr>
              <w:fldChar w:fldCharType="separate"/>
            </w:r>
            <w:r>
              <w:rPr>
                <w:noProof/>
                <w:webHidden/>
              </w:rPr>
              <w:t>39</w:t>
            </w:r>
            <w:r>
              <w:rPr>
                <w:noProof/>
                <w:webHidden/>
              </w:rPr>
              <w:fldChar w:fldCharType="end"/>
            </w:r>
          </w:hyperlink>
        </w:p>
        <w:p w14:paraId="34DF75E5" w14:textId="760E4BD0" w:rsidR="008A72C6" w:rsidRDefault="008A72C6">
          <w:pPr>
            <w:pStyle w:val="TOC2"/>
            <w:tabs>
              <w:tab w:val="right" w:leader="dot" w:pos="9350"/>
            </w:tabs>
            <w:rPr>
              <w:rFonts w:asciiTheme="minorHAnsi" w:eastAsiaTheme="minorEastAsia" w:hAnsiTheme="minorHAnsi"/>
              <w:noProof/>
              <w:color w:val="auto"/>
              <w:sz w:val="22"/>
            </w:rPr>
          </w:pPr>
          <w:hyperlink w:anchor="_Toc241154060" w:history="1">
            <w:r w:rsidRPr="008146EC">
              <w:rPr>
                <w:rStyle w:val="Hyperlink"/>
                <w:noProof/>
              </w:rPr>
              <w:t>5.2 How ESG strategy is conceptualised and implemented</w:t>
            </w:r>
            <w:r>
              <w:rPr>
                <w:noProof/>
                <w:webHidden/>
              </w:rPr>
              <w:tab/>
            </w:r>
            <w:r>
              <w:rPr>
                <w:noProof/>
                <w:webHidden/>
              </w:rPr>
              <w:fldChar w:fldCharType="begin"/>
            </w:r>
            <w:r>
              <w:rPr>
                <w:noProof/>
                <w:webHidden/>
              </w:rPr>
              <w:instrText xml:space="preserve"> PAGEREF _Toc241154060 \h </w:instrText>
            </w:r>
            <w:r>
              <w:rPr>
                <w:noProof/>
                <w:webHidden/>
              </w:rPr>
            </w:r>
            <w:r>
              <w:rPr>
                <w:noProof/>
                <w:webHidden/>
              </w:rPr>
              <w:fldChar w:fldCharType="separate"/>
            </w:r>
            <w:r>
              <w:rPr>
                <w:noProof/>
                <w:webHidden/>
              </w:rPr>
              <w:t>39</w:t>
            </w:r>
            <w:r>
              <w:rPr>
                <w:noProof/>
                <w:webHidden/>
              </w:rPr>
              <w:fldChar w:fldCharType="end"/>
            </w:r>
          </w:hyperlink>
        </w:p>
        <w:p w14:paraId="7BBA989F" w14:textId="44ECC827" w:rsidR="008A72C6" w:rsidRDefault="008A72C6">
          <w:pPr>
            <w:pStyle w:val="TOC2"/>
            <w:tabs>
              <w:tab w:val="right" w:leader="dot" w:pos="9350"/>
            </w:tabs>
            <w:rPr>
              <w:rFonts w:asciiTheme="minorHAnsi" w:eastAsiaTheme="minorEastAsia" w:hAnsiTheme="minorHAnsi"/>
              <w:noProof/>
              <w:color w:val="auto"/>
              <w:sz w:val="22"/>
            </w:rPr>
          </w:pPr>
          <w:hyperlink w:anchor="_Toc241154061" w:history="1">
            <w:r w:rsidRPr="008146EC">
              <w:rPr>
                <w:rStyle w:val="Hyperlink"/>
                <w:noProof/>
              </w:rPr>
              <w:t>5.3 Reputation as a conditional and asymmetric mechanism</w:t>
            </w:r>
            <w:r>
              <w:rPr>
                <w:noProof/>
                <w:webHidden/>
              </w:rPr>
              <w:tab/>
            </w:r>
            <w:r>
              <w:rPr>
                <w:noProof/>
                <w:webHidden/>
              </w:rPr>
              <w:fldChar w:fldCharType="begin"/>
            </w:r>
            <w:r>
              <w:rPr>
                <w:noProof/>
                <w:webHidden/>
              </w:rPr>
              <w:instrText xml:space="preserve"> PAGEREF _Toc241154061 \h </w:instrText>
            </w:r>
            <w:r>
              <w:rPr>
                <w:noProof/>
                <w:webHidden/>
              </w:rPr>
            </w:r>
            <w:r>
              <w:rPr>
                <w:noProof/>
                <w:webHidden/>
              </w:rPr>
              <w:fldChar w:fldCharType="separate"/>
            </w:r>
            <w:r>
              <w:rPr>
                <w:noProof/>
                <w:webHidden/>
              </w:rPr>
              <w:t>40</w:t>
            </w:r>
            <w:r>
              <w:rPr>
                <w:noProof/>
                <w:webHidden/>
              </w:rPr>
              <w:fldChar w:fldCharType="end"/>
            </w:r>
          </w:hyperlink>
        </w:p>
        <w:p w14:paraId="407E0213" w14:textId="04724B4F" w:rsidR="008A72C6" w:rsidRDefault="008A72C6">
          <w:pPr>
            <w:pStyle w:val="TOC2"/>
            <w:tabs>
              <w:tab w:val="right" w:leader="dot" w:pos="9350"/>
            </w:tabs>
            <w:rPr>
              <w:rFonts w:asciiTheme="minorHAnsi" w:eastAsiaTheme="minorEastAsia" w:hAnsiTheme="minorHAnsi"/>
              <w:noProof/>
              <w:color w:val="auto"/>
              <w:sz w:val="22"/>
            </w:rPr>
          </w:pPr>
          <w:hyperlink w:anchor="_Toc241154062" w:history="1">
            <w:r w:rsidRPr="008146EC">
              <w:rPr>
                <w:rStyle w:val="Hyperlink"/>
                <w:noProof/>
              </w:rPr>
              <w:t>5.4 Contribution to long-term competitive advantage</w:t>
            </w:r>
            <w:r>
              <w:rPr>
                <w:noProof/>
                <w:webHidden/>
              </w:rPr>
              <w:tab/>
            </w:r>
            <w:r>
              <w:rPr>
                <w:noProof/>
                <w:webHidden/>
              </w:rPr>
              <w:fldChar w:fldCharType="begin"/>
            </w:r>
            <w:r>
              <w:rPr>
                <w:noProof/>
                <w:webHidden/>
              </w:rPr>
              <w:instrText xml:space="preserve"> PAGEREF _Toc241154062 \h </w:instrText>
            </w:r>
            <w:r>
              <w:rPr>
                <w:noProof/>
                <w:webHidden/>
              </w:rPr>
            </w:r>
            <w:r>
              <w:rPr>
                <w:noProof/>
                <w:webHidden/>
              </w:rPr>
              <w:fldChar w:fldCharType="separate"/>
            </w:r>
            <w:r>
              <w:rPr>
                <w:noProof/>
                <w:webHidden/>
              </w:rPr>
              <w:t>41</w:t>
            </w:r>
            <w:r>
              <w:rPr>
                <w:noProof/>
                <w:webHidden/>
              </w:rPr>
              <w:fldChar w:fldCharType="end"/>
            </w:r>
          </w:hyperlink>
        </w:p>
        <w:p w14:paraId="3D22658C" w14:textId="5200F543" w:rsidR="008A72C6" w:rsidRDefault="008A72C6">
          <w:pPr>
            <w:pStyle w:val="TOC2"/>
            <w:tabs>
              <w:tab w:val="right" w:leader="dot" w:pos="9350"/>
            </w:tabs>
            <w:rPr>
              <w:rFonts w:asciiTheme="minorHAnsi" w:eastAsiaTheme="minorEastAsia" w:hAnsiTheme="minorHAnsi"/>
              <w:noProof/>
              <w:color w:val="auto"/>
              <w:sz w:val="22"/>
            </w:rPr>
          </w:pPr>
          <w:hyperlink w:anchor="_Toc241154063" w:history="1">
            <w:r w:rsidRPr="008146EC">
              <w:rPr>
                <w:rStyle w:val="Hyperlink"/>
                <w:noProof/>
              </w:rPr>
              <w:t>5.5 Conditions that strengthen or weaken the mechanisms</w:t>
            </w:r>
            <w:r>
              <w:rPr>
                <w:noProof/>
                <w:webHidden/>
              </w:rPr>
              <w:tab/>
            </w:r>
            <w:r>
              <w:rPr>
                <w:noProof/>
                <w:webHidden/>
              </w:rPr>
              <w:fldChar w:fldCharType="begin"/>
            </w:r>
            <w:r>
              <w:rPr>
                <w:noProof/>
                <w:webHidden/>
              </w:rPr>
              <w:instrText xml:space="preserve"> PAGEREF _Toc241154063 \h </w:instrText>
            </w:r>
            <w:r>
              <w:rPr>
                <w:noProof/>
                <w:webHidden/>
              </w:rPr>
            </w:r>
            <w:r>
              <w:rPr>
                <w:noProof/>
                <w:webHidden/>
              </w:rPr>
              <w:fldChar w:fldCharType="separate"/>
            </w:r>
            <w:r>
              <w:rPr>
                <w:noProof/>
                <w:webHidden/>
              </w:rPr>
              <w:t>43</w:t>
            </w:r>
            <w:r>
              <w:rPr>
                <w:noProof/>
                <w:webHidden/>
              </w:rPr>
              <w:fldChar w:fldCharType="end"/>
            </w:r>
          </w:hyperlink>
        </w:p>
        <w:p w14:paraId="6B9E931C" w14:textId="7901D351" w:rsidR="008A72C6" w:rsidRDefault="008A72C6">
          <w:pPr>
            <w:pStyle w:val="TOC2"/>
            <w:tabs>
              <w:tab w:val="right" w:leader="dot" w:pos="9350"/>
            </w:tabs>
            <w:rPr>
              <w:rFonts w:asciiTheme="minorHAnsi" w:eastAsiaTheme="minorEastAsia" w:hAnsiTheme="minorHAnsi"/>
              <w:noProof/>
              <w:color w:val="auto"/>
              <w:sz w:val="22"/>
            </w:rPr>
          </w:pPr>
          <w:hyperlink w:anchor="_Toc241154064" w:history="1">
            <w:r w:rsidRPr="008146EC">
              <w:rPr>
                <w:rStyle w:val="Hyperlink"/>
                <w:noProof/>
              </w:rPr>
              <w:t>5.6 Revised conceptual framework and theoretical contribution</w:t>
            </w:r>
            <w:r>
              <w:rPr>
                <w:noProof/>
                <w:webHidden/>
              </w:rPr>
              <w:tab/>
            </w:r>
            <w:r>
              <w:rPr>
                <w:noProof/>
                <w:webHidden/>
              </w:rPr>
              <w:fldChar w:fldCharType="begin"/>
            </w:r>
            <w:r>
              <w:rPr>
                <w:noProof/>
                <w:webHidden/>
              </w:rPr>
              <w:instrText xml:space="preserve"> PAGEREF _Toc241154064 \h </w:instrText>
            </w:r>
            <w:r>
              <w:rPr>
                <w:noProof/>
                <w:webHidden/>
              </w:rPr>
            </w:r>
            <w:r>
              <w:rPr>
                <w:noProof/>
                <w:webHidden/>
              </w:rPr>
              <w:fldChar w:fldCharType="separate"/>
            </w:r>
            <w:r>
              <w:rPr>
                <w:noProof/>
                <w:webHidden/>
              </w:rPr>
              <w:t>44</w:t>
            </w:r>
            <w:r>
              <w:rPr>
                <w:noProof/>
                <w:webHidden/>
              </w:rPr>
              <w:fldChar w:fldCharType="end"/>
            </w:r>
          </w:hyperlink>
        </w:p>
        <w:p w14:paraId="3D7E7E8D" w14:textId="291B5A14" w:rsidR="008A72C6" w:rsidRDefault="008A72C6">
          <w:pPr>
            <w:pStyle w:val="TOC2"/>
            <w:tabs>
              <w:tab w:val="right" w:leader="dot" w:pos="9350"/>
            </w:tabs>
            <w:rPr>
              <w:rFonts w:asciiTheme="minorHAnsi" w:eastAsiaTheme="minorEastAsia" w:hAnsiTheme="minorHAnsi"/>
              <w:noProof/>
              <w:color w:val="auto"/>
              <w:sz w:val="22"/>
            </w:rPr>
          </w:pPr>
          <w:hyperlink w:anchor="_Toc241154065" w:history="1">
            <w:r w:rsidRPr="008146EC">
              <w:rPr>
                <w:rStyle w:val="Hyperlink"/>
                <w:noProof/>
              </w:rPr>
              <w:t>5.7 Implications of the discussion</w:t>
            </w:r>
            <w:r>
              <w:rPr>
                <w:noProof/>
                <w:webHidden/>
              </w:rPr>
              <w:tab/>
            </w:r>
            <w:r>
              <w:rPr>
                <w:noProof/>
                <w:webHidden/>
              </w:rPr>
              <w:fldChar w:fldCharType="begin"/>
            </w:r>
            <w:r>
              <w:rPr>
                <w:noProof/>
                <w:webHidden/>
              </w:rPr>
              <w:instrText xml:space="preserve"> PAGEREF _Toc241154065 \h </w:instrText>
            </w:r>
            <w:r>
              <w:rPr>
                <w:noProof/>
                <w:webHidden/>
              </w:rPr>
            </w:r>
            <w:r>
              <w:rPr>
                <w:noProof/>
                <w:webHidden/>
              </w:rPr>
              <w:fldChar w:fldCharType="separate"/>
            </w:r>
            <w:r>
              <w:rPr>
                <w:noProof/>
                <w:webHidden/>
              </w:rPr>
              <w:t>46</w:t>
            </w:r>
            <w:r>
              <w:rPr>
                <w:noProof/>
                <w:webHidden/>
              </w:rPr>
              <w:fldChar w:fldCharType="end"/>
            </w:r>
          </w:hyperlink>
        </w:p>
        <w:p w14:paraId="38C9B7EC" w14:textId="1A42598D" w:rsidR="008A72C6" w:rsidRDefault="008A72C6">
          <w:pPr>
            <w:pStyle w:val="TOC2"/>
            <w:tabs>
              <w:tab w:val="right" w:leader="dot" w:pos="9350"/>
            </w:tabs>
            <w:rPr>
              <w:rFonts w:asciiTheme="minorHAnsi" w:eastAsiaTheme="minorEastAsia" w:hAnsiTheme="minorHAnsi"/>
              <w:noProof/>
              <w:color w:val="auto"/>
              <w:sz w:val="22"/>
            </w:rPr>
          </w:pPr>
          <w:hyperlink w:anchor="_Toc241154066" w:history="1">
            <w:r w:rsidRPr="008146EC">
              <w:rPr>
                <w:rStyle w:val="Hyperlink"/>
                <w:noProof/>
              </w:rPr>
              <w:t>5.8 Critical evaluation of causal claims</w:t>
            </w:r>
            <w:r>
              <w:rPr>
                <w:noProof/>
                <w:webHidden/>
              </w:rPr>
              <w:tab/>
            </w:r>
            <w:r>
              <w:rPr>
                <w:noProof/>
                <w:webHidden/>
              </w:rPr>
              <w:fldChar w:fldCharType="begin"/>
            </w:r>
            <w:r>
              <w:rPr>
                <w:noProof/>
                <w:webHidden/>
              </w:rPr>
              <w:instrText xml:space="preserve"> PAGEREF _Toc241154066 \h </w:instrText>
            </w:r>
            <w:r>
              <w:rPr>
                <w:noProof/>
                <w:webHidden/>
              </w:rPr>
            </w:r>
            <w:r>
              <w:rPr>
                <w:noProof/>
                <w:webHidden/>
              </w:rPr>
              <w:fldChar w:fldCharType="separate"/>
            </w:r>
            <w:r>
              <w:rPr>
                <w:noProof/>
                <w:webHidden/>
              </w:rPr>
              <w:t>46</w:t>
            </w:r>
            <w:r>
              <w:rPr>
                <w:noProof/>
                <w:webHidden/>
              </w:rPr>
              <w:fldChar w:fldCharType="end"/>
            </w:r>
          </w:hyperlink>
        </w:p>
        <w:p w14:paraId="2DA1A443" w14:textId="7E595018" w:rsidR="008A72C6" w:rsidRDefault="008A72C6">
          <w:pPr>
            <w:pStyle w:val="TOC2"/>
            <w:tabs>
              <w:tab w:val="right" w:leader="dot" w:pos="9350"/>
            </w:tabs>
            <w:rPr>
              <w:rFonts w:asciiTheme="minorHAnsi" w:eastAsiaTheme="minorEastAsia" w:hAnsiTheme="minorHAnsi"/>
              <w:noProof/>
              <w:color w:val="auto"/>
              <w:sz w:val="22"/>
            </w:rPr>
          </w:pPr>
          <w:hyperlink w:anchor="_Toc241154067" w:history="1">
            <w:r w:rsidRPr="008146EC">
              <w:rPr>
                <w:rStyle w:val="Hyperlink"/>
                <w:noProof/>
              </w:rPr>
              <w:t>5.9 Overall evaluative judgement</w:t>
            </w:r>
            <w:r>
              <w:rPr>
                <w:noProof/>
                <w:webHidden/>
              </w:rPr>
              <w:tab/>
            </w:r>
            <w:r>
              <w:rPr>
                <w:noProof/>
                <w:webHidden/>
              </w:rPr>
              <w:fldChar w:fldCharType="begin"/>
            </w:r>
            <w:r>
              <w:rPr>
                <w:noProof/>
                <w:webHidden/>
              </w:rPr>
              <w:instrText xml:space="preserve"> PAGEREF _Toc241154067 \h </w:instrText>
            </w:r>
            <w:r>
              <w:rPr>
                <w:noProof/>
                <w:webHidden/>
              </w:rPr>
            </w:r>
            <w:r>
              <w:rPr>
                <w:noProof/>
                <w:webHidden/>
              </w:rPr>
              <w:fldChar w:fldCharType="separate"/>
            </w:r>
            <w:r>
              <w:rPr>
                <w:noProof/>
                <w:webHidden/>
              </w:rPr>
              <w:t>47</w:t>
            </w:r>
            <w:r>
              <w:rPr>
                <w:noProof/>
                <w:webHidden/>
              </w:rPr>
              <w:fldChar w:fldCharType="end"/>
            </w:r>
          </w:hyperlink>
        </w:p>
        <w:p w14:paraId="2D277BC7" w14:textId="7D9E9F4D" w:rsidR="008A72C6" w:rsidRDefault="008A72C6">
          <w:pPr>
            <w:pStyle w:val="TOC1"/>
            <w:tabs>
              <w:tab w:val="right" w:leader="dot" w:pos="9350"/>
            </w:tabs>
            <w:rPr>
              <w:rFonts w:asciiTheme="minorHAnsi" w:eastAsiaTheme="minorEastAsia" w:hAnsiTheme="minorHAnsi"/>
              <w:noProof/>
              <w:color w:val="auto"/>
              <w:sz w:val="22"/>
            </w:rPr>
          </w:pPr>
          <w:hyperlink w:anchor="_Toc241154068" w:history="1">
            <w:r w:rsidRPr="008146EC">
              <w:rPr>
                <w:rStyle w:val="Hyperlink"/>
                <w:noProof/>
              </w:rPr>
              <w:t>Chapter 6: Recommendations</w:t>
            </w:r>
            <w:r>
              <w:rPr>
                <w:noProof/>
                <w:webHidden/>
              </w:rPr>
              <w:tab/>
            </w:r>
            <w:r>
              <w:rPr>
                <w:noProof/>
                <w:webHidden/>
              </w:rPr>
              <w:fldChar w:fldCharType="begin"/>
            </w:r>
            <w:r>
              <w:rPr>
                <w:noProof/>
                <w:webHidden/>
              </w:rPr>
              <w:instrText xml:space="preserve"> PAGEREF _Toc241154068 \h </w:instrText>
            </w:r>
            <w:r>
              <w:rPr>
                <w:noProof/>
                <w:webHidden/>
              </w:rPr>
            </w:r>
            <w:r>
              <w:rPr>
                <w:noProof/>
                <w:webHidden/>
              </w:rPr>
              <w:fldChar w:fldCharType="separate"/>
            </w:r>
            <w:r>
              <w:rPr>
                <w:noProof/>
                <w:webHidden/>
              </w:rPr>
              <w:t>49</w:t>
            </w:r>
            <w:r>
              <w:rPr>
                <w:noProof/>
                <w:webHidden/>
              </w:rPr>
              <w:fldChar w:fldCharType="end"/>
            </w:r>
          </w:hyperlink>
        </w:p>
        <w:p w14:paraId="5EC4482C" w14:textId="4C8818AE" w:rsidR="008A72C6" w:rsidRDefault="008A72C6">
          <w:pPr>
            <w:pStyle w:val="TOC2"/>
            <w:tabs>
              <w:tab w:val="right" w:leader="dot" w:pos="9350"/>
            </w:tabs>
            <w:rPr>
              <w:rFonts w:asciiTheme="minorHAnsi" w:eastAsiaTheme="minorEastAsia" w:hAnsiTheme="minorHAnsi"/>
              <w:noProof/>
              <w:color w:val="auto"/>
              <w:sz w:val="22"/>
            </w:rPr>
          </w:pPr>
          <w:hyperlink w:anchor="_Toc241154069" w:history="1">
            <w:r w:rsidRPr="008146EC">
              <w:rPr>
                <w:rStyle w:val="Hyperlink"/>
                <w:noProof/>
              </w:rPr>
              <w:t>6.1 Introduction</w:t>
            </w:r>
            <w:r>
              <w:rPr>
                <w:noProof/>
                <w:webHidden/>
              </w:rPr>
              <w:tab/>
            </w:r>
            <w:r>
              <w:rPr>
                <w:noProof/>
                <w:webHidden/>
              </w:rPr>
              <w:fldChar w:fldCharType="begin"/>
            </w:r>
            <w:r>
              <w:rPr>
                <w:noProof/>
                <w:webHidden/>
              </w:rPr>
              <w:instrText xml:space="preserve"> PAGEREF _Toc241154069 \h </w:instrText>
            </w:r>
            <w:r>
              <w:rPr>
                <w:noProof/>
                <w:webHidden/>
              </w:rPr>
            </w:r>
            <w:r>
              <w:rPr>
                <w:noProof/>
                <w:webHidden/>
              </w:rPr>
              <w:fldChar w:fldCharType="separate"/>
            </w:r>
            <w:r>
              <w:rPr>
                <w:noProof/>
                <w:webHidden/>
              </w:rPr>
              <w:t>49</w:t>
            </w:r>
            <w:r>
              <w:rPr>
                <w:noProof/>
                <w:webHidden/>
              </w:rPr>
              <w:fldChar w:fldCharType="end"/>
            </w:r>
          </w:hyperlink>
        </w:p>
        <w:p w14:paraId="2B11B9BF" w14:textId="19C28322" w:rsidR="008A72C6" w:rsidRDefault="008A72C6">
          <w:pPr>
            <w:pStyle w:val="TOC2"/>
            <w:tabs>
              <w:tab w:val="right" w:leader="dot" w:pos="9350"/>
            </w:tabs>
            <w:rPr>
              <w:rFonts w:asciiTheme="minorHAnsi" w:eastAsiaTheme="minorEastAsia" w:hAnsiTheme="minorHAnsi"/>
              <w:noProof/>
              <w:color w:val="auto"/>
              <w:sz w:val="22"/>
            </w:rPr>
          </w:pPr>
          <w:hyperlink w:anchor="_Toc241154070" w:history="1">
            <w:r w:rsidRPr="008146EC">
              <w:rPr>
                <w:rStyle w:val="Hyperlink"/>
                <w:noProof/>
              </w:rPr>
              <w:t>6.2 Build a materiality-to-value portfolio</w:t>
            </w:r>
            <w:r>
              <w:rPr>
                <w:noProof/>
                <w:webHidden/>
              </w:rPr>
              <w:tab/>
            </w:r>
            <w:r>
              <w:rPr>
                <w:noProof/>
                <w:webHidden/>
              </w:rPr>
              <w:fldChar w:fldCharType="begin"/>
            </w:r>
            <w:r>
              <w:rPr>
                <w:noProof/>
                <w:webHidden/>
              </w:rPr>
              <w:instrText xml:space="preserve"> PAGEREF _Toc241154070 \h </w:instrText>
            </w:r>
            <w:r>
              <w:rPr>
                <w:noProof/>
                <w:webHidden/>
              </w:rPr>
            </w:r>
            <w:r>
              <w:rPr>
                <w:noProof/>
                <w:webHidden/>
              </w:rPr>
              <w:fldChar w:fldCharType="separate"/>
            </w:r>
            <w:r>
              <w:rPr>
                <w:noProof/>
                <w:webHidden/>
              </w:rPr>
              <w:t>49</w:t>
            </w:r>
            <w:r>
              <w:rPr>
                <w:noProof/>
                <w:webHidden/>
              </w:rPr>
              <w:fldChar w:fldCharType="end"/>
            </w:r>
          </w:hyperlink>
        </w:p>
        <w:p w14:paraId="620F8E3B" w14:textId="1420BD2D" w:rsidR="008A72C6" w:rsidRDefault="008A72C6">
          <w:pPr>
            <w:pStyle w:val="TOC2"/>
            <w:tabs>
              <w:tab w:val="right" w:leader="dot" w:pos="9350"/>
            </w:tabs>
            <w:rPr>
              <w:rFonts w:asciiTheme="minorHAnsi" w:eastAsiaTheme="minorEastAsia" w:hAnsiTheme="minorHAnsi"/>
              <w:noProof/>
              <w:color w:val="auto"/>
              <w:sz w:val="22"/>
            </w:rPr>
          </w:pPr>
          <w:hyperlink w:anchor="_Toc241154071" w:history="1">
            <w:r w:rsidRPr="008146EC">
              <w:rPr>
                <w:rStyle w:val="Hyperlink"/>
                <w:noProof/>
              </w:rPr>
              <w:t>6.3 Establish claim-level evidence control</w:t>
            </w:r>
            <w:r>
              <w:rPr>
                <w:noProof/>
                <w:webHidden/>
              </w:rPr>
              <w:tab/>
            </w:r>
            <w:r>
              <w:rPr>
                <w:noProof/>
                <w:webHidden/>
              </w:rPr>
              <w:fldChar w:fldCharType="begin"/>
            </w:r>
            <w:r>
              <w:rPr>
                <w:noProof/>
                <w:webHidden/>
              </w:rPr>
              <w:instrText xml:space="preserve"> PAGEREF _Toc241154071 \h </w:instrText>
            </w:r>
            <w:r>
              <w:rPr>
                <w:noProof/>
                <w:webHidden/>
              </w:rPr>
            </w:r>
            <w:r>
              <w:rPr>
                <w:noProof/>
                <w:webHidden/>
              </w:rPr>
              <w:fldChar w:fldCharType="separate"/>
            </w:r>
            <w:r>
              <w:rPr>
                <w:noProof/>
                <w:webHidden/>
              </w:rPr>
              <w:t>49</w:t>
            </w:r>
            <w:r>
              <w:rPr>
                <w:noProof/>
                <w:webHidden/>
              </w:rPr>
              <w:fldChar w:fldCharType="end"/>
            </w:r>
          </w:hyperlink>
        </w:p>
        <w:p w14:paraId="09D04FF8" w14:textId="20AA568A" w:rsidR="008A72C6" w:rsidRDefault="008A72C6">
          <w:pPr>
            <w:pStyle w:val="TOC2"/>
            <w:tabs>
              <w:tab w:val="right" w:leader="dot" w:pos="9350"/>
            </w:tabs>
            <w:rPr>
              <w:rFonts w:asciiTheme="minorHAnsi" w:eastAsiaTheme="minorEastAsia" w:hAnsiTheme="minorHAnsi"/>
              <w:noProof/>
              <w:color w:val="auto"/>
              <w:sz w:val="22"/>
            </w:rPr>
          </w:pPr>
          <w:hyperlink w:anchor="_Toc241154072" w:history="1">
            <w:r w:rsidRPr="008146EC">
              <w:rPr>
                <w:rStyle w:val="Hyperlink"/>
                <w:noProof/>
              </w:rPr>
              <w:t>6.4 Move towards proportionate, progressive assurance</w:t>
            </w:r>
            <w:r>
              <w:rPr>
                <w:noProof/>
                <w:webHidden/>
              </w:rPr>
              <w:tab/>
            </w:r>
            <w:r>
              <w:rPr>
                <w:noProof/>
                <w:webHidden/>
              </w:rPr>
              <w:fldChar w:fldCharType="begin"/>
            </w:r>
            <w:r>
              <w:rPr>
                <w:noProof/>
                <w:webHidden/>
              </w:rPr>
              <w:instrText xml:space="preserve"> PAGEREF _Toc241154072 \h </w:instrText>
            </w:r>
            <w:r>
              <w:rPr>
                <w:noProof/>
                <w:webHidden/>
              </w:rPr>
            </w:r>
            <w:r>
              <w:rPr>
                <w:noProof/>
                <w:webHidden/>
              </w:rPr>
              <w:fldChar w:fldCharType="separate"/>
            </w:r>
            <w:r>
              <w:rPr>
                <w:noProof/>
                <w:webHidden/>
              </w:rPr>
              <w:t>50</w:t>
            </w:r>
            <w:r>
              <w:rPr>
                <w:noProof/>
                <w:webHidden/>
              </w:rPr>
              <w:fldChar w:fldCharType="end"/>
            </w:r>
          </w:hyperlink>
        </w:p>
        <w:p w14:paraId="17988B1A" w14:textId="49EB0810" w:rsidR="008A72C6" w:rsidRDefault="008A72C6">
          <w:pPr>
            <w:pStyle w:val="TOC2"/>
            <w:tabs>
              <w:tab w:val="right" w:leader="dot" w:pos="9350"/>
            </w:tabs>
            <w:rPr>
              <w:rFonts w:asciiTheme="minorHAnsi" w:eastAsiaTheme="minorEastAsia" w:hAnsiTheme="minorHAnsi"/>
              <w:noProof/>
              <w:color w:val="auto"/>
              <w:sz w:val="22"/>
            </w:rPr>
          </w:pPr>
          <w:hyperlink w:anchor="_Toc241154073" w:history="1">
            <w:r w:rsidRPr="008146EC">
              <w:rPr>
                <w:rStyle w:val="Hyperlink"/>
                <w:noProof/>
              </w:rPr>
              <w:t>6.5 Design sustainability into affordability and product utility</w:t>
            </w:r>
            <w:r>
              <w:rPr>
                <w:noProof/>
                <w:webHidden/>
              </w:rPr>
              <w:tab/>
            </w:r>
            <w:r>
              <w:rPr>
                <w:noProof/>
                <w:webHidden/>
              </w:rPr>
              <w:fldChar w:fldCharType="begin"/>
            </w:r>
            <w:r>
              <w:rPr>
                <w:noProof/>
                <w:webHidden/>
              </w:rPr>
              <w:instrText xml:space="preserve"> PAGEREF _Toc241154073 \h </w:instrText>
            </w:r>
            <w:r>
              <w:rPr>
                <w:noProof/>
                <w:webHidden/>
              </w:rPr>
            </w:r>
            <w:r>
              <w:rPr>
                <w:noProof/>
                <w:webHidden/>
              </w:rPr>
              <w:fldChar w:fldCharType="separate"/>
            </w:r>
            <w:r>
              <w:rPr>
                <w:noProof/>
                <w:webHidden/>
              </w:rPr>
              <w:t>50</w:t>
            </w:r>
            <w:r>
              <w:rPr>
                <w:noProof/>
                <w:webHidden/>
              </w:rPr>
              <w:fldChar w:fldCharType="end"/>
            </w:r>
          </w:hyperlink>
        </w:p>
        <w:p w14:paraId="521D2C27" w14:textId="0243D78F" w:rsidR="008A72C6" w:rsidRDefault="008A72C6">
          <w:pPr>
            <w:pStyle w:val="TOC2"/>
            <w:tabs>
              <w:tab w:val="right" w:leader="dot" w:pos="9350"/>
            </w:tabs>
            <w:rPr>
              <w:rFonts w:asciiTheme="minorHAnsi" w:eastAsiaTheme="minorEastAsia" w:hAnsiTheme="minorHAnsi"/>
              <w:noProof/>
              <w:color w:val="auto"/>
              <w:sz w:val="22"/>
            </w:rPr>
          </w:pPr>
          <w:hyperlink w:anchor="_Toc241154074" w:history="1">
            <w:r w:rsidRPr="008146EC">
              <w:rPr>
                <w:rStyle w:val="Hyperlink"/>
                <w:noProof/>
              </w:rPr>
              <w:t>6.6 Govern Scope 3 as a partnership portfolio</w:t>
            </w:r>
            <w:r>
              <w:rPr>
                <w:noProof/>
                <w:webHidden/>
              </w:rPr>
              <w:tab/>
            </w:r>
            <w:r>
              <w:rPr>
                <w:noProof/>
                <w:webHidden/>
              </w:rPr>
              <w:fldChar w:fldCharType="begin"/>
            </w:r>
            <w:r>
              <w:rPr>
                <w:noProof/>
                <w:webHidden/>
              </w:rPr>
              <w:instrText xml:space="preserve"> PAGEREF _Toc241154074 \h </w:instrText>
            </w:r>
            <w:r>
              <w:rPr>
                <w:noProof/>
                <w:webHidden/>
              </w:rPr>
            </w:r>
            <w:r>
              <w:rPr>
                <w:noProof/>
                <w:webHidden/>
              </w:rPr>
              <w:fldChar w:fldCharType="separate"/>
            </w:r>
            <w:r>
              <w:rPr>
                <w:noProof/>
                <w:webHidden/>
              </w:rPr>
              <w:t>50</w:t>
            </w:r>
            <w:r>
              <w:rPr>
                <w:noProof/>
                <w:webHidden/>
              </w:rPr>
              <w:fldChar w:fldCharType="end"/>
            </w:r>
          </w:hyperlink>
        </w:p>
        <w:p w14:paraId="4433A77D" w14:textId="7C06D39E" w:rsidR="008A72C6" w:rsidRDefault="008A72C6">
          <w:pPr>
            <w:pStyle w:val="TOC2"/>
            <w:tabs>
              <w:tab w:val="right" w:leader="dot" w:pos="9350"/>
            </w:tabs>
            <w:rPr>
              <w:rFonts w:asciiTheme="minorHAnsi" w:eastAsiaTheme="minorEastAsia" w:hAnsiTheme="minorHAnsi"/>
              <w:noProof/>
              <w:color w:val="auto"/>
              <w:sz w:val="22"/>
            </w:rPr>
          </w:pPr>
          <w:hyperlink w:anchor="_Toc241154075" w:history="1">
            <w:r w:rsidRPr="008146EC">
              <w:rPr>
                <w:rStyle w:val="Hyperlink"/>
                <w:noProof/>
              </w:rPr>
              <w:t>6.7 Measure stakeholder-specific reputation outcomes</w:t>
            </w:r>
            <w:r>
              <w:rPr>
                <w:noProof/>
                <w:webHidden/>
              </w:rPr>
              <w:tab/>
            </w:r>
            <w:r>
              <w:rPr>
                <w:noProof/>
                <w:webHidden/>
              </w:rPr>
              <w:fldChar w:fldCharType="begin"/>
            </w:r>
            <w:r>
              <w:rPr>
                <w:noProof/>
                <w:webHidden/>
              </w:rPr>
              <w:instrText xml:space="preserve"> PAGEREF _Toc241154075 \h </w:instrText>
            </w:r>
            <w:r>
              <w:rPr>
                <w:noProof/>
                <w:webHidden/>
              </w:rPr>
            </w:r>
            <w:r>
              <w:rPr>
                <w:noProof/>
                <w:webHidden/>
              </w:rPr>
              <w:fldChar w:fldCharType="separate"/>
            </w:r>
            <w:r>
              <w:rPr>
                <w:noProof/>
                <w:webHidden/>
              </w:rPr>
              <w:t>50</w:t>
            </w:r>
            <w:r>
              <w:rPr>
                <w:noProof/>
                <w:webHidden/>
              </w:rPr>
              <w:fldChar w:fldCharType="end"/>
            </w:r>
          </w:hyperlink>
        </w:p>
        <w:p w14:paraId="0CAD3FA7" w14:textId="59559AE8" w:rsidR="008A72C6" w:rsidRDefault="008A72C6">
          <w:pPr>
            <w:pStyle w:val="TOC2"/>
            <w:tabs>
              <w:tab w:val="right" w:leader="dot" w:pos="9350"/>
            </w:tabs>
            <w:rPr>
              <w:rFonts w:asciiTheme="minorHAnsi" w:eastAsiaTheme="minorEastAsia" w:hAnsiTheme="minorHAnsi"/>
              <w:noProof/>
              <w:color w:val="auto"/>
              <w:sz w:val="22"/>
            </w:rPr>
          </w:pPr>
          <w:hyperlink w:anchor="_Toc241154076" w:history="1">
            <w:r w:rsidRPr="008146EC">
              <w:rPr>
                <w:rStyle w:val="Hyperlink"/>
                <w:noProof/>
              </w:rPr>
              <w:t>6.8 Report setbacks as decision-useful evidence</w:t>
            </w:r>
            <w:r>
              <w:rPr>
                <w:noProof/>
                <w:webHidden/>
              </w:rPr>
              <w:tab/>
            </w:r>
            <w:r>
              <w:rPr>
                <w:noProof/>
                <w:webHidden/>
              </w:rPr>
              <w:fldChar w:fldCharType="begin"/>
            </w:r>
            <w:r>
              <w:rPr>
                <w:noProof/>
                <w:webHidden/>
              </w:rPr>
              <w:instrText xml:space="preserve"> PAGEREF _Toc241154076 \h </w:instrText>
            </w:r>
            <w:r>
              <w:rPr>
                <w:noProof/>
                <w:webHidden/>
              </w:rPr>
            </w:r>
            <w:r>
              <w:rPr>
                <w:noProof/>
                <w:webHidden/>
              </w:rPr>
              <w:fldChar w:fldCharType="separate"/>
            </w:r>
            <w:r>
              <w:rPr>
                <w:noProof/>
                <w:webHidden/>
              </w:rPr>
              <w:t>51</w:t>
            </w:r>
            <w:r>
              <w:rPr>
                <w:noProof/>
                <w:webHidden/>
              </w:rPr>
              <w:fldChar w:fldCharType="end"/>
            </w:r>
          </w:hyperlink>
        </w:p>
        <w:p w14:paraId="6D6FA9F4" w14:textId="31B2D2B8" w:rsidR="008A72C6" w:rsidRDefault="008A72C6">
          <w:pPr>
            <w:pStyle w:val="TOC2"/>
            <w:tabs>
              <w:tab w:val="right" w:leader="dot" w:pos="9350"/>
            </w:tabs>
            <w:rPr>
              <w:rFonts w:asciiTheme="minorHAnsi" w:eastAsiaTheme="minorEastAsia" w:hAnsiTheme="minorHAnsi"/>
              <w:noProof/>
              <w:color w:val="auto"/>
              <w:sz w:val="22"/>
            </w:rPr>
          </w:pPr>
          <w:hyperlink w:anchor="_Toc241154077" w:history="1">
            <w:r w:rsidRPr="008146EC">
              <w:rPr>
                <w:rStyle w:val="Hyperlink"/>
                <w:noProof/>
              </w:rPr>
              <w:t>6.9 Implementation priorities</w:t>
            </w:r>
            <w:r>
              <w:rPr>
                <w:noProof/>
                <w:webHidden/>
              </w:rPr>
              <w:tab/>
            </w:r>
            <w:r>
              <w:rPr>
                <w:noProof/>
                <w:webHidden/>
              </w:rPr>
              <w:fldChar w:fldCharType="begin"/>
            </w:r>
            <w:r>
              <w:rPr>
                <w:noProof/>
                <w:webHidden/>
              </w:rPr>
              <w:instrText xml:space="preserve"> PAGEREF _Toc241154077 \h </w:instrText>
            </w:r>
            <w:r>
              <w:rPr>
                <w:noProof/>
                <w:webHidden/>
              </w:rPr>
            </w:r>
            <w:r>
              <w:rPr>
                <w:noProof/>
                <w:webHidden/>
              </w:rPr>
              <w:fldChar w:fldCharType="separate"/>
            </w:r>
            <w:r>
              <w:rPr>
                <w:noProof/>
                <w:webHidden/>
              </w:rPr>
              <w:t>51</w:t>
            </w:r>
            <w:r>
              <w:rPr>
                <w:noProof/>
                <w:webHidden/>
              </w:rPr>
              <w:fldChar w:fldCharType="end"/>
            </w:r>
          </w:hyperlink>
        </w:p>
        <w:p w14:paraId="6FD7EFFF" w14:textId="125672A3" w:rsidR="008A72C6" w:rsidRDefault="008A72C6">
          <w:pPr>
            <w:pStyle w:val="TOC2"/>
            <w:tabs>
              <w:tab w:val="right" w:leader="dot" w:pos="9350"/>
            </w:tabs>
            <w:rPr>
              <w:rFonts w:asciiTheme="minorHAnsi" w:eastAsiaTheme="minorEastAsia" w:hAnsiTheme="minorHAnsi"/>
              <w:noProof/>
              <w:color w:val="auto"/>
              <w:sz w:val="22"/>
            </w:rPr>
          </w:pPr>
          <w:hyperlink w:anchor="_Toc241154078" w:history="1">
            <w:r w:rsidRPr="008146EC">
              <w:rPr>
                <w:rStyle w:val="Hyperlink"/>
                <w:noProof/>
              </w:rPr>
              <w:t>6.10 Decision rules and accountability</w:t>
            </w:r>
            <w:r>
              <w:rPr>
                <w:noProof/>
                <w:webHidden/>
              </w:rPr>
              <w:tab/>
            </w:r>
            <w:r>
              <w:rPr>
                <w:noProof/>
                <w:webHidden/>
              </w:rPr>
              <w:fldChar w:fldCharType="begin"/>
            </w:r>
            <w:r>
              <w:rPr>
                <w:noProof/>
                <w:webHidden/>
              </w:rPr>
              <w:instrText xml:space="preserve"> PAGEREF _Toc241154078 \h </w:instrText>
            </w:r>
            <w:r>
              <w:rPr>
                <w:noProof/>
                <w:webHidden/>
              </w:rPr>
            </w:r>
            <w:r>
              <w:rPr>
                <w:noProof/>
                <w:webHidden/>
              </w:rPr>
              <w:fldChar w:fldCharType="separate"/>
            </w:r>
            <w:r>
              <w:rPr>
                <w:noProof/>
                <w:webHidden/>
              </w:rPr>
              <w:t>51</w:t>
            </w:r>
            <w:r>
              <w:rPr>
                <w:noProof/>
                <w:webHidden/>
              </w:rPr>
              <w:fldChar w:fldCharType="end"/>
            </w:r>
          </w:hyperlink>
        </w:p>
        <w:p w14:paraId="4A1EFB4D" w14:textId="2D29216C" w:rsidR="008A72C6" w:rsidRDefault="008A72C6">
          <w:pPr>
            <w:pStyle w:val="TOC1"/>
            <w:tabs>
              <w:tab w:val="right" w:leader="dot" w:pos="9350"/>
            </w:tabs>
            <w:rPr>
              <w:rFonts w:asciiTheme="minorHAnsi" w:eastAsiaTheme="minorEastAsia" w:hAnsiTheme="minorHAnsi"/>
              <w:noProof/>
              <w:color w:val="auto"/>
              <w:sz w:val="22"/>
            </w:rPr>
          </w:pPr>
          <w:hyperlink w:anchor="_Toc241154079" w:history="1">
            <w:r w:rsidRPr="008146EC">
              <w:rPr>
                <w:rStyle w:val="Hyperlink"/>
                <w:noProof/>
              </w:rPr>
              <w:t>Conclusion</w:t>
            </w:r>
            <w:r>
              <w:rPr>
                <w:noProof/>
                <w:webHidden/>
              </w:rPr>
              <w:tab/>
            </w:r>
            <w:r>
              <w:rPr>
                <w:noProof/>
                <w:webHidden/>
              </w:rPr>
              <w:fldChar w:fldCharType="begin"/>
            </w:r>
            <w:r>
              <w:rPr>
                <w:noProof/>
                <w:webHidden/>
              </w:rPr>
              <w:instrText xml:space="preserve"> PAGEREF _Toc241154079 \h </w:instrText>
            </w:r>
            <w:r>
              <w:rPr>
                <w:noProof/>
                <w:webHidden/>
              </w:rPr>
            </w:r>
            <w:r>
              <w:rPr>
                <w:noProof/>
                <w:webHidden/>
              </w:rPr>
              <w:fldChar w:fldCharType="separate"/>
            </w:r>
            <w:r>
              <w:rPr>
                <w:noProof/>
                <w:webHidden/>
              </w:rPr>
              <w:t>53</w:t>
            </w:r>
            <w:r>
              <w:rPr>
                <w:noProof/>
                <w:webHidden/>
              </w:rPr>
              <w:fldChar w:fldCharType="end"/>
            </w:r>
          </w:hyperlink>
        </w:p>
        <w:p w14:paraId="219BA7F2" w14:textId="26B5D819" w:rsidR="008A72C6" w:rsidRDefault="008A72C6">
          <w:pPr>
            <w:pStyle w:val="TOC1"/>
            <w:tabs>
              <w:tab w:val="right" w:leader="dot" w:pos="9350"/>
            </w:tabs>
            <w:rPr>
              <w:rFonts w:asciiTheme="minorHAnsi" w:eastAsiaTheme="minorEastAsia" w:hAnsiTheme="minorHAnsi"/>
              <w:noProof/>
              <w:color w:val="auto"/>
              <w:sz w:val="22"/>
            </w:rPr>
          </w:pPr>
          <w:hyperlink w:anchor="_Toc241154080" w:history="1">
            <w:r w:rsidRPr="008146EC">
              <w:rPr>
                <w:rStyle w:val="Hyperlink"/>
                <w:noProof/>
              </w:rPr>
              <w:t>References</w:t>
            </w:r>
            <w:r>
              <w:rPr>
                <w:noProof/>
                <w:webHidden/>
              </w:rPr>
              <w:tab/>
            </w:r>
            <w:r>
              <w:rPr>
                <w:noProof/>
                <w:webHidden/>
              </w:rPr>
              <w:fldChar w:fldCharType="begin"/>
            </w:r>
            <w:r>
              <w:rPr>
                <w:noProof/>
                <w:webHidden/>
              </w:rPr>
              <w:instrText xml:space="preserve"> PAGEREF _Toc241154080 \h </w:instrText>
            </w:r>
            <w:r>
              <w:rPr>
                <w:noProof/>
                <w:webHidden/>
              </w:rPr>
            </w:r>
            <w:r>
              <w:rPr>
                <w:noProof/>
                <w:webHidden/>
              </w:rPr>
              <w:fldChar w:fldCharType="separate"/>
            </w:r>
            <w:r>
              <w:rPr>
                <w:noProof/>
                <w:webHidden/>
              </w:rPr>
              <w:t>55</w:t>
            </w:r>
            <w:r>
              <w:rPr>
                <w:noProof/>
                <w:webHidden/>
              </w:rPr>
              <w:fldChar w:fldCharType="end"/>
            </w:r>
          </w:hyperlink>
        </w:p>
        <w:p w14:paraId="6B86A2C3" w14:textId="0C23F13D" w:rsidR="008A72C6" w:rsidRDefault="008A72C6">
          <w:pPr>
            <w:pStyle w:val="TOC1"/>
            <w:tabs>
              <w:tab w:val="right" w:leader="dot" w:pos="9350"/>
            </w:tabs>
            <w:rPr>
              <w:rFonts w:asciiTheme="minorHAnsi" w:eastAsiaTheme="minorEastAsia" w:hAnsiTheme="minorHAnsi"/>
              <w:noProof/>
              <w:color w:val="auto"/>
              <w:sz w:val="22"/>
            </w:rPr>
          </w:pPr>
          <w:hyperlink w:anchor="_Toc241154081" w:history="1">
            <w:r w:rsidRPr="008146EC">
              <w:rPr>
                <w:rStyle w:val="Hyperlink"/>
                <w:noProof/>
              </w:rPr>
              <w:t>Appendix A: Evidence Traceability and Coding Examples</w:t>
            </w:r>
            <w:r>
              <w:rPr>
                <w:noProof/>
                <w:webHidden/>
              </w:rPr>
              <w:tab/>
            </w:r>
            <w:r>
              <w:rPr>
                <w:noProof/>
                <w:webHidden/>
              </w:rPr>
              <w:fldChar w:fldCharType="begin"/>
            </w:r>
            <w:r>
              <w:rPr>
                <w:noProof/>
                <w:webHidden/>
              </w:rPr>
              <w:instrText xml:space="preserve"> PAGEREF _Toc241154081 \h </w:instrText>
            </w:r>
            <w:r>
              <w:rPr>
                <w:noProof/>
                <w:webHidden/>
              </w:rPr>
            </w:r>
            <w:r>
              <w:rPr>
                <w:noProof/>
                <w:webHidden/>
              </w:rPr>
              <w:fldChar w:fldCharType="separate"/>
            </w:r>
            <w:r>
              <w:rPr>
                <w:noProof/>
                <w:webHidden/>
              </w:rPr>
              <w:t>61</w:t>
            </w:r>
            <w:r>
              <w:rPr>
                <w:noProof/>
                <w:webHidden/>
              </w:rPr>
              <w:fldChar w:fldCharType="end"/>
            </w:r>
          </w:hyperlink>
        </w:p>
        <w:p w14:paraId="271F075B" w14:textId="2A763E9E" w:rsidR="008A72C6" w:rsidRDefault="008A72C6">
          <w:pPr>
            <w:pStyle w:val="TOC2"/>
            <w:tabs>
              <w:tab w:val="right" w:leader="dot" w:pos="9350"/>
            </w:tabs>
            <w:rPr>
              <w:rFonts w:asciiTheme="minorHAnsi" w:eastAsiaTheme="minorEastAsia" w:hAnsiTheme="minorHAnsi"/>
              <w:noProof/>
              <w:color w:val="auto"/>
              <w:sz w:val="22"/>
            </w:rPr>
          </w:pPr>
          <w:hyperlink w:anchor="_Toc241154082" w:history="1">
            <w:r w:rsidRPr="008146EC">
              <w:rPr>
                <w:rStyle w:val="Hyperlink"/>
                <w:noProof/>
              </w:rPr>
              <w:t>A1. Representative evidence register</w:t>
            </w:r>
            <w:r>
              <w:rPr>
                <w:noProof/>
                <w:webHidden/>
              </w:rPr>
              <w:tab/>
            </w:r>
            <w:r>
              <w:rPr>
                <w:noProof/>
                <w:webHidden/>
              </w:rPr>
              <w:fldChar w:fldCharType="begin"/>
            </w:r>
            <w:r>
              <w:rPr>
                <w:noProof/>
                <w:webHidden/>
              </w:rPr>
              <w:instrText xml:space="preserve"> PAGEREF _Toc241154082 \h </w:instrText>
            </w:r>
            <w:r>
              <w:rPr>
                <w:noProof/>
                <w:webHidden/>
              </w:rPr>
            </w:r>
            <w:r>
              <w:rPr>
                <w:noProof/>
                <w:webHidden/>
              </w:rPr>
              <w:fldChar w:fldCharType="separate"/>
            </w:r>
            <w:r>
              <w:rPr>
                <w:noProof/>
                <w:webHidden/>
              </w:rPr>
              <w:t>61</w:t>
            </w:r>
            <w:r>
              <w:rPr>
                <w:noProof/>
                <w:webHidden/>
              </w:rPr>
              <w:fldChar w:fldCharType="end"/>
            </w:r>
          </w:hyperlink>
        </w:p>
        <w:p w14:paraId="6C69F2EA" w14:textId="028BB37C" w:rsidR="008A72C6" w:rsidRDefault="008A72C6">
          <w:pPr>
            <w:pStyle w:val="TOC2"/>
            <w:tabs>
              <w:tab w:val="right" w:leader="dot" w:pos="9350"/>
            </w:tabs>
            <w:rPr>
              <w:rFonts w:asciiTheme="minorHAnsi" w:eastAsiaTheme="minorEastAsia" w:hAnsiTheme="minorHAnsi"/>
              <w:noProof/>
              <w:color w:val="auto"/>
              <w:sz w:val="22"/>
            </w:rPr>
          </w:pPr>
          <w:hyperlink w:anchor="_Toc241154083" w:history="1">
            <w:r w:rsidRPr="008146EC">
              <w:rPr>
                <w:rStyle w:val="Hyperlink"/>
                <w:noProof/>
              </w:rPr>
              <w:t>A2. Representative coding examples</w:t>
            </w:r>
            <w:r>
              <w:rPr>
                <w:noProof/>
                <w:webHidden/>
              </w:rPr>
              <w:tab/>
            </w:r>
            <w:r>
              <w:rPr>
                <w:noProof/>
                <w:webHidden/>
              </w:rPr>
              <w:fldChar w:fldCharType="begin"/>
            </w:r>
            <w:r>
              <w:rPr>
                <w:noProof/>
                <w:webHidden/>
              </w:rPr>
              <w:instrText xml:space="preserve"> PAGEREF _Toc241154083 \h </w:instrText>
            </w:r>
            <w:r>
              <w:rPr>
                <w:noProof/>
                <w:webHidden/>
              </w:rPr>
            </w:r>
            <w:r>
              <w:rPr>
                <w:noProof/>
                <w:webHidden/>
              </w:rPr>
              <w:fldChar w:fldCharType="separate"/>
            </w:r>
            <w:r>
              <w:rPr>
                <w:noProof/>
                <w:webHidden/>
              </w:rPr>
              <w:t>63</w:t>
            </w:r>
            <w:r>
              <w:rPr>
                <w:noProof/>
                <w:webHidden/>
              </w:rPr>
              <w:fldChar w:fldCharType="end"/>
            </w:r>
          </w:hyperlink>
        </w:p>
        <w:p w14:paraId="3798F870" w14:textId="5F1C30FE" w:rsidR="008A72C6" w:rsidRDefault="008A72C6">
          <w:pPr>
            <w:pStyle w:val="TOC1"/>
            <w:tabs>
              <w:tab w:val="right" w:leader="dot" w:pos="9350"/>
            </w:tabs>
            <w:rPr>
              <w:rFonts w:asciiTheme="minorHAnsi" w:eastAsiaTheme="minorEastAsia" w:hAnsiTheme="minorHAnsi"/>
              <w:noProof/>
              <w:color w:val="auto"/>
              <w:sz w:val="22"/>
            </w:rPr>
          </w:pPr>
          <w:hyperlink w:anchor="_Toc241154084" w:history="1">
            <w:r w:rsidRPr="008146EC">
              <w:rPr>
                <w:rStyle w:val="Hyperlink"/>
                <w:noProof/>
              </w:rPr>
              <w:t>Appendix B: Literature Review Matrix and Reference Coverage</w:t>
            </w:r>
            <w:r>
              <w:rPr>
                <w:noProof/>
                <w:webHidden/>
              </w:rPr>
              <w:tab/>
            </w:r>
            <w:r>
              <w:rPr>
                <w:noProof/>
                <w:webHidden/>
              </w:rPr>
              <w:fldChar w:fldCharType="begin"/>
            </w:r>
            <w:r>
              <w:rPr>
                <w:noProof/>
                <w:webHidden/>
              </w:rPr>
              <w:instrText xml:space="preserve"> PAGEREF _Toc241154084 \h </w:instrText>
            </w:r>
            <w:r>
              <w:rPr>
                <w:noProof/>
                <w:webHidden/>
              </w:rPr>
            </w:r>
            <w:r>
              <w:rPr>
                <w:noProof/>
                <w:webHidden/>
              </w:rPr>
              <w:fldChar w:fldCharType="separate"/>
            </w:r>
            <w:r>
              <w:rPr>
                <w:noProof/>
                <w:webHidden/>
              </w:rPr>
              <w:t>64</w:t>
            </w:r>
            <w:r>
              <w:rPr>
                <w:noProof/>
                <w:webHidden/>
              </w:rPr>
              <w:fldChar w:fldCharType="end"/>
            </w:r>
          </w:hyperlink>
        </w:p>
        <w:p w14:paraId="027FBD3A" w14:textId="7E48C076" w:rsidR="008A72C6" w:rsidRDefault="008A72C6">
          <w:pPr>
            <w:pStyle w:val="TOC2"/>
            <w:tabs>
              <w:tab w:val="right" w:leader="dot" w:pos="9350"/>
            </w:tabs>
            <w:rPr>
              <w:rFonts w:asciiTheme="minorHAnsi" w:eastAsiaTheme="minorEastAsia" w:hAnsiTheme="minorHAnsi"/>
              <w:noProof/>
              <w:color w:val="auto"/>
              <w:sz w:val="22"/>
            </w:rPr>
          </w:pPr>
          <w:hyperlink w:anchor="_Toc241154085" w:history="1">
            <w:r w:rsidRPr="008146EC">
              <w:rPr>
                <w:rStyle w:val="Hyperlink"/>
                <w:noProof/>
              </w:rPr>
              <w:t>B1. Literature Review Matrix</w:t>
            </w:r>
            <w:r>
              <w:rPr>
                <w:noProof/>
                <w:webHidden/>
              </w:rPr>
              <w:tab/>
            </w:r>
            <w:r>
              <w:rPr>
                <w:noProof/>
                <w:webHidden/>
              </w:rPr>
              <w:fldChar w:fldCharType="begin"/>
            </w:r>
            <w:r>
              <w:rPr>
                <w:noProof/>
                <w:webHidden/>
              </w:rPr>
              <w:instrText xml:space="preserve"> PAGEREF _Toc241154085 \h </w:instrText>
            </w:r>
            <w:r>
              <w:rPr>
                <w:noProof/>
                <w:webHidden/>
              </w:rPr>
            </w:r>
            <w:r>
              <w:rPr>
                <w:noProof/>
                <w:webHidden/>
              </w:rPr>
              <w:fldChar w:fldCharType="separate"/>
            </w:r>
            <w:r>
              <w:rPr>
                <w:noProof/>
                <w:webHidden/>
              </w:rPr>
              <w:t>64</w:t>
            </w:r>
            <w:r>
              <w:rPr>
                <w:noProof/>
                <w:webHidden/>
              </w:rPr>
              <w:fldChar w:fldCharType="end"/>
            </w:r>
          </w:hyperlink>
        </w:p>
        <w:p w14:paraId="798B1A0E" w14:textId="1C157D92" w:rsidR="008A72C6" w:rsidRDefault="008A72C6">
          <w:pPr>
            <w:pStyle w:val="TOC1"/>
            <w:tabs>
              <w:tab w:val="right" w:leader="dot" w:pos="9350"/>
            </w:tabs>
            <w:rPr>
              <w:rFonts w:asciiTheme="minorHAnsi" w:eastAsiaTheme="minorEastAsia" w:hAnsiTheme="minorHAnsi"/>
              <w:noProof/>
              <w:color w:val="auto"/>
              <w:sz w:val="22"/>
            </w:rPr>
          </w:pPr>
          <w:hyperlink w:anchor="_Toc241154086" w:history="1">
            <w:r w:rsidRPr="008146EC">
              <w:rPr>
                <w:rStyle w:val="Hyperlink"/>
                <w:noProof/>
              </w:rPr>
              <w:t>Appendix C: Ethic Form</w:t>
            </w:r>
            <w:r>
              <w:rPr>
                <w:noProof/>
                <w:webHidden/>
              </w:rPr>
              <w:tab/>
            </w:r>
            <w:r>
              <w:rPr>
                <w:noProof/>
                <w:webHidden/>
              </w:rPr>
              <w:fldChar w:fldCharType="begin"/>
            </w:r>
            <w:r>
              <w:rPr>
                <w:noProof/>
                <w:webHidden/>
              </w:rPr>
              <w:instrText xml:space="preserve"> PAGEREF _Toc241154086 \h </w:instrText>
            </w:r>
            <w:r>
              <w:rPr>
                <w:noProof/>
                <w:webHidden/>
              </w:rPr>
            </w:r>
            <w:r>
              <w:rPr>
                <w:noProof/>
                <w:webHidden/>
              </w:rPr>
              <w:fldChar w:fldCharType="separate"/>
            </w:r>
            <w:r>
              <w:rPr>
                <w:noProof/>
                <w:webHidden/>
              </w:rPr>
              <w:t>75</w:t>
            </w:r>
            <w:r>
              <w:rPr>
                <w:noProof/>
                <w:webHidden/>
              </w:rPr>
              <w:fldChar w:fldCharType="end"/>
            </w:r>
          </w:hyperlink>
        </w:p>
        <w:p w14:paraId="4BAACC99" w14:textId="68738FEF" w:rsidR="004B4463" w:rsidRDefault="00F763E6">
          <w:pPr>
            <w:pStyle w:val="TOC2"/>
            <w:tabs>
              <w:tab w:val="right" w:leader="dot" w:pos="9359"/>
            </w:tabs>
          </w:pPr>
          <w:r>
            <w:rPr>
              <w:rStyle w:val="IndexLink"/>
            </w:rPr>
            <w:fldChar w:fldCharType="end"/>
          </w:r>
        </w:p>
      </w:sdtContent>
    </w:sdt>
    <w:p w14:paraId="7277EFB5" w14:textId="77777777" w:rsidR="004B4463" w:rsidRPr="008A72C6" w:rsidRDefault="00F763E6" w:rsidP="008A72C6">
      <w:pPr>
        <w:jc w:val="center"/>
        <w:rPr>
          <w:b/>
          <w:bCs/>
          <w:sz w:val="32"/>
          <w:szCs w:val="32"/>
        </w:rPr>
      </w:pPr>
      <w:r>
        <w:br w:type="page"/>
      </w:r>
      <w:r w:rsidRPr="008A72C6">
        <w:rPr>
          <w:b/>
          <w:bCs/>
          <w:sz w:val="32"/>
          <w:szCs w:val="32"/>
        </w:rPr>
        <w:lastRenderedPageBreak/>
        <w:t>List of Tables</w:t>
      </w:r>
    </w:p>
    <w:sdt>
      <w:sdtPr>
        <w:id w:val="1587037674"/>
        <w:docPartObj>
          <w:docPartGallery w:val="Table of Contents"/>
          <w:docPartUnique/>
        </w:docPartObj>
      </w:sdtPr>
      <w:sdtEndPr/>
      <w:sdtContent>
        <w:p w14:paraId="7E33E2B1" w14:textId="77777777" w:rsidR="00B4429C" w:rsidRDefault="00F763E6">
          <w:pPr>
            <w:pStyle w:val="TOC1"/>
            <w:tabs>
              <w:tab w:val="right" w:leader="dot" w:pos="9350"/>
            </w:tabs>
            <w:rPr>
              <w:rFonts w:asciiTheme="minorHAnsi" w:eastAsiaTheme="minorEastAsia" w:hAnsiTheme="minorHAnsi"/>
              <w:noProof/>
              <w:color w:val="auto"/>
              <w:sz w:val="22"/>
            </w:rPr>
          </w:pPr>
          <w:r>
            <w:fldChar w:fldCharType="begin"/>
          </w:r>
          <w:r>
            <w:rPr>
              <w:rStyle w:val="IndexLink"/>
              <w:webHidden/>
            </w:rPr>
            <w:instrText xml:space="preserve"> TOC \z \t "Table Caption,1" \h</w:instrText>
          </w:r>
          <w:r>
            <w:rPr>
              <w:rStyle w:val="IndexLink"/>
            </w:rPr>
            <w:fldChar w:fldCharType="separate"/>
          </w:r>
          <w:hyperlink w:anchor="_Toc240857234" w:history="1">
            <w:r w:rsidR="00B4429C" w:rsidRPr="00120A75">
              <w:rPr>
                <w:rStyle w:val="Hyperlink"/>
                <w:noProof/>
              </w:rPr>
              <w:t>Table 1. Theoretical and empirical synthesis</w:t>
            </w:r>
            <w:r w:rsidR="00B4429C">
              <w:rPr>
                <w:noProof/>
                <w:webHidden/>
              </w:rPr>
              <w:tab/>
            </w:r>
            <w:r w:rsidR="00B4429C">
              <w:rPr>
                <w:noProof/>
                <w:webHidden/>
              </w:rPr>
              <w:fldChar w:fldCharType="begin"/>
            </w:r>
            <w:r w:rsidR="00B4429C">
              <w:rPr>
                <w:noProof/>
                <w:webHidden/>
              </w:rPr>
              <w:instrText xml:space="preserve"> PAGEREF _Toc240857234 \h </w:instrText>
            </w:r>
            <w:r w:rsidR="00B4429C">
              <w:rPr>
                <w:noProof/>
                <w:webHidden/>
              </w:rPr>
            </w:r>
            <w:r w:rsidR="00B4429C">
              <w:rPr>
                <w:noProof/>
                <w:webHidden/>
              </w:rPr>
              <w:fldChar w:fldCharType="separate"/>
            </w:r>
            <w:r w:rsidR="00B4429C">
              <w:rPr>
                <w:noProof/>
                <w:webHidden/>
              </w:rPr>
              <w:t>10</w:t>
            </w:r>
            <w:r w:rsidR="00B4429C">
              <w:rPr>
                <w:noProof/>
                <w:webHidden/>
              </w:rPr>
              <w:fldChar w:fldCharType="end"/>
            </w:r>
          </w:hyperlink>
        </w:p>
        <w:p w14:paraId="278CAEE4" w14:textId="77777777" w:rsidR="00B4429C" w:rsidRDefault="00867805">
          <w:pPr>
            <w:pStyle w:val="TOC1"/>
            <w:tabs>
              <w:tab w:val="right" w:leader="dot" w:pos="9350"/>
            </w:tabs>
            <w:rPr>
              <w:rFonts w:asciiTheme="minorHAnsi" w:eastAsiaTheme="minorEastAsia" w:hAnsiTheme="minorHAnsi"/>
              <w:noProof/>
              <w:color w:val="auto"/>
              <w:sz w:val="22"/>
            </w:rPr>
          </w:pPr>
          <w:hyperlink w:anchor="_Toc240857235" w:history="1">
            <w:r w:rsidR="00B4429C" w:rsidRPr="00120A75">
              <w:rPr>
                <w:rStyle w:val="Hyperlink"/>
                <w:noProof/>
              </w:rPr>
              <w:t>Table 2. Comparative evidence and quality framework</w:t>
            </w:r>
            <w:r w:rsidR="00B4429C">
              <w:rPr>
                <w:noProof/>
                <w:webHidden/>
              </w:rPr>
              <w:tab/>
            </w:r>
            <w:r w:rsidR="00B4429C">
              <w:rPr>
                <w:noProof/>
                <w:webHidden/>
              </w:rPr>
              <w:fldChar w:fldCharType="begin"/>
            </w:r>
            <w:r w:rsidR="00B4429C">
              <w:rPr>
                <w:noProof/>
                <w:webHidden/>
              </w:rPr>
              <w:instrText xml:space="preserve"> PAGEREF _Toc240857235 \h </w:instrText>
            </w:r>
            <w:r w:rsidR="00B4429C">
              <w:rPr>
                <w:noProof/>
                <w:webHidden/>
              </w:rPr>
            </w:r>
            <w:r w:rsidR="00B4429C">
              <w:rPr>
                <w:noProof/>
                <w:webHidden/>
              </w:rPr>
              <w:fldChar w:fldCharType="separate"/>
            </w:r>
            <w:r w:rsidR="00B4429C">
              <w:rPr>
                <w:noProof/>
                <w:webHidden/>
              </w:rPr>
              <w:t>23</w:t>
            </w:r>
            <w:r w:rsidR="00B4429C">
              <w:rPr>
                <w:noProof/>
                <w:webHidden/>
              </w:rPr>
              <w:fldChar w:fldCharType="end"/>
            </w:r>
          </w:hyperlink>
        </w:p>
        <w:p w14:paraId="5B1E2DC7" w14:textId="77777777" w:rsidR="00B4429C" w:rsidRDefault="00867805">
          <w:pPr>
            <w:pStyle w:val="TOC1"/>
            <w:tabs>
              <w:tab w:val="right" w:leader="dot" w:pos="9350"/>
            </w:tabs>
            <w:rPr>
              <w:rFonts w:asciiTheme="minorHAnsi" w:eastAsiaTheme="minorEastAsia" w:hAnsiTheme="minorHAnsi"/>
              <w:noProof/>
              <w:color w:val="auto"/>
              <w:sz w:val="22"/>
            </w:rPr>
          </w:pPr>
          <w:hyperlink w:anchor="_Toc240857236" w:history="1">
            <w:r w:rsidR="00B4429C" w:rsidRPr="00120A75">
              <w:rPr>
                <w:rStyle w:val="Hyperlink"/>
                <w:noProof/>
              </w:rPr>
              <w:t>Table 3. Cross-company ESG strategy and implementation evidence</w:t>
            </w:r>
            <w:r w:rsidR="00B4429C">
              <w:rPr>
                <w:noProof/>
                <w:webHidden/>
              </w:rPr>
              <w:tab/>
            </w:r>
            <w:r w:rsidR="00B4429C">
              <w:rPr>
                <w:noProof/>
                <w:webHidden/>
              </w:rPr>
              <w:fldChar w:fldCharType="begin"/>
            </w:r>
            <w:r w:rsidR="00B4429C">
              <w:rPr>
                <w:noProof/>
                <w:webHidden/>
              </w:rPr>
              <w:instrText xml:space="preserve"> PAGEREF _Toc240857236 \h </w:instrText>
            </w:r>
            <w:r w:rsidR="00B4429C">
              <w:rPr>
                <w:noProof/>
                <w:webHidden/>
              </w:rPr>
            </w:r>
            <w:r w:rsidR="00B4429C">
              <w:rPr>
                <w:noProof/>
                <w:webHidden/>
              </w:rPr>
              <w:fldChar w:fldCharType="separate"/>
            </w:r>
            <w:r w:rsidR="00B4429C">
              <w:rPr>
                <w:noProof/>
                <w:webHidden/>
              </w:rPr>
              <w:t>28</w:t>
            </w:r>
            <w:r w:rsidR="00B4429C">
              <w:rPr>
                <w:noProof/>
                <w:webHidden/>
              </w:rPr>
              <w:fldChar w:fldCharType="end"/>
            </w:r>
          </w:hyperlink>
        </w:p>
        <w:p w14:paraId="2FCF1A0A" w14:textId="5F8860D6" w:rsidR="00B4429C" w:rsidRDefault="00867805">
          <w:pPr>
            <w:pStyle w:val="TOC1"/>
            <w:tabs>
              <w:tab w:val="right" w:leader="dot" w:pos="9350"/>
            </w:tabs>
            <w:rPr>
              <w:rFonts w:asciiTheme="minorHAnsi" w:eastAsiaTheme="minorEastAsia" w:hAnsiTheme="minorHAnsi"/>
              <w:noProof/>
              <w:color w:val="auto"/>
              <w:sz w:val="22"/>
            </w:rPr>
          </w:pPr>
          <w:hyperlink w:anchor="_Toc240857237" w:history="1">
            <w:r w:rsidR="00B4429C" w:rsidRPr="00120A75">
              <w:rPr>
                <w:rStyle w:val="Hyperlink"/>
                <w:noProof/>
              </w:rPr>
              <w:t>Table 4. Triangulated mechanism findings and rival explanations</w:t>
            </w:r>
            <w:r w:rsidR="00B4429C">
              <w:rPr>
                <w:noProof/>
                <w:webHidden/>
              </w:rPr>
              <w:tab/>
            </w:r>
            <w:r w:rsidR="00B4429C">
              <w:rPr>
                <w:noProof/>
                <w:webHidden/>
              </w:rPr>
              <w:fldChar w:fldCharType="begin"/>
            </w:r>
            <w:r w:rsidR="00B4429C">
              <w:rPr>
                <w:noProof/>
                <w:webHidden/>
              </w:rPr>
              <w:instrText xml:space="preserve"> PAGEREF _Toc240857237 \h </w:instrText>
            </w:r>
            <w:r w:rsidR="00B4429C">
              <w:rPr>
                <w:noProof/>
                <w:webHidden/>
              </w:rPr>
            </w:r>
            <w:r w:rsidR="00B4429C">
              <w:rPr>
                <w:noProof/>
                <w:webHidden/>
              </w:rPr>
              <w:fldChar w:fldCharType="separate"/>
            </w:r>
            <w:r w:rsidR="00B4429C">
              <w:rPr>
                <w:noProof/>
                <w:webHidden/>
              </w:rPr>
              <w:t>3</w:t>
            </w:r>
            <w:r w:rsidR="007E140B">
              <w:rPr>
                <w:noProof/>
                <w:webHidden/>
              </w:rPr>
              <w:t>7</w:t>
            </w:r>
            <w:r w:rsidR="00B4429C">
              <w:rPr>
                <w:noProof/>
                <w:webHidden/>
              </w:rPr>
              <w:fldChar w:fldCharType="end"/>
            </w:r>
          </w:hyperlink>
        </w:p>
        <w:p w14:paraId="3726B6F1" w14:textId="77777777" w:rsidR="004B4463" w:rsidRDefault="00F763E6">
          <w:pPr>
            <w:pStyle w:val="TOC1"/>
            <w:tabs>
              <w:tab w:val="right" w:leader="dot" w:pos="9359"/>
            </w:tabs>
          </w:pPr>
          <w:r>
            <w:rPr>
              <w:rStyle w:val="IndexLink"/>
            </w:rPr>
            <w:fldChar w:fldCharType="end"/>
          </w:r>
        </w:p>
      </w:sdtContent>
    </w:sdt>
    <w:p w14:paraId="63451610" w14:textId="77777777" w:rsidR="004B4463" w:rsidRPr="008A72C6" w:rsidRDefault="00F763E6" w:rsidP="008A72C6">
      <w:pPr>
        <w:jc w:val="center"/>
        <w:rPr>
          <w:b/>
          <w:bCs/>
          <w:sz w:val="32"/>
          <w:szCs w:val="32"/>
        </w:rPr>
      </w:pPr>
      <w:r w:rsidRPr="008A72C6">
        <w:rPr>
          <w:b/>
          <w:bCs/>
          <w:sz w:val="32"/>
          <w:szCs w:val="32"/>
        </w:rPr>
        <w:t>List of Figures</w:t>
      </w:r>
    </w:p>
    <w:sdt>
      <w:sdtPr>
        <w:id w:val="565690602"/>
        <w:docPartObj>
          <w:docPartGallery w:val="Table of Contents"/>
          <w:docPartUnique/>
        </w:docPartObj>
      </w:sdtPr>
      <w:sdtEndPr/>
      <w:sdtContent>
        <w:p w14:paraId="6C6C4DD5" w14:textId="77777777" w:rsidR="00B4429C" w:rsidRDefault="00F763E6">
          <w:pPr>
            <w:pStyle w:val="TOC1"/>
            <w:tabs>
              <w:tab w:val="right" w:leader="dot" w:pos="9350"/>
            </w:tabs>
            <w:rPr>
              <w:rFonts w:asciiTheme="minorHAnsi" w:eastAsiaTheme="minorEastAsia" w:hAnsiTheme="minorHAnsi"/>
              <w:noProof/>
              <w:color w:val="auto"/>
              <w:sz w:val="22"/>
            </w:rPr>
          </w:pPr>
          <w:r>
            <w:fldChar w:fldCharType="begin"/>
          </w:r>
          <w:r>
            <w:rPr>
              <w:rStyle w:val="IndexLink"/>
              <w:webHidden/>
            </w:rPr>
            <w:instrText xml:space="preserve"> TOC \z \t "Figure Caption,1" \h</w:instrText>
          </w:r>
          <w:r>
            <w:rPr>
              <w:rStyle w:val="IndexLink"/>
            </w:rPr>
            <w:fldChar w:fldCharType="separate"/>
          </w:r>
          <w:hyperlink w:anchor="_Toc240857238" w:history="1">
            <w:r w:rsidR="00B4429C" w:rsidRPr="00195C52">
              <w:rPr>
                <w:rStyle w:val="Hyperlink"/>
                <w:noProof/>
              </w:rPr>
              <w:t>Figure 1. Conceptual framework: ESG strategy, reputation and competitive advantage</w:t>
            </w:r>
            <w:r w:rsidR="00B4429C">
              <w:rPr>
                <w:noProof/>
                <w:webHidden/>
              </w:rPr>
              <w:tab/>
            </w:r>
            <w:r w:rsidR="00B4429C">
              <w:rPr>
                <w:noProof/>
                <w:webHidden/>
              </w:rPr>
              <w:fldChar w:fldCharType="begin"/>
            </w:r>
            <w:r w:rsidR="00B4429C">
              <w:rPr>
                <w:noProof/>
                <w:webHidden/>
              </w:rPr>
              <w:instrText xml:space="preserve"> PAGEREF _Toc240857238 \h </w:instrText>
            </w:r>
            <w:r w:rsidR="00B4429C">
              <w:rPr>
                <w:noProof/>
                <w:webHidden/>
              </w:rPr>
            </w:r>
            <w:r w:rsidR="00B4429C">
              <w:rPr>
                <w:noProof/>
                <w:webHidden/>
              </w:rPr>
              <w:fldChar w:fldCharType="separate"/>
            </w:r>
            <w:r w:rsidR="00B4429C">
              <w:rPr>
                <w:noProof/>
                <w:webHidden/>
              </w:rPr>
              <w:t>16</w:t>
            </w:r>
            <w:r w:rsidR="00B4429C">
              <w:rPr>
                <w:noProof/>
                <w:webHidden/>
              </w:rPr>
              <w:fldChar w:fldCharType="end"/>
            </w:r>
          </w:hyperlink>
        </w:p>
        <w:p w14:paraId="11F2E569" w14:textId="77777777" w:rsidR="00B4429C" w:rsidRDefault="00867805">
          <w:pPr>
            <w:pStyle w:val="TOC1"/>
            <w:tabs>
              <w:tab w:val="right" w:leader="dot" w:pos="9350"/>
            </w:tabs>
            <w:rPr>
              <w:rFonts w:asciiTheme="minorHAnsi" w:eastAsiaTheme="minorEastAsia" w:hAnsiTheme="minorHAnsi"/>
              <w:noProof/>
              <w:color w:val="auto"/>
              <w:sz w:val="22"/>
            </w:rPr>
          </w:pPr>
          <w:hyperlink w:anchor="_Toc240857239" w:history="1">
            <w:r w:rsidR="00B4429C" w:rsidRPr="00195C52">
              <w:rPr>
                <w:rStyle w:val="Hyperlink"/>
                <w:noProof/>
              </w:rPr>
              <w:t>Figure 2. Evidence identification, screening and analytical flow</w:t>
            </w:r>
            <w:r w:rsidR="00B4429C">
              <w:rPr>
                <w:noProof/>
                <w:webHidden/>
              </w:rPr>
              <w:tab/>
            </w:r>
            <w:r w:rsidR="00B4429C">
              <w:rPr>
                <w:noProof/>
                <w:webHidden/>
              </w:rPr>
              <w:fldChar w:fldCharType="begin"/>
            </w:r>
            <w:r w:rsidR="00B4429C">
              <w:rPr>
                <w:noProof/>
                <w:webHidden/>
              </w:rPr>
              <w:instrText xml:space="preserve"> PAGEREF _Toc240857239 \h </w:instrText>
            </w:r>
            <w:r w:rsidR="00B4429C">
              <w:rPr>
                <w:noProof/>
                <w:webHidden/>
              </w:rPr>
            </w:r>
            <w:r w:rsidR="00B4429C">
              <w:rPr>
                <w:noProof/>
                <w:webHidden/>
              </w:rPr>
              <w:fldChar w:fldCharType="separate"/>
            </w:r>
            <w:r w:rsidR="00B4429C">
              <w:rPr>
                <w:noProof/>
                <w:webHidden/>
              </w:rPr>
              <w:t>21</w:t>
            </w:r>
            <w:r w:rsidR="00B4429C">
              <w:rPr>
                <w:noProof/>
                <w:webHidden/>
              </w:rPr>
              <w:fldChar w:fldCharType="end"/>
            </w:r>
          </w:hyperlink>
        </w:p>
        <w:p w14:paraId="2E579888" w14:textId="7D662CD0" w:rsidR="00B4429C" w:rsidRDefault="00867805">
          <w:pPr>
            <w:pStyle w:val="TOC1"/>
            <w:tabs>
              <w:tab w:val="right" w:leader="dot" w:pos="9350"/>
            </w:tabs>
            <w:rPr>
              <w:rFonts w:asciiTheme="minorHAnsi" w:eastAsiaTheme="minorEastAsia" w:hAnsiTheme="minorHAnsi"/>
              <w:noProof/>
              <w:color w:val="auto"/>
              <w:sz w:val="22"/>
            </w:rPr>
          </w:pPr>
          <w:hyperlink w:anchor="_Toc240857240" w:history="1">
            <w:r w:rsidR="00B4429C" w:rsidRPr="00195C52">
              <w:rPr>
                <w:rStyle w:val="Hyperlink"/>
                <w:noProof/>
              </w:rPr>
              <w:t>Figure 3. Diageo environmental progress and counter-evidence</w:t>
            </w:r>
            <w:r w:rsidR="00B4429C">
              <w:rPr>
                <w:noProof/>
                <w:webHidden/>
              </w:rPr>
              <w:tab/>
            </w:r>
            <w:r w:rsidR="00B4429C">
              <w:rPr>
                <w:noProof/>
                <w:webHidden/>
              </w:rPr>
              <w:fldChar w:fldCharType="begin"/>
            </w:r>
            <w:r w:rsidR="00B4429C">
              <w:rPr>
                <w:noProof/>
                <w:webHidden/>
              </w:rPr>
              <w:instrText xml:space="preserve"> PAGEREF _Toc240857240 \h </w:instrText>
            </w:r>
            <w:r w:rsidR="00B4429C">
              <w:rPr>
                <w:noProof/>
                <w:webHidden/>
              </w:rPr>
            </w:r>
            <w:r w:rsidR="00B4429C">
              <w:rPr>
                <w:noProof/>
                <w:webHidden/>
              </w:rPr>
              <w:fldChar w:fldCharType="separate"/>
            </w:r>
            <w:r w:rsidR="00B4429C">
              <w:rPr>
                <w:noProof/>
                <w:webHidden/>
              </w:rPr>
              <w:t>3</w:t>
            </w:r>
            <w:r w:rsidR="007E140B">
              <w:rPr>
                <w:noProof/>
                <w:webHidden/>
              </w:rPr>
              <w:t>3</w:t>
            </w:r>
            <w:r w:rsidR="00B4429C">
              <w:rPr>
                <w:noProof/>
                <w:webHidden/>
              </w:rPr>
              <w:fldChar w:fldCharType="end"/>
            </w:r>
          </w:hyperlink>
        </w:p>
        <w:p w14:paraId="71835366" w14:textId="413DD116" w:rsidR="00B4429C" w:rsidRDefault="00867805">
          <w:pPr>
            <w:pStyle w:val="TOC1"/>
            <w:tabs>
              <w:tab w:val="right" w:leader="dot" w:pos="9350"/>
            </w:tabs>
            <w:rPr>
              <w:rFonts w:asciiTheme="minorHAnsi" w:eastAsiaTheme="minorEastAsia" w:hAnsiTheme="minorHAnsi"/>
              <w:noProof/>
              <w:color w:val="auto"/>
              <w:sz w:val="22"/>
            </w:rPr>
          </w:pPr>
          <w:hyperlink w:anchor="_Toc240857241" w:history="1">
            <w:r w:rsidR="00B4429C" w:rsidRPr="00195C52">
              <w:rPr>
                <w:rStyle w:val="Hyperlink"/>
                <w:noProof/>
              </w:rPr>
              <w:t>Figure 4. ABF market-based Scope 1 and 2 emissions, 2024–2025</w:t>
            </w:r>
            <w:r w:rsidR="00B4429C">
              <w:rPr>
                <w:noProof/>
                <w:webHidden/>
              </w:rPr>
              <w:tab/>
            </w:r>
            <w:r w:rsidR="00B4429C">
              <w:rPr>
                <w:noProof/>
                <w:webHidden/>
              </w:rPr>
              <w:fldChar w:fldCharType="begin"/>
            </w:r>
            <w:r w:rsidR="00B4429C">
              <w:rPr>
                <w:noProof/>
                <w:webHidden/>
              </w:rPr>
              <w:instrText xml:space="preserve"> PAGEREF _Toc240857241 \h </w:instrText>
            </w:r>
            <w:r w:rsidR="00B4429C">
              <w:rPr>
                <w:noProof/>
                <w:webHidden/>
              </w:rPr>
            </w:r>
            <w:r w:rsidR="00B4429C">
              <w:rPr>
                <w:noProof/>
                <w:webHidden/>
              </w:rPr>
              <w:fldChar w:fldCharType="separate"/>
            </w:r>
            <w:r w:rsidR="00B4429C">
              <w:rPr>
                <w:noProof/>
                <w:webHidden/>
              </w:rPr>
              <w:t>3</w:t>
            </w:r>
            <w:r w:rsidR="007E140B">
              <w:rPr>
                <w:noProof/>
                <w:webHidden/>
              </w:rPr>
              <w:t>5</w:t>
            </w:r>
            <w:r w:rsidR="00B4429C">
              <w:rPr>
                <w:noProof/>
                <w:webHidden/>
              </w:rPr>
              <w:fldChar w:fldCharType="end"/>
            </w:r>
          </w:hyperlink>
        </w:p>
        <w:p w14:paraId="56236085" w14:textId="2235DD5A" w:rsidR="00B4429C" w:rsidRDefault="00867805">
          <w:pPr>
            <w:pStyle w:val="TOC1"/>
            <w:tabs>
              <w:tab w:val="right" w:leader="dot" w:pos="9350"/>
            </w:tabs>
            <w:rPr>
              <w:rFonts w:asciiTheme="minorHAnsi" w:eastAsiaTheme="minorEastAsia" w:hAnsiTheme="minorHAnsi"/>
              <w:noProof/>
              <w:color w:val="auto"/>
              <w:sz w:val="22"/>
            </w:rPr>
          </w:pPr>
          <w:hyperlink w:anchor="_Toc240857242" w:history="1">
            <w:r w:rsidR="00B4429C" w:rsidRPr="00195C52">
              <w:rPr>
                <w:rStyle w:val="Hyperlink"/>
                <w:noProof/>
              </w:rPr>
              <w:t>Figure 5. Revised evidence-based mechanism model</w:t>
            </w:r>
            <w:r w:rsidR="00B4429C">
              <w:rPr>
                <w:noProof/>
                <w:webHidden/>
              </w:rPr>
              <w:tab/>
            </w:r>
            <w:r w:rsidR="00B4429C">
              <w:rPr>
                <w:noProof/>
                <w:webHidden/>
              </w:rPr>
              <w:fldChar w:fldCharType="begin"/>
            </w:r>
            <w:r w:rsidR="00B4429C">
              <w:rPr>
                <w:noProof/>
                <w:webHidden/>
              </w:rPr>
              <w:instrText xml:space="preserve"> PAGEREF _Toc240857242 \h </w:instrText>
            </w:r>
            <w:r w:rsidR="00B4429C">
              <w:rPr>
                <w:noProof/>
                <w:webHidden/>
              </w:rPr>
            </w:r>
            <w:r w:rsidR="00B4429C">
              <w:rPr>
                <w:noProof/>
                <w:webHidden/>
              </w:rPr>
              <w:fldChar w:fldCharType="separate"/>
            </w:r>
            <w:r w:rsidR="00B4429C">
              <w:rPr>
                <w:noProof/>
                <w:webHidden/>
              </w:rPr>
              <w:t>4</w:t>
            </w:r>
            <w:r w:rsidR="007E140B">
              <w:rPr>
                <w:noProof/>
                <w:webHidden/>
              </w:rPr>
              <w:t>5</w:t>
            </w:r>
            <w:r w:rsidR="00B4429C">
              <w:rPr>
                <w:noProof/>
                <w:webHidden/>
              </w:rPr>
              <w:fldChar w:fldCharType="end"/>
            </w:r>
          </w:hyperlink>
        </w:p>
        <w:p w14:paraId="263AC0E2" w14:textId="77777777" w:rsidR="004B4463" w:rsidRDefault="00F763E6">
          <w:pPr>
            <w:pStyle w:val="TOC1"/>
            <w:tabs>
              <w:tab w:val="right" w:leader="dot" w:pos="9359"/>
            </w:tabs>
          </w:pPr>
          <w:r>
            <w:rPr>
              <w:rStyle w:val="IndexLink"/>
            </w:rPr>
            <w:fldChar w:fldCharType="end"/>
          </w:r>
        </w:p>
        <w:p w14:paraId="37066D87" w14:textId="77777777" w:rsidR="004B4463" w:rsidRDefault="00867805">
          <w:pPr>
            <w:sectPr w:rsidR="004B4463">
              <w:footerReference w:type="even" r:id="rId14"/>
              <w:footerReference w:type="default" r:id="rId15"/>
              <w:footerReference w:type="first" r:id="rId16"/>
              <w:pgSz w:w="12240" w:h="15840"/>
              <w:pgMar w:top="1440" w:right="1440" w:bottom="1440" w:left="1440" w:header="0" w:footer="720" w:gutter="0"/>
              <w:pgNumType w:fmt="lowerRoman" w:start="5"/>
              <w:cols w:space="720"/>
              <w:formProt w:val="0"/>
              <w:docGrid w:linePitch="360"/>
            </w:sectPr>
          </w:pPr>
        </w:p>
      </w:sdtContent>
    </w:sdt>
    <w:p w14:paraId="0CA49C34" w14:textId="77777777" w:rsidR="004B4463" w:rsidRDefault="00F763E6">
      <w:pPr>
        <w:pStyle w:val="Heading1"/>
      </w:pPr>
      <w:bookmarkStart w:id="4" w:name="_Toc240378594"/>
      <w:bookmarkStart w:id="5" w:name="_Toc241154016"/>
      <w:r>
        <w:lastRenderedPageBreak/>
        <w:t>Chapter 1: Introduction</w:t>
      </w:r>
      <w:bookmarkEnd w:id="4"/>
      <w:bookmarkEnd w:id="5"/>
    </w:p>
    <w:p w14:paraId="2209274C" w14:textId="77777777" w:rsidR="004B4463" w:rsidRDefault="00F763E6">
      <w:pPr>
        <w:pStyle w:val="Heading2"/>
      </w:pPr>
      <w:bookmarkStart w:id="6" w:name="_Toc241154017"/>
      <w:r>
        <w:t>1.1 Background of the Study</w:t>
      </w:r>
      <w:bookmarkEnd w:id="6"/>
    </w:p>
    <w:p w14:paraId="695220BB" w14:textId="62C8C3D4" w:rsidR="008320B7" w:rsidRDefault="008320B7" w:rsidP="008320B7">
      <w:r>
        <w:t xml:space="preserve">Environmental, social and governance (ESG) issues are no longer a side-line of corporate social responsibility, but have become part of product design and sourcing, capital allocation, risk management and executive accountability. While it's a strategic move, ESG is still conceptually diverse. The term can refer to non-financial risks that investors take into account, a system for evaluating the impact of companies on society and the environment and/or a program of change in company operational activities. </w:t>
      </w:r>
      <w:r w:rsidR="00E7309C">
        <w:t>Gillan et al. (2021)</w:t>
      </w:r>
      <w:r>
        <w:t xml:space="preserve"> show that there are different definitions and measures in the literature and Edmans (2023) states that stakeholder issues can only create value if they matter in the longer term, not just have a fashionable label. Hence, this dissertation considers ESG strategy as a complete set of priorities, targets, governance structures, resources, practices and tangible results both in environmental, social and governance spheres. Reporting is seen as proof of this configuration, but not proof of performance per se.</w:t>
      </w:r>
    </w:p>
    <w:p w14:paraId="0EBEA743" w14:textId="77777777" w:rsidR="008320B7" w:rsidRDefault="008320B7" w:rsidP="008320B7">
      <w:r>
        <w:t>Consumer goods are a good example as their environmental and social footprint is wide and apparent. The supply chains of everyday products rely on other aspects such as agricultural and chemical materials, energy, water, packaging, transport, labour standards, product safety, marketing and post-consumer waste. Brands are regularly in contact with consumers, although these consumers can usually not assess production conditions directly. Corporate claims can thus lead to a decrease in information asymmetry, but may also result in reputational and regulatory risks if claims and effects do not match. Reputation can be reinforced by substantiated product advantages and good behaviour, but can be lost quickly if there are any accusations of false or misleading environmental claims, unsafe products or poor supply-chain management. But stakeholders aren't just interested in the bigger picture of commitments; they want to see material ESG action that's credible, affordable and operationally useful.</w:t>
      </w:r>
    </w:p>
    <w:p w14:paraId="43237C72" w14:textId="77777777" w:rsidR="008320B7" w:rsidRDefault="008320B7" w:rsidP="008320B7">
      <w:r>
        <w:t xml:space="preserve">The context in the UK has become more challenging. The Competition and Markets Authority (CMA) Green Claims Code governs environmental claims, which must be honest, clear, substantiated, and make fair comparisons, and must consider the whole </w:t>
      </w:r>
      <w:r>
        <w:lastRenderedPageBreak/>
        <w:t>life cycle if applicable (Competition and Markets Authority, 2021). The direct consumer-enforcement regime under the Digital Markets, Competition and Consumers Act 2024 (DCCA) has been in force since 6 April 2025 and penalties of up to 10 per cent of global turnover may be imposed for infringements under the CMA's direct enforcement powers (Competition and Markets Authority, 2025). There have also been expectations of governance that differ. The Financial Reporting Council (FRC) Corporate Governance Code for the UK (2024) is for financial years commencing on or after 1 January 2025, and Provision 29 on material controls is applicable for financial years commencing on or after 1 January 2026. The UK government has published UK Sustainability Reporting Standards S1 and S2 (which are grounded in the ISSB standards) in February 2026; however, not all companies in this study were subject to a universal mandatory reporting requirement under the UK SRS at the time of publication (Department for Business and Trade, 2026). These developments render substantiation relevant not just to compliance and communication, but to reputation management as well, as do the internal control and evidence quality.</w:t>
      </w:r>
    </w:p>
    <w:p w14:paraId="54D9394F" w14:textId="436A09B7" w:rsidR="004B4463" w:rsidRDefault="008320B7" w:rsidP="008320B7">
      <w:r>
        <w:t>The added pressure is the consumer demand. However, cost is cited as a key barrier to more sustainable living by Deloitte's UK research and uncertainty about the sustainability of products is also identified. According to PwC's Voice of the Consumer Survey, 2024, consumers report that they are willing to pay higher prices for products that are more sustainable both in production and sourcing, though this does not necessarily reflect what they do when they shop. According to an observatory study by McKinsey &amp; Company and NielsenIQ (2023) conducted in the USA, products with environmental claims and/or social claims were linked to higher sales growth relative to similar products lacking these claims. The authors explicitly state that the analysis does not prove that the claims caused the sales differential and did not independently verify the claims. For consumer goods markets, the differentiation in ESG, therefore, coexists with value, convenience, and quality</w:t>
      </w:r>
      <w:r w:rsidR="00F763E6">
        <w:t>.</w:t>
      </w:r>
    </w:p>
    <w:p w14:paraId="2C787F04" w14:textId="77777777" w:rsidR="004B4463" w:rsidRDefault="00F763E6">
      <w:pPr>
        <w:pStyle w:val="Heading2"/>
      </w:pPr>
      <w:bookmarkStart w:id="7" w:name="_Toc240378596"/>
      <w:bookmarkStart w:id="8" w:name="_Toc241154018"/>
      <w:r>
        <w:t>1.2 Problem Statement</w:t>
      </w:r>
      <w:bookmarkEnd w:id="7"/>
      <w:bookmarkEnd w:id="8"/>
    </w:p>
    <w:p w14:paraId="449C291F" w14:textId="268D3CFA" w:rsidR="008320B7" w:rsidRDefault="008320B7" w:rsidP="008320B7">
      <w:r>
        <w:t xml:space="preserve">The pressure is building from both management and investors and regulators that ESG strategy is responsible and economically relevant. But the evidence available does not </w:t>
      </w:r>
      <w:r>
        <w:lastRenderedPageBreak/>
        <w:t xml:space="preserve">lend itself to a straightforward guideline. Despite the many quantitative studies that find positive average relationship between ESG indicators and accounting or market outcomes, the possibility of reverse causality or omitted firm characteristics is still plausible. Additionally, ESG-rating providers vary in terms of the scope, measurement and weighting of indicators, which leads to significant rating divergence (Berg, Kölbel and Rigobon, 2022). </w:t>
      </w:r>
      <w:r w:rsidR="00E7309C">
        <w:t>Christensen et al. (2022)</w:t>
      </w:r>
      <w:r>
        <w:t xml:space="preserve"> also demonstrate that disclosure can lead to disclosure disagreement as disclosure reveals more dimensions on which evaluators can disagree. Therefore, a positive correlation between ESG score and firm value alone does not necessarily indicate that the correlation comes from reputation, efficiency, innovation, risk reduction, management quality or reverse causality.</w:t>
      </w:r>
    </w:p>
    <w:p w14:paraId="0CCDCB0E" w14:textId="35E25D22" w:rsidR="004B4463" w:rsidRDefault="008320B7" w:rsidP="008320B7">
      <w:r>
        <w:t>This uncertainty poses a practical issue for highly visible businesses facing consumers. Management might invest over the odds in less complex programmes in the periphery, underinvest in challenging supply-chain transitions, or set targets before the underlying evidence bases are ready to go. There are opportunity costs and claim risks associated with each choice. On the other hand, a compliance lens could be missing out on innovation, employee engagement and stakeholder trust. The practical problem we investigate here is thus when substantive ESG strategy leads to better corporate reputation and to capabilities that drive sustained competitive advantage and when competing business forces, weak evidence or greenwashing risk erode these mechanisms</w:t>
      </w:r>
      <w:r w:rsidR="00F763E6">
        <w:t>.</w:t>
      </w:r>
    </w:p>
    <w:p w14:paraId="4DF38C3C" w14:textId="77777777" w:rsidR="004B4463" w:rsidRDefault="00F763E6">
      <w:pPr>
        <w:pStyle w:val="Heading2"/>
      </w:pPr>
      <w:bookmarkStart w:id="9" w:name="_Toc240378597"/>
      <w:bookmarkStart w:id="10" w:name="_Toc241154019"/>
      <w:r>
        <w:t>1.3 Research Aim</w:t>
      </w:r>
      <w:bookmarkEnd w:id="9"/>
      <w:bookmarkEnd w:id="10"/>
    </w:p>
    <w:p w14:paraId="1357C3D3" w14:textId="77777777" w:rsidR="004B4463" w:rsidRDefault="00F763E6">
      <w:r>
        <w:t>The aim of the research is to critically analyse the impact of ESG strategy on corporate reputation and its role in achieving long-term competitive advantage in the UK consumer goods sector by comparing Unilever, Reckitt, Diageo and ABF via secondary analysis.</w:t>
      </w:r>
    </w:p>
    <w:p w14:paraId="290029F4" w14:textId="77777777" w:rsidR="004B4463" w:rsidRDefault="00F763E6">
      <w:pPr>
        <w:pStyle w:val="Heading2"/>
      </w:pPr>
      <w:bookmarkStart w:id="11" w:name="_Toc240378598"/>
      <w:bookmarkStart w:id="12" w:name="_Toc241154020"/>
      <w:r>
        <w:t>1.4 Research Objectives</w:t>
      </w:r>
      <w:bookmarkEnd w:id="11"/>
      <w:bookmarkEnd w:id="12"/>
    </w:p>
    <w:p w14:paraId="0656473E" w14:textId="77777777" w:rsidR="004B4463" w:rsidRDefault="00F763E6">
      <w:pPr>
        <w:pStyle w:val="ListParagraph"/>
        <w:numPr>
          <w:ilvl w:val="0"/>
          <w:numId w:val="1"/>
        </w:numPr>
      </w:pPr>
      <w:r>
        <w:t>To critically synthesise recent theoretical and empirical research on the linkages between ESG strategy, corporate reputation and competitive advantage.</w:t>
      </w:r>
    </w:p>
    <w:p w14:paraId="36F7C195" w14:textId="77777777" w:rsidR="004B4463" w:rsidRDefault="00F763E6">
      <w:pPr>
        <w:pStyle w:val="ListParagraph"/>
        <w:numPr>
          <w:ilvl w:val="0"/>
          <w:numId w:val="1"/>
        </w:numPr>
      </w:pPr>
      <w:r>
        <w:t>To benchmark the substance, credibility and strategic integration of ESG approaches across the four case companies.</w:t>
      </w:r>
    </w:p>
    <w:p w14:paraId="59CA4379" w14:textId="77777777" w:rsidR="004B4463" w:rsidRDefault="00F763E6">
      <w:pPr>
        <w:pStyle w:val="ListParagraph"/>
        <w:numPr>
          <w:ilvl w:val="0"/>
          <w:numId w:val="1"/>
        </w:numPr>
      </w:pPr>
      <w:r>
        <w:lastRenderedPageBreak/>
        <w:t>To assess how ESG can strengthen or erode reputation and contribute to long-term competitive advantage through mechanisms such as trust, innovation, efficiency and resilience.</w:t>
      </w:r>
    </w:p>
    <w:p w14:paraId="3F8B6AB3" w14:textId="77777777" w:rsidR="004B4463" w:rsidRDefault="00F763E6">
      <w:pPr>
        <w:pStyle w:val="ListParagraph"/>
        <w:numPr>
          <w:ilvl w:val="0"/>
          <w:numId w:val="1"/>
        </w:numPr>
      </w:pPr>
      <w:r>
        <w:t>To provide consumer-goods managers with evidence-based, forward-looking recommendations for ESG strategies that are material, credible and competitively relevant.</w:t>
      </w:r>
    </w:p>
    <w:p w14:paraId="62892486" w14:textId="77777777" w:rsidR="004B4463" w:rsidRDefault="00F763E6">
      <w:pPr>
        <w:pStyle w:val="Heading2"/>
      </w:pPr>
      <w:bookmarkStart w:id="13" w:name="_Toc240378599"/>
      <w:bookmarkStart w:id="14" w:name="_Toc241154021"/>
      <w:r>
        <w:t>1.5 Research questions</w:t>
      </w:r>
      <w:bookmarkEnd w:id="13"/>
      <w:bookmarkEnd w:id="14"/>
    </w:p>
    <w:p w14:paraId="424B1E2B" w14:textId="77777777" w:rsidR="004B4463" w:rsidRDefault="00F763E6">
      <w:pPr>
        <w:pStyle w:val="ListParagraph"/>
        <w:numPr>
          <w:ilvl w:val="0"/>
          <w:numId w:val="2"/>
        </w:numPr>
      </w:pPr>
      <w:r>
        <w:t>How do the selected UK consumer goods companies conceptualise, govern and implement their ESG strategy?</w:t>
      </w:r>
    </w:p>
    <w:p w14:paraId="56D12A44" w14:textId="77777777" w:rsidR="004B4463" w:rsidRDefault="00F763E6">
      <w:pPr>
        <w:pStyle w:val="ListParagraph"/>
        <w:numPr>
          <w:ilvl w:val="0"/>
          <w:numId w:val="2"/>
        </w:numPr>
      </w:pPr>
      <w:r>
        <w:t>How can ESG strategy affect corporate reputation among key stakeholders?</w:t>
      </w:r>
    </w:p>
    <w:p w14:paraId="314F59F5" w14:textId="77777777" w:rsidR="004B4463" w:rsidRDefault="00F763E6">
      <w:pPr>
        <w:pStyle w:val="ListParagraph"/>
        <w:numPr>
          <w:ilvl w:val="0"/>
          <w:numId w:val="2"/>
        </w:numPr>
      </w:pPr>
      <w:r>
        <w:t>How do the available reputation-related indicators align with evidence of long-term competitive advantage, and what limits the strength of that relationship?</w:t>
      </w:r>
    </w:p>
    <w:p w14:paraId="4C3ACB05" w14:textId="77777777" w:rsidR="004B4463" w:rsidRDefault="00F763E6">
      <w:pPr>
        <w:pStyle w:val="ListParagraph"/>
        <w:numPr>
          <w:ilvl w:val="0"/>
          <w:numId w:val="2"/>
        </w:numPr>
      </w:pPr>
      <w:r>
        <w:t>What conditions, such as materiality, assurance, greenwashing risk, regulation, portfolio composition and affordability, enhance or weaken these relationships?</w:t>
      </w:r>
    </w:p>
    <w:p w14:paraId="068B4F71" w14:textId="77777777" w:rsidR="004B4463" w:rsidRDefault="00F763E6">
      <w:pPr>
        <w:pStyle w:val="Heading2"/>
      </w:pPr>
      <w:bookmarkStart w:id="15" w:name="_Toc240378600"/>
      <w:bookmarkStart w:id="16" w:name="_Toc241154022"/>
      <w:r>
        <w:t>1.6 Scope of the Study</w:t>
      </w:r>
      <w:bookmarkEnd w:id="15"/>
      <w:bookmarkEnd w:id="16"/>
    </w:p>
    <w:p w14:paraId="6F2C2D93" w14:textId="77777777" w:rsidR="008320B7" w:rsidRDefault="008320B7" w:rsidP="008320B7">
      <w:r>
        <w:t>Evidence used throughout the empirical study is from 2020-2025 with regulatory and academic material as evidence up to 2026 (the evidence cut-off). The four cases are: Unilever, Reckitt, Diageo and Associated British Foods plc (ABF). All are UK-listed and/or have a UK headquarters, well-known consumer brands and multi-year ESG disclosures, and varying exposures and category economics related to material sustainability. Unilever is diversified into beauty &amp; wellbeing, personal care, home care and foods, while Reckitt is diversified in health &amp; hygiene, Diageo is diversified in beverage alcohol and ABF is a combination of food &amp; ingredients business and value-fashion retailer, Primark. The period is used as a contextual frame, but there is some evidence that is comparable but is strongest for outcomes in 2024–2025 and selected earlier baselines. Thus, a full six-year panel is not claimed for each measure.</w:t>
      </w:r>
    </w:p>
    <w:p w14:paraId="4B34503A" w14:textId="6E342778" w:rsidR="004B4463" w:rsidRDefault="008320B7" w:rsidP="008320B7">
      <w:r>
        <w:t xml:space="preserve">The principal unit of evidence is the company-period observation and the unit of inference is the proposed mechanism. All four cases are not necessarily considered to be statistically representative of the total UK consumer goods company and corporate reports are not necessarily considered to be neutral observation. They bear witness to </w:t>
      </w:r>
      <w:r>
        <w:lastRenderedPageBreak/>
        <w:t>governing practices and strategic tales told by organisations invested in the interpretation of such practices. Management claims are thus validated against certain quantitative measures, assurance statements and regulatory data and third-party assessments, if any. Financial results are not used as a scale of competitiveness as they also contain the impact of pricing, acquisitions and disposals, foreign exchange and category demand and execution. This therefore implies that the use of impact, in this context, is in the sense of contribution-analysis, not in the sense of an experimentally detected treatment effect</w:t>
      </w:r>
      <w:r w:rsidR="00F763E6">
        <w:t>.</w:t>
      </w:r>
    </w:p>
    <w:p w14:paraId="30F6ADF1" w14:textId="77777777" w:rsidR="004B4463" w:rsidRDefault="00F763E6">
      <w:pPr>
        <w:pStyle w:val="Heading2"/>
      </w:pPr>
      <w:bookmarkStart w:id="17" w:name="_Toc240378601"/>
      <w:bookmarkStart w:id="18" w:name="_Toc241154023"/>
      <w:r>
        <w:t>1.7 Significance of the Study</w:t>
      </w:r>
      <w:bookmarkEnd w:id="17"/>
      <w:bookmarkEnd w:id="18"/>
    </w:p>
    <w:p w14:paraId="0E6DB0FA" w14:textId="77777777" w:rsidR="008320B7" w:rsidRDefault="008320B7" w:rsidP="008320B7">
      <w:r>
        <w:t>In this dissertation, three contributions are made. It is, in theory, a combination of stakeholder theory, resource-based view, legitimacy theory and a relational pathway (trust and reputation) and operational pathway (innovation, efficiency and resilience). Empirically verifies commitments, controls, outcomes, assurance and counter evidence without depending on one composite ESG score. Managerially it provides interpretation of the latest changes in the claims and reporting landscape in the UK and reflects upon what this means for materiality, quality of evidence and product economics and governance decisions.</w:t>
      </w:r>
    </w:p>
    <w:p w14:paraId="6286430B" w14:textId="212B3114" w:rsidR="004B4463" w:rsidRDefault="008320B7" w:rsidP="008320B7">
      <w:r>
        <w:t>ESG commitment is moving from promises to controlled and decision useful evidence, with a forward-looking contribution. Systems of accountability to responsible owners, boundaries, baselines and supporting records are prioritised, in line with the approach of UK SRS, increased consumer enforcement and the 2024 Corporate Governance Code. Businesses that make the change can lower the risk of reputation and regulation, as well as gain a better grasp of the usage of resources and the needs of stakeholders. In contrast, disjointed metrics or governance through communication can lead to more disclosure, but less commensurate trust, and more contestable claims</w:t>
      </w:r>
      <w:r w:rsidR="00F763E6">
        <w:t>.</w:t>
      </w:r>
    </w:p>
    <w:p w14:paraId="53C6DDA8" w14:textId="77777777" w:rsidR="004B4463" w:rsidRDefault="00F763E6">
      <w:pPr>
        <w:pStyle w:val="Heading1"/>
        <w:pageBreakBefore/>
      </w:pPr>
      <w:bookmarkStart w:id="19" w:name="_Toc240378602"/>
      <w:bookmarkStart w:id="20" w:name="_Hlk241066806"/>
      <w:bookmarkStart w:id="21" w:name="_Toc241154024"/>
      <w:r>
        <w:lastRenderedPageBreak/>
        <w:t>Chapter 2: Literature Review</w:t>
      </w:r>
      <w:bookmarkEnd w:id="19"/>
      <w:bookmarkEnd w:id="21"/>
    </w:p>
    <w:p w14:paraId="0F324CA7" w14:textId="77777777" w:rsidR="004B4463" w:rsidRDefault="00F763E6">
      <w:pPr>
        <w:pStyle w:val="Heading2"/>
      </w:pPr>
      <w:bookmarkStart w:id="22" w:name="_Toc240378603"/>
      <w:bookmarkStart w:id="23" w:name="_Toc241154025"/>
      <w:r>
        <w:t>2.1 Introduction</w:t>
      </w:r>
      <w:bookmarkEnd w:id="22"/>
      <w:bookmarkEnd w:id="23"/>
      <w:r>
        <w:t xml:space="preserve"> </w:t>
      </w:r>
    </w:p>
    <w:p w14:paraId="17B3553F" w14:textId="34C59A99" w:rsidR="004B4463" w:rsidRDefault="008320B7">
      <w:r>
        <w:t>This chapter explores the possible relationship between ESG strategy and reputation, and sustainable competitive advantage, and how this relationship can be broken or become insufficient. Firstly, it illustrates the key concepts, and next it weaves together elements from stakeholder theory, the resource-based view (RBV) and the legitimacy theory. Next, strategic materiality and implementation, reputation as a potential mechanism, operational capability, consumer behaviour, resilience, measurement divergence, assurance and greenwashing are discussed. The review focuses on literature from 2020 onwards up to the evidence cut-off, but earlier sources are included if they form the foundation theory. It finishes with an identification of the research gap and a preliminary conceptual framework, which guided case analysis</w:t>
      </w:r>
      <w:r w:rsidR="00F763E6">
        <w:t>.</w:t>
      </w:r>
    </w:p>
    <w:p w14:paraId="55DA1CAA" w14:textId="77777777" w:rsidR="004B4463" w:rsidRDefault="00F763E6">
      <w:pPr>
        <w:pStyle w:val="Heading2"/>
      </w:pPr>
      <w:bookmarkStart w:id="24" w:name="_Toc240378604"/>
      <w:bookmarkStart w:id="25" w:name="_Toc241154026"/>
      <w:r>
        <w:t>2.2 Conceptualising ESG strategy, reputation and competitive advantage</w:t>
      </w:r>
      <w:bookmarkEnd w:id="24"/>
      <w:bookmarkEnd w:id="25"/>
    </w:p>
    <w:p w14:paraId="2FFE4045" w14:textId="59757FFC" w:rsidR="00DA6EB2" w:rsidRDefault="00DA6EB2" w:rsidP="00DA6EB2">
      <w:r>
        <w:t xml:space="preserve">Although ESG is a construct that brings together heterogeneous phenomena, it is often treated as a single construct. An emissions reduction is a physical result, workforce representation is a social result, a board committee is a governance mechanism and a synthetic ESG rating is an assessment. By combining these dimensions, the resulting total might overlook key distinctions, as </w:t>
      </w:r>
      <w:r w:rsidR="00E7309C">
        <w:t>Gillan et al. (2021)</w:t>
      </w:r>
      <w:r>
        <w:t xml:space="preserve"> explain in their description of the diversity of corporate-finance research. Edmans (2023) builds on this and argues that the label is not particularly valuable from an analytical perspective unless stakeholder dynamics are linked with the normal business of generating long-term value. A credible analysis should therefore differentiate the inputs, processes, outputs and outcomes. Targets and expenditure are input; responsible-sourcing routines and claim controls are the process; recycled content packaging is an output; and lower emissions or better stakeholder trust is an outcome.</w:t>
      </w:r>
    </w:p>
    <w:p w14:paraId="47F46C42" w14:textId="77777777" w:rsidR="00DA6EB2" w:rsidRDefault="00DA6EB2" w:rsidP="00DA6EB2">
      <w:r>
        <w:t xml:space="preserve">This sequence has strategic focus because of the materiality. Financial materiality questions whether sustainability risks and opportunities have the potential to materially impact the enterprise value, while impact materiality questions whether the sustainability </w:t>
      </w:r>
      <w:r>
        <w:lastRenderedPageBreak/>
        <w:t>impacts are significant to the company or not. The viewpoints are somewhat similar, but not the same. The impact of a large external event may not yet have been captured by enterprise value, but later on the impact of the controversy may lead to consequences for the company's reputation and commercial activities. Double materiality is, therefore, also applicable to the consumer goods sector, where the impact of products and services over their entire life cycles and how they are understood by stakeholders can align in certain instances. However, the materiality assessments are still judgement-based as management establishes thresholds, determine stakeholder inputs and determine time horizons. Hence, these are to be understood as governance processes which need to be reviewed periodically.</w:t>
      </w:r>
    </w:p>
    <w:p w14:paraId="06EA0DFA" w14:textId="77777777" w:rsidR="00DA6EB2" w:rsidRDefault="00DA6EB2" w:rsidP="00DA6EB2">
      <w:r>
        <w:t>For the purpose of this study corporate reputation is an opinion that is stakeholder-specific and that evaluates the company's actions, reliability and future prospects (Fombrun, 1996). It is different from brand image that could be attached to a particular product and different from legitimacy that is attached to accepting it in society. Reputation is a function of time and is based upon a gradual accumulation of signals, but can be damaged quickly if salient negative information or inconsistency leads to suspicion of opportunism. Firms can also have varying reputations among various stakeholders: such as being a good employer, good supplier, good producer, and good investment. This plurality should warn not to rely solely on one of the rankings as a full indicator of corporate reputation.</w:t>
      </w:r>
    </w:p>
    <w:p w14:paraId="0F00BE76" w14:textId="5C26D5CF" w:rsidR="004B4463" w:rsidRDefault="00DA6EB2" w:rsidP="00DA6EB2">
      <w:r>
        <w:t>Competitive advantage in the long-run is the capacity to generate and maintain a superior value in the face of competition and changing circumstances. Examples of such indicators are product differentiation, customer loyalty, attracting employees, productivity of resources, innovation, reduced risk of disruption, adaptive capacity. Profitability is not a precondition or guarantee: investment can negatively impact profitability in the short term and prices/choice of category can provide a short-term boost in profitability without building lasting ability. Commercial measures are thus considered as contextual proxies, and mechanisms that could conceivably endure are analyzed</w:t>
      </w:r>
      <w:r w:rsidR="00F763E6">
        <w:t>.</w:t>
      </w:r>
    </w:p>
    <w:p w14:paraId="2A975FE1" w14:textId="77777777" w:rsidR="004B4463" w:rsidRDefault="00F763E6">
      <w:pPr>
        <w:pStyle w:val="Heading2"/>
      </w:pPr>
      <w:bookmarkStart w:id="26" w:name="_Toc240378605"/>
      <w:bookmarkStart w:id="27" w:name="_Toc241154027"/>
      <w:r>
        <w:lastRenderedPageBreak/>
        <w:t>2.3 Theoretical foundation</w:t>
      </w:r>
      <w:bookmarkEnd w:id="26"/>
      <w:bookmarkEnd w:id="27"/>
    </w:p>
    <w:p w14:paraId="0C45F842" w14:textId="77777777" w:rsidR="004B4463" w:rsidRDefault="00F763E6">
      <w:pPr>
        <w:pStyle w:val="Heading3"/>
      </w:pPr>
      <w:bookmarkStart w:id="28" w:name="_Toc240378606"/>
      <w:bookmarkStart w:id="29" w:name="_Toc241154028"/>
      <w:r>
        <w:t>2.3.1 Stakeholder theory</w:t>
      </w:r>
      <w:bookmarkEnd w:id="28"/>
      <w:bookmarkEnd w:id="29"/>
    </w:p>
    <w:p w14:paraId="7351B452" w14:textId="77777777" w:rsidR="004B4463" w:rsidRDefault="00F763E6">
      <w:r>
        <w:t>Stakeholder theory, introduced by Freeman (1984), proposes that companies create long-term value through the management of relationships with customers, employees, suppliers, communities, regulators, investors and other affected groups. ESG strategy can identify material stakeholder claims, allocate responsibility and mitigate relationship-specific risks. In consumer goods, responsible sourcing can support farmer or supplier capacity, product stewardship can protect users, and workforce practices can sustain organisational capability and innovation. Reputation can be understood as a cumulative stakeholder judgement about whether the firm manages these relationships reliably, providing a plausible link between stakeholder experience and future cooperation.</w:t>
      </w:r>
    </w:p>
    <w:p w14:paraId="207F9E69" w14:textId="77777777" w:rsidR="004B4463" w:rsidRDefault="00F763E6">
      <w:r>
        <w:t>One strength of stakeholder theory is also a limitation: stakeholder interests are diverse and can conflict. Lower prices may conflict with higher-cost certified inputs; shorter supplier lead times may conflict with labour standards; and lighter packaging may conflict with product protection. The theory does not provide an automatic rule for prioritising claims or allocating costs. There is also a risk of circular reasoning if any successful decision is retrospectively labelled 'stakeholder value'. In this dissertation, stakeholder theory is therefore used to identify affected groups and reciprocal dependencies rather than to assume that every ESG-labelled initiative benefits all stakeholders or the firm.</w:t>
      </w:r>
    </w:p>
    <w:p w14:paraId="5AECD5EB" w14:textId="77777777" w:rsidR="004B4463" w:rsidRDefault="00F763E6">
      <w:pPr>
        <w:pStyle w:val="Heading3"/>
      </w:pPr>
      <w:bookmarkStart w:id="30" w:name="_Toc241154029"/>
      <w:r>
        <w:t>2.3.2 Resource-based view and dynamic capability</w:t>
      </w:r>
      <w:bookmarkEnd w:id="30"/>
    </w:p>
    <w:p w14:paraId="4AD785EA" w14:textId="77777777" w:rsidR="004B4463" w:rsidRDefault="00F763E6">
      <w:r>
        <w:t xml:space="preserve">The RBV provides a basis for examining when ESG-related activity can contribute to sustained competitive advantage. Barney (1991) argues that sustained advantage depends on resources that are valuable, rare, imperfectly imitable and not strategically substitutable. A public net-zero target is neither rare nor difficult to copy. By contrast, accumulated knowledge embedded in traceable supplier relationships, formulation expertise, trusted partnerships, product-redesign routines and cross-functional data controls may be socially complex and path dependent. Such resources can lower costs, support differentiated products or reduce exposure in ways that competitors cannot rapidly reproduce. In this study, organisational processes are therefore examined as </w:t>
      </w:r>
      <w:r>
        <w:lastRenderedPageBreak/>
        <w:t>mechanisms through which underlying resources may be mobilised, without conflating Barney's original VRIN criteria with the later VRIO formulation.</w:t>
      </w:r>
    </w:p>
    <w:p w14:paraId="49395147" w14:textId="77777777" w:rsidR="004B4463" w:rsidRDefault="00F763E6">
      <w:r>
        <w:t>The relevant question is therefore the capability embedded in ESG-oriented routines rather than the possession of a score. Cabaleiro-Cerviño and Mendi (2024), using matched Spanish panel data, report robust evidence that ESG-driven innovation strategies are associated with stronger future innovation performance. Their evidence for non-innovation outcomes is more qualified: ESG-driven firms generally do not underperform on labour productivity, exporting and survival, but the strength and robustness of those results vary with the classification criterion and estimation method. Dos Reis Cardillo and Basso (2025) similarly emphasise that institutional, sectoral and measurement conditions moderate ESG-financial performance relationships. This heterogeneity is consistent with an RBV interpretation: similar commitments can generate different outcomes because firms possess different complementary assets and routines. However, routines can also become rigid if systems designed for an earlier problem fail to adapt to regulatory, technological or consumer change.</w:t>
      </w:r>
    </w:p>
    <w:p w14:paraId="36EFE084" w14:textId="77777777" w:rsidR="004B4463" w:rsidRDefault="00F763E6">
      <w:pPr>
        <w:pStyle w:val="Heading3"/>
      </w:pPr>
      <w:bookmarkStart w:id="31" w:name="_Toc240378608"/>
      <w:bookmarkStart w:id="32" w:name="_Toc241154030"/>
      <w:r>
        <w:t>2.3.3 Legitimacy and signalling</w:t>
      </w:r>
      <w:bookmarkEnd w:id="31"/>
      <w:bookmarkEnd w:id="32"/>
    </w:p>
    <w:p w14:paraId="4B5FF3C6" w14:textId="77777777" w:rsidR="00DA6EB2" w:rsidRDefault="00DA6EB2" w:rsidP="00DA6EB2">
      <w:r>
        <w:t>Legitimacy theory suggests that organisations strive to become congruent with social norms that are accepted (Suchman, 1995). The reporting of emissions, human-rights due diligence or diversity can indicate compliance and continuing responses to stakeholders. Signalling logic also indicates that actions that are costly or verifiable can be more credible since there is less incentive for lower quality firms to do them. Independent assurance, transparent changes to targets and investments related to outcomes may therefore enhance the signal.</w:t>
      </w:r>
    </w:p>
    <w:p w14:paraId="2A2988D5" w14:textId="73D5A475" w:rsidR="004B4463" w:rsidRDefault="00DA6EB2" w:rsidP="00DA6EB2">
      <w:r>
        <w:t>Legitimacy may be sought symbolically, too. Greenwashing can be defined as the lack of alignment between the ESG disclosure and the reality (</w:t>
      </w:r>
      <w:r w:rsidR="00224343">
        <w:t xml:space="preserve">Yu et al., </w:t>
      </w:r>
      <w:r>
        <w:t>2020) and also as the types of greenwashing: Selective Disclosure, Vague Language, Misleading Product Claims (de Freitas Netto et al. 2020). Recent reviews also highlight information asymmetry and subpar verification (</w:t>
      </w:r>
      <w:r w:rsidR="00224343">
        <w:t>Santos et al.</w:t>
      </w:r>
      <w:r>
        <w:t xml:space="preserve">, 2024; Persakis et al., 2025). The theoretical implication is that the effects of the two are asymmetric: while substantive action can enhance reputation over time on an issue, a revealed contradiction may hurt </w:t>
      </w:r>
      <w:r>
        <w:lastRenderedPageBreak/>
        <w:t>confidence in the claim and in the governance that underpins it. It is therefore not always the case that the more they communicate, the more they signal, if the evidential basis is the same</w:t>
      </w:r>
      <w:r w:rsidR="00F763E6">
        <w:t>.</w:t>
      </w:r>
    </w:p>
    <w:p w14:paraId="16731565" w14:textId="77777777" w:rsidR="004B4463" w:rsidRDefault="00F763E6">
      <w:pPr>
        <w:pStyle w:val="Heading3"/>
      </w:pPr>
      <w:bookmarkStart w:id="33" w:name="_Toc240378609"/>
      <w:bookmarkStart w:id="34" w:name="_Toc241154031"/>
      <w:r>
        <w:t>2.3.4 Integrated theoretical proposition</w:t>
      </w:r>
      <w:bookmarkEnd w:id="33"/>
      <w:bookmarkEnd w:id="34"/>
    </w:p>
    <w:p w14:paraId="41AEED2F" w14:textId="466897BC" w:rsidR="00DA6EB2" w:rsidRDefault="00DA6EB2" w:rsidP="00DA6EB2">
      <w:r>
        <w:t>No one theory will do it. According to stakeholder theory, there are relationships and material claims through which value can be created; the RBV addresses the question of when related routines become capabilities that are difficult to imitate; and legitimacy theory addresses how these stakeholders interpret corporate action and the risk of symbolic conformity. These two taken together point to two avenues. The relationship pathway is material ESG strategy; perceived credibility, trust and reputation, loyalty, cooperation and strategic discretion. The operational pathway relates to the implementation of the ESG strategy and its potential impact on innovation, efficiency and resilience, which can have an impact on competitive results. Reputation can serve as a part mediator: material costs may be reduced with a packaging redesign, even if the consumer is not aware of it, while a visible commitment can affect how support is given, prior to operational gains.</w:t>
      </w:r>
    </w:p>
    <w:p w14:paraId="28B5CE69" w14:textId="77777777" w:rsidR="00DA6EB2" w:rsidRPr="00D471EF" w:rsidRDefault="00DA6EB2" w:rsidP="00DA6EB2">
      <w:pPr>
        <w:pStyle w:val="Heading4"/>
      </w:pPr>
      <w:bookmarkStart w:id="35" w:name="table_1"/>
      <w:bookmarkStart w:id="36" w:name="_Toc240857234"/>
      <w:r>
        <w:t>Table 1. Theoretical and empirical synthesis</w:t>
      </w:r>
      <w:bookmarkEnd w:id="35"/>
      <w:bookmarkEnd w:id="36"/>
    </w:p>
    <w:tbl>
      <w:tblPr>
        <w:tblW w:w="1016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5" w:type="dxa"/>
          <w:left w:w="90" w:type="dxa"/>
          <w:bottom w:w="105" w:type="dxa"/>
          <w:right w:w="90" w:type="dxa"/>
        </w:tblCellMar>
        <w:tblLook w:val="04A0" w:firstRow="1" w:lastRow="0" w:firstColumn="1" w:lastColumn="0" w:noHBand="0" w:noVBand="1"/>
      </w:tblPr>
      <w:tblGrid>
        <w:gridCol w:w="1448"/>
        <w:gridCol w:w="3126"/>
        <w:gridCol w:w="2434"/>
        <w:gridCol w:w="3158"/>
      </w:tblGrid>
      <w:tr w:rsidR="00DA6EB2" w:rsidRPr="00DA6EB2" w14:paraId="78CE44DF" w14:textId="77777777" w:rsidTr="00DA6EB2">
        <w:trPr>
          <w:cantSplit/>
          <w:trHeight w:val="744"/>
          <w:tblHeader/>
          <w:jc w:val="center"/>
        </w:trPr>
        <w:tc>
          <w:tcPr>
            <w:tcW w:w="1448" w:type="dxa"/>
            <w:shd w:val="clear" w:color="auto" w:fill="17365D"/>
          </w:tcPr>
          <w:p w14:paraId="61BC6803" w14:textId="77777777" w:rsidR="00DA6EB2" w:rsidRPr="00DA6EB2" w:rsidRDefault="00DA6EB2" w:rsidP="00945907">
            <w:pPr>
              <w:spacing w:after="0"/>
              <w:rPr>
                <w:rFonts w:cs="Arial"/>
                <w:color w:val="auto"/>
                <w:sz w:val="20"/>
                <w:szCs w:val="20"/>
              </w:rPr>
            </w:pPr>
            <w:r w:rsidRPr="00DA6EB2">
              <w:rPr>
                <w:rFonts w:cs="Arial"/>
                <w:b/>
                <w:color w:val="auto"/>
                <w:sz w:val="20"/>
                <w:szCs w:val="20"/>
              </w:rPr>
              <w:t>Lens or evidence</w:t>
            </w:r>
          </w:p>
        </w:tc>
        <w:tc>
          <w:tcPr>
            <w:tcW w:w="3126" w:type="dxa"/>
            <w:shd w:val="clear" w:color="auto" w:fill="17365D"/>
          </w:tcPr>
          <w:p w14:paraId="13EF1B13" w14:textId="77777777" w:rsidR="00DA6EB2" w:rsidRPr="00DA6EB2" w:rsidRDefault="00DA6EB2" w:rsidP="00945907">
            <w:pPr>
              <w:spacing w:after="0"/>
              <w:rPr>
                <w:rFonts w:cs="Arial"/>
                <w:color w:val="auto"/>
                <w:sz w:val="20"/>
                <w:szCs w:val="20"/>
              </w:rPr>
            </w:pPr>
            <w:r w:rsidRPr="00DA6EB2">
              <w:rPr>
                <w:rFonts w:cs="Arial"/>
                <w:b/>
                <w:color w:val="auto"/>
                <w:sz w:val="20"/>
                <w:szCs w:val="20"/>
              </w:rPr>
              <w:t>Proposed mechanism</w:t>
            </w:r>
          </w:p>
        </w:tc>
        <w:tc>
          <w:tcPr>
            <w:tcW w:w="2434" w:type="dxa"/>
            <w:shd w:val="clear" w:color="auto" w:fill="17365D"/>
          </w:tcPr>
          <w:p w14:paraId="56EE7587" w14:textId="77777777" w:rsidR="00DA6EB2" w:rsidRPr="00DA6EB2" w:rsidRDefault="00DA6EB2" w:rsidP="00945907">
            <w:pPr>
              <w:spacing w:after="0"/>
              <w:rPr>
                <w:rFonts w:cs="Arial"/>
                <w:color w:val="auto"/>
                <w:sz w:val="20"/>
                <w:szCs w:val="20"/>
              </w:rPr>
            </w:pPr>
            <w:r w:rsidRPr="00DA6EB2">
              <w:rPr>
                <w:rFonts w:cs="Arial"/>
                <w:b/>
                <w:color w:val="auto"/>
                <w:sz w:val="20"/>
                <w:szCs w:val="20"/>
              </w:rPr>
              <w:t>Explanatory value</w:t>
            </w:r>
          </w:p>
        </w:tc>
        <w:tc>
          <w:tcPr>
            <w:tcW w:w="3158" w:type="dxa"/>
            <w:shd w:val="clear" w:color="auto" w:fill="17365D"/>
          </w:tcPr>
          <w:p w14:paraId="151F9CC7" w14:textId="77777777" w:rsidR="00DA6EB2" w:rsidRPr="00DA6EB2" w:rsidRDefault="00DA6EB2" w:rsidP="00945907">
            <w:pPr>
              <w:spacing w:after="0"/>
              <w:rPr>
                <w:rFonts w:cs="Arial"/>
                <w:color w:val="auto"/>
                <w:sz w:val="20"/>
                <w:szCs w:val="20"/>
              </w:rPr>
            </w:pPr>
            <w:r w:rsidRPr="00DA6EB2">
              <w:rPr>
                <w:rFonts w:cs="Arial"/>
                <w:b/>
                <w:color w:val="auto"/>
                <w:sz w:val="20"/>
                <w:szCs w:val="20"/>
              </w:rPr>
              <w:t>Critical limitation and implication</w:t>
            </w:r>
          </w:p>
        </w:tc>
      </w:tr>
      <w:tr w:rsidR="00DA6EB2" w:rsidRPr="00DA6EB2" w14:paraId="1ADBA9BB" w14:textId="77777777" w:rsidTr="00DA6EB2">
        <w:trPr>
          <w:cantSplit/>
          <w:trHeight w:val="1713"/>
          <w:jc w:val="center"/>
        </w:trPr>
        <w:tc>
          <w:tcPr>
            <w:tcW w:w="1448" w:type="dxa"/>
            <w:tcMar>
              <w:top w:w="80" w:type="dxa"/>
              <w:bottom w:w="80" w:type="dxa"/>
            </w:tcMar>
          </w:tcPr>
          <w:p w14:paraId="1C352343" w14:textId="77777777" w:rsidR="00DA6EB2" w:rsidRPr="00DA6EB2" w:rsidRDefault="00DA6EB2" w:rsidP="00945907">
            <w:pPr>
              <w:spacing w:after="0"/>
              <w:rPr>
                <w:rFonts w:cs="Arial"/>
                <w:color w:val="auto"/>
                <w:sz w:val="20"/>
                <w:szCs w:val="20"/>
              </w:rPr>
            </w:pPr>
            <w:r w:rsidRPr="00DA6EB2">
              <w:rPr>
                <w:rFonts w:cs="Arial"/>
                <w:color w:val="auto"/>
                <w:sz w:val="20"/>
                <w:szCs w:val="20"/>
              </w:rPr>
              <w:t>Stakeholder theory</w:t>
            </w:r>
          </w:p>
        </w:tc>
        <w:tc>
          <w:tcPr>
            <w:tcW w:w="3126" w:type="dxa"/>
            <w:tcMar>
              <w:top w:w="80" w:type="dxa"/>
              <w:bottom w:w="80" w:type="dxa"/>
            </w:tcMar>
          </w:tcPr>
          <w:p w14:paraId="3D968BBE" w14:textId="77777777" w:rsidR="00DA6EB2" w:rsidRPr="00DA6EB2" w:rsidRDefault="00DA6EB2" w:rsidP="00945907">
            <w:pPr>
              <w:spacing w:after="0"/>
              <w:rPr>
                <w:rFonts w:cs="Arial"/>
                <w:color w:val="auto"/>
                <w:sz w:val="20"/>
                <w:szCs w:val="20"/>
              </w:rPr>
            </w:pPr>
            <w:r w:rsidRPr="00DA6EB2">
              <w:rPr>
                <w:rFonts w:cs="Arial"/>
                <w:color w:val="auto"/>
                <w:sz w:val="20"/>
                <w:szCs w:val="20"/>
              </w:rPr>
              <w:t>Material responses improve cooperation with consumers, employees, suppliers, communities, regulators and investors.</w:t>
            </w:r>
          </w:p>
        </w:tc>
        <w:tc>
          <w:tcPr>
            <w:tcW w:w="2434" w:type="dxa"/>
            <w:tcMar>
              <w:top w:w="80" w:type="dxa"/>
              <w:bottom w:w="80" w:type="dxa"/>
            </w:tcMar>
          </w:tcPr>
          <w:p w14:paraId="537BE006" w14:textId="77777777" w:rsidR="00DA6EB2" w:rsidRPr="00DA6EB2" w:rsidRDefault="00DA6EB2" w:rsidP="00945907">
            <w:pPr>
              <w:spacing w:after="0"/>
              <w:rPr>
                <w:rFonts w:cs="Arial"/>
                <w:color w:val="auto"/>
                <w:sz w:val="20"/>
                <w:szCs w:val="20"/>
              </w:rPr>
            </w:pPr>
            <w:r w:rsidRPr="00DA6EB2">
              <w:rPr>
                <w:rFonts w:cs="Arial"/>
                <w:color w:val="auto"/>
                <w:sz w:val="20"/>
                <w:szCs w:val="20"/>
              </w:rPr>
              <w:t>Explains why relationship quality and reciprocal dependency can affect durable value.</w:t>
            </w:r>
          </w:p>
        </w:tc>
        <w:tc>
          <w:tcPr>
            <w:tcW w:w="3158" w:type="dxa"/>
            <w:tcMar>
              <w:top w:w="80" w:type="dxa"/>
              <w:bottom w:w="80" w:type="dxa"/>
            </w:tcMar>
          </w:tcPr>
          <w:p w14:paraId="524E2483" w14:textId="77777777" w:rsidR="00DA6EB2" w:rsidRPr="00DA6EB2" w:rsidRDefault="00DA6EB2" w:rsidP="00945907">
            <w:pPr>
              <w:spacing w:after="0"/>
              <w:rPr>
                <w:rFonts w:cs="Arial"/>
                <w:color w:val="auto"/>
                <w:sz w:val="20"/>
                <w:szCs w:val="20"/>
              </w:rPr>
            </w:pPr>
            <w:r w:rsidRPr="00DA6EB2">
              <w:rPr>
                <w:rFonts w:cs="Arial"/>
                <w:color w:val="auto"/>
                <w:sz w:val="20"/>
                <w:szCs w:val="20"/>
              </w:rPr>
              <w:t>Stakeholder claims conflict; the theory does not automatically rank them. Materiality and distributional trade-offs require governance.</w:t>
            </w:r>
          </w:p>
        </w:tc>
      </w:tr>
      <w:tr w:rsidR="00DA6EB2" w:rsidRPr="00DA6EB2" w14:paraId="26EE4201" w14:textId="77777777" w:rsidTr="00DA6EB2">
        <w:trPr>
          <w:cantSplit/>
          <w:trHeight w:val="1386"/>
          <w:jc w:val="center"/>
        </w:trPr>
        <w:tc>
          <w:tcPr>
            <w:tcW w:w="1448" w:type="dxa"/>
            <w:shd w:val="clear" w:color="auto" w:fill="F3F5F7"/>
            <w:tcMar>
              <w:top w:w="80" w:type="dxa"/>
              <w:bottom w:w="80" w:type="dxa"/>
            </w:tcMar>
          </w:tcPr>
          <w:p w14:paraId="780B333C" w14:textId="77777777" w:rsidR="00DA6EB2" w:rsidRPr="00DA6EB2" w:rsidRDefault="00DA6EB2" w:rsidP="00945907">
            <w:pPr>
              <w:spacing w:after="0"/>
              <w:rPr>
                <w:rFonts w:cs="Arial"/>
                <w:color w:val="auto"/>
                <w:sz w:val="20"/>
                <w:szCs w:val="20"/>
              </w:rPr>
            </w:pPr>
            <w:r w:rsidRPr="00DA6EB2">
              <w:rPr>
                <w:rFonts w:cs="Arial"/>
                <w:color w:val="auto"/>
                <w:sz w:val="20"/>
                <w:szCs w:val="20"/>
              </w:rPr>
              <w:t>Resource-based view</w:t>
            </w:r>
          </w:p>
        </w:tc>
        <w:tc>
          <w:tcPr>
            <w:tcW w:w="3126" w:type="dxa"/>
            <w:shd w:val="clear" w:color="auto" w:fill="F3F5F7"/>
            <w:tcMar>
              <w:top w:w="80" w:type="dxa"/>
              <w:bottom w:w="80" w:type="dxa"/>
            </w:tcMar>
          </w:tcPr>
          <w:p w14:paraId="60B98FDD" w14:textId="77777777" w:rsidR="00DA6EB2" w:rsidRPr="00DA6EB2" w:rsidRDefault="00DA6EB2" w:rsidP="00945907">
            <w:pPr>
              <w:spacing w:after="0"/>
              <w:rPr>
                <w:rFonts w:cs="Arial"/>
                <w:color w:val="auto"/>
                <w:sz w:val="20"/>
                <w:szCs w:val="20"/>
              </w:rPr>
            </w:pPr>
            <w:r w:rsidRPr="00DA6EB2">
              <w:rPr>
                <w:rFonts w:cs="Arial"/>
                <w:color w:val="auto"/>
                <w:sz w:val="20"/>
                <w:szCs w:val="20"/>
              </w:rPr>
              <w:t>Embedded ESG routines develop innovation, efficiency, sourcing and risk capabilities that are difficult to imitate.</w:t>
            </w:r>
          </w:p>
        </w:tc>
        <w:tc>
          <w:tcPr>
            <w:tcW w:w="2434" w:type="dxa"/>
            <w:shd w:val="clear" w:color="auto" w:fill="F3F5F7"/>
            <w:tcMar>
              <w:top w:w="80" w:type="dxa"/>
              <w:bottom w:w="80" w:type="dxa"/>
            </w:tcMar>
          </w:tcPr>
          <w:p w14:paraId="49D0EFEB" w14:textId="77777777" w:rsidR="00DA6EB2" w:rsidRPr="00DA6EB2" w:rsidRDefault="00DA6EB2" w:rsidP="00945907">
            <w:pPr>
              <w:spacing w:after="0"/>
              <w:rPr>
                <w:rFonts w:cs="Arial"/>
                <w:color w:val="auto"/>
                <w:sz w:val="20"/>
                <w:szCs w:val="20"/>
              </w:rPr>
            </w:pPr>
            <w:r w:rsidRPr="00DA6EB2">
              <w:rPr>
                <w:rFonts w:cs="Arial"/>
                <w:color w:val="auto"/>
                <w:sz w:val="20"/>
                <w:szCs w:val="20"/>
              </w:rPr>
              <w:t>Distinguishes durable capability from copyable targets or labels.</w:t>
            </w:r>
          </w:p>
        </w:tc>
        <w:tc>
          <w:tcPr>
            <w:tcW w:w="3158" w:type="dxa"/>
            <w:shd w:val="clear" w:color="auto" w:fill="F3F5F7"/>
            <w:tcMar>
              <w:top w:w="80" w:type="dxa"/>
              <w:bottom w:w="80" w:type="dxa"/>
            </w:tcMar>
          </w:tcPr>
          <w:p w14:paraId="6F90F404" w14:textId="77777777" w:rsidR="00DA6EB2" w:rsidRPr="00DA6EB2" w:rsidRDefault="00DA6EB2" w:rsidP="00945907">
            <w:pPr>
              <w:spacing w:after="0"/>
              <w:rPr>
                <w:rFonts w:cs="Arial"/>
                <w:color w:val="auto"/>
                <w:sz w:val="20"/>
                <w:szCs w:val="20"/>
              </w:rPr>
            </w:pPr>
            <w:r w:rsidRPr="00DA6EB2">
              <w:rPr>
                <w:rFonts w:cs="Arial"/>
                <w:color w:val="auto"/>
                <w:sz w:val="20"/>
                <w:szCs w:val="20"/>
              </w:rPr>
              <w:t>Complementary assets and category fit create heterogeneous returns; routines can also become rigid.</w:t>
            </w:r>
          </w:p>
        </w:tc>
      </w:tr>
      <w:tr w:rsidR="00DA6EB2" w:rsidRPr="00DA6EB2" w14:paraId="5B2E697A" w14:textId="77777777" w:rsidTr="00DA6EB2">
        <w:trPr>
          <w:cantSplit/>
          <w:trHeight w:val="1713"/>
          <w:jc w:val="center"/>
        </w:trPr>
        <w:tc>
          <w:tcPr>
            <w:tcW w:w="1448" w:type="dxa"/>
            <w:tcMar>
              <w:top w:w="80" w:type="dxa"/>
              <w:bottom w:w="80" w:type="dxa"/>
            </w:tcMar>
          </w:tcPr>
          <w:p w14:paraId="1D66E048" w14:textId="77777777" w:rsidR="00DA6EB2" w:rsidRPr="00DA6EB2" w:rsidRDefault="00DA6EB2" w:rsidP="00945907">
            <w:pPr>
              <w:spacing w:after="0"/>
              <w:rPr>
                <w:rFonts w:cs="Arial"/>
                <w:color w:val="auto"/>
                <w:sz w:val="20"/>
                <w:szCs w:val="20"/>
              </w:rPr>
            </w:pPr>
            <w:r w:rsidRPr="00DA6EB2">
              <w:rPr>
                <w:rFonts w:cs="Arial"/>
                <w:color w:val="auto"/>
                <w:sz w:val="20"/>
                <w:szCs w:val="20"/>
              </w:rPr>
              <w:lastRenderedPageBreak/>
              <w:t>Legitimacy and signalling</w:t>
            </w:r>
          </w:p>
        </w:tc>
        <w:tc>
          <w:tcPr>
            <w:tcW w:w="3126" w:type="dxa"/>
            <w:tcMar>
              <w:top w:w="80" w:type="dxa"/>
              <w:bottom w:w="80" w:type="dxa"/>
            </w:tcMar>
          </w:tcPr>
          <w:p w14:paraId="0EB6DB50" w14:textId="77777777" w:rsidR="00DA6EB2" w:rsidRPr="00DA6EB2" w:rsidRDefault="00DA6EB2" w:rsidP="00945907">
            <w:pPr>
              <w:spacing w:after="0"/>
              <w:rPr>
                <w:rFonts w:cs="Arial"/>
                <w:color w:val="auto"/>
                <w:sz w:val="20"/>
                <w:szCs w:val="20"/>
              </w:rPr>
            </w:pPr>
            <w:r w:rsidRPr="00DA6EB2">
              <w:rPr>
                <w:rFonts w:cs="Arial"/>
                <w:color w:val="auto"/>
                <w:sz w:val="20"/>
                <w:szCs w:val="20"/>
              </w:rPr>
              <w:t>Specific, costly and verified action reduces information asymmetry and supports social acceptance.</w:t>
            </w:r>
          </w:p>
        </w:tc>
        <w:tc>
          <w:tcPr>
            <w:tcW w:w="2434" w:type="dxa"/>
            <w:tcMar>
              <w:top w:w="80" w:type="dxa"/>
              <w:bottom w:w="80" w:type="dxa"/>
            </w:tcMar>
          </w:tcPr>
          <w:p w14:paraId="18084589" w14:textId="77777777" w:rsidR="00DA6EB2" w:rsidRPr="00DA6EB2" w:rsidRDefault="00DA6EB2" w:rsidP="00945907">
            <w:pPr>
              <w:spacing w:after="0"/>
              <w:rPr>
                <w:rFonts w:cs="Arial"/>
                <w:color w:val="auto"/>
                <w:sz w:val="20"/>
                <w:szCs w:val="20"/>
              </w:rPr>
            </w:pPr>
            <w:r w:rsidRPr="00DA6EB2">
              <w:rPr>
                <w:rFonts w:cs="Arial"/>
                <w:color w:val="auto"/>
                <w:sz w:val="20"/>
                <w:szCs w:val="20"/>
              </w:rPr>
              <w:t>Explains trust, scrutiny and the reputational effect of consistency between claims and delivery.</w:t>
            </w:r>
          </w:p>
        </w:tc>
        <w:tc>
          <w:tcPr>
            <w:tcW w:w="3158" w:type="dxa"/>
            <w:tcMar>
              <w:top w:w="80" w:type="dxa"/>
              <w:bottom w:w="80" w:type="dxa"/>
            </w:tcMar>
          </w:tcPr>
          <w:p w14:paraId="10605876" w14:textId="77777777" w:rsidR="00DA6EB2" w:rsidRPr="00DA6EB2" w:rsidRDefault="00DA6EB2" w:rsidP="00945907">
            <w:pPr>
              <w:spacing w:after="0"/>
              <w:rPr>
                <w:rFonts w:cs="Arial"/>
                <w:color w:val="auto"/>
                <w:sz w:val="20"/>
                <w:szCs w:val="20"/>
              </w:rPr>
            </w:pPr>
            <w:r w:rsidRPr="00DA6EB2">
              <w:rPr>
                <w:rFonts w:cs="Arial"/>
                <w:color w:val="auto"/>
                <w:sz w:val="20"/>
                <w:szCs w:val="20"/>
              </w:rPr>
              <w:t>Symbolic conformity and selective disclosure can mimic substance; an exposed contradiction can reverse the signal.</w:t>
            </w:r>
          </w:p>
        </w:tc>
      </w:tr>
      <w:tr w:rsidR="00DA6EB2" w:rsidRPr="00DA6EB2" w14:paraId="321F0393" w14:textId="77777777" w:rsidTr="00DA6EB2">
        <w:trPr>
          <w:cantSplit/>
          <w:trHeight w:val="1703"/>
          <w:jc w:val="center"/>
        </w:trPr>
        <w:tc>
          <w:tcPr>
            <w:tcW w:w="1448" w:type="dxa"/>
            <w:shd w:val="clear" w:color="auto" w:fill="F3F5F7"/>
            <w:tcMar>
              <w:top w:w="80" w:type="dxa"/>
              <w:bottom w:w="80" w:type="dxa"/>
            </w:tcMar>
          </w:tcPr>
          <w:p w14:paraId="1E915985" w14:textId="77777777" w:rsidR="00DA6EB2" w:rsidRPr="00DA6EB2" w:rsidRDefault="00DA6EB2" w:rsidP="00945907">
            <w:pPr>
              <w:spacing w:after="0"/>
              <w:rPr>
                <w:rFonts w:cs="Arial"/>
                <w:color w:val="auto"/>
                <w:sz w:val="20"/>
                <w:szCs w:val="20"/>
              </w:rPr>
            </w:pPr>
            <w:r w:rsidRPr="00DA6EB2">
              <w:rPr>
                <w:rFonts w:cs="Arial"/>
                <w:color w:val="auto"/>
                <w:sz w:val="20"/>
                <w:szCs w:val="20"/>
              </w:rPr>
              <w:t>Recent empirical evidence</w:t>
            </w:r>
          </w:p>
        </w:tc>
        <w:tc>
          <w:tcPr>
            <w:tcW w:w="3126" w:type="dxa"/>
            <w:shd w:val="clear" w:color="auto" w:fill="F3F5F7"/>
            <w:tcMar>
              <w:top w:w="80" w:type="dxa"/>
              <w:bottom w:w="80" w:type="dxa"/>
            </w:tcMar>
          </w:tcPr>
          <w:p w14:paraId="492401E2" w14:textId="77777777" w:rsidR="00DA6EB2" w:rsidRPr="00DA6EB2" w:rsidRDefault="00DA6EB2" w:rsidP="00945907">
            <w:pPr>
              <w:spacing w:after="0"/>
              <w:rPr>
                <w:rFonts w:cs="Arial"/>
                <w:color w:val="auto"/>
                <w:sz w:val="20"/>
                <w:szCs w:val="20"/>
              </w:rPr>
            </w:pPr>
            <w:r w:rsidRPr="00DA6EB2">
              <w:rPr>
                <w:rFonts w:cs="Arial"/>
                <w:color w:val="auto"/>
                <w:sz w:val="20"/>
                <w:szCs w:val="20"/>
              </w:rPr>
              <w:t>ESG performance is associated with profitability, value, reputation, innovation and crisis resilience in several settings.</w:t>
            </w:r>
          </w:p>
        </w:tc>
        <w:tc>
          <w:tcPr>
            <w:tcW w:w="2434" w:type="dxa"/>
            <w:shd w:val="clear" w:color="auto" w:fill="F3F5F7"/>
            <w:tcMar>
              <w:top w:w="80" w:type="dxa"/>
              <w:bottom w:w="80" w:type="dxa"/>
            </w:tcMar>
          </w:tcPr>
          <w:p w14:paraId="05690848" w14:textId="77777777" w:rsidR="00DA6EB2" w:rsidRPr="00DA6EB2" w:rsidRDefault="00DA6EB2" w:rsidP="00945907">
            <w:pPr>
              <w:spacing w:after="0"/>
              <w:rPr>
                <w:rFonts w:cs="Arial"/>
                <w:color w:val="auto"/>
                <w:sz w:val="20"/>
                <w:szCs w:val="20"/>
              </w:rPr>
            </w:pPr>
            <w:r w:rsidRPr="00DA6EB2">
              <w:rPr>
                <w:rFonts w:cs="Arial"/>
                <w:color w:val="auto"/>
                <w:sz w:val="20"/>
                <w:szCs w:val="20"/>
              </w:rPr>
              <w:t>Supports plausible relational and operational routes and longer-term effects.</w:t>
            </w:r>
          </w:p>
        </w:tc>
        <w:tc>
          <w:tcPr>
            <w:tcW w:w="3158" w:type="dxa"/>
            <w:shd w:val="clear" w:color="auto" w:fill="F3F5F7"/>
            <w:tcMar>
              <w:top w:w="80" w:type="dxa"/>
              <w:bottom w:w="80" w:type="dxa"/>
            </w:tcMar>
          </w:tcPr>
          <w:p w14:paraId="296F6915" w14:textId="77777777" w:rsidR="00DA6EB2" w:rsidRPr="00DA6EB2" w:rsidRDefault="00DA6EB2" w:rsidP="00945907">
            <w:pPr>
              <w:spacing w:after="0"/>
              <w:rPr>
                <w:rFonts w:cs="Arial"/>
                <w:color w:val="auto"/>
                <w:sz w:val="20"/>
                <w:szCs w:val="20"/>
              </w:rPr>
            </w:pPr>
            <w:r w:rsidRPr="00DA6EB2">
              <w:rPr>
                <w:rFonts w:cs="Arial"/>
                <w:color w:val="auto"/>
                <w:sz w:val="20"/>
                <w:szCs w:val="20"/>
              </w:rPr>
              <w:t>Observational designs leave reverse causality, omitted management quality, sector and time-lag concerns.</w:t>
            </w:r>
          </w:p>
        </w:tc>
      </w:tr>
      <w:tr w:rsidR="00DA6EB2" w:rsidRPr="00DA6EB2" w14:paraId="19B8EFF4" w14:textId="77777777" w:rsidTr="00DA6EB2">
        <w:trPr>
          <w:cantSplit/>
          <w:trHeight w:val="1713"/>
          <w:jc w:val="center"/>
        </w:trPr>
        <w:tc>
          <w:tcPr>
            <w:tcW w:w="1448" w:type="dxa"/>
            <w:tcMar>
              <w:top w:w="80" w:type="dxa"/>
              <w:bottom w:w="80" w:type="dxa"/>
            </w:tcMar>
          </w:tcPr>
          <w:p w14:paraId="6AD8FA0A" w14:textId="77777777" w:rsidR="00DA6EB2" w:rsidRPr="00DA6EB2" w:rsidRDefault="00DA6EB2" w:rsidP="00945907">
            <w:pPr>
              <w:spacing w:after="0"/>
              <w:rPr>
                <w:rFonts w:cs="Arial"/>
                <w:color w:val="auto"/>
                <w:sz w:val="20"/>
                <w:szCs w:val="20"/>
              </w:rPr>
            </w:pPr>
            <w:r w:rsidRPr="00DA6EB2">
              <w:rPr>
                <w:rFonts w:cs="Arial"/>
                <w:color w:val="auto"/>
                <w:sz w:val="20"/>
                <w:szCs w:val="20"/>
              </w:rPr>
              <w:t>Measurement evidence</w:t>
            </w:r>
          </w:p>
        </w:tc>
        <w:tc>
          <w:tcPr>
            <w:tcW w:w="3126" w:type="dxa"/>
            <w:tcMar>
              <w:top w:w="80" w:type="dxa"/>
              <w:bottom w:w="80" w:type="dxa"/>
            </w:tcMar>
          </w:tcPr>
          <w:p w14:paraId="20FD3118" w14:textId="77777777" w:rsidR="00DA6EB2" w:rsidRPr="00DA6EB2" w:rsidRDefault="00DA6EB2" w:rsidP="00945907">
            <w:pPr>
              <w:spacing w:after="0"/>
              <w:rPr>
                <w:rFonts w:cs="Arial"/>
                <w:color w:val="auto"/>
                <w:sz w:val="20"/>
                <w:szCs w:val="20"/>
              </w:rPr>
            </w:pPr>
            <w:r w:rsidRPr="00DA6EB2">
              <w:rPr>
                <w:rFonts w:cs="Arial"/>
                <w:color w:val="auto"/>
                <w:sz w:val="20"/>
                <w:szCs w:val="20"/>
              </w:rPr>
              <w:t>Underlying metrics, boundaries and assurance determine what a score or disclosure can credibly signal.</w:t>
            </w:r>
          </w:p>
        </w:tc>
        <w:tc>
          <w:tcPr>
            <w:tcW w:w="2434" w:type="dxa"/>
            <w:tcMar>
              <w:top w:w="80" w:type="dxa"/>
              <w:bottom w:w="80" w:type="dxa"/>
            </w:tcMar>
          </w:tcPr>
          <w:p w14:paraId="2C512915" w14:textId="77777777" w:rsidR="00DA6EB2" w:rsidRPr="00DA6EB2" w:rsidRDefault="00DA6EB2" w:rsidP="00945907">
            <w:pPr>
              <w:spacing w:after="0"/>
              <w:rPr>
                <w:rFonts w:cs="Arial"/>
                <w:color w:val="auto"/>
                <w:sz w:val="20"/>
                <w:szCs w:val="20"/>
              </w:rPr>
            </w:pPr>
            <w:r w:rsidRPr="00DA6EB2">
              <w:rPr>
                <w:rFonts w:cs="Arial"/>
                <w:color w:val="auto"/>
                <w:sz w:val="20"/>
                <w:szCs w:val="20"/>
              </w:rPr>
              <w:t>Clarifies why ratings diverge and why outcome evidence is more useful than disclosure volume.</w:t>
            </w:r>
          </w:p>
        </w:tc>
        <w:tc>
          <w:tcPr>
            <w:tcW w:w="3158" w:type="dxa"/>
            <w:tcMar>
              <w:top w:w="80" w:type="dxa"/>
              <w:bottom w:w="80" w:type="dxa"/>
            </w:tcMar>
          </w:tcPr>
          <w:p w14:paraId="40A1C96B" w14:textId="77777777" w:rsidR="00DA6EB2" w:rsidRPr="00DA6EB2" w:rsidRDefault="00DA6EB2" w:rsidP="00945907">
            <w:pPr>
              <w:spacing w:after="0"/>
              <w:rPr>
                <w:rFonts w:cs="Arial"/>
                <w:color w:val="auto"/>
                <w:sz w:val="20"/>
                <w:szCs w:val="20"/>
              </w:rPr>
            </w:pPr>
            <w:r w:rsidRPr="00DA6EB2">
              <w:rPr>
                <w:rFonts w:cs="Arial"/>
                <w:color w:val="auto"/>
                <w:sz w:val="20"/>
                <w:szCs w:val="20"/>
              </w:rPr>
              <w:t>Different scope, weighting and assurance levels prevent a single synthetic measure from representing strategic quality.</w:t>
            </w:r>
          </w:p>
        </w:tc>
      </w:tr>
    </w:tbl>
    <w:p w14:paraId="66DA3490" w14:textId="77777777" w:rsidR="00DA6EB2" w:rsidRPr="00D471EF" w:rsidRDefault="00DA6EB2" w:rsidP="00DA6EB2">
      <w:pPr>
        <w:jc w:val="center"/>
        <w:rPr>
          <w:i/>
          <w:iCs/>
        </w:rPr>
      </w:pPr>
      <w:r w:rsidRPr="00D471EF">
        <w:rPr>
          <w:i/>
          <w:iCs/>
        </w:rPr>
        <w:t>Source: Created by the Author</w:t>
      </w:r>
    </w:p>
    <w:p w14:paraId="69519586" w14:textId="77777777" w:rsidR="004B4463" w:rsidRDefault="004B4463"/>
    <w:p w14:paraId="79E214C3" w14:textId="77777777" w:rsidR="004B4463" w:rsidRDefault="00F763E6">
      <w:pPr>
        <w:pStyle w:val="Heading2"/>
      </w:pPr>
      <w:bookmarkStart w:id="37" w:name="_Toc240378610"/>
      <w:bookmarkStart w:id="38" w:name="_Toc241154032"/>
      <w:r>
        <w:t>2.4 Theme one: from disclosure to strategically material implementation</w:t>
      </w:r>
      <w:bookmarkEnd w:id="37"/>
      <w:bookmarkEnd w:id="38"/>
    </w:p>
    <w:p w14:paraId="6012046A" w14:textId="4BE2EBC7" w:rsidR="00DA6EB2" w:rsidRDefault="00DA6EB2" w:rsidP="00DA6EB2">
      <w:r>
        <w:t xml:space="preserve">The overall empirical literature is positive, but does not prove a general business case. Whelan et al. (2021) combine over 1000 studies and find the evidence for ESG performance to be more robust than the evidence for ESG disclosure, especially in the longer term. From an international sample, </w:t>
      </w:r>
      <w:r w:rsidR="00FD5D5F">
        <w:t>Aydoğmuş et al. (2022)</w:t>
      </w:r>
      <w:r>
        <w:t xml:space="preserve"> discover positive linkages between ESG performance, firm value and profitability. In the initial shock of the COVID-19 pandemic, Albuquerque et al. (2020) document that companies with more extensive environmental and social characteristics were more resilient in the stock market, while Broadstock et al. (2021) present evidence from China. While these findings align with stakeholder-trust and risk-management mechanisms, observational designs </w:t>
      </w:r>
      <w:r>
        <w:lastRenderedPageBreak/>
        <w:t>are unable to fully distinguish ESG effects from management quality and/or existing resources or sector exposure.</w:t>
      </w:r>
    </w:p>
    <w:p w14:paraId="2E403F55" w14:textId="37EF2BEB" w:rsidR="00DA6EB2" w:rsidRDefault="00DA6EB2" w:rsidP="00DA6EB2">
      <w:r>
        <w:t xml:space="preserve">A more discriminating explanation is provided by materiality. Action more likely to produce learning or to lower risk if the issue is related closely to revenue, cost, assets or stakeholder dependencies. On the other hand, low relevance policies may look good in overall scores and have no impact on strategy-relevant outcomes. </w:t>
      </w:r>
      <w:r w:rsidR="00FD5D5F">
        <w:t>Khan et al. (2016)</w:t>
      </w:r>
      <w:r>
        <w:t xml:space="preserve"> (not part of the main review period) make a distinction between corporate sustainability and performance on financially material and financially immaterial aspects, and they investigate the linkage of the differences and financial outcomes. The study is influential because it calls attention to the materiality of sustainability performance, and does not allow to consider an ESG-aggregate as a homogeneous whole. This does not mean that only near-term financial concerns are relevant, but that management should include in its explanation of the impact, dependency or stakeholder expectation, how these might affect durable value.</w:t>
      </w:r>
    </w:p>
    <w:p w14:paraId="41345F77" w14:textId="605D4CCF" w:rsidR="004B4463" w:rsidRDefault="00DA6EB2" w:rsidP="00DA6EB2">
      <w:r>
        <w:t xml:space="preserve">One way to gauge the level of strategic integration is by looking at governance ownership, capital allocation, operational processes and incentives. When reliable operational data are lacking, oversight may sometimes be more of a rubber stamp, and a narrowly drawn metric can provide an incentive to act but also provide opportunities for gaming. </w:t>
      </w:r>
      <w:r w:rsidR="00BF3145">
        <w:t xml:space="preserve">Christensen et al. (2021) </w:t>
      </w:r>
      <w:r>
        <w:t>propose that while mandating sustainability reporting can enhance information and behaviour, it is also associated with implementation and enforcement and real-effects trade-offs. Thus, the control environment plays a pivotal role. Target is strategically meaningfull if its baseline is defined, if there is a responsible owner, if there are resources, if there are milestones, if its boundary rules are defined and if there are consequences for decisions</w:t>
      </w:r>
      <w:r w:rsidR="00F763E6">
        <w:t>.</w:t>
      </w:r>
    </w:p>
    <w:p w14:paraId="113F40FC" w14:textId="77777777" w:rsidR="004B4463" w:rsidRDefault="00F763E6">
      <w:pPr>
        <w:pStyle w:val="Heading2"/>
      </w:pPr>
      <w:bookmarkStart w:id="39" w:name="_Toc240378611"/>
      <w:bookmarkStart w:id="40" w:name="_Toc241154033"/>
      <w:r>
        <w:t>2.5 Theme two: stakeholder trust and corporate reputation</w:t>
      </w:r>
      <w:bookmarkEnd w:id="39"/>
      <w:bookmarkEnd w:id="40"/>
    </w:p>
    <w:p w14:paraId="60D1387A" w14:textId="314FEF63" w:rsidR="00A114DE" w:rsidRDefault="00A114DE" w:rsidP="00A114DE">
      <w:r>
        <w:t xml:space="preserve">Reputation is an appealing potential mechanism as many complex internal operations cannot be directly observed by external stakeholders. </w:t>
      </w:r>
      <w:r w:rsidR="00BF3145">
        <w:t>Gangi et al. (2020)</w:t>
      </w:r>
      <w:r>
        <w:t xml:space="preserve"> recognize a relation between corporate environmental responsibility and the risk adjusted financial performance in terms of corporate reputation. Meng et al. (2023) find that among Chinese listed companies, there is a positive and non-linear relationship between ESG </w:t>
      </w:r>
      <w:r>
        <w:lastRenderedPageBreak/>
        <w:t>performance and company reputation and investor attention is a determinant of this relationship. Fafaliou et al. (2022) find that there is a negative relationship between ESG reputational risk and the market longevity of US companies. As a whole, these studies indicate a possible reputational mechanism but do not reveal a consistent impact in the UK consumer markets. Many are geared towards the investor, based on aggregate reputation metrics, or fail to account for the possibility that a company might have a great reputation among its employees, but a poor reputation among environmental activists.</w:t>
      </w:r>
    </w:p>
    <w:p w14:paraId="55708E64" w14:textId="2BB292C5" w:rsidR="00A114DE" w:rsidRDefault="00A114DE" w:rsidP="00A114DE">
      <w:r>
        <w:t xml:space="preserve">Trust is not viewed as a result of disclosure but a stakeholder judgement. </w:t>
      </w:r>
      <w:r w:rsidR="00BF3145">
        <w:t>Mayer et al. (1995)</w:t>
      </w:r>
      <w:r>
        <w:t xml:space="preserve"> cite ability, benevolence and integrity as being important antecedents to trust. In the context of this article, the ability to solve a material problem can be a signal of ability, claims and outcomes can be a signal of integrity, and distribution of benefits/costs can be a signal of benevolence. These dimensions do not necessarily co-move. Even if the decarbonisation programme is technically successful, it can still be criticized if the transition costs land on the heads of employees or communities and are not perceived as equitable, and empathetic communication can only go so far. Therefore, it is believed that there is a stakeholder-specific and evidence-based interpretation of reputation.</w:t>
      </w:r>
    </w:p>
    <w:p w14:paraId="38AF9E4E" w14:textId="5A1365A6" w:rsidR="004B4463" w:rsidRDefault="00A114DE" w:rsidP="00A114DE">
      <w:r>
        <w:t>Negative information can come to dominate when it conflicts with a salient promise as well. The pertinent analytical question is thus not whether stakeholders' response is positive as soon as an ESG initiative is announced, but whether they change their judgement over time as the delivery of the ESG initiative is repeated and verifiable and whether contradictory evidence turns that judgement around</w:t>
      </w:r>
      <w:r w:rsidR="00F763E6">
        <w:t>.</w:t>
      </w:r>
    </w:p>
    <w:p w14:paraId="4458D7E6" w14:textId="77777777" w:rsidR="004B4463" w:rsidRDefault="00F763E6">
      <w:pPr>
        <w:pStyle w:val="Heading2"/>
      </w:pPr>
      <w:bookmarkStart w:id="41" w:name="_Toc240378612"/>
      <w:bookmarkStart w:id="42" w:name="_Toc241154034"/>
      <w:r>
        <w:t>2.6 Theme three: innovation, efficiency, resilience and advantage</w:t>
      </w:r>
      <w:bookmarkEnd w:id="41"/>
      <w:bookmarkEnd w:id="42"/>
    </w:p>
    <w:p w14:paraId="2CC119F6" w14:textId="65966D4D" w:rsidR="00A114DE" w:rsidRDefault="00A114DE" w:rsidP="00A114DE">
      <w:r>
        <w:t xml:space="preserve">The study by </w:t>
      </w:r>
      <w:r w:rsidR="00205D60">
        <w:t xml:space="preserve">Yang et al. (2024) </w:t>
      </w:r>
      <w:r>
        <w:t>also reveals a non-linear relationship between ESG ratings and green innovation, thus confirming the importance of not assuming a monotonic effect. The finding is not interpreted as proof of causal relationships between measured ESG standing and innovation in the present cases, but rather as evidence that the relationship between the two may differ at the level and in the context of the present cases.</w:t>
      </w:r>
    </w:p>
    <w:p w14:paraId="070DAF83" w14:textId="7723B4C6" w:rsidR="00A114DE" w:rsidRDefault="00A114DE" w:rsidP="00A114DE">
      <w:r>
        <w:t xml:space="preserve">Second, there is an opportunity to save on the cost and availability of volatile energy, water and materials by improving resource efficiency. But a seemingly lower emission </w:t>
      </w:r>
      <w:r>
        <w:lastRenderedPageBreak/>
        <w:t>can be achieved by renewable electricity or through process efficiency or by divesting an emitting business; all of these have different strategic implications. Thus, absolute, intensity, location based and market-based indicators should not be confused. Thirdly, continuity and quality can be maintained by supply-chain diligence, which can also include traceability and farmer and supplier support, but which may also identify risks not previously known and come with short-term costs. Fourth, governance controls can lessen the risk and impact of wrongdoing, false claims and regulatory fines.</w:t>
      </w:r>
    </w:p>
    <w:p w14:paraId="0C0E92C9" w14:textId="345F63E2" w:rsidR="004B4463" w:rsidRDefault="00A114DE" w:rsidP="00A114DE">
      <w:r>
        <w:t xml:space="preserve">Use of asset-pricing evidence should be avoided as direct evidence of operating advantage. </w:t>
      </w:r>
      <w:r w:rsidR="00BF3145">
        <w:t>Pástor et al. (2021</w:t>
      </w:r>
      <w:r>
        <w:t>) build an equilibrium model where it is possible that investor preferences for green assets may impact expected and realised returns. Their disagreement is over the pricing of the financial markets and not over operating performance measures like productivity, innovation, margin or customer retention. In this dissertation, evidence from the capital markets is also considered as background to the hypothesis that stakeholder preferences can impact the value of the firm, but not as evidence of the creation of an operating capability by ESG</w:t>
      </w:r>
      <w:r w:rsidR="00F763E6">
        <w:t>.</w:t>
      </w:r>
    </w:p>
    <w:p w14:paraId="2621EAE2" w14:textId="77777777" w:rsidR="004B4463" w:rsidRDefault="00F763E6">
      <w:pPr>
        <w:pStyle w:val="Heading2"/>
      </w:pPr>
      <w:bookmarkStart w:id="43" w:name="_Toc240378613"/>
      <w:bookmarkStart w:id="44" w:name="_Toc241154035"/>
      <w:r>
        <w:t>2.7 Theme four: consumer response, affordability and category fit</w:t>
      </w:r>
      <w:bookmarkEnd w:id="43"/>
      <w:bookmarkEnd w:id="44"/>
    </w:p>
    <w:p w14:paraId="2202A16D" w14:textId="77777777" w:rsidR="00C4405E" w:rsidRDefault="00C4405E" w:rsidP="00C4405E">
      <w:r>
        <w:t>There's a need for careful interpretation of consumer evidence as well. PwC (2024) provide survey data on willingness to pay for sustainability features, and Deloitte (2024) found that affordability and confidence are barriers to sustainable consumption. These measures reflect proclaimed attitudes and intentions, not actual purchases. McKinsey &amp; Company and NielsenIQ (2023) find a correlation between product claims with ESG links and sales growth for the US CPG sector, with the authors clearly stating that the design does not imply causality and is not an independent validation of the claims. Evidence thus suggests that a conditional consumer-response, rather than a general willingness to pay, is at work.</w:t>
      </w:r>
    </w:p>
    <w:p w14:paraId="78C4DA98" w14:textId="59F7968E" w:rsidR="004B4463" w:rsidRDefault="00C4405E" w:rsidP="00C4405E">
      <w:r>
        <w:t>It is also relevant to the characteristics of the category. Health and hygiene products are evaluated more for their safety and effectiveness, beverage alcohol for moderation and marketing, and food and fashion for various issues related to sourcing, nutrition, labour and waste. A generic ESG message may thus not be as relevant as a particular advantage like energy-efficiency, suitable dosing, a longer lasting garment or an alcohol-</w:t>
      </w:r>
      <w:r>
        <w:lastRenderedPageBreak/>
        <w:t>free choice. The value proposition also differs based on the different price points. Transfer costs are potentially more easily absorbed or conveyed in premium brands, while value retailers can only embed sustainability without killing the price. ESG is most sustainable when it's in the product proposition, and not a standalone virtue</w:t>
      </w:r>
      <w:r w:rsidR="00F763E6">
        <w:t>.</w:t>
      </w:r>
    </w:p>
    <w:p w14:paraId="3302E916" w14:textId="77777777" w:rsidR="004B4463" w:rsidRDefault="00F763E6">
      <w:pPr>
        <w:pStyle w:val="Heading2"/>
      </w:pPr>
      <w:bookmarkStart w:id="45" w:name="_Toc240378614"/>
      <w:bookmarkStart w:id="46" w:name="_Toc241154036"/>
      <w:r>
        <w:t>2.8 Theme five: measurement divergence, assurance and greenwashing risk</w:t>
      </w:r>
      <w:bookmarkEnd w:id="45"/>
      <w:bookmarkEnd w:id="46"/>
    </w:p>
    <w:p w14:paraId="113ED4C9" w14:textId="674B62A3" w:rsidR="00C4405E" w:rsidRDefault="00C4405E" w:rsidP="00C4405E">
      <w:r>
        <w:t xml:space="preserve">A key challenge in the ESG world is measurement divergence. </w:t>
      </w:r>
      <w:r w:rsidR="00E7309C">
        <w:t>Christensen et al. (2022)</w:t>
      </w:r>
      <w:r>
        <w:t xml:space="preserve"> demonstrate that higher disclosure may lead to a higher disagreement between ESG raters, as they have different disclosure scope, measurement rules, and weights. </w:t>
      </w:r>
      <w:r w:rsidR="00E7309C">
        <w:t xml:space="preserve">Berg et al. (2022) </w:t>
      </w:r>
      <w:r>
        <w:t>also break down rating divergence into scope, measurement and weighting differences. These observations support the view that no one rating can be viewed as a full reflection of strategic ESG quality.</w:t>
      </w:r>
    </w:p>
    <w:p w14:paraId="3275EDCD" w14:textId="77777777" w:rsidR="00C4405E" w:rsidRDefault="00C4405E" w:rsidP="00C4405E">
      <w:r>
        <w:t>Assurance can enhance the quality of evidence, but the extent of assurance needs to be accurately portrayed. Limited assurance is usually provided on specific metrics, criteria and reporting limits stated in the practitioner's statement and does not certify an entire sustainability story or that each item of information disclosed has been audited. For that reason, this dissertation does not assume that the presence of an assurance report implies that a cited metric is covered by a broader assurance scope and does not claim that a cited metric is covered by a named assurance scope if it is not in a report for that named scope.</w:t>
      </w:r>
    </w:p>
    <w:p w14:paraId="6B669865" w14:textId="71308F96" w:rsidR="004B4463" w:rsidRDefault="00C4405E" w:rsidP="00C4405E">
      <w:r>
        <w:t xml:space="preserve">Claim level evidence becomes even more important in the regulatory context. The CMA's expectations for truthful, clear and substantiated environmental claims are defined in the CMA's Green Claims Code (Competition and Markets Authority, 2021), and the CMA's direct consumer-enforcement powers activate in April 2025 (Competition and Markets Authority, 2025). The CMA's previous investigation into Unilever's environmental claims is an example of how substantiation has been a focus of regulatory investigations but the subsequent drop of the case does not mean that the claims were found to be unfair or that the company was held blameless (Competition and Markets Authority, 2023; Competition and Markets Authority, 2024). The UK SRS (2026) also drive policy in the direction of more structured disclosure of sustainability information, however this </w:t>
      </w:r>
      <w:r>
        <w:lastRenderedPageBreak/>
        <w:t>publication does not mean that the four scenarios are all mandatory (Department for Business and Trade, 2026)</w:t>
      </w:r>
      <w:r w:rsidR="00F763E6">
        <w:t>.</w:t>
      </w:r>
    </w:p>
    <w:p w14:paraId="59F14DA1" w14:textId="77777777" w:rsidR="004B4463" w:rsidRDefault="00F763E6">
      <w:pPr>
        <w:pStyle w:val="Heading2"/>
      </w:pPr>
      <w:bookmarkStart w:id="47" w:name="_Toc240378615"/>
      <w:bookmarkStart w:id="48" w:name="_Toc241154037"/>
      <w:r>
        <w:t>2.9 Conceptual framework</w:t>
      </w:r>
      <w:bookmarkEnd w:id="47"/>
      <w:bookmarkEnd w:id="48"/>
    </w:p>
    <w:p w14:paraId="068F8761" w14:textId="77777777" w:rsidR="00C4405E" w:rsidRDefault="00C4405E" w:rsidP="00C4405E">
      <w:r>
        <w:t>The conceptual implication is thus conditional: the actions in regard to ESG are likely to have a reputation or capability-related advantage if the evidence quality, materiality, stakeholder salience and operational execution are in line with this.</w:t>
      </w:r>
    </w:p>
    <w:p w14:paraId="63BE3B72" w14:textId="77777777" w:rsidR="003C3C0C" w:rsidRDefault="003C3C0C" w:rsidP="003C3C0C">
      <w:pPr>
        <w:pStyle w:val="Heading4"/>
      </w:pPr>
      <w:bookmarkStart w:id="49" w:name="_Toc240857238"/>
      <w:r>
        <w:t>Figure 1. Conceptual framework: ESG strategy, reputation and competitive advantage</w:t>
      </w:r>
      <w:bookmarkEnd w:id="49"/>
    </w:p>
    <w:p w14:paraId="13FB7D6D" w14:textId="77777777" w:rsidR="003C3C0C" w:rsidRDefault="003C3C0C" w:rsidP="003C3C0C">
      <w:pPr>
        <w:jc w:val="left"/>
      </w:pPr>
      <w:r>
        <w:rPr>
          <w:noProof/>
        </w:rPr>
        <w:drawing>
          <wp:inline distT="0" distB="0" distL="0" distR="0" wp14:anchorId="64B29D6C" wp14:editId="334E2F39">
            <wp:extent cx="5504815" cy="3181985"/>
            <wp:effectExtent l="0" t="0" r="0" b="0"/>
            <wp:docPr id="3" name="Picture 1" descr="Two connected pathways lead from ESG strategy to long-term competitive advantage: a relational route through stakeholder judgement and corporate reputation, and an operational route through innovation, efficiency and resilience. Materiality and evidence amplify the routes; greenwashing, ratings, affordability and regulation condition them." title="Figure 1. Initial conceptual framework: ESG strategy, reputation and competitive advant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wo connected pathways lead from ESG strategy to long-term competitive advantage: a relational route through stakeholder judgement and corporate reputation, and an operational route through innovation, efficiency and resilience. Materiality and evidence amplify the routes; greenwashing, ratings, affordability and regulation condition them." title="Figure 1. Initial conceptual framework: ESG strategy, reputation and competitive advantage"/>
                    <pic:cNvPicPr>
                      <a:picLocks noChangeAspect="1" noChangeArrowheads="1"/>
                    </pic:cNvPicPr>
                  </pic:nvPicPr>
                  <pic:blipFill>
                    <a:blip r:embed="rId17"/>
                    <a:stretch>
                      <a:fillRect/>
                    </a:stretch>
                  </pic:blipFill>
                  <pic:spPr bwMode="auto">
                    <a:xfrm>
                      <a:off x="0" y="0"/>
                      <a:ext cx="5504815" cy="3181985"/>
                    </a:xfrm>
                    <a:prstGeom prst="rect">
                      <a:avLst/>
                    </a:prstGeom>
                    <a:noFill/>
                  </pic:spPr>
                </pic:pic>
              </a:graphicData>
            </a:graphic>
          </wp:inline>
        </w:drawing>
      </w:r>
    </w:p>
    <w:p w14:paraId="32077F7D" w14:textId="77777777" w:rsidR="003C3C0C" w:rsidRPr="00D471EF" w:rsidRDefault="003C3C0C" w:rsidP="003C3C0C">
      <w:pPr>
        <w:jc w:val="center"/>
        <w:rPr>
          <w:i/>
          <w:iCs/>
        </w:rPr>
      </w:pPr>
      <w:r w:rsidRPr="00D471EF">
        <w:rPr>
          <w:i/>
          <w:iCs/>
        </w:rPr>
        <w:t xml:space="preserve">Source: Created by the </w:t>
      </w:r>
      <w:r>
        <w:rPr>
          <w:i/>
          <w:iCs/>
        </w:rPr>
        <w:t>A</w:t>
      </w:r>
      <w:r w:rsidRPr="00D471EF">
        <w:rPr>
          <w:i/>
          <w:iCs/>
        </w:rPr>
        <w:t>uthor</w:t>
      </w:r>
    </w:p>
    <w:p w14:paraId="4BC0B34E" w14:textId="0D8371DC" w:rsidR="004B4463" w:rsidRDefault="00C4405E" w:rsidP="00C4405E">
      <w:r>
        <w:t xml:space="preserve">The model is determined by four sets of conditions. Materiality and category fit can affect if an issue is worthy of strategic consideration, and if action can relate to enterprise value and broader social and environmental impacts. Credibility is impacted by evidence quality including clear boundaries, proper recognition of learning setbacks, and proper evidence of assurance. Value capture is impacted by market conditions, including affordability, input costs and consumer salience. Implementation is impacted by organisational factors, including governance ownership, incentives and supplier dependency. Hence, the risk </w:t>
      </w:r>
      <w:r>
        <w:lastRenderedPageBreak/>
        <w:t>and divergence in greenwashing is not a side effect; it can undermine the link between ESG action and reputation and competitive advantage</w:t>
      </w:r>
      <w:r w:rsidR="00F763E6">
        <w:t>.</w:t>
      </w:r>
    </w:p>
    <w:p w14:paraId="3AABA315" w14:textId="77777777" w:rsidR="004B4463" w:rsidRDefault="00F763E6">
      <w:pPr>
        <w:pStyle w:val="Heading2"/>
      </w:pPr>
      <w:bookmarkStart w:id="50" w:name="_Toc240378616"/>
      <w:bookmarkStart w:id="51" w:name="_Toc241154038"/>
      <w:bookmarkEnd w:id="20"/>
      <w:r>
        <w:t>2.10 Research gap</w:t>
      </w:r>
      <w:bookmarkEnd w:id="50"/>
      <w:bookmarkEnd w:id="51"/>
    </w:p>
    <w:p w14:paraId="659C3E1C" w14:textId="77777777" w:rsidR="004B4463" w:rsidRDefault="00F763E6">
      <w:r>
        <w:t>The research gap has two related dimensions. First, much ESG research relies on aggregate ratings or financial associations that do not identify the mechanism linking a material sustainability issue to stakeholder or operational outcomes. Second, company-level evidence often combines heterogeneous metrics, reporting boundaries and time horizons. The present study therefore examines mechanisms and counter-evidence across four contrasting consumer-goods cases rather than assuming that one ESG score captures strategic quality.</w:t>
      </w:r>
    </w:p>
    <w:p w14:paraId="36079E13" w14:textId="77777777" w:rsidR="004B4463" w:rsidRDefault="00F763E6">
      <w:r>
        <w:t>The dissertation responds to these gaps through a comparative, longitudinal and source-critical design. It examines strategic priorities and accountability, reported outcomes, assurance coverage, independent evidence that supports or challenges company narratives, and the consistency of these elements with commercial indicators and the proposed mechanisms. The purpose is not to estimate a single overall ESG premium, but to identify the conditions under which ESG may or may not contribute to reputation and sustainable value.</w:t>
      </w:r>
    </w:p>
    <w:p w14:paraId="5D4819F0" w14:textId="77777777" w:rsidR="004B4463" w:rsidRDefault="00F763E6">
      <w:pPr>
        <w:pStyle w:val="Heading1"/>
        <w:pageBreakBefore/>
        <w:spacing w:line="360" w:lineRule="auto"/>
      </w:pPr>
      <w:bookmarkStart w:id="52" w:name="_Toc240378617"/>
      <w:bookmarkStart w:id="53" w:name="_Hlk241067599"/>
      <w:bookmarkStart w:id="54" w:name="_Toc241154039"/>
      <w:r>
        <w:lastRenderedPageBreak/>
        <w:t>Chapter 3: Research Methodology</w:t>
      </w:r>
      <w:bookmarkEnd w:id="52"/>
      <w:bookmarkEnd w:id="54"/>
    </w:p>
    <w:p w14:paraId="321800A1" w14:textId="77777777" w:rsidR="004B4463" w:rsidRDefault="00F763E6">
      <w:pPr>
        <w:pStyle w:val="Heading2"/>
      </w:pPr>
      <w:bookmarkStart w:id="55" w:name="_Toc240378618"/>
      <w:bookmarkStart w:id="56" w:name="_Toc241154040"/>
      <w:bookmarkEnd w:id="53"/>
      <w:r>
        <w:t>3.1 Introduction</w:t>
      </w:r>
      <w:bookmarkEnd w:id="55"/>
      <w:bookmarkEnd w:id="56"/>
    </w:p>
    <w:p w14:paraId="5DDCDE4D" w14:textId="77777777" w:rsidR="004B4463" w:rsidRDefault="00F763E6">
      <w:r>
        <w:t>This chapter explains the methodology used to address the research questions with secondary evidence. It covers the research philosophy and approach, case design and selection, evidence identification, data extraction, analytical procedures, research quality, ethics and methodological limitations. The design retains an explanatory ambition while recognising that publicly available documentary evidence cannot establish controlled causal effects.</w:t>
      </w:r>
    </w:p>
    <w:p w14:paraId="7D492A8D" w14:textId="77777777" w:rsidR="004B4463" w:rsidRDefault="00F763E6">
      <w:pPr>
        <w:pStyle w:val="Heading2"/>
      </w:pPr>
      <w:bookmarkStart w:id="57" w:name="_Toc240378619"/>
      <w:bookmarkStart w:id="58" w:name="_Toc241154041"/>
      <w:r>
        <w:t>3.2 Research philosophy</w:t>
      </w:r>
      <w:bookmarkEnd w:id="57"/>
      <w:bookmarkEnd w:id="58"/>
    </w:p>
    <w:p w14:paraId="7AF269B7" w14:textId="77777777" w:rsidR="004B4463" w:rsidRDefault="00F763E6">
      <w:r>
        <w:t>The study adopts a critical-realist position because it distinguishes between underlying organisational mechanisms and the fallible observations through which they are studied. Critical realism assumes that corporate practices, emissions, product outcomes and commercial results can have real effects, while recognising that researchers access them through measurement systems, organisational reporting and stakeholder interpretation. This position is appropriate to documentary case research because company reports, ratings and regulatory records are treated as partial representations rather than as self-validating facts. The design therefore seeks plausible explanations for observed patterns while maintaining explicit limits on causal attribution.</w:t>
      </w:r>
    </w:p>
    <w:p w14:paraId="40CE937B" w14:textId="77777777" w:rsidR="004B4463" w:rsidRDefault="00F763E6">
      <w:r>
        <w:t>Critical realism focuses on how observable outcomes can arise from underlying structures and mechanisms. An emissions reduction, for example, may result from efficiency improvements, renewable electricity, lower production volumes, a disposal or a methodological recalculation. Similar interventions can also produce different outcomes under different market conditions. This ontology suits the research questions because the study seeks to explain how and under what conditions proposed mechanisms operate. It also disciplines causal language: contribution and plausibility are assessed rather than experimental attribution.</w:t>
      </w:r>
    </w:p>
    <w:p w14:paraId="4FFCB537" w14:textId="77777777" w:rsidR="004B4463" w:rsidRDefault="00F763E6">
      <w:pPr>
        <w:pStyle w:val="Heading2"/>
      </w:pPr>
      <w:bookmarkStart w:id="59" w:name="_Toc240378620"/>
      <w:bookmarkStart w:id="60" w:name="_Hlk241067799"/>
      <w:bookmarkStart w:id="61" w:name="_Toc241154042"/>
      <w:r>
        <w:t>3.3 Research approach</w:t>
      </w:r>
      <w:bookmarkEnd w:id="59"/>
      <w:bookmarkEnd w:id="61"/>
    </w:p>
    <w:p w14:paraId="7FEBF612" w14:textId="77777777" w:rsidR="00C4405E" w:rsidRDefault="00C4405E" w:rsidP="00C4405E">
      <w:r>
        <w:t xml:space="preserve">The abductive approach is an iterative process of theory and evidence being gathered and applied to each other (Saunders, Lewis and Thornhill, 2023). The materiality, </w:t>
      </w:r>
      <w:r>
        <w:lastRenderedPageBreak/>
        <w:t>governance, implementation, assurance, stakeholder trust, reputation, innovation, efficiency, resilience and competitive proxy were the initial deductive codes that were derived from the framework. Themes were subsequently identified using inductive coding, which included target recalibration, portfolio effects, affordability, and metric restatement and asymmetric scrutiny. These patterns were then contrasted with the theoretical expectations and utilized to improve on the framework.</w:t>
      </w:r>
    </w:p>
    <w:p w14:paraId="00B1BAC8" w14:textId="1A4C146A" w:rsidR="004B4463" w:rsidRDefault="00C4405E" w:rsidP="00C4405E">
      <w:r>
        <w:t>Abduction is employed as the research questions involve a movement between a theoretical expectation and a documentary evidence with its heterogeneity. A purely deductive approach would risk the risk of oversimplifying and categorizing various pieces of ESG evidence, and a purely inductive approach would fail to leverage the existing body of knowledge regarding stakeholder relationships, capabilities, legitimacy and materiality. The analysis thus starts with theory-derived codes and then checks the case evidence and documents disconfirming observations and modifies the framework of explanation as necessary when patterns emerge or competing explanations are found. The iterative logic renders the underpinning of interpretation transparent, and enables counter evidence to adjust, not just exemplify, the first interpretation</w:t>
      </w:r>
      <w:r w:rsidR="00F763E6">
        <w:t>.</w:t>
      </w:r>
    </w:p>
    <w:p w14:paraId="3D5728A1" w14:textId="77777777" w:rsidR="004B4463" w:rsidRDefault="00F763E6">
      <w:pPr>
        <w:pStyle w:val="Heading2"/>
      </w:pPr>
      <w:bookmarkStart w:id="62" w:name="_Toc240378621"/>
      <w:bookmarkStart w:id="63" w:name="_Toc241154043"/>
      <w:r>
        <w:t>3.4 Research Design and case logic</w:t>
      </w:r>
      <w:bookmarkEnd w:id="62"/>
      <w:bookmarkEnd w:id="63"/>
    </w:p>
    <w:p w14:paraId="3B44F531" w14:textId="77777777" w:rsidR="00C4405E" w:rsidRDefault="00C4405E" w:rsidP="00C4405E">
      <w:r>
        <w:t>The research approach is longitudinal, multiple case documentary with a qualitatively dominant design and descriptive quantitative comparison. Unilever, Reckitt, Diageo and ABF were purposively chosen as they have well-known brands, significant ESG exposure and have been reporting for multiple years and are among the largest companies listed in the UK. The cases are not meant to be a statistically representative sample, rather, they serve to offer variation in case of category economics, portfolio structure/value proposition.</w:t>
      </w:r>
    </w:p>
    <w:p w14:paraId="4CA0C46A" w14:textId="5F7F37F5" w:rsidR="004B4463" w:rsidRDefault="00C4405E" w:rsidP="00C4405E">
      <w:r>
        <w:t>The primary period of analysis is 2020-2025, which includes the period of pandemic disruption as well as cost-of-living pressures and greater scrutiny of environmental claims, in addition to a period of input-cost inflation. Reports for the financial year 2025 are included and evidence deadline is 5 August 2026 (to avoid late incorporation of developments). The company-years are the units of extraction for indicators, and the strategic mechanisms and the cross-case configurations are the units of explanation</w:t>
      </w:r>
      <w:r w:rsidR="00F763E6">
        <w:t>.</w:t>
      </w:r>
    </w:p>
    <w:p w14:paraId="4E9BE448" w14:textId="77777777" w:rsidR="004B4463" w:rsidRDefault="00F763E6">
      <w:pPr>
        <w:pStyle w:val="Heading2"/>
      </w:pPr>
      <w:bookmarkStart w:id="64" w:name="_Toc240378622"/>
      <w:bookmarkStart w:id="65" w:name="_Toc241154044"/>
      <w:r>
        <w:lastRenderedPageBreak/>
        <w:t>3.5 Evidence identification and selection</w:t>
      </w:r>
      <w:bookmarkEnd w:id="64"/>
      <w:bookmarkEnd w:id="65"/>
    </w:p>
    <w:p w14:paraId="55840144" w14:textId="77777777" w:rsidR="003C3C0C" w:rsidRDefault="003C3C0C" w:rsidP="003C3C0C">
      <w:r>
        <w:t>Quality of the source depends not on any straight-line hierarchy, but on the claim that is being made. Financial results are preferred to be audited annual reports and/or audited financial statements, but if they refer to a metric, an assurance statement for that metric is presumed to be audited unless explicitly noted otherwise. For developments in regulatory and legislative aspects, refer to regulatory and legislative publications. Independent benchmarks are only employed within the specified methodology and construct, and theory and empirical relationships are based on peer-reviewed research. Consumer-oriented surveys are used judiciously and the limitations of sampling and self-report are recognized. No evidence of substantive findings from unattributed web commentaries.</w:t>
      </w:r>
    </w:p>
    <w:p w14:paraId="44317A59" w14:textId="3816EED6" w:rsidR="003C3C0C" w:rsidRDefault="003C3C0C" w:rsidP="003C3C0C">
      <w:r>
        <w:t xml:space="preserve">Evidence identification was done in a structured manner but did not aim to conduct a statistical exhaustive systematic literature review. Academic literature was searched using the keywords: environmental, social and governance (ESG), sustainability, corporate reputation, trust, competitive advantage, value, innovation, resilience, greenwashing, assurance, consumer goods and United Kingdom. The academic literature was restricted to English language, peer-reviewed publications from the year 2020 until the date of evidence search and additional foundational theory identified during the search. Case evidence included the companies' annual or sustainability reports, assurance statements, regulator publications, and official legislation or policy material and method-disclosed independent benchmarks that were relevant to the four companies and the contextual years of 2020-2025. </w:t>
      </w:r>
    </w:p>
    <w:p w14:paraId="6EB7C9BD" w14:textId="77777777" w:rsidR="003C3C0C" w:rsidRDefault="003C3C0C" w:rsidP="003C3C0C">
      <w:pPr>
        <w:pStyle w:val="Heading4"/>
      </w:pPr>
      <w:bookmarkStart w:id="66" w:name="_Toc240857239"/>
      <w:r>
        <w:lastRenderedPageBreak/>
        <w:t>Figure 2. Evidence identification, screening and analytical flow</w:t>
      </w:r>
      <w:bookmarkEnd w:id="66"/>
    </w:p>
    <w:p w14:paraId="1BC34728" w14:textId="77777777" w:rsidR="003C3C0C" w:rsidRDefault="003C3C0C" w:rsidP="003C3C0C">
      <w:pPr>
        <w:pStyle w:val="Figure"/>
      </w:pPr>
      <w:r>
        <w:rPr>
          <w:noProof/>
        </w:rPr>
        <w:drawing>
          <wp:inline distT="0" distB="0" distL="0" distR="0" wp14:anchorId="299F74C7" wp14:editId="654FBDB3">
            <wp:extent cx="5504815" cy="3686810"/>
            <wp:effectExtent l="0" t="0" r="0" b="0"/>
            <wp:docPr id="4" name="Picture 2" descr="Four documentary source streams pass through eligibility and quality screening into a case-by-year extraction matrix, followed by within-case timelines, cross-case pattern matching, and negative-case and rival-explanation analysis." title="Figure 2. Evidence identification, screening and analytical 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Four documentary source streams pass through eligibility and quality screening into a case-by-year extraction matrix, followed by within-case timelines, cross-case pattern matching, and negative-case and rival-explanation analysis." title="Figure 2. Evidence identification, screening and analytical flow"/>
                    <pic:cNvPicPr>
                      <a:picLocks noChangeAspect="1" noChangeArrowheads="1"/>
                    </pic:cNvPicPr>
                  </pic:nvPicPr>
                  <pic:blipFill>
                    <a:blip r:embed="rId18"/>
                    <a:stretch>
                      <a:fillRect/>
                    </a:stretch>
                  </pic:blipFill>
                  <pic:spPr bwMode="auto">
                    <a:xfrm>
                      <a:off x="0" y="0"/>
                      <a:ext cx="5504815" cy="3686810"/>
                    </a:xfrm>
                    <a:prstGeom prst="rect">
                      <a:avLst/>
                    </a:prstGeom>
                    <a:noFill/>
                  </pic:spPr>
                </pic:pic>
              </a:graphicData>
            </a:graphic>
          </wp:inline>
        </w:drawing>
      </w:r>
    </w:p>
    <w:p w14:paraId="2D8D87CC" w14:textId="77777777" w:rsidR="003C3C0C" w:rsidRPr="00D471EF" w:rsidRDefault="003C3C0C" w:rsidP="003C3C0C">
      <w:pPr>
        <w:jc w:val="center"/>
        <w:rPr>
          <w:i/>
          <w:iCs/>
        </w:rPr>
      </w:pPr>
      <w:r w:rsidRPr="00D471EF">
        <w:rPr>
          <w:i/>
          <w:iCs/>
        </w:rPr>
        <w:t xml:space="preserve">Source: Created by the </w:t>
      </w:r>
      <w:r>
        <w:rPr>
          <w:i/>
          <w:iCs/>
        </w:rPr>
        <w:t>A</w:t>
      </w:r>
      <w:r w:rsidRPr="00D471EF">
        <w:rPr>
          <w:i/>
          <w:iCs/>
        </w:rPr>
        <w:t>uthor</w:t>
      </w:r>
    </w:p>
    <w:p w14:paraId="6E85F824" w14:textId="5B6C7C35" w:rsidR="004B4463" w:rsidRDefault="003C3C0C" w:rsidP="003C3C0C">
      <w:r>
        <w:t>The approach is structured but not set up as a statistically comprehensive systematic review. Using academic literature for establishing theory and empirical relationships and company, assurance, regulatory and benchmark documents for case evidence. It is important to maintain analytically separate these source types so that one does not view the different documentary materials as equivalent observations</w:t>
      </w:r>
      <w:r w:rsidR="00F763E6">
        <w:t>.</w:t>
      </w:r>
    </w:p>
    <w:p w14:paraId="248D7AF6" w14:textId="77777777" w:rsidR="004B4463" w:rsidRDefault="00F763E6">
      <w:pPr>
        <w:pStyle w:val="Heading2"/>
      </w:pPr>
      <w:bookmarkStart w:id="67" w:name="_Toc240378623"/>
      <w:bookmarkStart w:id="68" w:name="_Toc241154045"/>
      <w:r>
        <w:t>3.6 Data extraction and operationalisation</w:t>
      </w:r>
      <w:bookmarkEnd w:id="67"/>
      <w:bookmarkEnd w:id="68"/>
    </w:p>
    <w:p w14:paraId="387EDC16" w14:textId="77777777" w:rsidR="003C3C0C" w:rsidRDefault="003C3C0C" w:rsidP="003C3C0C">
      <w:r>
        <w:t>The evidence was pulled and compared to each other using the following structured set of fields: company, reporting period, source, page or section, metric definition, baseline, boundary, assurance status, relevant mechanism, and interpretive caveat. The actual sources cited in the dissertation are used to create the reconstructed traceability matrix in Appendix A. This reconstruction should make evidence to claim chain auditable, but does not make the claim to attempt to replicate an earlier working matrix that is not independently evidenceable. If a company restates, then the restated amount is used (and the change is mentioned). There are no imputations for missing data.</w:t>
      </w:r>
    </w:p>
    <w:p w14:paraId="75CE06AB" w14:textId="77777777" w:rsidR="003C3C0C" w:rsidRDefault="003C3C0C" w:rsidP="003C3C0C">
      <w:r>
        <w:lastRenderedPageBreak/>
        <w:t>Materiality, board and management attention to ESG risks, responsibilities and accountability, results-based incentives, incorporation into capital or operations, and quantifiable targets and actual implementation, are all operationalizations of ESG strategic substance. Reputation evidence consists of third-party rankings, regulators, stakeholders, and explicit admission of limitations. Since there are no comparable direct reputation measures across all four companies, no one measure is considered as a “full measure” of corporate reputation. Competitive-advantage proxies are elements of innovation, revenue growth, margins, market position and resilience, and interpreted in the light of other competing business explanations.</w:t>
      </w:r>
    </w:p>
    <w:p w14:paraId="7BE2B452" w14:textId="77777777" w:rsidR="003C3C0C" w:rsidRDefault="003C3C0C" w:rsidP="003C3C0C">
      <w:r>
        <w:t>The coding scheme differentiates the strength of the evidence. A reported commitment with no specified baseline or deliverable observable evidence is coded as Directional. Only when a measured indicator has a clear metric, boundary, reporting period and baseline/comparator is it considered to be actionable evidence. A metric can only be considered assured if the scope of the named independent practitioner's assurance statement encompasses the metric. The external evidence refers to the methodology and legal status of the external evidence. These categories limit the analytical language to not over-stating the source strength (e.g. an emissions value can be used for a statement of reported change, but cannot stand on its own to state that this change caused commercial growth).</w:t>
      </w:r>
    </w:p>
    <w:p w14:paraId="432CA4B3" w14:textId="77777777" w:rsidR="003C3C0C" w:rsidRDefault="003C3C0C" w:rsidP="003C3C0C">
      <w:r>
        <w:t>Numerical comparisons of indicators are preceded by conceptual and measurement comparisons of indicators. Currencies are not mixed; baselines are not used in place of absolute emissions or intensity of emissions; and market-based and location-based emissions are not used interchangeably. Disposals, restatements and revised reporting boundaries are identified. If a company has only one year indicated, and a time series is not available, then the evidence is assumed to represent a snapshot in time and not a trend. These checks acknowledge that numerical equivalence does not necessarily mean conceptual equivalence.</w:t>
      </w:r>
    </w:p>
    <w:p w14:paraId="0F4F960B" w14:textId="77777777" w:rsidR="00E23501" w:rsidRDefault="00E23501" w:rsidP="00E23501">
      <w:pPr>
        <w:pStyle w:val="Heading4"/>
      </w:pPr>
      <w:bookmarkStart w:id="69" w:name="table_2"/>
      <w:bookmarkStart w:id="70" w:name="_Toc240857235"/>
      <w:r>
        <w:lastRenderedPageBreak/>
        <w:t>Table 2. Comparative evidence and quality framework</w:t>
      </w:r>
      <w:bookmarkEnd w:id="69"/>
      <w:bookmarkEnd w:id="70"/>
    </w:p>
    <w:tbl>
      <w:tblPr>
        <w:tblW w:w="1010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5" w:type="dxa"/>
          <w:left w:w="90" w:type="dxa"/>
          <w:bottom w:w="105" w:type="dxa"/>
          <w:right w:w="90" w:type="dxa"/>
        </w:tblCellMar>
        <w:tblLook w:val="04A0" w:firstRow="1" w:lastRow="0" w:firstColumn="1" w:lastColumn="0" w:noHBand="0" w:noVBand="1"/>
      </w:tblPr>
      <w:tblGrid>
        <w:gridCol w:w="1727"/>
        <w:gridCol w:w="2971"/>
        <w:gridCol w:w="2750"/>
        <w:gridCol w:w="2659"/>
      </w:tblGrid>
      <w:tr w:rsidR="00E23501" w:rsidRPr="00D471EF" w14:paraId="4BB1A2EE" w14:textId="77777777" w:rsidTr="00E23501">
        <w:trPr>
          <w:cantSplit/>
          <w:trHeight w:val="465"/>
          <w:tblHeader/>
          <w:jc w:val="center"/>
        </w:trPr>
        <w:tc>
          <w:tcPr>
            <w:tcW w:w="1727" w:type="dxa"/>
            <w:shd w:val="clear" w:color="auto" w:fill="17365D"/>
          </w:tcPr>
          <w:p w14:paraId="7B3BE182" w14:textId="77777777" w:rsidR="00E23501" w:rsidRPr="00D471EF" w:rsidRDefault="00E23501" w:rsidP="00945907">
            <w:pPr>
              <w:spacing w:after="0"/>
              <w:rPr>
                <w:b/>
                <w:bCs/>
                <w:color w:val="auto"/>
                <w:sz w:val="20"/>
                <w:szCs w:val="20"/>
              </w:rPr>
            </w:pPr>
            <w:r w:rsidRPr="00D471EF">
              <w:rPr>
                <w:b/>
                <w:bCs/>
                <w:color w:val="auto"/>
                <w:sz w:val="20"/>
                <w:szCs w:val="20"/>
              </w:rPr>
              <w:t>Construct</w:t>
            </w:r>
          </w:p>
        </w:tc>
        <w:tc>
          <w:tcPr>
            <w:tcW w:w="2971" w:type="dxa"/>
            <w:shd w:val="clear" w:color="auto" w:fill="17365D"/>
          </w:tcPr>
          <w:p w14:paraId="43473D4D" w14:textId="77777777" w:rsidR="00E23501" w:rsidRPr="00D471EF" w:rsidRDefault="00E23501" w:rsidP="00945907">
            <w:pPr>
              <w:spacing w:after="0"/>
              <w:rPr>
                <w:b/>
                <w:bCs/>
                <w:color w:val="auto"/>
                <w:sz w:val="20"/>
                <w:szCs w:val="20"/>
              </w:rPr>
            </w:pPr>
            <w:r w:rsidRPr="00D471EF">
              <w:rPr>
                <w:b/>
                <w:bCs/>
                <w:color w:val="auto"/>
                <w:sz w:val="20"/>
                <w:szCs w:val="20"/>
              </w:rPr>
              <w:t>Operational evidence</w:t>
            </w:r>
          </w:p>
        </w:tc>
        <w:tc>
          <w:tcPr>
            <w:tcW w:w="2750" w:type="dxa"/>
            <w:shd w:val="clear" w:color="auto" w:fill="17365D"/>
          </w:tcPr>
          <w:p w14:paraId="1F077D3B" w14:textId="77777777" w:rsidR="00E23501" w:rsidRPr="00D471EF" w:rsidRDefault="00E23501" w:rsidP="00945907">
            <w:pPr>
              <w:spacing w:after="0"/>
              <w:rPr>
                <w:b/>
                <w:bCs/>
                <w:color w:val="auto"/>
                <w:sz w:val="20"/>
                <w:szCs w:val="20"/>
              </w:rPr>
            </w:pPr>
            <w:r w:rsidRPr="00D471EF">
              <w:rPr>
                <w:b/>
                <w:bCs/>
                <w:color w:val="auto"/>
                <w:sz w:val="20"/>
                <w:szCs w:val="20"/>
              </w:rPr>
              <w:t>Preferred sources</w:t>
            </w:r>
          </w:p>
        </w:tc>
        <w:tc>
          <w:tcPr>
            <w:tcW w:w="2659" w:type="dxa"/>
            <w:shd w:val="clear" w:color="auto" w:fill="17365D"/>
          </w:tcPr>
          <w:p w14:paraId="7D5BF421" w14:textId="77777777" w:rsidR="00E23501" w:rsidRPr="00D471EF" w:rsidRDefault="00E23501" w:rsidP="00945907">
            <w:pPr>
              <w:spacing w:after="0"/>
              <w:rPr>
                <w:b/>
                <w:bCs/>
                <w:color w:val="auto"/>
                <w:sz w:val="20"/>
                <w:szCs w:val="20"/>
              </w:rPr>
            </w:pPr>
            <w:r w:rsidRPr="00D471EF">
              <w:rPr>
                <w:b/>
                <w:bCs/>
                <w:color w:val="auto"/>
                <w:sz w:val="20"/>
                <w:szCs w:val="20"/>
              </w:rPr>
              <w:t>Quality test</w:t>
            </w:r>
          </w:p>
        </w:tc>
      </w:tr>
      <w:tr w:rsidR="00E23501" w:rsidRPr="00D471EF" w14:paraId="7BE741D4" w14:textId="77777777" w:rsidTr="00E23501">
        <w:trPr>
          <w:cantSplit/>
          <w:trHeight w:val="1517"/>
          <w:jc w:val="center"/>
        </w:trPr>
        <w:tc>
          <w:tcPr>
            <w:tcW w:w="1727" w:type="dxa"/>
            <w:tcMar>
              <w:top w:w="80" w:type="dxa"/>
              <w:bottom w:w="80" w:type="dxa"/>
            </w:tcMar>
          </w:tcPr>
          <w:p w14:paraId="78C4518F" w14:textId="77777777" w:rsidR="00E23501" w:rsidRPr="00D471EF" w:rsidRDefault="00E23501" w:rsidP="00945907">
            <w:pPr>
              <w:spacing w:after="0"/>
              <w:rPr>
                <w:color w:val="auto"/>
                <w:sz w:val="20"/>
                <w:szCs w:val="20"/>
              </w:rPr>
            </w:pPr>
            <w:r w:rsidRPr="00D471EF">
              <w:rPr>
                <w:color w:val="auto"/>
                <w:sz w:val="20"/>
                <w:szCs w:val="20"/>
              </w:rPr>
              <w:t>Strategic substance</w:t>
            </w:r>
          </w:p>
        </w:tc>
        <w:tc>
          <w:tcPr>
            <w:tcW w:w="2971" w:type="dxa"/>
            <w:tcMar>
              <w:top w:w="80" w:type="dxa"/>
              <w:bottom w:w="80" w:type="dxa"/>
            </w:tcMar>
          </w:tcPr>
          <w:p w14:paraId="1E79D7A2" w14:textId="77777777" w:rsidR="00E23501" w:rsidRPr="00D471EF" w:rsidRDefault="00E23501" w:rsidP="00945907">
            <w:pPr>
              <w:spacing w:after="0"/>
              <w:rPr>
                <w:color w:val="auto"/>
                <w:sz w:val="20"/>
                <w:szCs w:val="20"/>
              </w:rPr>
            </w:pPr>
            <w:r w:rsidRPr="00D471EF">
              <w:rPr>
                <w:color w:val="auto"/>
                <w:sz w:val="20"/>
                <w:szCs w:val="20"/>
              </w:rPr>
              <w:t>Material priorities, accountability, incentives, resources and implementation routines.</w:t>
            </w:r>
          </w:p>
        </w:tc>
        <w:tc>
          <w:tcPr>
            <w:tcW w:w="2750" w:type="dxa"/>
            <w:tcMar>
              <w:top w:w="80" w:type="dxa"/>
              <w:bottom w:w="80" w:type="dxa"/>
            </w:tcMar>
          </w:tcPr>
          <w:p w14:paraId="43521EEB" w14:textId="77777777" w:rsidR="00E23501" w:rsidRPr="00D471EF" w:rsidRDefault="00E23501" w:rsidP="00945907">
            <w:pPr>
              <w:spacing w:after="0"/>
              <w:rPr>
                <w:color w:val="auto"/>
                <w:sz w:val="20"/>
                <w:szCs w:val="20"/>
              </w:rPr>
            </w:pPr>
            <w:r w:rsidRPr="00D471EF">
              <w:rPr>
                <w:color w:val="auto"/>
                <w:sz w:val="20"/>
                <w:szCs w:val="20"/>
              </w:rPr>
              <w:t>Annual reports, governance and remuneration sections, strategy documents.</w:t>
            </w:r>
          </w:p>
        </w:tc>
        <w:tc>
          <w:tcPr>
            <w:tcW w:w="2659" w:type="dxa"/>
            <w:tcMar>
              <w:top w:w="80" w:type="dxa"/>
              <w:bottom w:w="80" w:type="dxa"/>
            </w:tcMar>
          </w:tcPr>
          <w:p w14:paraId="4078F8A2" w14:textId="77777777" w:rsidR="00E23501" w:rsidRPr="00D471EF" w:rsidRDefault="00E23501" w:rsidP="00945907">
            <w:pPr>
              <w:spacing w:after="0"/>
              <w:rPr>
                <w:color w:val="auto"/>
                <w:sz w:val="20"/>
                <w:szCs w:val="20"/>
              </w:rPr>
            </w:pPr>
            <w:r w:rsidRPr="00D471EF">
              <w:rPr>
                <w:color w:val="auto"/>
                <w:sz w:val="20"/>
                <w:szCs w:val="20"/>
              </w:rPr>
              <w:t>Named owner; stable boundary; decision consequence; evidence of action.</w:t>
            </w:r>
          </w:p>
        </w:tc>
      </w:tr>
      <w:tr w:rsidR="00E23501" w:rsidRPr="00D471EF" w14:paraId="485DB97E" w14:textId="77777777" w:rsidTr="00E23501">
        <w:trPr>
          <w:cantSplit/>
          <w:trHeight w:val="1517"/>
          <w:jc w:val="center"/>
        </w:trPr>
        <w:tc>
          <w:tcPr>
            <w:tcW w:w="1727" w:type="dxa"/>
            <w:shd w:val="clear" w:color="auto" w:fill="F3F5F7"/>
            <w:tcMar>
              <w:top w:w="80" w:type="dxa"/>
              <w:bottom w:w="80" w:type="dxa"/>
            </w:tcMar>
          </w:tcPr>
          <w:p w14:paraId="71D56031" w14:textId="77777777" w:rsidR="00E23501" w:rsidRPr="00D471EF" w:rsidRDefault="00E23501" w:rsidP="00945907">
            <w:pPr>
              <w:spacing w:after="0"/>
              <w:rPr>
                <w:color w:val="auto"/>
                <w:sz w:val="20"/>
                <w:szCs w:val="20"/>
              </w:rPr>
            </w:pPr>
            <w:r w:rsidRPr="00D471EF">
              <w:rPr>
                <w:color w:val="auto"/>
                <w:sz w:val="20"/>
                <w:szCs w:val="20"/>
              </w:rPr>
              <w:t>Environmental outcome</w:t>
            </w:r>
          </w:p>
        </w:tc>
        <w:tc>
          <w:tcPr>
            <w:tcW w:w="2971" w:type="dxa"/>
            <w:shd w:val="clear" w:color="auto" w:fill="F3F5F7"/>
            <w:tcMar>
              <w:top w:w="80" w:type="dxa"/>
              <w:bottom w:w="80" w:type="dxa"/>
            </w:tcMar>
          </w:tcPr>
          <w:p w14:paraId="21D83382" w14:textId="77777777" w:rsidR="00E23501" w:rsidRPr="00D471EF" w:rsidRDefault="00E23501" w:rsidP="00945907">
            <w:pPr>
              <w:spacing w:after="0"/>
              <w:rPr>
                <w:color w:val="auto"/>
                <w:sz w:val="20"/>
                <w:szCs w:val="20"/>
              </w:rPr>
            </w:pPr>
            <w:r w:rsidRPr="00D471EF">
              <w:rPr>
                <w:color w:val="auto"/>
                <w:sz w:val="20"/>
                <w:szCs w:val="20"/>
              </w:rPr>
              <w:t>Absolute or intensity emissions, water, energy, materials, waste and sourcing indicators.</w:t>
            </w:r>
          </w:p>
        </w:tc>
        <w:tc>
          <w:tcPr>
            <w:tcW w:w="2750" w:type="dxa"/>
            <w:shd w:val="clear" w:color="auto" w:fill="F3F5F7"/>
            <w:tcMar>
              <w:top w:w="80" w:type="dxa"/>
              <w:bottom w:w="80" w:type="dxa"/>
            </w:tcMar>
          </w:tcPr>
          <w:p w14:paraId="7E3CD7DE" w14:textId="77777777" w:rsidR="00E23501" w:rsidRPr="00D471EF" w:rsidRDefault="00E23501" w:rsidP="00945907">
            <w:pPr>
              <w:spacing w:after="0"/>
              <w:rPr>
                <w:color w:val="auto"/>
                <w:sz w:val="20"/>
                <w:szCs w:val="20"/>
              </w:rPr>
            </w:pPr>
            <w:r w:rsidRPr="00D471EF">
              <w:rPr>
                <w:color w:val="auto"/>
                <w:sz w:val="20"/>
                <w:szCs w:val="20"/>
              </w:rPr>
              <w:t>Metric tables, methodologies and assurance reports.</w:t>
            </w:r>
          </w:p>
        </w:tc>
        <w:tc>
          <w:tcPr>
            <w:tcW w:w="2659" w:type="dxa"/>
            <w:shd w:val="clear" w:color="auto" w:fill="F3F5F7"/>
            <w:tcMar>
              <w:top w:w="80" w:type="dxa"/>
              <w:bottom w:w="80" w:type="dxa"/>
            </w:tcMar>
          </w:tcPr>
          <w:p w14:paraId="7F325116" w14:textId="77777777" w:rsidR="00E23501" w:rsidRPr="00D471EF" w:rsidRDefault="00E23501" w:rsidP="00945907">
            <w:pPr>
              <w:spacing w:after="0"/>
              <w:rPr>
                <w:color w:val="auto"/>
                <w:sz w:val="20"/>
                <w:szCs w:val="20"/>
              </w:rPr>
            </w:pPr>
            <w:r w:rsidRPr="00D471EF">
              <w:rPr>
                <w:color w:val="auto"/>
                <w:sz w:val="20"/>
                <w:szCs w:val="20"/>
              </w:rPr>
              <w:t>Baseline, boundary, unit, restatement and assurance are explicit.</w:t>
            </w:r>
          </w:p>
        </w:tc>
      </w:tr>
      <w:tr w:rsidR="00E23501" w:rsidRPr="00D471EF" w14:paraId="6A570349" w14:textId="77777777" w:rsidTr="00E23501">
        <w:trPr>
          <w:cantSplit/>
          <w:trHeight w:val="1872"/>
          <w:jc w:val="center"/>
        </w:trPr>
        <w:tc>
          <w:tcPr>
            <w:tcW w:w="1727" w:type="dxa"/>
            <w:tcMar>
              <w:top w:w="80" w:type="dxa"/>
              <w:bottom w:w="80" w:type="dxa"/>
            </w:tcMar>
          </w:tcPr>
          <w:p w14:paraId="4EA20465" w14:textId="77777777" w:rsidR="00E23501" w:rsidRPr="00D471EF" w:rsidRDefault="00E23501" w:rsidP="00945907">
            <w:pPr>
              <w:spacing w:after="0"/>
              <w:rPr>
                <w:color w:val="auto"/>
                <w:sz w:val="20"/>
                <w:szCs w:val="20"/>
              </w:rPr>
            </w:pPr>
            <w:r w:rsidRPr="00D471EF">
              <w:rPr>
                <w:color w:val="auto"/>
                <w:sz w:val="20"/>
                <w:szCs w:val="20"/>
              </w:rPr>
              <w:t>Social and governance outcome</w:t>
            </w:r>
          </w:p>
        </w:tc>
        <w:tc>
          <w:tcPr>
            <w:tcW w:w="2971" w:type="dxa"/>
            <w:tcMar>
              <w:top w:w="80" w:type="dxa"/>
              <w:bottom w:w="80" w:type="dxa"/>
            </w:tcMar>
          </w:tcPr>
          <w:p w14:paraId="388F6691" w14:textId="77777777" w:rsidR="00E23501" w:rsidRPr="00D471EF" w:rsidRDefault="00E23501" w:rsidP="00945907">
            <w:pPr>
              <w:spacing w:after="0"/>
              <w:rPr>
                <w:color w:val="auto"/>
                <w:sz w:val="20"/>
                <w:szCs w:val="20"/>
              </w:rPr>
            </w:pPr>
            <w:r w:rsidRPr="00D471EF">
              <w:rPr>
                <w:color w:val="auto"/>
                <w:sz w:val="20"/>
                <w:szCs w:val="20"/>
              </w:rPr>
              <w:t>Workforce, product responsibility, community reach, due diligence and control evidence.</w:t>
            </w:r>
          </w:p>
        </w:tc>
        <w:tc>
          <w:tcPr>
            <w:tcW w:w="2750" w:type="dxa"/>
            <w:tcMar>
              <w:top w:w="80" w:type="dxa"/>
              <w:bottom w:w="80" w:type="dxa"/>
            </w:tcMar>
          </w:tcPr>
          <w:p w14:paraId="705E9447" w14:textId="77777777" w:rsidR="00E23501" w:rsidRPr="00D471EF" w:rsidRDefault="00E23501" w:rsidP="00945907">
            <w:pPr>
              <w:spacing w:after="0"/>
              <w:rPr>
                <w:color w:val="auto"/>
                <w:sz w:val="20"/>
                <w:szCs w:val="20"/>
              </w:rPr>
            </w:pPr>
            <w:r w:rsidRPr="00D471EF">
              <w:rPr>
                <w:color w:val="auto"/>
                <w:sz w:val="20"/>
                <w:szCs w:val="20"/>
              </w:rPr>
              <w:t>Company data, regulator records and independent benchmarks.</w:t>
            </w:r>
          </w:p>
        </w:tc>
        <w:tc>
          <w:tcPr>
            <w:tcW w:w="2659" w:type="dxa"/>
            <w:tcMar>
              <w:top w:w="80" w:type="dxa"/>
              <w:bottom w:w="80" w:type="dxa"/>
            </w:tcMar>
          </w:tcPr>
          <w:p w14:paraId="776B4C32" w14:textId="77777777" w:rsidR="00E23501" w:rsidRPr="00D471EF" w:rsidRDefault="00E23501" w:rsidP="00945907">
            <w:pPr>
              <w:spacing w:after="0"/>
              <w:rPr>
                <w:color w:val="auto"/>
                <w:sz w:val="20"/>
                <w:szCs w:val="20"/>
              </w:rPr>
            </w:pPr>
            <w:r w:rsidRPr="00D471EF">
              <w:rPr>
                <w:color w:val="auto"/>
                <w:sz w:val="20"/>
                <w:szCs w:val="20"/>
              </w:rPr>
              <w:t>Outcome is distinguished from activity or reach; legal status is represented accurately.</w:t>
            </w:r>
          </w:p>
        </w:tc>
      </w:tr>
      <w:tr w:rsidR="00E23501" w:rsidRPr="00D471EF" w14:paraId="7CDB9E15" w14:textId="77777777" w:rsidTr="00E23501">
        <w:trPr>
          <w:cantSplit/>
          <w:trHeight w:val="1517"/>
          <w:jc w:val="center"/>
        </w:trPr>
        <w:tc>
          <w:tcPr>
            <w:tcW w:w="1727" w:type="dxa"/>
            <w:shd w:val="clear" w:color="auto" w:fill="F3F5F7"/>
            <w:tcMar>
              <w:top w:w="80" w:type="dxa"/>
              <w:bottom w:w="80" w:type="dxa"/>
            </w:tcMar>
          </w:tcPr>
          <w:p w14:paraId="272601BB" w14:textId="77777777" w:rsidR="00E23501" w:rsidRPr="00D471EF" w:rsidRDefault="00E23501" w:rsidP="00945907">
            <w:pPr>
              <w:spacing w:after="0"/>
              <w:rPr>
                <w:color w:val="auto"/>
                <w:sz w:val="20"/>
                <w:szCs w:val="20"/>
              </w:rPr>
            </w:pPr>
            <w:r w:rsidRPr="00D471EF">
              <w:rPr>
                <w:color w:val="auto"/>
                <w:sz w:val="20"/>
                <w:szCs w:val="20"/>
              </w:rPr>
              <w:t>Reputation</w:t>
            </w:r>
          </w:p>
        </w:tc>
        <w:tc>
          <w:tcPr>
            <w:tcW w:w="2971" w:type="dxa"/>
            <w:shd w:val="clear" w:color="auto" w:fill="F3F5F7"/>
            <w:tcMar>
              <w:top w:w="80" w:type="dxa"/>
              <w:bottom w:w="80" w:type="dxa"/>
            </w:tcMar>
          </w:tcPr>
          <w:p w14:paraId="781D2039" w14:textId="77777777" w:rsidR="00E23501" w:rsidRPr="00D471EF" w:rsidRDefault="00E23501" w:rsidP="00945907">
            <w:pPr>
              <w:spacing w:after="0"/>
              <w:rPr>
                <w:color w:val="auto"/>
                <w:sz w:val="20"/>
                <w:szCs w:val="20"/>
              </w:rPr>
            </w:pPr>
            <w:r w:rsidRPr="00D471EF">
              <w:rPr>
                <w:color w:val="auto"/>
                <w:sz w:val="20"/>
                <w:szCs w:val="20"/>
              </w:rPr>
              <w:t>Independent ranking, scrutiny, stakeholder trust signal or issue-specific response.</w:t>
            </w:r>
          </w:p>
        </w:tc>
        <w:tc>
          <w:tcPr>
            <w:tcW w:w="2750" w:type="dxa"/>
            <w:shd w:val="clear" w:color="auto" w:fill="F3F5F7"/>
            <w:tcMar>
              <w:top w:w="80" w:type="dxa"/>
              <w:bottom w:w="80" w:type="dxa"/>
            </w:tcMar>
          </w:tcPr>
          <w:p w14:paraId="106A1AE1" w14:textId="77777777" w:rsidR="00E23501" w:rsidRPr="00D471EF" w:rsidRDefault="00E23501" w:rsidP="00945907">
            <w:pPr>
              <w:spacing w:after="0"/>
              <w:rPr>
                <w:color w:val="auto"/>
                <w:sz w:val="20"/>
                <w:szCs w:val="20"/>
              </w:rPr>
            </w:pPr>
            <w:r w:rsidRPr="00D471EF">
              <w:rPr>
                <w:color w:val="auto"/>
                <w:sz w:val="20"/>
                <w:szCs w:val="20"/>
              </w:rPr>
              <w:t>Regulators, method-disclosed benchmarks and longitudinal surveys.</w:t>
            </w:r>
          </w:p>
        </w:tc>
        <w:tc>
          <w:tcPr>
            <w:tcW w:w="2659" w:type="dxa"/>
            <w:shd w:val="clear" w:color="auto" w:fill="F3F5F7"/>
            <w:tcMar>
              <w:top w:w="80" w:type="dxa"/>
              <w:bottom w:w="80" w:type="dxa"/>
            </w:tcMar>
          </w:tcPr>
          <w:p w14:paraId="5195DA11" w14:textId="77777777" w:rsidR="00E23501" w:rsidRPr="00D471EF" w:rsidRDefault="00E23501" w:rsidP="00945907">
            <w:pPr>
              <w:spacing w:after="0"/>
              <w:rPr>
                <w:color w:val="auto"/>
                <w:sz w:val="20"/>
                <w:szCs w:val="20"/>
              </w:rPr>
            </w:pPr>
            <w:r w:rsidRPr="00D471EF">
              <w:rPr>
                <w:color w:val="auto"/>
                <w:sz w:val="20"/>
                <w:szCs w:val="20"/>
              </w:rPr>
              <w:t>Source is independent; stakeholder and construct are identifiable.</w:t>
            </w:r>
          </w:p>
        </w:tc>
      </w:tr>
      <w:tr w:rsidR="00E23501" w:rsidRPr="00D471EF" w14:paraId="7AAA1C54" w14:textId="77777777" w:rsidTr="00E23501">
        <w:trPr>
          <w:cantSplit/>
          <w:trHeight w:val="1517"/>
          <w:jc w:val="center"/>
        </w:trPr>
        <w:tc>
          <w:tcPr>
            <w:tcW w:w="1727" w:type="dxa"/>
            <w:tcMar>
              <w:top w:w="80" w:type="dxa"/>
              <w:bottom w:w="80" w:type="dxa"/>
            </w:tcMar>
          </w:tcPr>
          <w:p w14:paraId="104C78A7" w14:textId="77777777" w:rsidR="00E23501" w:rsidRPr="00D471EF" w:rsidRDefault="00E23501" w:rsidP="00945907">
            <w:pPr>
              <w:spacing w:after="0"/>
              <w:rPr>
                <w:color w:val="auto"/>
                <w:sz w:val="20"/>
                <w:szCs w:val="20"/>
              </w:rPr>
            </w:pPr>
            <w:r w:rsidRPr="00D471EF">
              <w:rPr>
                <w:color w:val="auto"/>
                <w:sz w:val="20"/>
                <w:szCs w:val="20"/>
              </w:rPr>
              <w:t>Competitive proxy</w:t>
            </w:r>
          </w:p>
        </w:tc>
        <w:tc>
          <w:tcPr>
            <w:tcW w:w="2971" w:type="dxa"/>
            <w:tcMar>
              <w:top w:w="80" w:type="dxa"/>
              <w:bottom w:w="80" w:type="dxa"/>
            </w:tcMar>
          </w:tcPr>
          <w:p w14:paraId="60BD5D3B" w14:textId="77777777" w:rsidR="00E23501" w:rsidRPr="00D471EF" w:rsidRDefault="00E23501" w:rsidP="00945907">
            <w:pPr>
              <w:spacing w:after="0"/>
              <w:rPr>
                <w:color w:val="auto"/>
                <w:sz w:val="20"/>
                <w:szCs w:val="20"/>
              </w:rPr>
            </w:pPr>
            <w:r w:rsidRPr="00D471EF">
              <w:rPr>
                <w:color w:val="auto"/>
                <w:sz w:val="20"/>
                <w:szCs w:val="20"/>
              </w:rPr>
              <w:t>Innovation, resource productivity, growth, margin, market position and resilience.</w:t>
            </w:r>
          </w:p>
        </w:tc>
        <w:tc>
          <w:tcPr>
            <w:tcW w:w="2750" w:type="dxa"/>
            <w:tcMar>
              <w:top w:w="80" w:type="dxa"/>
              <w:bottom w:w="80" w:type="dxa"/>
            </w:tcMar>
          </w:tcPr>
          <w:p w14:paraId="5BAE93F9" w14:textId="77777777" w:rsidR="00E23501" w:rsidRPr="00D471EF" w:rsidRDefault="00E23501" w:rsidP="00945907">
            <w:pPr>
              <w:spacing w:after="0"/>
              <w:rPr>
                <w:color w:val="auto"/>
                <w:sz w:val="20"/>
                <w:szCs w:val="20"/>
              </w:rPr>
            </w:pPr>
            <w:r w:rsidRPr="00D471EF">
              <w:rPr>
                <w:color w:val="auto"/>
                <w:sz w:val="20"/>
                <w:szCs w:val="20"/>
              </w:rPr>
              <w:t>Audited financial reporting and traceable market evidence.</w:t>
            </w:r>
          </w:p>
        </w:tc>
        <w:tc>
          <w:tcPr>
            <w:tcW w:w="2659" w:type="dxa"/>
            <w:tcMar>
              <w:top w:w="80" w:type="dxa"/>
              <w:bottom w:w="80" w:type="dxa"/>
            </w:tcMar>
          </w:tcPr>
          <w:p w14:paraId="536F94BE" w14:textId="77777777" w:rsidR="00E23501" w:rsidRPr="00D471EF" w:rsidRDefault="00E23501" w:rsidP="00945907">
            <w:pPr>
              <w:spacing w:after="0"/>
              <w:rPr>
                <w:color w:val="auto"/>
                <w:sz w:val="20"/>
                <w:szCs w:val="20"/>
              </w:rPr>
            </w:pPr>
            <w:r w:rsidRPr="00D471EF">
              <w:rPr>
                <w:color w:val="auto"/>
                <w:sz w:val="20"/>
                <w:szCs w:val="20"/>
              </w:rPr>
              <w:t>Portfolio, price, currency, demand and time-lag rival explanations are tested.</w:t>
            </w:r>
          </w:p>
        </w:tc>
      </w:tr>
      <w:tr w:rsidR="00E23501" w:rsidRPr="00D471EF" w14:paraId="138F39DE" w14:textId="77777777" w:rsidTr="00E23501">
        <w:trPr>
          <w:cantSplit/>
          <w:trHeight w:val="1517"/>
          <w:jc w:val="center"/>
        </w:trPr>
        <w:tc>
          <w:tcPr>
            <w:tcW w:w="1727" w:type="dxa"/>
            <w:shd w:val="clear" w:color="auto" w:fill="F3F5F7"/>
            <w:tcMar>
              <w:top w:w="80" w:type="dxa"/>
              <w:bottom w:w="80" w:type="dxa"/>
            </w:tcMar>
          </w:tcPr>
          <w:p w14:paraId="6B0DC484" w14:textId="77777777" w:rsidR="00E23501" w:rsidRPr="00D471EF" w:rsidRDefault="00E23501" w:rsidP="00945907">
            <w:pPr>
              <w:spacing w:after="0"/>
              <w:rPr>
                <w:color w:val="auto"/>
                <w:sz w:val="20"/>
                <w:szCs w:val="20"/>
              </w:rPr>
            </w:pPr>
            <w:r w:rsidRPr="00D471EF">
              <w:rPr>
                <w:color w:val="auto"/>
                <w:sz w:val="20"/>
                <w:szCs w:val="20"/>
              </w:rPr>
              <w:t>Cross-case judgement</w:t>
            </w:r>
          </w:p>
        </w:tc>
        <w:tc>
          <w:tcPr>
            <w:tcW w:w="2971" w:type="dxa"/>
            <w:shd w:val="clear" w:color="auto" w:fill="F3F5F7"/>
            <w:tcMar>
              <w:top w:w="80" w:type="dxa"/>
              <w:bottom w:w="80" w:type="dxa"/>
            </w:tcMar>
          </w:tcPr>
          <w:p w14:paraId="0A38DB7E" w14:textId="77777777" w:rsidR="00E23501" w:rsidRPr="00D471EF" w:rsidRDefault="00E23501" w:rsidP="00945907">
            <w:pPr>
              <w:spacing w:after="0"/>
              <w:rPr>
                <w:color w:val="auto"/>
                <w:sz w:val="20"/>
                <w:szCs w:val="20"/>
              </w:rPr>
            </w:pPr>
            <w:r w:rsidRPr="00D471EF">
              <w:rPr>
                <w:color w:val="auto"/>
                <w:sz w:val="20"/>
                <w:szCs w:val="20"/>
              </w:rPr>
              <w:t>Supported, conditional or not demonstrated mechanism.</w:t>
            </w:r>
          </w:p>
        </w:tc>
        <w:tc>
          <w:tcPr>
            <w:tcW w:w="2750" w:type="dxa"/>
            <w:shd w:val="clear" w:color="auto" w:fill="F3F5F7"/>
            <w:tcMar>
              <w:top w:w="80" w:type="dxa"/>
              <w:bottom w:w="80" w:type="dxa"/>
            </w:tcMar>
          </w:tcPr>
          <w:p w14:paraId="424914AA" w14:textId="77777777" w:rsidR="00E23501" w:rsidRPr="00D471EF" w:rsidRDefault="00E23501" w:rsidP="00945907">
            <w:pPr>
              <w:spacing w:after="0"/>
              <w:rPr>
                <w:color w:val="auto"/>
                <w:sz w:val="20"/>
                <w:szCs w:val="20"/>
              </w:rPr>
            </w:pPr>
            <w:r w:rsidRPr="00D471EF">
              <w:rPr>
                <w:color w:val="auto"/>
                <w:sz w:val="20"/>
                <w:szCs w:val="20"/>
              </w:rPr>
              <w:t>Triangulated case matrix and negative evidence.</w:t>
            </w:r>
          </w:p>
        </w:tc>
        <w:tc>
          <w:tcPr>
            <w:tcW w:w="2659" w:type="dxa"/>
            <w:shd w:val="clear" w:color="auto" w:fill="F3F5F7"/>
            <w:tcMar>
              <w:top w:w="80" w:type="dxa"/>
              <w:bottom w:w="80" w:type="dxa"/>
            </w:tcMar>
          </w:tcPr>
          <w:p w14:paraId="08AA97D3" w14:textId="77777777" w:rsidR="00E23501" w:rsidRPr="00D471EF" w:rsidRDefault="00E23501" w:rsidP="00945907">
            <w:pPr>
              <w:spacing w:after="0"/>
              <w:rPr>
                <w:color w:val="auto"/>
                <w:sz w:val="20"/>
                <w:szCs w:val="20"/>
              </w:rPr>
            </w:pPr>
            <w:r w:rsidRPr="00D471EF">
              <w:rPr>
                <w:color w:val="auto"/>
                <w:sz w:val="20"/>
                <w:szCs w:val="20"/>
              </w:rPr>
              <w:t>Inference does not exceed source strength; alternative explanations remain visible.</w:t>
            </w:r>
          </w:p>
        </w:tc>
      </w:tr>
    </w:tbl>
    <w:p w14:paraId="78ABC6AC" w14:textId="77777777" w:rsidR="00E23501" w:rsidRPr="00D471EF" w:rsidRDefault="00E23501" w:rsidP="00E23501">
      <w:pPr>
        <w:jc w:val="center"/>
        <w:rPr>
          <w:i/>
          <w:iCs/>
        </w:rPr>
      </w:pPr>
      <w:r w:rsidRPr="00D471EF">
        <w:rPr>
          <w:i/>
          <w:iCs/>
        </w:rPr>
        <w:t xml:space="preserve">Source: Created by the </w:t>
      </w:r>
      <w:r>
        <w:rPr>
          <w:i/>
          <w:iCs/>
        </w:rPr>
        <w:t>A</w:t>
      </w:r>
      <w:r w:rsidRPr="00D471EF">
        <w:rPr>
          <w:i/>
          <w:iCs/>
        </w:rPr>
        <w:t>uthor</w:t>
      </w:r>
    </w:p>
    <w:p w14:paraId="347348B1" w14:textId="77777777" w:rsidR="004B4463" w:rsidRDefault="00F763E6">
      <w:r>
        <w:t> </w:t>
      </w:r>
    </w:p>
    <w:p w14:paraId="45B88FEF" w14:textId="77777777" w:rsidR="004B4463" w:rsidRDefault="00F763E6">
      <w:pPr>
        <w:pStyle w:val="Heading2"/>
      </w:pPr>
      <w:bookmarkStart w:id="71" w:name="_Toc240378624"/>
      <w:bookmarkStart w:id="72" w:name="_Toc241154046"/>
      <w:r>
        <w:lastRenderedPageBreak/>
        <w:t>3.7 Analytical procedure</w:t>
      </w:r>
      <w:bookmarkEnd w:id="71"/>
      <w:bookmarkEnd w:id="72"/>
    </w:p>
    <w:p w14:paraId="5476914D" w14:textId="77777777" w:rsidR="004B4463" w:rsidRDefault="00F763E6">
      <w:r>
        <w:t>The analysis follows five stages. First, the documentary corpus is familiarised and coded against the initial framework. Second, reflexive thematic analysis is used to develop patterns within and across-cases; consistent with Braun and Clarke (2021), themes are treated as analytical constructions rather than facts waiting to be discovered. Third, within-case chronology links strategy, implementation and observed outcomes where comparable time points are available. Fourth, cross-case pattern matching examines whether stronger governance and evidence are accompanied by more credible operational or stakeholder mechanisms. Fifth, explanation building tests rival accounts including category demand, pricing, acquisitions, disposals, exchange rates and macroeconomic shocks. Appendix A provides representative coded excerpts and rival-explanation notes from the final source set so that the analytical pathway is visible without claiming intercoder reliability.</w:t>
      </w:r>
    </w:p>
    <w:p w14:paraId="63B109C4" w14:textId="51F96946" w:rsidR="004B4463" w:rsidRDefault="00F763E6">
      <w:r>
        <w:t>Direction and scale are reported descriptively rather than used to approximate a causal coefficient. Because organisational boundaries, currencies, baselines and metric definitions differ, no synthetic cross-company ESG score is calculated and the companies are not ranked. Instead, the analysis identifies where evidence is supported, conditional or contradicted. Negative cases</w:t>
      </w:r>
      <w:r w:rsidR="00D471EF">
        <w:t xml:space="preserve">, </w:t>
      </w:r>
      <w:r>
        <w:t>such as positive ESG indicators alongside weak commercial outcomes</w:t>
      </w:r>
      <w:r w:rsidR="00D471EF">
        <w:t xml:space="preserve"> </w:t>
      </w:r>
      <w:r>
        <w:t>are analytically useful because they challenge assumptions of direct effects.</w:t>
      </w:r>
    </w:p>
    <w:p w14:paraId="19D09965" w14:textId="77777777" w:rsidR="004B4463" w:rsidRDefault="00F763E6">
      <w:r>
        <w:t>Cross-case propositions are calibrated using three levels. 'Supported' is reserved for a mechanism observed in more than one case with evidence consistent with theory and no stronger rival explanation for the specific observed relationship. 'Conditional' is used where evidence of a mechanism is present but depends materially on category, boundary, time, external actors or unresolved rival explanations. 'Not demonstrated' means that the available documents do not establish the proposed link; it does not mean the link cannot exist. Where a mechanism is plausible but credible alternatives remain, Table 4 uses conditional or configurational language rather than claiming a demonstrated effect. The evidence set is a documentary corpus, not a consultation panel.</w:t>
      </w:r>
    </w:p>
    <w:p w14:paraId="72996E76" w14:textId="77777777" w:rsidR="004B4463" w:rsidRDefault="00F763E6">
      <w:r>
        <w:lastRenderedPageBreak/>
        <w:t>Intercoder reliability is not calculated because the study was conducted by a single researcher and uses reflexive thematic analysis rather than fixed content counting. Consistent with Braun and Clarke (2021), quality is instead supported by explicit code definitions, source traceability and repeated challenge of emerging themes. A second researcher should therefore be able to follow the evidence trail and understand how interpretations were developed, while potentially reaching a different but defensible thematic emphasis.</w:t>
      </w:r>
    </w:p>
    <w:p w14:paraId="032F9C9B" w14:textId="77777777" w:rsidR="004B4463" w:rsidRDefault="00F763E6">
      <w:pPr>
        <w:pStyle w:val="Heading2"/>
      </w:pPr>
      <w:bookmarkStart w:id="73" w:name="_Toc240378625"/>
      <w:bookmarkStart w:id="74" w:name="_Hlk241071839"/>
      <w:bookmarkStart w:id="75" w:name="_Toc241154047"/>
      <w:r>
        <w:t>3.8 Research quality and reflexivity</w:t>
      </w:r>
      <w:bookmarkEnd w:id="73"/>
      <w:bookmarkEnd w:id="75"/>
    </w:p>
    <w:p w14:paraId="71D990FA" w14:textId="77777777" w:rsidR="00C95AB5" w:rsidRDefault="00C95AB5" w:rsidP="00C95AB5">
      <w:r>
        <w:t>Source triangulation, assessment of the quality of evidence with regard to claims and explicit focus on disconfirming material increases credibility. The structured extraction fields and the reconstructed claim-to-source matrix as presented in Appendix A, support the dependability and confirmability is addressed by separating facts reported and external evaluations and researcher inferences. Representative coding examples provide transparency in the interpretations made. They increase the auditability of the final submission, but do not duplicate undocumented working records. Transferability is sought by describing categories in detail, by describing markets and case boundaries rather than by statistical generalisation.</w:t>
      </w:r>
    </w:p>
    <w:p w14:paraId="587A741B" w14:textId="429BC91F" w:rsidR="004B4463" w:rsidRDefault="00C95AB5" w:rsidP="00C95AB5">
      <w:r>
        <w:t>Reflexivity is still significant as coding and causal interpretation is the work of the researcher. ESG is normatively contested and the interpretation can be skewed by both positive-business-case and greenwashing discourses. So the analysis asks the following questions of favourable evidence and unfavourable evidence: what is observed, what is it compared against, how big is the scale, how reliable is the evidence, and what other explanation is there? Self-reporting by companies is not discarded, but rather is subject to scrutiny, requiring specificity, and corroboration and consistency</w:t>
      </w:r>
      <w:r w:rsidR="00F763E6">
        <w:t>.</w:t>
      </w:r>
    </w:p>
    <w:p w14:paraId="6CC508D2" w14:textId="77777777" w:rsidR="004B4463" w:rsidRDefault="00F763E6">
      <w:pPr>
        <w:pStyle w:val="Heading2"/>
      </w:pPr>
      <w:bookmarkStart w:id="76" w:name="_Toc240378626"/>
      <w:bookmarkStart w:id="77" w:name="_Toc241154048"/>
      <w:r>
        <w:t>3.9 Ethical considerations</w:t>
      </w:r>
      <w:bookmarkEnd w:id="76"/>
      <w:bookmarkEnd w:id="77"/>
    </w:p>
    <w:p w14:paraId="339C8E9B" w14:textId="6E596DDB" w:rsidR="00C95AB5" w:rsidRDefault="00C95AB5" w:rsidP="00C95AB5">
      <w:r>
        <w:t xml:space="preserve">There are no human participants or personal data collection involved in the study, it relies on the publicly available organisational, regulatory and academic sources. The primary moral duties are: accurate representation, paraphrase without infringing on copyright, transparent citation, faithful treatment of the uncertainty and avoidance of fabricated or altered evidence. The word "regulatory investigations" are not considered breach </w:t>
      </w:r>
      <w:r>
        <w:lastRenderedPageBreak/>
        <w:t>determinations; "litigation disclosed by a company" are not considered proof of liability, and "assurance claims" are limited to the scope as stated by the relevant practitioner. Where there is institutional ethics approval or exemption this is reported only if there is a relevant university record; there is no pretence of such approval or exemption here.</w:t>
      </w:r>
    </w:p>
    <w:p w14:paraId="7D1D897B" w14:textId="77777777" w:rsidR="004B4463" w:rsidRDefault="00F763E6">
      <w:pPr>
        <w:pStyle w:val="Heading2"/>
      </w:pPr>
      <w:bookmarkStart w:id="78" w:name="_Toc240378627"/>
      <w:bookmarkStart w:id="79" w:name="_Toc241154049"/>
      <w:r>
        <w:t>3.10 Methodological limitations</w:t>
      </w:r>
      <w:bookmarkEnd w:id="78"/>
      <w:bookmarkEnd w:id="79"/>
    </w:p>
    <w:p w14:paraId="7569FE87" w14:textId="77777777" w:rsidR="00C95AB5" w:rsidRDefault="00C95AB5" w:rsidP="00C95AB5">
      <w:r>
        <w:t>Public reports can be selective and include incentives for impression management. Limited assurances are typically directed at certain elements or measurements instead of a complete story. Reputation measures are not always comparable across the four companies and there are several factors that can complicate and affect commercial results. A limitation of transferability is that the cases are large listed organisations, so that smaller companies, private companies, various company structures and other industries cannot be transferred. The time frame of 2020–2025 is also short compared to some climate and supply-chain investments and time-series evidence is not equal across metrics. Lastly, documentary analysis will not capture the interpretation of corporate action by stakeholders directly and therefore reputational mechanisms will be only indirectly apparent in the documentary analysis.</w:t>
      </w:r>
    </w:p>
    <w:p w14:paraId="5E973BFD" w14:textId="13F11E92" w:rsidR="004B4463" w:rsidRDefault="00C95AB5" w:rsidP="00C95AB5">
      <w:pPr>
        <w:rPr>
          <w:rFonts w:ascii="Times New Roman" w:hAnsi="Times New Roman"/>
        </w:rPr>
      </w:pPr>
      <w:r>
        <w:t>Through triangulation, boundary checking and careful use of causal language these limitations are managed, not eradicated.</w:t>
      </w:r>
      <w:bookmarkEnd w:id="60"/>
    </w:p>
    <w:p w14:paraId="6AE54F12" w14:textId="77777777" w:rsidR="004D7A10" w:rsidRPr="00C176D7" w:rsidRDefault="004D7A10" w:rsidP="004D7A10">
      <w:pPr>
        <w:pStyle w:val="Heading1"/>
        <w:pageBreakBefore/>
        <w:spacing w:before="0"/>
        <w:rPr>
          <w:rFonts w:cs="Arial"/>
        </w:rPr>
      </w:pPr>
      <w:bookmarkStart w:id="80" w:name="_Toc240378628"/>
      <w:bookmarkStart w:id="81" w:name="_Hlk241072459"/>
      <w:bookmarkStart w:id="82" w:name="_Toc241154050"/>
      <w:bookmarkEnd w:id="74"/>
      <w:r w:rsidRPr="00C176D7">
        <w:rPr>
          <w:rFonts w:cs="Arial"/>
        </w:rPr>
        <w:lastRenderedPageBreak/>
        <w:t>Chapter 4: Data Analysis and Findings</w:t>
      </w:r>
      <w:bookmarkEnd w:id="80"/>
      <w:bookmarkEnd w:id="82"/>
    </w:p>
    <w:p w14:paraId="7A175089" w14:textId="77777777" w:rsidR="004D7A10" w:rsidRPr="00C176D7" w:rsidRDefault="004D7A10" w:rsidP="004D7A10">
      <w:pPr>
        <w:pStyle w:val="Heading2"/>
        <w:rPr>
          <w:rFonts w:cs="Arial"/>
        </w:rPr>
      </w:pPr>
      <w:bookmarkStart w:id="83" w:name="_Toc240378629"/>
      <w:bookmarkStart w:id="84" w:name="_Toc241154051"/>
      <w:bookmarkEnd w:id="81"/>
      <w:r w:rsidRPr="00C176D7">
        <w:rPr>
          <w:rFonts w:cs="Arial"/>
        </w:rPr>
        <w:t>4.1 Introduction</w:t>
      </w:r>
      <w:bookmarkEnd w:id="83"/>
      <w:bookmarkEnd w:id="84"/>
    </w:p>
    <w:p w14:paraId="6B79804B" w14:textId="77777777" w:rsidR="004D7A10" w:rsidRPr="00C176D7" w:rsidRDefault="004D7A10" w:rsidP="004D7A10">
      <w:pPr>
        <w:rPr>
          <w:rFonts w:cs="Arial"/>
        </w:rPr>
      </w:pPr>
      <w:r>
        <w:t>This chapter presents the documentary findings. It begins with the cross-case strategic configuration, then examines each company using a common sequence: strategy and governance, implementation, reported outcomes, reputation-relevant evidence and competitive proxies. The final section synthesises cross-case patterns and counter-patterns. Measures are identified as company-reported unless they originate from an independent source.</w:t>
      </w:r>
    </w:p>
    <w:p w14:paraId="2F3BA612" w14:textId="77777777" w:rsidR="004D7A10" w:rsidRPr="00C176D7" w:rsidRDefault="004D7A10" w:rsidP="004D7A10">
      <w:pPr>
        <w:pStyle w:val="Heading2"/>
        <w:rPr>
          <w:rFonts w:cs="Arial"/>
        </w:rPr>
      </w:pPr>
      <w:bookmarkStart w:id="85" w:name="_Toc240378630"/>
      <w:bookmarkStart w:id="86" w:name="_Toc241154052"/>
      <w:r w:rsidRPr="00C176D7">
        <w:rPr>
          <w:rFonts w:cs="Arial"/>
        </w:rPr>
        <w:t>4.2 Cross-case strategic configuration</w:t>
      </w:r>
      <w:bookmarkEnd w:id="85"/>
      <w:bookmarkEnd w:id="86"/>
    </w:p>
    <w:p w14:paraId="1E5EDEE0" w14:textId="77777777" w:rsidR="004D7A10" w:rsidRPr="00C176D7" w:rsidRDefault="004D7A10" w:rsidP="004D7A10">
      <w:pPr>
        <w:rPr>
          <w:rFonts w:cs="Arial"/>
        </w:rPr>
      </w:pPr>
      <w:r>
        <w:t>All four companies present sustainability as commercially significant, but they organise it differently. Unilever concentrates on four priorities: climate, nature, plastics and livelihoods. Reckitt links its purpose of 'cleaner, healthier lives' to more sustainable products, a healthier planet and a fairer society. Diageo's Spirit of Progress connects responsible drinking, inclusion and grain-to-glass sustainability to its beverage-alcohol business. ABF uses a devolved model in which individual businesses set plans within a group governance framework. These differences are not merely terminological; they create distinct strengths and control challenges.</w:t>
      </w:r>
    </w:p>
    <w:p w14:paraId="38990527" w14:textId="77777777" w:rsidR="004D7A10" w:rsidRPr="00C176D7" w:rsidRDefault="004D7A10" w:rsidP="004D7A10">
      <w:pPr>
        <w:rPr>
          <w:rFonts w:cs="Arial"/>
        </w:rPr>
      </w:pPr>
      <w:r>
        <w:t>Unilever and Reckitt have relatively centralised target architectures with explicit links to executive remuneration. Diageo aligns group targets with operational programmes in areas such as water, carbon and positive drinking. ABF's decentralised model makes group-level comparison and control more difficult, but it can improve category relevance because businesses such as ABF Sugar and Twinings Ovaltine face different material issues. All four cases use external limited assurance, although the scope varies. This commonality indicates that evidence credibility is a shared governance concern; it does not imply that the disclosures are equivalent.</w:t>
      </w:r>
    </w:p>
    <w:p w14:paraId="61677179" w14:textId="77777777" w:rsidR="004D7A10" w:rsidRPr="00C176D7" w:rsidRDefault="004D7A10" w:rsidP="00D471EF">
      <w:pPr>
        <w:pStyle w:val="Heading4"/>
      </w:pPr>
      <w:bookmarkStart w:id="87" w:name="table_3"/>
      <w:bookmarkStart w:id="88" w:name="_Toc240857236"/>
      <w:r w:rsidRPr="00C176D7">
        <w:lastRenderedPageBreak/>
        <w:t>Table 3. Cross-company ESG strategy and implementation evidence</w:t>
      </w:r>
      <w:bookmarkEnd w:id="87"/>
      <w:bookmarkEnd w:id="88"/>
    </w:p>
    <w:tbl>
      <w:tblPr>
        <w:tblW w:w="1041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5" w:type="dxa"/>
          <w:left w:w="90" w:type="dxa"/>
          <w:bottom w:w="105" w:type="dxa"/>
          <w:right w:w="90" w:type="dxa"/>
        </w:tblCellMar>
        <w:tblLook w:val="04A0" w:firstRow="1" w:lastRow="0" w:firstColumn="1" w:lastColumn="0" w:noHBand="0" w:noVBand="1"/>
      </w:tblPr>
      <w:tblGrid>
        <w:gridCol w:w="1363"/>
        <w:gridCol w:w="3204"/>
        <w:gridCol w:w="3322"/>
        <w:gridCol w:w="2526"/>
      </w:tblGrid>
      <w:tr w:rsidR="00D471EF" w:rsidRPr="00D471EF" w14:paraId="6E488DBF" w14:textId="77777777" w:rsidTr="00424968">
        <w:trPr>
          <w:cantSplit/>
          <w:trHeight w:val="816"/>
          <w:tblHeader/>
          <w:jc w:val="center"/>
        </w:trPr>
        <w:tc>
          <w:tcPr>
            <w:tcW w:w="1363" w:type="dxa"/>
            <w:shd w:val="clear" w:color="auto" w:fill="17365D"/>
          </w:tcPr>
          <w:p w14:paraId="587913A9" w14:textId="77777777" w:rsidR="004D7A10" w:rsidRPr="00D471EF" w:rsidRDefault="004D7A10" w:rsidP="0026770E">
            <w:pPr>
              <w:spacing w:after="0"/>
              <w:rPr>
                <w:rFonts w:cs="Arial"/>
                <w:color w:val="auto"/>
                <w:sz w:val="20"/>
                <w:szCs w:val="20"/>
              </w:rPr>
            </w:pPr>
            <w:r w:rsidRPr="00D471EF">
              <w:rPr>
                <w:rFonts w:cs="Arial"/>
                <w:b/>
                <w:color w:val="auto"/>
                <w:sz w:val="20"/>
                <w:szCs w:val="20"/>
              </w:rPr>
              <w:t>Company</w:t>
            </w:r>
          </w:p>
        </w:tc>
        <w:tc>
          <w:tcPr>
            <w:tcW w:w="3204" w:type="dxa"/>
            <w:shd w:val="clear" w:color="auto" w:fill="17365D"/>
          </w:tcPr>
          <w:p w14:paraId="37F41908" w14:textId="77777777" w:rsidR="004D7A10" w:rsidRPr="00D471EF" w:rsidRDefault="004D7A10" w:rsidP="0026770E">
            <w:pPr>
              <w:spacing w:after="0"/>
              <w:rPr>
                <w:rFonts w:cs="Arial"/>
                <w:color w:val="auto"/>
                <w:sz w:val="20"/>
                <w:szCs w:val="20"/>
              </w:rPr>
            </w:pPr>
            <w:r w:rsidRPr="00D471EF">
              <w:rPr>
                <w:rFonts w:cs="Arial"/>
                <w:b/>
                <w:color w:val="auto"/>
                <w:sz w:val="20"/>
                <w:szCs w:val="20"/>
              </w:rPr>
              <w:t>Strategic focus and governance</w:t>
            </w:r>
          </w:p>
        </w:tc>
        <w:tc>
          <w:tcPr>
            <w:tcW w:w="3322" w:type="dxa"/>
            <w:shd w:val="clear" w:color="auto" w:fill="17365D"/>
          </w:tcPr>
          <w:p w14:paraId="2A710B32" w14:textId="77777777" w:rsidR="004D7A10" w:rsidRPr="00D471EF" w:rsidRDefault="004D7A10" w:rsidP="0026770E">
            <w:pPr>
              <w:spacing w:after="0"/>
              <w:rPr>
                <w:rFonts w:cs="Arial"/>
                <w:color w:val="auto"/>
                <w:sz w:val="20"/>
                <w:szCs w:val="20"/>
              </w:rPr>
            </w:pPr>
            <w:r w:rsidRPr="00D471EF">
              <w:rPr>
                <w:rFonts w:cs="Arial"/>
                <w:b/>
                <w:color w:val="auto"/>
                <w:sz w:val="20"/>
                <w:szCs w:val="20"/>
              </w:rPr>
              <w:t>Selected 2025 implementation evidence</w:t>
            </w:r>
          </w:p>
        </w:tc>
        <w:tc>
          <w:tcPr>
            <w:tcW w:w="2526" w:type="dxa"/>
            <w:shd w:val="clear" w:color="auto" w:fill="17365D"/>
          </w:tcPr>
          <w:p w14:paraId="4DC734FC" w14:textId="77777777" w:rsidR="004D7A10" w:rsidRPr="00D471EF" w:rsidRDefault="004D7A10" w:rsidP="0026770E">
            <w:pPr>
              <w:spacing w:after="0"/>
              <w:rPr>
                <w:rFonts w:cs="Arial"/>
                <w:color w:val="auto"/>
                <w:sz w:val="20"/>
                <w:szCs w:val="20"/>
              </w:rPr>
            </w:pPr>
            <w:r w:rsidRPr="00D471EF">
              <w:rPr>
                <w:rFonts w:cs="Arial"/>
                <w:b/>
                <w:color w:val="auto"/>
                <w:sz w:val="20"/>
                <w:szCs w:val="20"/>
              </w:rPr>
              <w:t>Material caveat</w:t>
            </w:r>
          </w:p>
        </w:tc>
      </w:tr>
      <w:tr w:rsidR="00D471EF" w:rsidRPr="00D471EF" w14:paraId="65492B2F" w14:textId="77777777" w:rsidTr="00424968">
        <w:trPr>
          <w:cantSplit/>
          <w:trHeight w:val="2942"/>
          <w:jc w:val="center"/>
        </w:trPr>
        <w:tc>
          <w:tcPr>
            <w:tcW w:w="1363" w:type="dxa"/>
            <w:tcMar>
              <w:top w:w="80" w:type="dxa"/>
              <w:bottom w:w="80" w:type="dxa"/>
            </w:tcMar>
          </w:tcPr>
          <w:p w14:paraId="7072CF4C" w14:textId="77777777" w:rsidR="004D7A10" w:rsidRPr="00D471EF" w:rsidRDefault="004D7A10" w:rsidP="0026770E">
            <w:pPr>
              <w:spacing w:after="0"/>
              <w:rPr>
                <w:rFonts w:cs="Arial"/>
                <w:color w:val="auto"/>
                <w:sz w:val="20"/>
                <w:szCs w:val="20"/>
              </w:rPr>
            </w:pPr>
            <w:r w:rsidRPr="00D471EF">
              <w:rPr>
                <w:rFonts w:cs="Arial"/>
                <w:color w:val="auto"/>
                <w:sz w:val="20"/>
                <w:szCs w:val="20"/>
              </w:rPr>
              <w:t>Unilever</w:t>
            </w:r>
          </w:p>
        </w:tc>
        <w:tc>
          <w:tcPr>
            <w:tcW w:w="3204" w:type="dxa"/>
            <w:tcMar>
              <w:top w:w="80" w:type="dxa"/>
              <w:bottom w:w="80" w:type="dxa"/>
            </w:tcMar>
          </w:tcPr>
          <w:p w14:paraId="7F877AA3" w14:textId="77777777" w:rsidR="004D7A10" w:rsidRPr="00D471EF" w:rsidRDefault="004D7A10" w:rsidP="0026770E">
            <w:pPr>
              <w:spacing w:after="0"/>
              <w:rPr>
                <w:rFonts w:cs="Arial"/>
                <w:color w:val="auto"/>
                <w:sz w:val="20"/>
                <w:szCs w:val="20"/>
              </w:rPr>
            </w:pPr>
            <w:r w:rsidRPr="00D471EF">
              <w:rPr>
                <w:rFonts w:cs="Arial"/>
                <w:color w:val="auto"/>
                <w:sz w:val="20"/>
                <w:szCs w:val="20"/>
              </w:rPr>
              <w:t>Climate, nature, plastics and livelihoods; Board committee, double materiality and 15% sustainability weighting in the 2026–2028 performance-share plan.</w:t>
            </w:r>
          </w:p>
        </w:tc>
        <w:tc>
          <w:tcPr>
            <w:tcW w:w="3322" w:type="dxa"/>
            <w:tcMar>
              <w:top w:w="80" w:type="dxa"/>
              <w:bottom w:w="80" w:type="dxa"/>
            </w:tcMar>
          </w:tcPr>
          <w:p w14:paraId="0B78ABF0" w14:textId="77777777" w:rsidR="004D7A10" w:rsidRPr="00D471EF" w:rsidRDefault="004D7A10" w:rsidP="0026770E">
            <w:pPr>
              <w:spacing w:after="0"/>
              <w:rPr>
                <w:rFonts w:cs="Arial"/>
                <w:color w:val="auto"/>
                <w:sz w:val="20"/>
                <w:szCs w:val="20"/>
              </w:rPr>
            </w:pPr>
            <w:r w:rsidRPr="00D471EF">
              <w:rPr>
                <w:rFonts w:cs="Arial"/>
                <w:color w:val="auto"/>
                <w:sz w:val="20"/>
                <w:szCs w:val="20"/>
              </w:rPr>
              <w:t>77% Scope 1 and 2 reduction from 2015 toward a 100% 2030 target; 29% virgin-plastic reduction from 2019; 97% no-deforestation volumes.</w:t>
            </w:r>
          </w:p>
        </w:tc>
        <w:tc>
          <w:tcPr>
            <w:tcW w:w="2526" w:type="dxa"/>
            <w:tcMar>
              <w:top w:w="80" w:type="dxa"/>
              <w:bottom w:w="80" w:type="dxa"/>
            </w:tcMar>
          </w:tcPr>
          <w:p w14:paraId="2F68DF3E" w14:textId="77777777" w:rsidR="004D7A10" w:rsidRPr="00D471EF" w:rsidRDefault="004D7A10" w:rsidP="0026770E">
            <w:pPr>
              <w:spacing w:after="0"/>
              <w:rPr>
                <w:rFonts w:cs="Arial"/>
                <w:color w:val="auto"/>
                <w:sz w:val="20"/>
                <w:szCs w:val="20"/>
              </w:rPr>
            </w:pPr>
            <w:r w:rsidRPr="00D471EF">
              <w:rPr>
                <w:rFonts w:cs="Arial"/>
                <w:color w:val="auto"/>
                <w:sz w:val="20"/>
                <w:szCs w:val="20"/>
              </w:rPr>
              <w:t>Flexible packaging progress remained materially weaker than rigid packaging; product-level environmental claims attracted CMA scrutiny, but the closure did not determine either infringement or general compliance.</w:t>
            </w:r>
          </w:p>
        </w:tc>
      </w:tr>
      <w:tr w:rsidR="00D471EF" w:rsidRPr="00D471EF" w14:paraId="2593067C" w14:textId="77777777" w:rsidTr="00424968">
        <w:trPr>
          <w:cantSplit/>
          <w:trHeight w:val="3299"/>
          <w:jc w:val="center"/>
        </w:trPr>
        <w:tc>
          <w:tcPr>
            <w:tcW w:w="1363" w:type="dxa"/>
            <w:shd w:val="clear" w:color="auto" w:fill="F3F5F7"/>
            <w:tcMar>
              <w:top w:w="80" w:type="dxa"/>
              <w:bottom w:w="80" w:type="dxa"/>
            </w:tcMar>
          </w:tcPr>
          <w:p w14:paraId="430A85DD" w14:textId="77777777" w:rsidR="004D7A10" w:rsidRPr="00D471EF" w:rsidRDefault="004D7A10" w:rsidP="0026770E">
            <w:pPr>
              <w:spacing w:after="0"/>
              <w:rPr>
                <w:rFonts w:cs="Arial"/>
                <w:color w:val="auto"/>
                <w:sz w:val="20"/>
                <w:szCs w:val="20"/>
              </w:rPr>
            </w:pPr>
            <w:r w:rsidRPr="00D471EF">
              <w:rPr>
                <w:rFonts w:cs="Arial"/>
                <w:color w:val="auto"/>
                <w:sz w:val="20"/>
                <w:szCs w:val="20"/>
              </w:rPr>
              <w:t>Reckitt</w:t>
            </w:r>
          </w:p>
        </w:tc>
        <w:tc>
          <w:tcPr>
            <w:tcW w:w="3204" w:type="dxa"/>
            <w:shd w:val="clear" w:color="auto" w:fill="F3F5F7"/>
            <w:tcMar>
              <w:top w:w="80" w:type="dxa"/>
              <w:bottom w:w="80" w:type="dxa"/>
            </w:tcMar>
          </w:tcPr>
          <w:p w14:paraId="05BE3652" w14:textId="77777777" w:rsidR="004D7A10" w:rsidRPr="00D471EF" w:rsidRDefault="004D7A10" w:rsidP="0026770E">
            <w:pPr>
              <w:spacing w:after="0"/>
              <w:rPr>
                <w:rFonts w:cs="Arial"/>
                <w:color w:val="auto"/>
                <w:sz w:val="20"/>
                <w:szCs w:val="20"/>
              </w:rPr>
            </w:pPr>
            <w:r w:rsidRPr="00D471EF">
              <w:rPr>
                <w:rFonts w:cs="Arial"/>
                <w:color w:val="auto"/>
                <w:sz w:val="20"/>
                <w:szCs w:val="20"/>
              </w:rPr>
              <w:t>More sustainable brands, healthier planet and fairer society; product calculator and a 10% more-sustainable-products metric in the 2026 LTIP.</w:t>
            </w:r>
          </w:p>
        </w:tc>
        <w:tc>
          <w:tcPr>
            <w:tcW w:w="3322" w:type="dxa"/>
            <w:shd w:val="clear" w:color="auto" w:fill="F3F5F7"/>
            <w:tcMar>
              <w:top w:w="80" w:type="dxa"/>
              <w:bottom w:w="80" w:type="dxa"/>
            </w:tcMar>
          </w:tcPr>
          <w:p w14:paraId="6D36A2C1" w14:textId="77777777" w:rsidR="00981CC7" w:rsidRPr="00D471EF" w:rsidRDefault="00CC58FE">
            <w:pPr>
              <w:spacing w:after="0"/>
              <w:rPr>
                <w:color w:val="auto"/>
                <w:sz w:val="20"/>
                <w:szCs w:val="20"/>
              </w:rPr>
            </w:pPr>
            <w:r w:rsidRPr="00D471EF">
              <w:rPr>
                <w:color w:val="auto"/>
                <w:sz w:val="20"/>
                <w:szCs w:val="20"/>
              </w:rPr>
              <w:t>37.9% of net revenue classified as more sustainable products; 73% Scope 1 and 2 emissions reduction from 2015; 38 million people positively impacted by social-impact programmes since 2020.</w:t>
            </w:r>
          </w:p>
        </w:tc>
        <w:tc>
          <w:tcPr>
            <w:tcW w:w="2526" w:type="dxa"/>
            <w:shd w:val="clear" w:color="auto" w:fill="F3F5F7"/>
            <w:tcMar>
              <w:top w:w="80" w:type="dxa"/>
              <w:bottom w:w="80" w:type="dxa"/>
            </w:tcMar>
          </w:tcPr>
          <w:p w14:paraId="640EC471" w14:textId="77777777" w:rsidR="004D7A10" w:rsidRPr="00D471EF" w:rsidRDefault="004D7A10" w:rsidP="0026770E">
            <w:pPr>
              <w:spacing w:after="0"/>
              <w:rPr>
                <w:rFonts w:cs="Arial"/>
                <w:color w:val="auto"/>
                <w:sz w:val="20"/>
                <w:szCs w:val="20"/>
              </w:rPr>
            </w:pPr>
            <w:r w:rsidRPr="00D471EF">
              <w:rPr>
                <w:rFonts w:cs="Arial"/>
                <w:color w:val="auto"/>
                <w:sz w:val="20"/>
                <w:szCs w:val="20"/>
              </w:rPr>
              <w:t>Packaging performance was uneven and the 2030 revenue target was refocused on Core Reckitt; product litigation is a separate governance exposure.</w:t>
            </w:r>
          </w:p>
        </w:tc>
      </w:tr>
      <w:tr w:rsidR="00D471EF" w:rsidRPr="00D471EF" w14:paraId="1240F81C" w14:textId="77777777" w:rsidTr="00424968">
        <w:trPr>
          <w:cantSplit/>
          <w:trHeight w:val="2595"/>
          <w:jc w:val="center"/>
        </w:trPr>
        <w:tc>
          <w:tcPr>
            <w:tcW w:w="1363" w:type="dxa"/>
            <w:tcMar>
              <w:top w:w="80" w:type="dxa"/>
              <w:bottom w:w="80" w:type="dxa"/>
            </w:tcMar>
          </w:tcPr>
          <w:p w14:paraId="146C77F3" w14:textId="77777777" w:rsidR="004D7A10" w:rsidRPr="00D471EF" w:rsidRDefault="004D7A10" w:rsidP="0026770E">
            <w:pPr>
              <w:spacing w:after="0"/>
              <w:rPr>
                <w:rFonts w:cs="Arial"/>
                <w:color w:val="auto"/>
                <w:sz w:val="20"/>
                <w:szCs w:val="20"/>
              </w:rPr>
            </w:pPr>
            <w:r w:rsidRPr="00D471EF">
              <w:rPr>
                <w:rFonts w:cs="Arial"/>
                <w:color w:val="auto"/>
                <w:sz w:val="20"/>
                <w:szCs w:val="20"/>
              </w:rPr>
              <w:t>Diageo</w:t>
            </w:r>
          </w:p>
        </w:tc>
        <w:tc>
          <w:tcPr>
            <w:tcW w:w="3204" w:type="dxa"/>
            <w:tcMar>
              <w:top w:w="80" w:type="dxa"/>
              <w:bottom w:w="80" w:type="dxa"/>
            </w:tcMar>
          </w:tcPr>
          <w:p w14:paraId="204261E6" w14:textId="77777777" w:rsidR="004D7A10" w:rsidRPr="00D471EF" w:rsidRDefault="004D7A10" w:rsidP="0026770E">
            <w:pPr>
              <w:spacing w:after="0"/>
              <w:rPr>
                <w:rFonts w:cs="Arial"/>
                <w:color w:val="auto"/>
                <w:sz w:val="20"/>
                <w:szCs w:val="20"/>
              </w:rPr>
            </w:pPr>
            <w:r w:rsidRPr="00D471EF">
              <w:rPr>
                <w:rFonts w:cs="Arial"/>
                <w:color w:val="auto"/>
                <w:sz w:val="20"/>
                <w:szCs w:val="20"/>
              </w:rPr>
              <w:t>Positive drinking, inclusion and grain-to-glass sustainability; Board and Executive Committee oversight.</w:t>
            </w:r>
          </w:p>
        </w:tc>
        <w:tc>
          <w:tcPr>
            <w:tcW w:w="3322" w:type="dxa"/>
            <w:tcMar>
              <w:top w:w="80" w:type="dxa"/>
              <w:bottom w:w="80" w:type="dxa"/>
            </w:tcMar>
          </w:tcPr>
          <w:p w14:paraId="2DB26602" w14:textId="77777777" w:rsidR="00981CC7" w:rsidRPr="00D471EF" w:rsidRDefault="00CC58FE">
            <w:pPr>
              <w:spacing w:after="0"/>
              <w:rPr>
                <w:color w:val="auto"/>
                <w:sz w:val="20"/>
                <w:szCs w:val="20"/>
              </w:rPr>
            </w:pPr>
            <w:r w:rsidRPr="00D471EF">
              <w:rPr>
                <w:color w:val="auto"/>
                <w:sz w:val="20"/>
                <w:szCs w:val="20"/>
              </w:rPr>
              <w:t>2.0 million people educated on underage-drinking risks in fiscal 2025 (8.2 million cumulative progress); 18.8% Scope 1 and 2 reduction from fiscal 2022; over 3 million m³ of additional water-replenishment capacity delivered.</w:t>
            </w:r>
          </w:p>
        </w:tc>
        <w:tc>
          <w:tcPr>
            <w:tcW w:w="2526" w:type="dxa"/>
            <w:tcMar>
              <w:top w:w="80" w:type="dxa"/>
              <w:bottom w:w="80" w:type="dxa"/>
            </w:tcMar>
          </w:tcPr>
          <w:p w14:paraId="30003012" w14:textId="77777777" w:rsidR="004D7A10" w:rsidRPr="00D471EF" w:rsidRDefault="004D7A10" w:rsidP="0026770E">
            <w:pPr>
              <w:spacing w:after="0"/>
              <w:rPr>
                <w:rFonts w:cs="Arial"/>
                <w:color w:val="auto"/>
                <w:sz w:val="20"/>
                <w:szCs w:val="20"/>
              </w:rPr>
            </w:pPr>
            <w:r w:rsidRPr="00D471EF">
              <w:rPr>
                <w:rFonts w:cs="Arial"/>
                <w:color w:val="auto"/>
                <w:sz w:val="20"/>
                <w:szCs w:val="20"/>
              </w:rPr>
              <w:t>Scope 3 rose 1.5% year on year; packaging ambitions were revised; group commercial performance was mixed.</w:t>
            </w:r>
          </w:p>
        </w:tc>
      </w:tr>
      <w:tr w:rsidR="00D471EF" w:rsidRPr="00D471EF" w14:paraId="0905F124" w14:textId="77777777" w:rsidTr="00424968">
        <w:trPr>
          <w:cantSplit/>
          <w:trHeight w:val="2595"/>
          <w:jc w:val="center"/>
        </w:trPr>
        <w:tc>
          <w:tcPr>
            <w:tcW w:w="1363" w:type="dxa"/>
            <w:shd w:val="clear" w:color="auto" w:fill="F3F5F7"/>
            <w:tcMar>
              <w:top w:w="80" w:type="dxa"/>
              <w:bottom w:w="80" w:type="dxa"/>
            </w:tcMar>
          </w:tcPr>
          <w:p w14:paraId="617B0E48" w14:textId="77777777" w:rsidR="004D7A10" w:rsidRPr="00D471EF" w:rsidRDefault="004D7A10" w:rsidP="0026770E">
            <w:pPr>
              <w:spacing w:after="0"/>
              <w:rPr>
                <w:rFonts w:cs="Arial"/>
                <w:color w:val="auto"/>
                <w:sz w:val="20"/>
                <w:szCs w:val="20"/>
              </w:rPr>
            </w:pPr>
            <w:r w:rsidRPr="00D471EF">
              <w:rPr>
                <w:rFonts w:cs="Arial"/>
                <w:color w:val="auto"/>
                <w:sz w:val="20"/>
                <w:szCs w:val="20"/>
              </w:rPr>
              <w:lastRenderedPageBreak/>
              <w:t>ABF</w:t>
            </w:r>
          </w:p>
        </w:tc>
        <w:tc>
          <w:tcPr>
            <w:tcW w:w="3204" w:type="dxa"/>
            <w:shd w:val="clear" w:color="auto" w:fill="F3F5F7"/>
            <w:tcMar>
              <w:top w:w="80" w:type="dxa"/>
              <w:bottom w:w="80" w:type="dxa"/>
            </w:tcMar>
          </w:tcPr>
          <w:p w14:paraId="48DFBE44" w14:textId="77777777" w:rsidR="004D7A10" w:rsidRPr="00D471EF" w:rsidRDefault="004D7A10" w:rsidP="0026770E">
            <w:pPr>
              <w:spacing w:after="0"/>
              <w:rPr>
                <w:rFonts w:cs="Arial"/>
                <w:color w:val="auto"/>
                <w:sz w:val="20"/>
                <w:szCs w:val="20"/>
              </w:rPr>
            </w:pPr>
            <w:r w:rsidRPr="00D471EF">
              <w:rPr>
                <w:rFonts w:cs="Arial"/>
                <w:color w:val="auto"/>
                <w:sz w:val="20"/>
                <w:szCs w:val="20"/>
              </w:rPr>
              <w:t>Devolved business plans within Board oversight; quarterly ESG Update Meetings and limited assurance over 26 KPIs.</w:t>
            </w:r>
          </w:p>
        </w:tc>
        <w:tc>
          <w:tcPr>
            <w:tcW w:w="3322" w:type="dxa"/>
            <w:shd w:val="clear" w:color="auto" w:fill="F3F5F7"/>
            <w:tcMar>
              <w:top w:w="80" w:type="dxa"/>
              <w:bottom w:w="80" w:type="dxa"/>
            </w:tcMar>
          </w:tcPr>
          <w:p w14:paraId="4A9315F0" w14:textId="77777777" w:rsidR="00981CC7" w:rsidRPr="00D471EF" w:rsidRDefault="00CC58FE">
            <w:pPr>
              <w:spacing w:after="0"/>
              <w:rPr>
                <w:color w:val="auto"/>
                <w:sz w:val="20"/>
                <w:szCs w:val="20"/>
              </w:rPr>
            </w:pPr>
            <w:r w:rsidRPr="00D471EF">
              <w:rPr>
                <w:color w:val="auto"/>
                <w:sz w:val="20"/>
                <w:szCs w:val="20"/>
              </w:rPr>
              <w:t>Group Scope 1 and 2 emissions fell to 2,410 kt CO₂e; Primark retail emissions were reported at 6,040 kt CO₂e across Scope 1, 2 and 3; 74% of Primark clothing units used recycled or more sustainably sourced materials.</w:t>
            </w:r>
          </w:p>
        </w:tc>
        <w:tc>
          <w:tcPr>
            <w:tcW w:w="2526" w:type="dxa"/>
            <w:shd w:val="clear" w:color="auto" w:fill="F3F5F7"/>
            <w:tcMar>
              <w:top w:w="80" w:type="dxa"/>
              <w:bottom w:w="80" w:type="dxa"/>
            </w:tcMar>
          </w:tcPr>
          <w:p w14:paraId="07BD6CDC" w14:textId="77777777" w:rsidR="004D7A10" w:rsidRPr="00D471EF" w:rsidRDefault="004D7A10" w:rsidP="0026770E">
            <w:pPr>
              <w:spacing w:after="0"/>
              <w:rPr>
                <w:rFonts w:cs="Arial"/>
                <w:color w:val="auto"/>
                <w:sz w:val="20"/>
                <w:szCs w:val="20"/>
              </w:rPr>
            </w:pPr>
            <w:r w:rsidRPr="00D471EF">
              <w:rPr>
                <w:rFonts w:cs="Arial"/>
                <w:color w:val="auto"/>
                <w:sz w:val="20"/>
                <w:szCs w:val="20"/>
              </w:rPr>
              <w:t>Some emissions changes reflect volumes and portfolio effects; Group adjusted operating profit remained positive at £1.734bn but declined year on year, and direct comparable reputation evidence is limited.</w:t>
            </w:r>
          </w:p>
        </w:tc>
      </w:tr>
    </w:tbl>
    <w:p w14:paraId="6A294FBE" w14:textId="0117475F" w:rsidR="004D7A10" w:rsidRPr="00C41846" w:rsidRDefault="00CC58FE" w:rsidP="00C41846">
      <w:pPr>
        <w:jc w:val="center"/>
        <w:rPr>
          <w:i/>
          <w:iCs/>
        </w:rPr>
      </w:pPr>
      <w:r w:rsidRPr="007B6F04">
        <w:rPr>
          <w:i/>
          <w:iCs/>
        </w:rPr>
        <w:t>Source: Author's synthesis based on Unilever PLC (2026), Reckitt Benckiser Group plc (2026), Diageo plc (2025), Associated British Foods plc (2025), Competition and Markets Authority (2023, 2024), Equileap (2024) and KnowTheChain (2024).</w:t>
      </w:r>
    </w:p>
    <w:p w14:paraId="4DE52AF4" w14:textId="77777777" w:rsidR="004D7A10" w:rsidRPr="00C176D7" w:rsidRDefault="004D7A10" w:rsidP="004D7A10">
      <w:pPr>
        <w:rPr>
          <w:rFonts w:cs="Arial"/>
        </w:rPr>
      </w:pPr>
      <w:r>
        <w:t>Three preliminary conclusions emerge. First, strategic substance is clearest where a company identifies a material issue, an operational lever and a governed metric. Second, own-operation indicators generally progress faster than value-chain indicators because firms exert more direct control over energy and facilities than over suppliers or consumer use and recycling. Third, commercial outcomes do not move consistently with ESG indicators, which is inconsistent with a simple direct-effect model.</w:t>
      </w:r>
    </w:p>
    <w:p w14:paraId="6BADA0F0" w14:textId="77777777" w:rsidR="004D7A10" w:rsidRPr="00C176D7" w:rsidRDefault="004D7A10" w:rsidP="004D7A10">
      <w:pPr>
        <w:pStyle w:val="Heading2"/>
        <w:rPr>
          <w:rFonts w:cs="Arial"/>
        </w:rPr>
      </w:pPr>
      <w:bookmarkStart w:id="89" w:name="_Toc240378631"/>
      <w:bookmarkStart w:id="90" w:name="_Hlk241071914"/>
      <w:bookmarkStart w:id="91" w:name="_Toc241154053"/>
      <w:r w:rsidRPr="00C176D7">
        <w:rPr>
          <w:rFonts w:cs="Arial"/>
        </w:rPr>
        <w:t>4.3 Unilever: mature systems, operational progress and claim scrutiny</w:t>
      </w:r>
      <w:bookmarkEnd w:id="89"/>
      <w:bookmarkEnd w:id="91"/>
    </w:p>
    <w:p w14:paraId="7F041045" w14:textId="15D5C9DB" w:rsidR="004D7A10" w:rsidRPr="00C176D7" w:rsidRDefault="00CF560B" w:rsidP="004D7A10">
      <w:pPr>
        <w:rPr>
          <w:rFonts w:cs="Arial"/>
        </w:rPr>
      </w:pPr>
      <w:r>
        <w:t>The evidence of Unilever's governance architecture indicates that sustainability is integrated into formal governance, although the score should not be interpreted solely as one governance score, and rather at claim level. The annual report includes information on Board and management oversight, a double-materiality process as well as sustainability-related aspects in long-term remuneration. These components are analytically related because they can relate material issues to accountability, but it is not the dissertation's claim that the materiality assessment itself was the reason for a certain incentive weighting. Each governance, remuneration and assurance claim is thus understood in the context of the scope in which they are presented and the place where they are referenced (Unilever PLC, 2026)</w:t>
      </w:r>
      <w:r w:rsidR="004D7A10">
        <w:t>.</w:t>
      </w:r>
    </w:p>
    <w:p w14:paraId="59F11549" w14:textId="77777777" w:rsidR="004D7A10" w:rsidRPr="00C176D7" w:rsidRDefault="004D7A10" w:rsidP="004D7A10">
      <w:pPr>
        <w:rPr>
          <w:rFonts w:cs="Arial"/>
        </w:rPr>
      </w:pPr>
      <w:r>
        <w:lastRenderedPageBreak/>
        <w:t>In 2025, Unilever reported a 77% reduction in absolute operational Scope 1 and 2 greenhouse-gas emissions from a 2015 baseline. This is reported progress toward, not the level of, its 2030 target of a 100% reduction (Unilever PLC, 2026, p. 30). The distinction between target and achieved reduction is maintained throughout the analysis and in Table 3.</w:t>
      </w:r>
    </w:p>
    <w:p w14:paraId="10CA72DB" w14:textId="77777777" w:rsidR="004D7A10" w:rsidRPr="00C176D7" w:rsidRDefault="004D7A10" w:rsidP="004D7A10">
      <w:pPr>
        <w:rPr>
          <w:rFonts w:cs="Arial"/>
        </w:rPr>
      </w:pPr>
      <w:r>
        <w:t>On plastics, Unilever reports separate milestones and target dates for different packaging types rather than one undifferentiated 100% packaging target. Its 2025 non-financial reporting shows progress on virgin-plastic reduction and post-consumer recycled content, while recyclability, reusability or compostability expectations differ between rigid and flexible plastic packaging and their respective timelines (Unilever PLC, 2026, p. 30). These measures are therefore interpreted separately rather than aggregated into a single achievement claim.</w:t>
      </w:r>
    </w:p>
    <w:p w14:paraId="41A4ED29" w14:textId="77777777" w:rsidR="004D7A10" w:rsidRPr="00C176D7" w:rsidRDefault="004D7A10" w:rsidP="004D7A10">
      <w:pPr>
        <w:rPr>
          <w:rFonts w:cs="Arial"/>
        </w:rPr>
      </w:pPr>
      <w:r>
        <w:t>Metric boundaries also require attention following the Ice Cream demerger. Unilever states that 2025 financial figures are presented on a continuing-operations basis and provides non-financial measures with explicit boundary information where relevant. The 77% operational-emissions reduction is therefore cited with its reporting basis and page locator (Unilever PLC, 2026, p. 30), and supplier, farmer, plastics and Scope 3 indicators are not assumed to share an identical organisational boundary. Cross-year comparisons are used only where the disclosed boundary is sufficiently clear.</w:t>
      </w:r>
    </w:p>
    <w:p w14:paraId="6F2B212C" w14:textId="77777777" w:rsidR="004D7A10" w:rsidRPr="00C176D7" w:rsidRDefault="004D7A10" w:rsidP="004D7A10">
      <w:pPr>
        <w:rPr>
          <w:rFonts w:cs="Arial"/>
        </w:rPr>
      </w:pPr>
      <w:r>
        <w:t>The CMA opened an investigation into environmental claims made by Unilever and later closed it in November 2024 after considering a range of factors, including changes to some product claims and the wider impact of the CMA's green-claims programme (Competition and Markets Authority, 2023; Competition and Markets Authority, 2024). The closure record does not determine that Unilever breached consumer law, nor does it amount to a general finding of compliance. It is therefore used here as evidence of regulatory scrutiny and claim-substantiation risk, not as proof of either infringement or exoneration.</w:t>
      </w:r>
    </w:p>
    <w:p w14:paraId="64A488AC" w14:textId="77777777" w:rsidR="004D7A10" w:rsidRPr="00C176D7" w:rsidRDefault="004D7A10" w:rsidP="004D7A10">
      <w:pPr>
        <w:rPr>
          <w:rFonts w:cs="Arial"/>
        </w:rPr>
      </w:pPr>
      <w:r>
        <w:t xml:space="preserve">Unilever's 2025 Annual Report states that Power Brands accounted for 78% of turnover and delivered 4.3% underlying sales growth. The 78% figure is a share of turnover, not </w:t>
      </w:r>
      <w:r>
        <w:lastRenderedPageBreak/>
        <w:t>the share of turnover growth (Unilever PLC, 2026). The analysis therefore separates portfolio share, growth rate and any inferred contribution to group growth.</w:t>
      </w:r>
    </w:p>
    <w:p w14:paraId="171C19B6" w14:textId="77777777" w:rsidR="004D7A10" w:rsidRPr="00C176D7" w:rsidRDefault="004D7A10" w:rsidP="004D7A10">
      <w:pPr>
        <w:pStyle w:val="Heading2"/>
        <w:rPr>
          <w:rFonts w:cs="Arial"/>
        </w:rPr>
      </w:pPr>
      <w:bookmarkStart w:id="92" w:name="_Toc240378632"/>
      <w:bookmarkStart w:id="93" w:name="_Toc241154054"/>
      <w:bookmarkEnd w:id="90"/>
      <w:r w:rsidRPr="00C176D7">
        <w:rPr>
          <w:rFonts w:cs="Arial"/>
        </w:rPr>
        <w:t>4.4 Reckitt: sustainable-product integration, target recalibration and governance exposure</w:t>
      </w:r>
      <w:bookmarkEnd w:id="92"/>
      <w:bookmarkEnd w:id="93"/>
    </w:p>
    <w:p w14:paraId="2C130BD2" w14:textId="77777777" w:rsidR="004D7A10" w:rsidRPr="00C176D7" w:rsidRDefault="004D7A10" w:rsidP="004D7A10">
      <w:pPr>
        <w:rPr>
          <w:rFonts w:cs="Arial"/>
        </w:rPr>
      </w:pPr>
      <w:r>
        <w:t>Reckitt reported a 73 per cent reduction in absolute Scope 1 and 2 greenhouse-gas emissions from operations in 2025 relative to its 2015 baseline (Reckitt Benckiser Group plc, 2026). This is a 2015–2025 performance comparison rather than a 2015–2026 period; the reporting year is therefore distinguished from the publication year of the annual report.</w:t>
      </w:r>
    </w:p>
    <w:p w14:paraId="71B953AC" w14:textId="77777777" w:rsidR="004D7A10" w:rsidRPr="00C176D7" w:rsidRDefault="004D7A10" w:rsidP="004D7A10">
      <w:pPr>
        <w:rPr>
          <w:rFonts w:cs="Arial"/>
        </w:rPr>
      </w:pPr>
      <w:r>
        <w:t>The 'more sustainable products' classification is based on company-defined thresholds and comparators. A product can improve relative to its predecessor while the absolute life-cycle impact of the wider portfolio remains material. Reckitt states that ERM CVS provides limited assurance over specified sustainability metrics and that some disclosures fall outside the assurance scope (Reckitt Benckiser Group plc, 2026, p. 42). The reported 37.9 per cent of net revenue from more sustainable products should therefore be interpreted as a portfolio classification measure, not as evidence of consumer demand for sustainability.</w:t>
      </w:r>
    </w:p>
    <w:p w14:paraId="6DCBEC43" w14:textId="77777777" w:rsidR="004D7A10" w:rsidRPr="00C176D7" w:rsidRDefault="004D7A10" w:rsidP="004D7A10">
      <w:pPr>
        <w:rPr>
          <w:rFonts w:cs="Arial"/>
        </w:rPr>
      </w:pPr>
      <w:r>
        <w:t>Reckitt's packaging evidence is interpreted by separating achieved values from forward-looking targets and by specifying the reporting period. The reported recycled-content percentage is treated as current performance rather than as a baseline, while the relevant target remains a separate benchmark. For example, a current value such as 12 per cent is not described as either the starting point or the target without support from the report (Reckitt Benckiser Group plc, 2026, pp. 42–43).</w:t>
      </w:r>
    </w:p>
    <w:p w14:paraId="4333AD11" w14:textId="77777777" w:rsidR="004D7A10" w:rsidRPr="00C176D7" w:rsidRDefault="004D7A10" w:rsidP="004D7A10">
      <w:pPr>
        <w:rPr>
          <w:rFonts w:cs="Arial"/>
        </w:rPr>
      </w:pPr>
      <w:r>
        <w:t>The 2026 long-term incentive plan described in Reckitt's 2025 Annual Report assigns a 10 per cent weighting to the 'more sustainable products' measure (Reckitt Benckiser Group plc, 2026, p. 104). This distinction matters because remuneration design changed across award cycles, so the current weighting is used rather than earlier plan values.</w:t>
      </w:r>
    </w:p>
    <w:p w14:paraId="30834037" w14:textId="77777777" w:rsidR="004D7A10" w:rsidRPr="00C176D7" w:rsidRDefault="004D7A10" w:rsidP="004D7A10">
      <w:pPr>
        <w:rPr>
          <w:rFonts w:cs="Arial"/>
        </w:rPr>
      </w:pPr>
      <w:r w:rsidRPr="00C176D7">
        <w:rPr>
          <w:rFonts w:cs="Arial"/>
        </w:rPr>
        <w:t xml:space="preserve">Reckitt's disclosures also identify legal exposure relating to necrotizing enterocolitis (NEC) litigation concerning certain preterm infant-formula products. The litigation is </w:t>
      </w:r>
      <w:r w:rsidRPr="00C176D7">
        <w:rPr>
          <w:rFonts w:cs="Arial"/>
        </w:rPr>
        <w:lastRenderedPageBreak/>
        <w:t>treated as a separate governance and legal-risk exposure. The existence of claims or litigation is not interpreted as a determination of liability, and it is not used as direct evidence that Reckitt's environmental or social programmes caused reputational damage.</w:t>
      </w:r>
    </w:p>
    <w:p w14:paraId="36434C0F" w14:textId="77777777" w:rsidR="004D7A10" w:rsidRPr="00C176D7" w:rsidRDefault="004D7A10" w:rsidP="004D7A10">
      <w:pPr>
        <w:rPr>
          <w:rFonts w:cs="Arial"/>
        </w:rPr>
      </w:pPr>
      <w:r>
        <w:t>Reckitt reported a 24.9 per cent adjusted operating margin in 2025 (Reckitt Benckiser Group plc, 2026). This commercial result is treated as contextual evidence and not as proof that ESG initiatives caused the margin outcome.</w:t>
      </w:r>
    </w:p>
    <w:p w14:paraId="4EC99944" w14:textId="77777777" w:rsidR="004D7A10" w:rsidRPr="00C176D7" w:rsidRDefault="004D7A10" w:rsidP="004D7A10">
      <w:pPr>
        <w:pStyle w:val="Heading2"/>
        <w:rPr>
          <w:rFonts w:cs="Arial"/>
        </w:rPr>
      </w:pPr>
      <w:bookmarkStart w:id="94" w:name="_Toc240378633"/>
      <w:bookmarkStart w:id="95" w:name="_Hlk241072184"/>
      <w:bookmarkStart w:id="96" w:name="_Toc241154055"/>
      <w:r w:rsidRPr="00C176D7">
        <w:rPr>
          <w:rFonts w:cs="Arial"/>
        </w:rPr>
        <w:t>4.5 Diageo: category-specific social purpose, credible external signals and commercial counter-evidence</w:t>
      </w:r>
      <w:bookmarkEnd w:id="94"/>
      <w:bookmarkEnd w:id="96"/>
    </w:p>
    <w:p w14:paraId="270999ED" w14:textId="77777777" w:rsidR="004D7A10" w:rsidRPr="00C176D7" w:rsidRDefault="004D7A10" w:rsidP="004D7A10">
      <w:pPr>
        <w:rPr>
          <w:rFonts w:cs="Arial"/>
        </w:rPr>
      </w:pPr>
      <w:r>
        <w:t>Diageo's materiality is strongly shaped by the characteristics of beverage alcohol. Spirit of Progress brings together positive drinking, inclusion and diversity, water, carbon, packaging and agricultural sourcing. The plan is overseen by the Board and Executive Committee, and selected metrics are subject to limited assurance by PwC (Diageo plc, 2025, pp. 34–35, 223–225). Responsible drinking is therefore not treated as a detached social programme; it relates directly to licence to operate and the long-term acceptability of the category.</w:t>
      </w:r>
    </w:p>
    <w:p w14:paraId="3662D2DE" w14:textId="77777777" w:rsidR="004D7A10" w:rsidRPr="00C176D7" w:rsidRDefault="004D7A10" w:rsidP="004D7A10">
      <w:pPr>
        <w:rPr>
          <w:rFonts w:cs="Arial"/>
        </w:rPr>
      </w:pPr>
      <w:r>
        <w:t>Diageo reported two related underage-drinking education measures in fiscal 2025: 2.0 million people were educated during the year, while cumulative progress under the SMASHED programme reached 8.2 million toward the 2030 target (Diageo plc, 2025). Table 3 therefore uses 2.0 million as the annual measure and labels 8.2 million explicitly as cumulative progress. The annual report also records an 18.8 per cent reduction in Scope 1 and 2 emissions against the fiscal 2022 baseline. Equileap's 2024 gender-equality benchmark provides an independent, issue-specific signal; it is not treated as a general measure of Diageo's corporate reputation (Equileap, 2024).</w:t>
      </w:r>
    </w:p>
    <w:p w14:paraId="08406A37" w14:textId="77777777" w:rsidR="004D7A10" w:rsidRPr="00C176D7" w:rsidRDefault="004D7A10" w:rsidP="004D7A10">
      <w:pPr>
        <w:rPr>
          <w:rFonts w:cs="Arial"/>
        </w:rPr>
      </w:pPr>
      <w:r>
        <w:t xml:space="preserve">A second pattern in the environmental evidence concerns operational control and value-chain dependency. Diageo reported a 15.8 per cent improvement in overall water-use efficiency against its adjusted fiscal 2022 baseline and an 18.8 per cent reduction in Scope 1 and 2 emissions against the same baseline period (Diageo plc, 2025, pp. 18–19, 52–55). Water-replenishment projects delivered an estimated 3.084 million cubic metres of additional annual capacity in fiscal 2025, bringing cumulative progress to 84 per cent of the fiscal 2026 target volume (Diageo plc, 2025, p. 52). Because water stress </w:t>
      </w:r>
      <w:r>
        <w:lastRenderedPageBreak/>
        <w:t>can affect production continuity, these measures provide a plausible resilience mechanism.</w:t>
      </w:r>
    </w:p>
    <w:p w14:paraId="2821A214" w14:textId="77777777" w:rsidR="007B6F04" w:rsidRDefault="004D7A10" w:rsidP="007B6F04">
      <w:r>
        <w:t xml:space="preserve">Scope 3 provides important counter-evidence. Although these emissions were reported as 10.2 per cent lower than in fiscal 2022, they rose by 1.5 per cent from fiscal 2024, driven primarily by higher volumes of finished products and purchased packaging. Diageo also withdrew a specific packaging-weight reduction target and reduced its 2030 recycled-content ambition from 60 to 50 per cent because of anticipated cullet availability (Diageo plc, 2025, pp. 54–55). </w:t>
      </w:r>
      <w:r w:rsidR="007B6F04">
        <w:t>The volume growth, packaging, external infrastructure and target feasibility is shown in this disclosure. Transparent revision might help credibility but multiple revision can reduce signalling as stakeholders can think that ambition is getting weaker.</w:t>
      </w:r>
    </w:p>
    <w:p w14:paraId="2C216381" w14:textId="2D53A23F" w:rsidR="004D7A10" w:rsidRPr="00C176D7" w:rsidRDefault="007B6F04" w:rsidP="007B6F04">
      <w:pPr>
        <w:rPr>
          <w:rFonts w:cs="Arial"/>
        </w:rPr>
      </w:pPr>
      <w:r>
        <w:t>Figure 3 provides an overview of environmental changes reported and the key Scope 3 counter-evidence above</w:t>
      </w:r>
      <w:r w:rsidR="004D7A10" w:rsidRPr="00C176D7">
        <w:rPr>
          <w:rFonts w:cs="Arial"/>
        </w:rPr>
        <w:t>.</w:t>
      </w:r>
    </w:p>
    <w:p w14:paraId="3CA30C87" w14:textId="77777777" w:rsidR="007B6F04" w:rsidRPr="00C176D7" w:rsidRDefault="007B6F04" w:rsidP="007B6F04">
      <w:pPr>
        <w:pStyle w:val="Heading4"/>
      </w:pPr>
      <w:bookmarkStart w:id="97" w:name="_Toc240857240"/>
      <w:r w:rsidRPr="00C176D7">
        <w:t xml:space="preserve">Figure </w:t>
      </w:r>
      <w:r>
        <w:t>3</w:t>
      </w:r>
      <w:r w:rsidRPr="00C176D7">
        <w:t>. Diageo environmental progress and counter-evidence</w:t>
      </w:r>
      <w:bookmarkEnd w:id="97"/>
    </w:p>
    <w:p w14:paraId="56245F46" w14:textId="77777777" w:rsidR="007B6F04" w:rsidRPr="00C176D7" w:rsidRDefault="007B6F04" w:rsidP="007B6F04">
      <w:pPr>
        <w:keepNext/>
        <w:spacing w:after="60"/>
        <w:jc w:val="center"/>
        <w:rPr>
          <w:rFonts w:cs="Arial"/>
        </w:rPr>
      </w:pPr>
      <w:r w:rsidRPr="00C176D7">
        <w:rPr>
          <w:rFonts w:cs="Arial"/>
          <w:noProof/>
        </w:rPr>
        <w:drawing>
          <wp:inline distT="0" distB="0" distL="0" distR="0" wp14:anchorId="184C605E" wp14:editId="4519B17E">
            <wp:extent cx="5973052" cy="3454400"/>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4_diageo_environmental_progress.png"/>
                    <pic:cNvPicPr/>
                  </pic:nvPicPr>
                  <pic:blipFill>
                    <a:blip r:embed="rId19"/>
                    <a:stretch>
                      <a:fillRect/>
                    </a:stretch>
                  </pic:blipFill>
                  <pic:spPr>
                    <a:xfrm>
                      <a:off x="0" y="0"/>
                      <a:ext cx="5985759" cy="3461749"/>
                    </a:xfrm>
                    <a:prstGeom prst="rect">
                      <a:avLst/>
                    </a:prstGeom>
                  </pic:spPr>
                </pic:pic>
              </a:graphicData>
            </a:graphic>
          </wp:inline>
        </w:drawing>
      </w:r>
    </w:p>
    <w:p w14:paraId="4C67DE2A" w14:textId="77777777" w:rsidR="007B6F04" w:rsidRPr="00971EDF" w:rsidRDefault="007B6F04" w:rsidP="007B6F04">
      <w:pPr>
        <w:keepNext/>
        <w:spacing w:after="0"/>
        <w:jc w:val="center"/>
        <w:rPr>
          <w:rFonts w:cs="Arial"/>
          <w:i/>
          <w:iCs/>
          <w:szCs w:val="24"/>
        </w:rPr>
      </w:pPr>
      <w:r w:rsidRPr="00971EDF">
        <w:rPr>
          <w:i/>
          <w:iCs/>
        </w:rPr>
        <w:t>Source: Author's compilation based on Diageo plc (2025, pp. 18–19, 52–55).</w:t>
      </w:r>
    </w:p>
    <w:p w14:paraId="520B0B04" w14:textId="77777777" w:rsidR="007B6F04" w:rsidRDefault="007B6F04" w:rsidP="004D7A10">
      <w:pPr>
        <w:rPr>
          <w:rFonts w:cs="Arial"/>
          <w:i/>
          <w:szCs w:val="24"/>
        </w:rPr>
      </w:pPr>
    </w:p>
    <w:p w14:paraId="695FDBE4" w14:textId="7342502F" w:rsidR="004D7A10" w:rsidRPr="00C176D7" w:rsidRDefault="007B6F04" w:rsidP="004D7A10">
      <w:pPr>
        <w:rPr>
          <w:rFonts w:cs="Arial"/>
        </w:rPr>
      </w:pPr>
      <w:r>
        <w:lastRenderedPageBreak/>
        <w:t>Moderation also establishes an Innovation path. Diageo said that its non-alcoholic business grew by almost 40 per cent in fiscal 2025, while Guinness 0.0 rose by double digits, adding that it has also grown its non-alcoholic portfolio with the acquisition of Captain Morgan 0.0 and the Ritual Beverage acquisition (Diageo plc, 2025, pp. 3–4). The results are those reported by the company and there are other potential demand drivers than moderation</w:t>
      </w:r>
      <w:r w:rsidR="004D7A10">
        <w:t>. However, the products connect a category-specific social objective with commercial growth more directly than a stand-alone philanthropic programme would.</w:t>
      </w:r>
    </w:p>
    <w:p w14:paraId="1D839864" w14:textId="77777777" w:rsidR="004D7A10" w:rsidRPr="00C176D7" w:rsidRDefault="004D7A10" w:rsidP="004D7A10">
      <w:pPr>
        <w:rPr>
          <w:rFonts w:cs="Arial"/>
        </w:rPr>
      </w:pPr>
      <w:r>
        <w:t>The commercial counter-pattern is equally important. Reported net sales declined by 0.1 per cent to $20.245 billion, while organic net sales increased by 1.7 per cent, organic operating profit declined by 0.7 per cent, 12-month total shareholder return was -24 per cent, and return on invested capital fell from 15.8 to 13.7 per cent (Diageo plc, 2025, pp. 16–21). The report attributes these outcomes to factors including foreign exchange, impairment and restructuring costs, consumer conditions and associate income. ESG and diversity progress therefore coexisted with weak investor returns. This counter-pattern challenges any simple contemporaneous direct-effect claim while leaving open more specific capability mechanisms related to water resilience, workforce reputation and non-alcoholic innovation.</w:t>
      </w:r>
    </w:p>
    <w:p w14:paraId="5C79F0A5" w14:textId="77777777" w:rsidR="004D7A10" w:rsidRPr="00C176D7" w:rsidRDefault="004D7A10" w:rsidP="004D7A10">
      <w:pPr>
        <w:pStyle w:val="Heading2"/>
        <w:rPr>
          <w:rFonts w:cs="Arial"/>
        </w:rPr>
      </w:pPr>
      <w:bookmarkStart w:id="98" w:name="_Toc240378634"/>
      <w:bookmarkStart w:id="99" w:name="_Toc241154056"/>
      <w:r w:rsidRPr="00C176D7">
        <w:rPr>
          <w:rFonts w:cs="Arial"/>
        </w:rPr>
        <w:t>4.6 Associated British Foods: decentralised materiality, affordability and portfolio confounding</w:t>
      </w:r>
      <w:bookmarkEnd w:id="98"/>
      <w:bookmarkEnd w:id="99"/>
    </w:p>
    <w:p w14:paraId="4D11CC3F" w14:textId="77777777" w:rsidR="004D7A10" w:rsidRPr="00C176D7" w:rsidRDefault="004D7A10" w:rsidP="004D7A10">
      <w:pPr>
        <w:rPr>
          <w:rFonts w:cs="Arial"/>
        </w:rPr>
      </w:pPr>
      <w:r>
        <w:t>ABF has the most decentralised structure among the four cases. The group has a 2050 net-zero ambition, while individual businesses retain substantial discretion to develop plans suited to their operations and value chains. The Board provides high-level oversight, material issues are considered by the Chief Executive and Finance Director, and quarterly ESG Update Meetings were established in 2025 involving corporate responsibility, finance, legal, people and performance functions (Associated British Foods plc, 2025, pp. 54–56). EY provides limited assurance over 26 ESG key performance indicators (Associated British Foods plc, 2025, pp. 54, 152–154). Decentralisation can make targets more operationally relevant, but it also increases the need for consistent data standards and effective central escalation.</w:t>
      </w:r>
    </w:p>
    <w:p w14:paraId="10D36F13" w14:textId="77777777" w:rsidR="007B6F04" w:rsidRDefault="007B6F04" w:rsidP="007B6F04">
      <w:r>
        <w:lastRenderedPageBreak/>
        <w:t>Market based Scope 1 and 2 emissions decreased from 2627 thousand tonnes of CO</w:t>
      </w:r>
      <w:r>
        <w:rPr>
          <w:rFonts w:ascii="Cambria Math" w:hAnsi="Cambria Math" w:cs="Cambria Math"/>
        </w:rPr>
        <w:t>₂</w:t>
      </w:r>
      <w:r>
        <w:t>e in 2024 to 2410 thousand tonnes in 2025, at group level. Total operational energy consumption dropped to 18,459 GWh, of which 54 per cent is renewables (Associated British Foods plc, 2025, p. 63). The report cites lower volumes of Sugar as well as efficiencies as reasons for lower energy consumption. This caveat applies because the emissions reduction is not necessarily an improvement in efficiency alone, but also due to less activity in a sector with poor economic conditions.</w:t>
      </w:r>
    </w:p>
    <w:p w14:paraId="1D9EAA8D" w14:textId="799151C6" w:rsidR="004D7A10" w:rsidRPr="00C176D7" w:rsidRDefault="007B6F04" w:rsidP="007B6F04">
      <w:pPr>
        <w:keepNext/>
        <w:rPr>
          <w:rFonts w:cs="Arial"/>
        </w:rPr>
      </w:pPr>
      <w:r>
        <w:t xml:space="preserve">The year-on-year change of the ABF reported </w:t>
      </w:r>
      <w:r w:rsidR="00C41846">
        <w:t>market-based</w:t>
      </w:r>
      <w:r>
        <w:t xml:space="preserve"> Scope 1 and 2 emissions are shown in figure 4 from 2024 to 2025</w:t>
      </w:r>
      <w:r w:rsidR="004D7A10" w:rsidRPr="00C176D7">
        <w:rPr>
          <w:rFonts w:cs="Arial"/>
        </w:rPr>
        <w:t>.</w:t>
      </w:r>
    </w:p>
    <w:p w14:paraId="60406FB8" w14:textId="77777777" w:rsidR="007B6F04" w:rsidRPr="00C176D7" w:rsidRDefault="007B6F04" w:rsidP="007B6F04">
      <w:pPr>
        <w:pStyle w:val="Heading4"/>
      </w:pPr>
      <w:bookmarkStart w:id="100" w:name="_Toc240857241"/>
      <w:r w:rsidRPr="00C176D7">
        <w:t xml:space="preserve">Figure </w:t>
      </w:r>
      <w:r>
        <w:t>4</w:t>
      </w:r>
      <w:r w:rsidRPr="00C176D7">
        <w:t>. ABF market-based Scope 1 and 2 emissions, 2024–2025</w:t>
      </w:r>
      <w:bookmarkEnd w:id="100"/>
    </w:p>
    <w:p w14:paraId="230AD065" w14:textId="77777777" w:rsidR="007B6F04" w:rsidRPr="00C176D7" w:rsidRDefault="007B6F04" w:rsidP="007B6F04">
      <w:pPr>
        <w:keepNext/>
        <w:spacing w:after="60"/>
        <w:jc w:val="center"/>
        <w:rPr>
          <w:rFonts w:cs="Arial"/>
        </w:rPr>
      </w:pPr>
      <w:r w:rsidRPr="00C176D7">
        <w:rPr>
          <w:rFonts w:cs="Arial"/>
          <w:noProof/>
        </w:rPr>
        <w:drawing>
          <wp:inline distT="0" distB="0" distL="0" distR="0" wp14:anchorId="7BDA8F3B" wp14:editId="0AB5D0DC">
            <wp:extent cx="6002390" cy="36322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5_abf_emissions.png"/>
                    <pic:cNvPicPr/>
                  </pic:nvPicPr>
                  <pic:blipFill>
                    <a:blip r:embed="rId20"/>
                    <a:stretch>
                      <a:fillRect/>
                    </a:stretch>
                  </pic:blipFill>
                  <pic:spPr>
                    <a:xfrm>
                      <a:off x="0" y="0"/>
                      <a:ext cx="6021686" cy="3643877"/>
                    </a:xfrm>
                    <a:prstGeom prst="rect">
                      <a:avLst/>
                    </a:prstGeom>
                  </pic:spPr>
                </pic:pic>
              </a:graphicData>
            </a:graphic>
          </wp:inline>
        </w:drawing>
      </w:r>
    </w:p>
    <w:p w14:paraId="70E97167" w14:textId="77777777" w:rsidR="007B6F04" w:rsidRPr="004D7A10" w:rsidRDefault="007B6F04" w:rsidP="007B6F04">
      <w:pPr>
        <w:keepNext/>
        <w:spacing w:after="0"/>
        <w:jc w:val="center"/>
        <w:rPr>
          <w:rFonts w:cs="Arial"/>
          <w:szCs w:val="24"/>
        </w:rPr>
      </w:pPr>
      <w:r w:rsidRPr="004D7A10">
        <w:rPr>
          <w:rFonts w:cs="Arial"/>
          <w:i/>
          <w:szCs w:val="24"/>
        </w:rPr>
        <w:t>Source: Author's compilation based on Associated British Foods plc (2025, p. 63).</w:t>
      </w:r>
    </w:p>
    <w:p w14:paraId="1BDC735C" w14:textId="77777777" w:rsidR="007B6F04" w:rsidRDefault="007B6F04" w:rsidP="004D7A10">
      <w:pPr>
        <w:rPr>
          <w:rFonts w:cs="Arial"/>
          <w:i/>
          <w:szCs w:val="24"/>
        </w:rPr>
      </w:pPr>
    </w:p>
    <w:p w14:paraId="35BB4920" w14:textId="36F2CE2D" w:rsidR="004D7A10" w:rsidRPr="00C176D7" w:rsidRDefault="004D7A10" w:rsidP="004D7A10">
      <w:pPr>
        <w:rPr>
          <w:rFonts w:cs="Arial"/>
        </w:rPr>
      </w:pPr>
      <w:r>
        <w:t xml:space="preserve">ABF's case evidence is interpreted using claim-specific page or section locators. Primark's financial metrics are drawn from the Retail operating review, while sustainability metrics are linked to the relevant annual-report sections. Where a page-level locator is </w:t>
      </w:r>
      <w:r>
        <w:lastRenderedPageBreak/>
        <w:t>not necessary to support a broad document-level claim, the annual report is cited at document level (Associated British Foods plc, 2025).</w:t>
      </w:r>
    </w:p>
    <w:p w14:paraId="6CF1145C" w14:textId="77777777" w:rsidR="004D7A10" w:rsidRPr="00C176D7" w:rsidRDefault="004D7A10" w:rsidP="004D7A10">
      <w:pPr>
        <w:rPr>
          <w:rFonts w:cs="Arial"/>
        </w:rPr>
      </w:pPr>
      <w:r w:rsidRPr="00C176D7">
        <w:rPr>
          <w:rFonts w:cs="Arial"/>
        </w:rPr>
        <w:t>Primark's company-specific sustainability percentages are attributed directly to ABF's 2025 Annual Report rather than to the KnowTheChain benchmark. KnowTheChain's 2023 Apparel and Footwear Benchmark assesses companies' efforts to address forced-labour risks in supply chains; it is not a child-labour-only benchmark, and its sector average is not treated as a firm-specific verdict (KnowTheChain, 2024). The benchmark is therefore used only as external context for forced-labour due-diligence expectations.</w:t>
      </w:r>
    </w:p>
    <w:p w14:paraId="77A6EF0D" w14:textId="77777777" w:rsidR="004D7A10" w:rsidRPr="00C176D7" w:rsidRDefault="004D7A10" w:rsidP="004D7A10">
      <w:pPr>
        <w:rPr>
          <w:rFonts w:cs="Arial"/>
        </w:rPr>
      </w:pPr>
      <w:r>
        <w:t>Primark generated £9.489 billion of revenue and £1.126 billion of adjusted operating profit in 2025, with an adjusted operating margin of 11.9 per cent. Total sales grew by 1 per cent, supported by store expansion, while like-for-like sales declined by 2.3 per cent (Associated British Foods plc, 2025). New-store contribution and like-for-like trading are therefore kept analytically separate.</w:t>
      </w:r>
    </w:p>
    <w:p w14:paraId="5A2DB9A3" w14:textId="77777777" w:rsidR="004D7A10" w:rsidRPr="00C176D7" w:rsidRDefault="004D7A10" w:rsidP="004D7A10">
      <w:pPr>
        <w:rPr>
          <w:rFonts w:cs="Arial"/>
        </w:rPr>
      </w:pPr>
      <w:r>
        <w:t>At group level, ABF reported adjusted operating profit of £1.734 billion in 2025, down 13 per cent at actual exchange rates from the previous year but still positive. The much weaker result in the Sugar division is therefore treated separately from the group outcome (Associated British Foods plc, 2025).</w:t>
      </w:r>
    </w:p>
    <w:p w14:paraId="27377C0E" w14:textId="77777777" w:rsidR="004D7A10" w:rsidRPr="00C176D7" w:rsidRDefault="004D7A10" w:rsidP="004D7A10">
      <w:pPr>
        <w:pStyle w:val="Heading2"/>
        <w:rPr>
          <w:rFonts w:cs="Arial"/>
        </w:rPr>
      </w:pPr>
      <w:bookmarkStart w:id="101" w:name="_Toc240378635"/>
      <w:bookmarkStart w:id="102" w:name="_Toc241154057"/>
      <w:r w:rsidRPr="00C176D7">
        <w:rPr>
          <w:rFonts w:cs="Arial"/>
        </w:rPr>
        <w:t>4.7 Cross-case synthesis</w:t>
      </w:r>
      <w:bookmarkEnd w:id="101"/>
      <w:bookmarkEnd w:id="102"/>
    </w:p>
    <w:p w14:paraId="526C79D5" w14:textId="77777777" w:rsidR="007B6F04" w:rsidRDefault="007B6F04" w:rsidP="007B6F04">
      <w:r>
        <w:t>The cross-case evidence results in the following four themes. First, there is a need for substantive ESG strategy, which must be achieved via products or operating practices. Innovation calculator by Reckitt's, water programmes and moderation programmes by Diageo, supplier and design programmes by Primark, and plastics and sourcing programmes by Unilever are examples of routines that can represent organisational capability. If these practices are not in place, it is quite simple for the competitors to mimic pledges.</w:t>
      </w:r>
    </w:p>
    <w:p w14:paraId="268AC815" w14:textId="77777777" w:rsidR="007B6F04" w:rsidRDefault="007B6F04" w:rsidP="007B6F04">
      <w:r>
        <w:t xml:space="preserve">The cross-case evidence is differentiated between being exposed to reputation issues and the actual outcomes of reputation. Regulatory review, litigation risk and independent benchmark results can impact how stakeholders interpret the results, but they are not direct measures of the increase or decrease in stakeholder trust or overall corporate reputation. As similar longitudinal reputation measures are scarce, the dissertation </w:t>
      </w:r>
      <w:r>
        <w:lastRenderedPageBreak/>
        <w:t>considers them to be indicators/exposures and only makes stronger claims if stakeholder-specific evidence is found.</w:t>
      </w:r>
    </w:p>
    <w:p w14:paraId="352A9017" w14:textId="77777777" w:rsidR="007B6F04" w:rsidRDefault="007B6F04" w:rsidP="007B6F04">
      <w:r>
        <w:t>Thirdly, there is scope for credibility to be enhanced through assurance and governance. This is intended to inform that all four of the companies have limited assurance over the selected metrics and is not to be interpreted as reasonable assurance over the ESG strategy. Incentive metrics can help to raise accountability, but can also help to focus management attention on what's measured to determine vesting. Target revision can manifest itself as learning and adaptation but can also make it easier to achieve difficult ambitions when it is repeated and poorly explained.</w:t>
      </w:r>
    </w:p>
    <w:p w14:paraId="3CE6A09E" w14:textId="77777777" w:rsidR="007B6F04" w:rsidRDefault="007B6F04" w:rsidP="007B6F04">
      <w:r>
        <w:t>Fourth, competitive results are not always uniform, but are configurational. While Diageo and ABF deliver positive results on some positive ESG measures and less positive results on growth/margin measures across the group, Unilever and Reckitt not only have several positive ESG measures but also positive growth/margin measures in selective areas. ABF's Sugar segment was a drag on the group's performance while Primark was relatively solid. These patterns do not argue for a one-size-fits-all, quick ESG return, but rather for the impact of category economics, portfolio construction, execution and time lags.</w:t>
      </w:r>
    </w:p>
    <w:p w14:paraId="3071B44B" w14:textId="77777777" w:rsidR="007B6F04" w:rsidRPr="00C176D7" w:rsidRDefault="007B6F04" w:rsidP="007B6F04">
      <w:pPr>
        <w:pStyle w:val="Heading4"/>
      </w:pPr>
      <w:bookmarkStart w:id="103" w:name="table_4"/>
      <w:bookmarkStart w:id="104" w:name="_Toc240857237"/>
      <w:r w:rsidRPr="00C176D7">
        <w:t>Table 4. Triangulated mechanism findings and rival explanations</w:t>
      </w:r>
      <w:bookmarkEnd w:id="103"/>
      <w:bookmarkEnd w:id="104"/>
    </w:p>
    <w:tbl>
      <w:tblPr>
        <w:tblW w:w="992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05" w:type="dxa"/>
          <w:left w:w="90" w:type="dxa"/>
          <w:bottom w:w="105" w:type="dxa"/>
          <w:right w:w="90" w:type="dxa"/>
        </w:tblCellMar>
        <w:tblLook w:val="04A0" w:firstRow="1" w:lastRow="0" w:firstColumn="1" w:lastColumn="0" w:noHBand="0" w:noVBand="1"/>
      </w:tblPr>
      <w:tblGrid>
        <w:gridCol w:w="1639"/>
        <w:gridCol w:w="3098"/>
        <w:gridCol w:w="3124"/>
        <w:gridCol w:w="2065"/>
      </w:tblGrid>
      <w:tr w:rsidR="007B6F04" w:rsidRPr="00971EDF" w14:paraId="3C100720" w14:textId="77777777" w:rsidTr="007B6F04">
        <w:trPr>
          <w:cantSplit/>
          <w:trHeight w:val="253"/>
          <w:tblHeader/>
          <w:jc w:val="center"/>
        </w:trPr>
        <w:tc>
          <w:tcPr>
            <w:tcW w:w="1639" w:type="dxa"/>
            <w:shd w:val="clear" w:color="auto" w:fill="17365D"/>
          </w:tcPr>
          <w:p w14:paraId="151E79F7" w14:textId="77777777" w:rsidR="007B6F04" w:rsidRPr="00971EDF" w:rsidRDefault="007B6F04" w:rsidP="00945907">
            <w:pPr>
              <w:spacing w:after="0" w:line="276" w:lineRule="auto"/>
              <w:rPr>
                <w:rFonts w:cs="Arial"/>
                <w:color w:val="auto"/>
                <w:sz w:val="20"/>
                <w:szCs w:val="20"/>
              </w:rPr>
            </w:pPr>
            <w:r w:rsidRPr="00971EDF">
              <w:rPr>
                <w:rFonts w:cs="Arial"/>
                <w:b/>
                <w:color w:val="auto"/>
                <w:sz w:val="20"/>
                <w:szCs w:val="20"/>
              </w:rPr>
              <w:t>Mechanism</w:t>
            </w:r>
          </w:p>
        </w:tc>
        <w:tc>
          <w:tcPr>
            <w:tcW w:w="3098" w:type="dxa"/>
            <w:shd w:val="clear" w:color="auto" w:fill="17365D"/>
          </w:tcPr>
          <w:p w14:paraId="4D39AE9A" w14:textId="77777777" w:rsidR="007B6F04" w:rsidRPr="00971EDF" w:rsidRDefault="007B6F04" w:rsidP="00945907">
            <w:pPr>
              <w:spacing w:after="0" w:line="276" w:lineRule="auto"/>
              <w:rPr>
                <w:rFonts w:cs="Arial"/>
                <w:color w:val="auto"/>
                <w:sz w:val="20"/>
                <w:szCs w:val="20"/>
              </w:rPr>
            </w:pPr>
            <w:r w:rsidRPr="00971EDF">
              <w:rPr>
                <w:rFonts w:cs="Arial"/>
                <w:b/>
                <w:color w:val="auto"/>
                <w:sz w:val="20"/>
                <w:szCs w:val="20"/>
              </w:rPr>
              <w:t>Triangulated evidence</w:t>
            </w:r>
          </w:p>
        </w:tc>
        <w:tc>
          <w:tcPr>
            <w:tcW w:w="3124" w:type="dxa"/>
            <w:shd w:val="clear" w:color="auto" w:fill="17365D"/>
          </w:tcPr>
          <w:p w14:paraId="38EC3ACA" w14:textId="77777777" w:rsidR="007B6F04" w:rsidRPr="00971EDF" w:rsidRDefault="007B6F04" w:rsidP="00945907">
            <w:pPr>
              <w:spacing w:after="0" w:line="276" w:lineRule="auto"/>
              <w:rPr>
                <w:rFonts w:cs="Arial"/>
                <w:color w:val="auto"/>
                <w:sz w:val="20"/>
                <w:szCs w:val="20"/>
              </w:rPr>
            </w:pPr>
            <w:r w:rsidRPr="00971EDF">
              <w:rPr>
                <w:rFonts w:cs="Arial"/>
                <w:b/>
                <w:color w:val="auto"/>
                <w:sz w:val="20"/>
                <w:szCs w:val="20"/>
              </w:rPr>
              <w:t>Rival or negative evidence</w:t>
            </w:r>
          </w:p>
        </w:tc>
        <w:tc>
          <w:tcPr>
            <w:tcW w:w="2065" w:type="dxa"/>
            <w:shd w:val="clear" w:color="auto" w:fill="17365D"/>
          </w:tcPr>
          <w:p w14:paraId="59981FFD" w14:textId="77777777" w:rsidR="007B6F04" w:rsidRPr="00971EDF" w:rsidRDefault="007B6F04" w:rsidP="00945907">
            <w:pPr>
              <w:spacing w:after="0" w:line="276" w:lineRule="auto"/>
              <w:rPr>
                <w:rFonts w:cs="Arial"/>
                <w:color w:val="auto"/>
                <w:sz w:val="20"/>
                <w:szCs w:val="20"/>
              </w:rPr>
            </w:pPr>
            <w:r w:rsidRPr="00971EDF">
              <w:rPr>
                <w:rFonts w:cs="Arial"/>
                <w:b/>
                <w:color w:val="auto"/>
                <w:sz w:val="20"/>
                <w:szCs w:val="20"/>
              </w:rPr>
              <w:t>Judgement</w:t>
            </w:r>
          </w:p>
        </w:tc>
      </w:tr>
      <w:tr w:rsidR="007B6F04" w:rsidRPr="00971EDF" w14:paraId="7DA68349" w14:textId="77777777" w:rsidTr="007B6F04">
        <w:trPr>
          <w:cantSplit/>
          <w:trHeight w:val="2693"/>
          <w:jc w:val="center"/>
        </w:trPr>
        <w:tc>
          <w:tcPr>
            <w:tcW w:w="1639" w:type="dxa"/>
            <w:tcMar>
              <w:top w:w="80" w:type="dxa"/>
              <w:bottom w:w="80" w:type="dxa"/>
            </w:tcMar>
          </w:tcPr>
          <w:p w14:paraId="4DEE24C6" w14:textId="77777777" w:rsidR="007B6F04" w:rsidRPr="00971EDF" w:rsidRDefault="007B6F04" w:rsidP="00945907">
            <w:pPr>
              <w:spacing w:after="0" w:line="276" w:lineRule="auto"/>
              <w:rPr>
                <w:rFonts w:cs="Arial"/>
                <w:color w:val="auto"/>
                <w:sz w:val="20"/>
                <w:szCs w:val="20"/>
              </w:rPr>
            </w:pPr>
            <w:r w:rsidRPr="00971EDF">
              <w:rPr>
                <w:rFonts w:cs="Arial"/>
                <w:color w:val="auto"/>
                <w:sz w:val="20"/>
                <w:szCs w:val="20"/>
              </w:rPr>
              <w:t>Operational capability</w:t>
            </w:r>
          </w:p>
        </w:tc>
        <w:tc>
          <w:tcPr>
            <w:tcW w:w="3098" w:type="dxa"/>
            <w:tcMar>
              <w:top w:w="80" w:type="dxa"/>
              <w:bottom w:w="80" w:type="dxa"/>
            </w:tcMar>
          </w:tcPr>
          <w:p w14:paraId="4405AB14" w14:textId="77777777" w:rsidR="007B6F04" w:rsidRPr="00971EDF" w:rsidRDefault="007B6F04" w:rsidP="00945907">
            <w:pPr>
              <w:spacing w:after="0" w:line="276" w:lineRule="auto"/>
              <w:rPr>
                <w:rFonts w:cs="Arial"/>
                <w:color w:val="auto"/>
                <w:sz w:val="20"/>
                <w:szCs w:val="20"/>
              </w:rPr>
            </w:pPr>
            <w:r w:rsidRPr="00971EDF">
              <w:rPr>
                <w:rFonts w:cs="Arial"/>
                <w:color w:val="auto"/>
                <w:sz w:val="20"/>
                <w:szCs w:val="20"/>
              </w:rPr>
              <w:t>Product, water, energy, packaging and supplier routines appear across all four cases.</w:t>
            </w:r>
          </w:p>
        </w:tc>
        <w:tc>
          <w:tcPr>
            <w:tcW w:w="3124" w:type="dxa"/>
            <w:tcMar>
              <w:top w:w="80" w:type="dxa"/>
              <w:bottom w:w="80" w:type="dxa"/>
            </w:tcMar>
          </w:tcPr>
          <w:p w14:paraId="2880EE5E" w14:textId="77777777" w:rsidR="007B6F04" w:rsidRPr="00971EDF" w:rsidRDefault="007B6F04" w:rsidP="00945907">
            <w:pPr>
              <w:spacing w:after="0" w:line="276" w:lineRule="auto"/>
              <w:rPr>
                <w:rFonts w:cs="Arial"/>
                <w:color w:val="auto"/>
                <w:sz w:val="20"/>
                <w:szCs w:val="20"/>
              </w:rPr>
            </w:pPr>
            <w:r w:rsidRPr="00971EDF">
              <w:rPr>
                <w:rFonts w:cs="Arial"/>
                <w:color w:val="auto"/>
                <w:sz w:val="20"/>
                <w:szCs w:val="20"/>
              </w:rPr>
              <w:t>Some reductions reflect volume, portfolio or data changes; value-chain delivery depends on external actors.</w:t>
            </w:r>
          </w:p>
        </w:tc>
        <w:tc>
          <w:tcPr>
            <w:tcW w:w="2065" w:type="dxa"/>
            <w:tcMar>
              <w:top w:w="80" w:type="dxa"/>
              <w:bottom w:w="80" w:type="dxa"/>
            </w:tcMar>
          </w:tcPr>
          <w:p w14:paraId="7545464A" w14:textId="77777777" w:rsidR="007B6F04" w:rsidRPr="00971EDF" w:rsidRDefault="007B6F04" w:rsidP="00945907">
            <w:pPr>
              <w:spacing w:after="0" w:line="276" w:lineRule="auto"/>
              <w:rPr>
                <w:rFonts w:cs="Arial"/>
                <w:color w:val="auto"/>
                <w:sz w:val="20"/>
                <w:szCs w:val="20"/>
              </w:rPr>
            </w:pPr>
            <w:r w:rsidRPr="00971EDF">
              <w:rPr>
                <w:rFonts w:cs="Arial"/>
                <w:color w:val="auto"/>
                <w:sz w:val="20"/>
                <w:szCs w:val="20"/>
              </w:rPr>
              <w:t>Conditional: operational mechanisms are directly evidenced, but outcome attribution remains subject to boundary and rival-explanation checks.</w:t>
            </w:r>
          </w:p>
        </w:tc>
      </w:tr>
      <w:tr w:rsidR="007B6F04" w:rsidRPr="00971EDF" w14:paraId="33D29E15" w14:textId="77777777" w:rsidTr="007B6F04">
        <w:trPr>
          <w:cantSplit/>
          <w:trHeight w:val="1341"/>
          <w:jc w:val="center"/>
        </w:trPr>
        <w:tc>
          <w:tcPr>
            <w:tcW w:w="1639" w:type="dxa"/>
            <w:shd w:val="clear" w:color="auto" w:fill="F3F5F7"/>
            <w:tcMar>
              <w:top w:w="80" w:type="dxa"/>
              <w:bottom w:w="80" w:type="dxa"/>
            </w:tcMar>
          </w:tcPr>
          <w:p w14:paraId="780771D7" w14:textId="77777777" w:rsidR="007B6F04" w:rsidRPr="00971EDF" w:rsidRDefault="007B6F04" w:rsidP="00945907">
            <w:pPr>
              <w:spacing w:after="0" w:line="276" w:lineRule="auto"/>
              <w:rPr>
                <w:rFonts w:cs="Arial"/>
                <w:color w:val="auto"/>
                <w:sz w:val="20"/>
                <w:szCs w:val="20"/>
              </w:rPr>
            </w:pPr>
            <w:r w:rsidRPr="00971EDF">
              <w:rPr>
                <w:rFonts w:cs="Arial"/>
                <w:color w:val="auto"/>
                <w:sz w:val="20"/>
                <w:szCs w:val="20"/>
              </w:rPr>
              <w:t>Credibility and reputation</w:t>
            </w:r>
          </w:p>
        </w:tc>
        <w:tc>
          <w:tcPr>
            <w:tcW w:w="3098" w:type="dxa"/>
            <w:shd w:val="clear" w:color="auto" w:fill="F3F5F7"/>
            <w:tcMar>
              <w:top w:w="80" w:type="dxa"/>
              <w:bottom w:w="80" w:type="dxa"/>
            </w:tcMar>
          </w:tcPr>
          <w:p w14:paraId="50A73BB7" w14:textId="77777777" w:rsidR="007B6F04" w:rsidRPr="00971EDF" w:rsidRDefault="007B6F04" w:rsidP="00945907">
            <w:pPr>
              <w:spacing w:after="0" w:line="276" w:lineRule="auto"/>
              <w:rPr>
                <w:rFonts w:cs="Arial"/>
                <w:color w:val="auto"/>
                <w:sz w:val="20"/>
                <w:szCs w:val="20"/>
              </w:rPr>
            </w:pPr>
            <w:r w:rsidRPr="00971EDF">
              <w:rPr>
                <w:rFonts w:cs="Arial"/>
                <w:color w:val="auto"/>
                <w:sz w:val="20"/>
                <w:szCs w:val="20"/>
              </w:rPr>
              <w:t>Assurance is used by all cases; Diageo has an independent equality signal; transparent setbacks can support integrity.</w:t>
            </w:r>
          </w:p>
        </w:tc>
        <w:tc>
          <w:tcPr>
            <w:tcW w:w="3124" w:type="dxa"/>
            <w:shd w:val="clear" w:color="auto" w:fill="F3F5F7"/>
            <w:tcMar>
              <w:top w:w="80" w:type="dxa"/>
              <w:bottom w:w="80" w:type="dxa"/>
            </w:tcMar>
          </w:tcPr>
          <w:p w14:paraId="3AAACA00" w14:textId="77777777" w:rsidR="007B6F04" w:rsidRPr="00971EDF" w:rsidRDefault="007B6F04" w:rsidP="00945907">
            <w:pPr>
              <w:spacing w:after="0" w:line="276" w:lineRule="auto"/>
              <w:rPr>
                <w:rFonts w:cs="Arial"/>
                <w:color w:val="auto"/>
                <w:sz w:val="20"/>
                <w:szCs w:val="20"/>
              </w:rPr>
            </w:pPr>
            <w:r w:rsidRPr="00971EDF">
              <w:rPr>
                <w:rFonts w:cs="Arial"/>
                <w:color w:val="auto"/>
                <w:sz w:val="20"/>
                <w:szCs w:val="20"/>
              </w:rPr>
              <w:t>CMA scrutiny, litigation exposure and sparse comparable reputation measures prevent a general reputation claim.</w:t>
            </w:r>
          </w:p>
        </w:tc>
        <w:tc>
          <w:tcPr>
            <w:tcW w:w="2065" w:type="dxa"/>
            <w:shd w:val="clear" w:color="auto" w:fill="F3F5F7"/>
            <w:tcMar>
              <w:top w:w="80" w:type="dxa"/>
              <w:bottom w:w="80" w:type="dxa"/>
            </w:tcMar>
          </w:tcPr>
          <w:p w14:paraId="451438C4" w14:textId="77777777" w:rsidR="007B6F04" w:rsidRPr="00971EDF" w:rsidRDefault="007B6F04" w:rsidP="00945907">
            <w:pPr>
              <w:spacing w:after="0" w:line="276" w:lineRule="auto"/>
              <w:rPr>
                <w:rFonts w:cs="Arial"/>
                <w:color w:val="auto"/>
                <w:sz w:val="20"/>
                <w:szCs w:val="20"/>
              </w:rPr>
            </w:pPr>
            <w:r w:rsidRPr="00971EDF">
              <w:rPr>
                <w:rFonts w:cs="Arial"/>
                <w:color w:val="auto"/>
                <w:sz w:val="20"/>
                <w:szCs w:val="20"/>
              </w:rPr>
              <w:t>Conditional and asymmetric.</w:t>
            </w:r>
          </w:p>
        </w:tc>
      </w:tr>
      <w:tr w:rsidR="007B6F04" w:rsidRPr="00971EDF" w14:paraId="0FCBC9EA" w14:textId="77777777" w:rsidTr="007B6F04">
        <w:trPr>
          <w:cantSplit/>
          <w:trHeight w:val="1880"/>
          <w:jc w:val="center"/>
        </w:trPr>
        <w:tc>
          <w:tcPr>
            <w:tcW w:w="1639" w:type="dxa"/>
            <w:tcMar>
              <w:top w:w="80" w:type="dxa"/>
              <w:bottom w:w="80" w:type="dxa"/>
            </w:tcMar>
          </w:tcPr>
          <w:p w14:paraId="32074E2B" w14:textId="77777777" w:rsidR="007B6F04" w:rsidRPr="00971EDF" w:rsidRDefault="007B6F04" w:rsidP="00945907">
            <w:pPr>
              <w:spacing w:after="0" w:line="276" w:lineRule="auto"/>
              <w:rPr>
                <w:rFonts w:cs="Arial"/>
                <w:color w:val="auto"/>
                <w:sz w:val="20"/>
                <w:szCs w:val="20"/>
              </w:rPr>
            </w:pPr>
            <w:r w:rsidRPr="00971EDF">
              <w:rPr>
                <w:rFonts w:cs="Arial"/>
                <w:color w:val="auto"/>
                <w:sz w:val="20"/>
                <w:szCs w:val="20"/>
              </w:rPr>
              <w:lastRenderedPageBreak/>
              <w:t>Innovation and differentiation</w:t>
            </w:r>
          </w:p>
        </w:tc>
        <w:tc>
          <w:tcPr>
            <w:tcW w:w="3098" w:type="dxa"/>
            <w:tcMar>
              <w:top w:w="80" w:type="dxa"/>
              <w:bottom w:w="80" w:type="dxa"/>
            </w:tcMar>
          </w:tcPr>
          <w:p w14:paraId="5D4E867C" w14:textId="77777777" w:rsidR="007B6F04" w:rsidRPr="00971EDF" w:rsidRDefault="007B6F04" w:rsidP="00945907">
            <w:pPr>
              <w:spacing w:after="0" w:line="276" w:lineRule="auto"/>
              <w:rPr>
                <w:rFonts w:cs="Arial"/>
                <w:color w:val="auto"/>
                <w:sz w:val="20"/>
                <w:szCs w:val="20"/>
              </w:rPr>
            </w:pPr>
            <w:r w:rsidRPr="00971EDF">
              <w:rPr>
                <w:rFonts w:cs="Arial"/>
                <w:color w:val="auto"/>
                <w:sz w:val="20"/>
                <w:szCs w:val="20"/>
              </w:rPr>
              <w:t>Reckitt links sustainability to product assessment; Diageo’s moderation portfolio and case-level redesign show category fit.</w:t>
            </w:r>
          </w:p>
        </w:tc>
        <w:tc>
          <w:tcPr>
            <w:tcW w:w="3124" w:type="dxa"/>
            <w:tcMar>
              <w:top w:w="80" w:type="dxa"/>
              <w:bottom w:w="80" w:type="dxa"/>
            </w:tcMar>
          </w:tcPr>
          <w:p w14:paraId="288A2C19" w14:textId="77777777" w:rsidR="007B6F04" w:rsidRPr="00971EDF" w:rsidRDefault="007B6F04" w:rsidP="00945907">
            <w:pPr>
              <w:spacing w:after="0" w:line="276" w:lineRule="auto"/>
              <w:rPr>
                <w:rFonts w:cs="Arial"/>
                <w:color w:val="auto"/>
                <w:sz w:val="20"/>
                <w:szCs w:val="20"/>
              </w:rPr>
            </w:pPr>
            <w:r w:rsidRPr="00971EDF">
              <w:rPr>
                <w:rFonts w:cs="Arial"/>
                <w:color w:val="auto"/>
                <w:sz w:val="20"/>
                <w:szCs w:val="20"/>
              </w:rPr>
              <w:t>Demand, efficacy, marketing, acquisition and price can explain product growth.</w:t>
            </w:r>
          </w:p>
        </w:tc>
        <w:tc>
          <w:tcPr>
            <w:tcW w:w="2065" w:type="dxa"/>
            <w:tcMar>
              <w:top w:w="80" w:type="dxa"/>
              <w:bottom w:w="80" w:type="dxa"/>
            </w:tcMar>
          </w:tcPr>
          <w:p w14:paraId="57CA87E2" w14:textId="77777777" w:rsidR="007B6F04" w:rsidRPr="00971EDF" w:rsidRDefault="007B6F04" w:rsidP="00945907">
            <w:pPr>
              <w:spacing w:after="0" w:line="276" w:lineRule="auto"/>
              <w:rPr>
                <w:rFonts w:cs="Arial"/>
                <w:color w:val="auto"/>
                <w:sz w:val="20"/>
                <w:szCs w:val="20"/>
              </w:rPr>
            </w:pPr>
            <w:r w:rsidRPr="00971EDF">
              <w:rPr>
                <w:rFonts w:cs="Arial"/>
                <w:color w:val="auto"/>
                <w:sz w:val="20"/>
                <w:szCs w:val="20"/>
              </w:rPr>
              <w:t>Conditional: plausible contributor where category fit is clear; isolated causation is not demonstrated.</w:t>
            </w:r>
          </w:p>
        </w:tc>
      </w:tr>
      <w:tr w:rsidR="007B6F04" w:rsidRPr="00971EDF" w14:paraId="1E1CB86C" w14:textId="77777777" w:rsidTr="007B6F04">
        <w:trPr>
          <w:cantSplit/>
          <w:trHeight w:val="1615"/>
          <w:jc w:val="center"/>
        </w:trPr>
        <w:tc>
          <w:tcPr>
            <w:tcW w:w="1639" w:type="dxa"/>
            <w:shd w:val="clear" w:color="auto" w:fill="F3F5F7"/>
            <w:tcMar>
              <w:top w:w="80" w:type="dxa"/>
              <w:bottom w:w="80" w:type="dxa"/>
            </w:tcMar>
          </w:tcPr>
          <w:p w14:paraId="180DBD33" w14:textId="77777777" w:rsidR="007B6F04" w:rsidRPr="00971EDF" w:rsidRDefault="007B6F04" w:rsidP="00945907">
            <w:pPr>
              <w:spacing w:after="0" w:line="276" w:lineRule="auto"/>
              <w:rPr>
                <w:rFonts w:cs="Arial"/>
                <w:color w:val="auto"/>
                <w:sz w:val="20"/>
                <w:szCs w:val="20"/>
              </w:rPr>
            </w:pPr>
            <w:r w:rsidRPr="00971EDF">
              <w:rPr>
                <w:rFonts w:cs="Arial"/>
                <w:color w:val="auto"/>
                <w:sz w:val="20"/>
                <w:szCs w:val="20"/>
              </w:rPr>
              <w:t>Efficiency and resilience</w:t>
            </w:r>
          </w:p>
        </w:tc>
        <w:tc>
          <w:tcPr>
            <w:tcW w:w="3098" w:type="dxa"/>
            <w:shd w:val="clear" w:color="auto" w:fill="F3F5F7"/>
            <w:tcMar>
              <w:top w:w="80" w:type="dxa"/>
              <w:bottom w:w="80" w:type="dxa"/>
            </w:tcMar>
          </w:tcPr>
          <w:p w14:paraId="622000ED" w14:textId="77777777" w:rsidR="007B6F04" w:rsidRPr="00971EDF" w:rsidRDefault="007B6F04" w:rsidP="00945907">
            <w:pPr>
              <w:spacing w:after="0" w:line="276" w:lineRule="auto"/>
              <w:rPr>
                <w:rFonts w:cs="Arial"/>
                <w:color w:val="auto"/>
                <w:sz w:val="20"/>
                <w:szCs w:val="20"/>
              </w:rPr>
            </w:pPr>
            <w:r w:rsidRPr="00971EDF">
              <w:rPr>
                <w:rFonts w:cs="Arial"/>
                <w:color w:val="auto"/>
                <w:sz w:val="20"/>
                <w:szCs w:val="20"/>
              </w:rPr>
              <w:t>Own-operation emissions, energy and water programmes provide observable resource and continuity pathways.</w:t>
            </w:r>
          </w:p>
        </w:tc>
        <w:tc>
          <w:tcPr>
            <w:tcW w:w="3124" w:type="dxa"/>
            <w:shd w:val="clear" w:color="auto" w:fill="F3F5F7"/>
            <w:tcMar>
              <w:top w:w="80" w:type="dxa"/>
              <w:bottom w:w="80" w:type="dxa"/>
            </w:tcMar>
          </w:tcPr>
          <w:p w14:paraId="00D0752B" w14:textId="77777777" w:rsidR="007B6F04" w:rsidRPr="00971EDF" w:rsidRDefault="007B6F04" w:rsidP="00945907">
            <w:pPr>
              <w:spacing w:after="0" w:line="276" w:lineRule="auto"/>
              <w:rPr>
                <w:rFonts w:cs="Arial"/>
                <w:color w:val="auto"/>
                <w:sz w:val="20"/>
                <w:szCs w:val="20"/>
              </w:rPr>
            </w:pPr>
            <w:r w:rsidRPr="00971EDF">
              <w:rPr>
                <w:rFonts w:cs="Arial"/>
                <w:color w:val="auto"/>
                <w:sz w:val="20"/>
                <w:szCs w:val="20"/>
              </w:rPr>
              <w:t>Reported financial performance diverged at Diageo and ABF; crisis or segment conditions dominate some outcomes.</w:t>
            </w:r>
          </w:p>
        </w:tc>
        <w:tc>
          <w:tcPr>
            <w:tcW w:w="2065" w:type="dxa"/>
            <w:shd w:val="clear" w:color="auto" w:fill="F3F5F7"/>
            <w:tcMar>
              <w:top w:w="80" w:type="dxa"/>
              <w:bottom w:w="80" w:type="dxa"/>
            </w:tcMar>
          </w:tcPr>
          <w:p w14:paraId="582BA9C4" w14:textId="77777777" w:rsidR="007B6F04" w:rsidRPr="00971EDF" w:rsidRDefault="007B6F04" w:rsidP="00945907">
            <w:pPr>
              <w:spacing w:after="0" w:line="276" w:lineRule="auto"/>
              <w:rPr>
                <w:rFonts w:cs="Arial"/>
                <w:color w:val="auto"/>
                <w:sz w:val="20"/>
                <w:szCs w:val="20"/>
              </w:rPr>
            </w:pPr>
            <w:r w:rsidRPr="00971EDF">
              <w:rPr>
                <w:rFonts w:cs="Arial"/>
                <w:color w:val="auto"/>
                <w:sz w:val="20"/>
                <w:szCs w:val="20"/>
              </w:rPr>
              <w:t>Conditional operational contribution; a distinct financial effect is not demonstrated.</w:t>
            </w:r>
          </w:p>
        </w:tc>
      </w:tr>
      <w:tr w:rsidR="007B6F04" w:rsidRPr="00971EDF" w14:paraId="7B210FB6" w14:textId="77777777" w:rsidTr="007B6F04">
        <w:trPr>
          <w:cantSplit/>
          <w:trHeight w:val="2419"/>
          <w:jc w:val="center"/>
        </w:trPr>
        <w:tc>
          <w:tcPr>
            <w:tcW w:w="1639" w:type="dxa"/>
            <w:tcMar>
              <w:top w:w="80" w:type="dxa"/>
              <w:bottom w:w="80" w:type="dxa"/>
            </w:tcMar>
          </w:tcPr>
          <w:p w14:paraId="4EDBBB9C" w14:textId="77777777" w:rsidR="007B6F04" w:rsidRPr="00971EDF" w:rsidRDefault="007B6F04" w:rsidP="00945907">
            <w:pPr>
              <w:spacing w:after="0" w:line="276" w:lineRule="auto"/>
              <w:rPr>
                <w:rFonts w:cs="Arial"/>
                <w:color w:val="auto"/>
                <w:sz w:val="20"/>
                <w:szCs w:val="20"/>
              </w:rPr>
            </w:pPr>
            <w:r w:rsidRPr="00971EDF">
              <w:rPr>
                <w:rFonts w:cs="Arial"/>
                <w:color w:val="auto"/>
                <w:sz w:val="20"/>
                <w:szCs w:val="20"/>
              </w:rPr>
              <w:t>Long-term advantage</w:t>
            </w:r>
          </w:p>
        </w:tc>
        <w:tc>
          <w:tcPr>
            <w:tcW w:w="3098" w:type="dxa"/>
            <w:tcMar>
              <w:top w:w="80" w:type="dxa"/>
              <w:bottom w:w="80" w:type="dxa"/>
            </w:tcMar>
          </w:tcPr>
          <w:p w14:paraId="5EB9283C" w14:textId="77777777" w:rsidR="007B6F04" w:rsidRPr="00971EDF" w:rsidRDefault="007B6F04" w:rsidP="00945907">
            <w:pPr>
              <w:spacing w:after="0" w:line="276" w:lineRule="auto"/>
              <w:rPr>
                <w:rFonts w:cs="Arial"/>
                <w:color w:val="auto"/>
                <w:sz w:val="20"/>
                <w:szCs w:val="20"/>
              </w:rPr>
            </w:pPr>
            <w:r w:rsidRPr="00971EDF">
              <w:rPr>
                <w:rFonts w:cs="Arial"/>
                <w:color w:val="auto"/>
                <w:sz w:val="20"/>
                <w:szCs w:val="20"/>
              </w:rPr>
              <w:t>Embedded data, supplier and innovation routines are less imitable than public commitments.</w:t>
            </w:r>
          </w:p>
        </w:tc>
        <w:tc>
          <w:tcPr>
            <w:tcW w:w="3124" w:type="dxa"/>
            <w:tcMar>
              <w:top w:w="80" w:type="dxa"/>
              <w:bottom w:w="80" w:type="dxa"/>
            </w:tcMar>
          </w:tcPr>
          <w:p w14:paraId="00497A77" w14:textId="77777777" w:rsidR="007B6F04" w:rsidRPr="00971EDF" w:rsidRDefault="007B6F04" w:rsidP="00945907">
            <w:pPr>
              <w:spacing w:after="0" w:line="276" w:lineRule="auto"/>
              <w:rPr>
                <w:rFonts w:cs="Arial"/>
                <w:color w:val="auto"/>
                <w:sz w:val="20"/>
                <w:szCs w:val="20"/>
              </w:rPr>
            </w:pPr>
            <w:r w:rsidRPr="00971EDF">
              <w:rPr>
                <w:rFonts w:cs="Arial"/>
                <w:color w:val="auto"/>
                <w:sz w:val="20"/>
                <w:szCs w:val="20"/>
              </w:rPr>
              <w:t>Unilever and Reckitt growth contrasts with weaker Diageo and ABF group outcomes; time lags are unresolved.</w:t>
            </w:r>
          </w:p>
        </w:tc>
        <w:tc>
          <w:tcPr>
            <w:tcW w:w="2065" w:type="dxa"/>
            <w:tcMar>
              <w:top w:w="80" w:type="dxa"/>
              <w:bottom w:w="80" w:type="dxa"/>
            </w:tcMar>
          </w:tcPr>
          <w:p w14:paraId="1DEBD397" w14:textId="77777777" w:rsidR="007B6F04" w:rsidRPr="00971EDF" w:rsidRDefault="007B6F04" w:rsidP="00945907">
            <w:pPr>
              <w:spacing w:after="0" w:line="276" w:lineRule="auto"/>
              <w:rPr>
                <w:rFonts w:cs="Arial"/>
                <w:color w:val="auto"/>
                <w:sz w:val="20"/>
                <w:szCs w:val="20"/>
              </w:rPr>
            </w:pPr>
            <w:r w:rsidRPr="00971EDF">
              <w:rPr>
                <w:rFonts w:cs="Arial"/>
                <w:color w:val="auto"/>
                <w:sz w:val="20"/>
                <w:szCs w:val="20"/>
              </w:rPr>
              <w:t>Configurational contribution only; no universal ESG premium or statistically demonstrated reputation-performance relationship.</w:t>
            </w:r>
          </w:p>
        </w:tc>
      </w:tr>
    </w:tbl>
    <w:p w14:paraId="0881D48B" w14:textId="3A3FDB8A" w:rsidR="007B6F04" w:rsidRPr="00C41846" w:rsidRDefault="007B6F04" w:rsidP="00C41846">
      <w:pPr>
        <w:jc w:val="center"/>
        <w:rPr>
          <w:i/>
          <w:iCs/>
        </w:rPr>
      </w:pPr>
      <w:r w:rsidRPr="007B6F04">
        <w:rPr>
          <w:i/>
          <w:iCs/>
        </w:rPr>
        <w:t>Source: Author's cross-case synthesis of the evidence reported in Chapter 4.</w:t>
      </w:r>
    </w:p>
    <w:p w14:paraId="07F6F802" w14:textId="77C39449" w:rsidR="004B4463" w:rsidRPr="004D7A10" w:rsidRDefault="007B6F04" w:rsidP="007B6F04">
      <w:pPr>
        <w:rPr>
          <w:rFonts w:cs="Arial"/>
        </w:rPr>
      </w:pPr>
      <w:r>
        <w:t>The operational route, on the whole, has more direct documentary evidence than does the reputation route. Emission reductions, product redesign, water initiatives and supplier programmes can be seen but causal interpretation and boundaries are not perfect. An operating routine is a product of its time and does not constitute a demonstrated impact on competitive outcomes, as volume, portfolio and pricing, among other rival explanations, may persist. The results thus suggest that ESG is not a standalone cause for sustainable competitive advantage, but rather a part of a configuration of capabilities and market conditions that can lead to sustainable competitive advantage</w:t>
      </w:r>
      <w:r w:rsidR="00F763E6">
        <w:t>.</w:t>
      </w:r>
    </w:p>
    <w:p w14:paraId="28950C11" w14:textId="77777777" w:rsidR="004B4463" w:rsidRDefault="00F763E6">
      <w:pPr>
        <w:pStyle w:val="Heading1"/>
        <w:pageBreakBefore/>
      </w:pPr>
      <w:bookmarkStart w:id="105" w:name="_Toc240378636"/>
      <w:bookmarkStart w:id="106" w:name="_Hlk241072489"/>
      <w:bookmarkStart w:id="107" w:name="_Toc241154058"/>
      <w:bookmarkEnd w:id="95"/>
      <w:r>
        <w:lastRenderedPageBreak/>
        <w:t>Chapter 5: Discussion</w:t>
      </w:r>
      <w:bookmarkEnd w:id="105"/>
      <w:bookmarkEnd w:id="107"/>
    </w:p>
    <w:p w14:paraId="78FCA983" w14:textId="77777777" w:rsidR="004B4463" w:rsidRDefault="00F763E6">
      <w:pPr>
        <w:pStyle w:val="Heading2"/>
      </w:pPr>
      <w:bookmarkStart w:id="108" w:name="_Toc240378637"/>
      <w:bookmarkStart w:id="109" w:name="_Toc241154059"/>
      <w:bookmarkEnd w:id="106"/>
      <w:r>
        <w:t>5.1 Introduction</w:t>
      </w:r>
      <w:bookmarkEnd w:id="108"/>
      <w:bookmarkEnd w:id="109"/>
    </w:p>
    <w:p w14:paraId="0FFFEF6B" w14:textId="77777777" w:rsidR="004B4463" w:rsidRDefault="00F763E6">
      <w:r>
        <w:t>This chapter interprets the findings in relation to the literature and the research questions. The central conclusion is that the ESG label does not create value directly; any contribution operates through governed mechanisms. Across the cases, two pathways are evident: operational capability and stakeholder reputation. The operational pathway is more directly observable, whereas the reputational pathway is more conditional. Commercial outcomes reflect the interaction of ESG substance with category economics, portfolio change, evidence credibility and time, challenging both an automatic business-case interpretation and the view that all ESG activity is merely symbolic.</w:t>
      </w:r>
    </w:p>
    <w:p w14:paraId="689093D7" w14:textId="77777777" w:rsidR="004B4463" w:rsidRDefault="00F763E6">
      <w:pPr>
        <w:pStyle w:val="Heading2"/>
      </w:pPr>
      <w:bookmarkStart w:id="110" w:name="_Toc240378638"/>
      <w:bookmarkStart w:id="111" w:name="_Hlk241072523"/>
      <w:bookmarkStart w:id="112" w:name="_Toc241154060"/>
      <w:r>
        <w:t>5.2 How ESG strategy is conceptualised and implemented</w:t>
      </w:r>
      <w:bookmarkEnd w:id="110"/>
      <w:bookmarkEnd w:id="112"/>
    </w:p>
    <w:p w14:paraId="55D0506A" w14:textId="73996981" w:rsidR="00D522EC" w:rsidRDefault="00D522EC" w:rsidP="00D522EC">
      <w:r>
        <w:t xml:space="preserve">The first research question is what is meant by the term ESG strategy, how it is governed and implemented? In all 4 cases ESG goes beyond disclosure, and is not a single organisational structure. The approaches Unilever and Reckitt adopt are concentrating on relatively concentrated target systems, whereas Diageo adjusts targets to the material issues of beverage alcohol and ABF has a group level target system with decentralised business design. This is in line with Edmans (2023) who believes stakeholder issues are better suited to ordinary strategy than as a generic ESG issue. It also corroborates the finding of </w:t>
      </w:r>
      <w:r w:rsidR="00E7309C">
        <w:t>Gillan et al. (2021)</w:t>
      </w:r>
      <w:r>
        <w:t xml:space="preserve"> which states that the same ESG label could describe different phenomena in an organisation.</w:t>
      </w:r>
    </w:p>
    <w:p w14:paraId="33A9E1ED" w14:textId="77777777" w:rsidR="00D522EC" w:rsidRDefault="00D522EC" w:rsidP="00D522EC">
      <w:r>
        <w:t xml:space="preserve">Most successful implementation when a material problem is attached to an operating process. Reckitt uses Life Cycle Comparison in its product development via the Reckitt Sustainable Innovation Calculator. Diageo connects water stewardship with the place of products and moderation with the development of a category. Both Unilever and Primark have been given responsibility to integrate plastics, sourcing and agriculture supply chains and materials, circular design and supplier energy with value-fashion. The focus of value generation, from the RBV perspective, is in the accumulated knowledge, relationships and routines, rather than in any public commitment. It is more </w:t>
      </w:r>
      <w:r>
        <w:lastRenderedPageBreak/>
        <w:t>straightforward to copy a target than a traceable supplier network or a cross-functional innovation system.</w:t>
      </w:r>
    </w:p>
    <w:p w14:paraId="174D1EC3" w14:textId="77777777" w:rsidR="00D522EC" w:rsidRDefault="00D522EC" w:rsidP="00D522EC">
      <w:r>
        <w:t>The governance structure is important but by itself is not decisive. Centralisation can help define and escalate, but can also set targets which might not be a good fit for some categories. Decentralisation can enhance materiality but it can also allow for varying standards. The quarterly ESG Update Meetings introduced by ABF in 2025 can thus be seen as extending the central visibility, while at the same time maintaining the autonomy at business level. This discovery adds to stakeholder theory by demonstrating the need for responsiveness to involve more than just the recognition of stakeholder claims but the establishment of organisational mechanisms that enable competing claims to affect capital and operating decisions.</w:t>
      </w:r>
    </w:p>
    <w:p w14:paraId="25589F80" w14:textId="17E2B0D9" w:rsidR="004B4463" w:rsidRDefault="00D522EC" w:rsidP="00D522EC">
      <w:r>
        <w:t xml:space="preserve">The other indication of strategic integration is on the design of incentives. Executives are made accountable for delivery in Unilever's performance-share plan and Reckitt's long-term incentive plan through sustainability metrics. However, incentives must be carefully designed as narrow incentives can be optimised by product mix, boundary or timing. This is in line with </w:t>
      </w:r>
      <w:r w:rsidR="00BF3145">
        <w:t>Christensen et al. (2021)</w:t>
      </w:r>
      <w:r>
        <w:t xml:space="preserve"> which demonstrate that sustainability reporting and measurement can have intended and unintended behavioural impacts. Hence, boards must supervise the design of metrics and the headlines weightage</w:t>
      </w:r>
      <w:r w:rsidR="00F763E6">
        <w:t>.</w:t>
      </w:r>
    </w:p>
    <w:p w14:paraId="53EBB4C9" w14:textId="77777777" w:rsidR="004B4463" w:rsidRDefault="00F763E6">
      <w:pPr>
        <w:pStyle w:val="Heading2"/>
      </w:pPr>
      <w:bookmarkStart w:id="113" w:name="_Toc240378639"/>
      <w:bookmarkStart w:id="114" w:name="_Toc241154061"/>
      <w:r>
        <w:t>5.3 Reputation as a conditional and asymmetric mechanism</w:t>
      </w:r>
      <w:bookmarkEnd w:id="113"/>
      <w:bookmarkEnd w:id="114"/>
    </w:p>
    <w:p w14:paraId="1FF75B18" w14:textId="77777777" w:rsidR="00D522EC" w:rsidRDefault="00D522EC" w:rsidP="00D522EC">
      <w:r>
        <w:t>The second research question is about the effect of ESG on reputation. Evidence suggests a credibility mediated pathway instead of a direct pathway. Claims are made and stakeholders see the results, and over time that can impact the perception of competence and integrity and therefore the perception of the company. Limited assurance, baselines, and independent recognition can help mitigate information asymmetry. One positive measure, unaffected by corporate spin, is the Equileap ranking of Diageo. In contrast, the social-impact reach claimed by Reckitt or Unilever show activity, but not direct stakeholder judgement.</w:t>
      </w:r>
    </w:p>
    <w:p w14:paraId="6F6E5832" w14:textId="6788C16F" w:rsidR="00D522EC" w:rsidRDefault="00D522EC" w:rsidP="00D522EC">
      <w:r>
        <w:t xml:space="preserve">This distinction makes possible the identification of positive reputational pathways, as identified by </w:t>
      </w:r>
      <w:r w:rsidR="00BF3145">
        <w:t>Gangi et al. (2020)</w:t>
      </w:r>
      <w:r>
        <w:t xml:space="preserve"> and Meng et al. (2023). Aggregate measures can combine three stages: the production of the evidence, the interpretation of the evidence </w:t>
      </w:r>
      <w:r>
        <w:lastRenderedPageBreak/>
        <w:t>by stakeholders and the reputation resulting from that. The stages of evidence in the case are not necessarily linked directly. The process of operational progress may unfold without widespread stakeholder attention; a high profile target may set higher expectations for which outcomes are not met; and an unrelated controversy may shape the interpretation of reputation. Reputation should thus be considered as stakeholder-specific and issue-specific before being generalised to the corporate level.</w:t>
      </w:r>
    </w:p>
    <w:p w14:paraId="773A6402" w14:textId="19E1B8C8" w:rsidR="00D522EC" w:rsidRDefault="00D522EC" w:rsidP="00D522EC">
      <w:r>
        <w:t>Theories of legitimacy also focus on asymmetry in the process of claims scrutiny. The CMA investigation into Unilever's environmental claims highlights the focus of the regulators on substantiation, and the closure in 2024 found no infringement, and did not mark a blanket pardon. Also in Reckitt's litigation disclosures concerning its environmental and social (ESG) exposures are salient, even if the activities are not part of NEC-related projects.</w:t>
      </w:r>
      <w:r w:rsidR="00205D60">
        <w:t xml:space="preserve"> Ghitti et al. (2024) </w:t>
      </w:r>
      <w:r>
        <w:t>offer a theoretical explanation of greenwashing incentives and agency problems; in isolation the cases do not validate the causal explanation of the authors.</w:t>
      </w:r>
    </w:p>
    <w:p w14:paraId="75E817A8" w14:textId="161B85A8" w:rsidR="004B4463" w:rsidRDefault="00D522EC" w:rsidP="00D522EC">
      <w:r>
        <w:t>Thus, reputation is not considered to be a statistically proven mediator but rather a conditional mechanism. A repeated, verified action may provide a plausible increase in the confidence of stakeholders over time, and a salient contradiction may lead to a greater negative reassessment, as it can be seen as a sign of governance in other aspects of the disputed action. This asymmetry is consistent from a theoretical point of view with the legitimacy and stakeholder perspectives, but the current documentary design does not calculate a nonlinear 'downside convexity' effect. Other evaluative criteria are used by regulators, consumers, employees and suppliers, which further underscores the limitations of one reputation index</w:t>
      </w:r>
      <w:r w:rsidR="00F763E6">
        <w:t>.</w:t>
      </w:r>
    </w:p>
    <w:p w14:paraId="63E06DDB" w14:textId="77777777" w:rsidR="004B4463" w:rsidRDefault="00F763E6">
      <w:pPr>
        <w:pStyle w:val="Heading2"/>
      </w:pPr>
      <w:bookmarkStart w:id="115" w:name="_Toc240378640"/>
      <w:bookmarkStart w:id="116" w:name="_Toc241154062"/>
      <w:r>
        <w:t>5.4 Contribution to long-term competitive advantage</w:t>
      </w:r>
      <w:bookmarkEnd w:id="115"/>
      <w:bookmarkEnd w:id="116"/>
    </w:p>
    <w:p w14:paraId="73E308AF" w14:textId="77777777" w:rsidR="00D522EC" w:rsidRDefault="00D522EC" w:rsidP="00D522EC">
      <w:r>
        <w:t xml:space="preserve">The third research question is whether there are consistencies between reputation-related evidence and indicators of long-term competitive advantage. The cases have varying trends and no statistical correlation or causal conclusion can be drawn. Unilever and Reckitt have a mixture of positive ESG indicators, plus positive underlying or like-for-like commercial measures in selected areas. Some of the other companies, such as Diageo and ABF, have weaker financial performance of the group or headwinds in the </w:t>
      </w:r>
      <w:r>
        <w:lastRenderedPageBreak/>
        <w:t>category, yet demonstrate ESG progress on some measures. These counter-patterns are analytically relevant, as they illustrate that ESG performance and commercial performance can deviate across measures, companies and over time. The evidence thus points to only a conditional association; that of which there are significant alternative explanations.</w:t>
      </w:r>
    </w:p>
    <w:p w14:paraId="67D125AC" w14:textId="77777777" w:rsidR="00D522EC" w:rsidRDefault="00D522EC" w:rsidP="00D522EC">
      <w:r>
        <w:t>There are a number of competing materialist explanations. Benchmarking Unilever's performance also involves the contribution of portfolio simplification, Power Brand concentration, market mix and productivity. Price/mix, Fuel for Growth and the Essential Home disposal all have an impact on Reckitt's revenue and margin. Diageo is impacted by foreign-exchange, impairment, restructuring and category-demand impacts. ABF's group profit is impacted by the poor Sugar economics and Primark's retail performance is a result of the expansion of stores, pricing and cost control. Such factors do not preclude an ESG contribution; instead, they illustrate that any ESG contribution exists within a larger business arrangement, and efforts towards an ESG contribution are challenging to separate from other ESG-related strategies.</w:t>
      </w:r>
    </w:p>
    <w:p w14:paraId="5D9F1A50" w14:textId="77777777" w:rsidR="00D522EC" w:rsidRDefault="00D522EC" w:rsidP="00D522EC">
      <w:r>
        <w:t>The pathway of operation is more visible. Cost, continuity and product relevance are all impacted by energy efficiency, renewable procurement, packaging redesign, concentrated formulations, water projects and supplier capability. This aligns with the link between ESG-focused innovation and subsequent organisational outcomes found by Cabaleiro-Cerviño and Mendi (2024). It also sheds light on why value-chain progress is slower: many of the capabilities are not within the focal firm, they are not coordinated and need infrastructure and external investment. Thus, differences between own-operation and Scope 3 outcomes represent the boundaries of unilateral control. A potential benefit is the capacity to integrate these interdependent needs more effectively than the competition.</w:t>
      </w:r>
    </w:p>
    <w:p w14:paraId="3BC15F4E" w14:textId="77777777" w:rsidR="00D522EC" w:rsidRDefault="00D522EC" w:rsidP="00D522EC">
      <w:r>
        <w:t xml:space="preserve">The relational pathway continues to be of commercial interest. Reputation can help to dampen the friction among stakeholders, drive talent attraction, secure licence to operate and enhance customer preference. Fafaliou et al. (2022) link the ESG reputational risk with the remaining life of the market, and crisis literature indicates that stakeholder capital can help build resilience (Albuquerque et al., 2020; Broadstock et al., 2021). But in this </w:t>
      </w:r>
      <w:r>
        <w:lastRenderedPageBreak/>
        <w:t>research, there are some drawbacks in directly comparing the reputation evidence. It is therefore the right conclusion that there are reputational possibilities with verified ESG, but that this will not necessarily result in reputational gains.</w:t>
      </w:r>
    </w:p>
    <w:p w14:paraId="0712FCDB" w14:textId="047210ED" w:rsidR="004B4463" w:rsidRDefault="00D522EC" w:rsidP="00D522EC">
      <w:r>
        <w:t>The RBV also shifts where the advantage is likely to come. Public targets/ratings can be replicated and can converge as disclosure expectations become more standardized. With the publication of the SRS S1 and S2 in 2026 as a UK sustainability-reporting framework, and the UK Corporate Governance Code reinforcing expectations around material controls for relevant reporting periods, the UK offers a robust framework to support the creation of a sustainability reporting. But not all four companies were already required to make the same disclosures. Instead, they diminish the uniqueness of disclosure alone, while enhancing the strategic worth of the data quality, supplier relationships, design know-how and adaptive execution</w:t>
      </w:r>
      <w:r w:rsidR="00F763E6">
        <w:t>.</w:t>
      </w:r>
    </w:p>
    <w:p w14:paraId="7E7B22A4" w14:textId="77777777" w:rsidR="004B4463" w:rsidRDefault="00F763E6">
      <w:pPr>
        <w:pStyle w:val="Heading2"/>
      </w:pPr>
      <w:bookmarkStart w:id="117" w:name="_Toc240378641"/>
      <w:bookmarkStart w:id="118" w:name="_Toc241154063"/>
      <w:r>
        <w:t>5.5 Conditions that strengthen or weaken the mechanisms</w:t>
      </w:r>
      <w:bookmarkEnd w:id="117"/>
      <w:bookmarkEnd w:id="118"/>
    </w:p>
    <w:p w14:paraId="17ABCB9A" w14:textId="77777777" w:rsidR="00D522EC" w:rsidRDefault="00D522EC" w:rsidP="00D522EC">
      <w:r>
        <w:t>The fourth research question is related to boundary conditions. There are six conditions that appear throughout the evidence. Materiality seems to reinforce the operational and the relational pathways, as action is more likely to be resourced and attended to where it is a part of a salient dependency/expectation; this design doesn't test materiality as a necessary causal condition. Category fit also has an impact on salience: responsibility-drinking programmes are more salient for licence-to-operate issues for Diageo, whereas product efficacy and health claims are more salient for Reckitt's category legitimacy. Governance ownership and incentives are potentially helpful in implementation, but can also mis-incentivize if the metric design is suboptimal.</w:t>
      </w:r>
    </w:p>
    <w:p w14:paraId="34AEA3B8" w14:textId="2A0BA2A2" w:rsidR="00D522EC" w:rsidRDefault="00D522EC" w:rsidP="00D522EC">
      <w:r>
        <w:t xml:space="preserve">Fourth, if evidence is good, so is credibility. Clear, terms, setbacks, scope, baselines, acknowledgement, restatement, performance, by, helps, stakeholders, transparent, definitions, stable. </w:t>
      </w:r>
      <w:r w:rsidR="00E7309C">
        <w:t>Berg et al. (2022)</w:t>
      </w:r>
      <w:r>
        <w:t xml:space="preserve"> describe the reasons the aggregate ratings differ and the cases offer a practical solution in which underlying metrics that are useful for decisions are prioritised over optimising a single rating. Limited assurance can boost confidence in indicators chosen for audit, but alone is not enough. A progressive assurance model should be used to focus more verification effort on the most material and claim sensitive measures.</w:t>
      </w:r>
    </w:p>
    <w:p w14:paraId="2ACB9C57" w14:textId="77777777" w:rsidR="00D522EC" w:rsidRDefault="00D522EC" w:rsidP="00D522EC">
      <w:r>
        <w:lastRenderedPageBreak/>
        <w:t>Fifth, outside the dependence undermines short-term control. Suppliers, infrastructure and policy conditions, along with the focal company are all factors that will affect progress on Scope 3 emissions and on the availability of flexible packaging and recycled content. This can be seen in the year on year reduction in scope 3 emissions, but not the base line for Diageo, and in the packaging shortfall for Reckitt. A systems perspective then, differentiates strategy responsibility from direct responsibility for each outcome. Credibility is built on differentiating controllable levers and external dependencies and transparently reporting both.</w:t>
      </w:r>
    </w:p>
    <w:p w14:paraId="6833F3A6" w14:textId="60398EEB" w:rsidR="004B4463" w:rsidRDefault="00D522EC" w:rsidP="00D522EC">
      <w:r>
        <w:t>Sixthly, value capture is reliant on affordability, commercial fit. Even if the price is not a barrier, as in the case of sustainable consumption (Deloitte, 2024), willingness to pay is behaviourally ambiguous (PwC, 2024). Primark is a good example of a value proposition strategy, where sustainability is not a top dollar product, but is incorporated into the product. Companies that can only promote sustainability at a higher cost may not include those who find the cost prohibitive or may forego sales volume. These trade-offs can be reduced and more inclusive stakeholder value can be achieved with innovation that engages lower energy, lower materials or lower total cost</w:t>
      </w:r>
      <w:r w:rsidR="00F763E6">
        <w:t>.</w:t>
      </w:r>
    </w:p>
    <w:p w14:paraId="2C1711A1" w14:textId="77777777" w:rsidR="004B4463" w:rsidRDefault="00F763E6">
      <w:pPr>
        <w:pStyle w:val="Heading2"/>
      </w:pPr>
      <w:bookmarkStart w:id="119" w:name="_Toc240378642"/>
      <w:bookmarkStart w:id="120" w:name="_Toc241154064"/>
      <w:r>
        <w:t>5.6 Revised conceptual framework and theoretical contribution</w:t>
      </w:r>
      <w:bookmarkEnd w:id="119"/>
      <w:bookmarkEnd w:id="120"/>
    </w:p>
    <w:p w14:paraId="6EC736D9" w14:textId="77777777" w:rsidR="00D522EC" w:rsidRDefault="00D522EC" w:rsidP="00D522EC">
      <w:r>
        <w:t>The evidence elaborates the original framework in three ways. First, it makes clear that materiality and governance are integral to substantive ESG strategy, and are not merely external amplifiers of strategy – as Figure 1 already illustrates, governance is not a new “place” in relation to strategy, but it is a constituent part of the strategy construct. Second, the revised framework places verified outcomes and claim control in between the operational action and stakeholder judgement. Third, it sees commercial and portfolio pressures as competing or complementary factors in observed performance – not just as “noise.”</w:t>
      </w:r>
    </w:p>
    <w:p w14:paraId="61C38DB8" w14:textId="77777777" w:rsidR="00D522EC" w:rsidRDefault="00D522EC" w:rsidP="00D522EC">
      <w:pPr>
        <w:pStyle w:val="Heading4"/>
      </w:pPr>
      <w:bookmarkStart w:id="121" w:name="fig_3"/>
      <w:bookmarkStart w:id="122" w:name="_Toc240857242"/>
      <w:r>
        <w:lastRenderedPageBreak/>
        <w:t>Figure 5. Revised evidence-based mechanism model</w:t>
      </w:r>
      <w:bookmarkEnd w:id="121"/>
      <w:bookmarkEnd w:id="122"/>
    </w:p>
    <w:p w14:paraId="2620C4B4" w14:textId="77777777" w:rsidR="00D522EC" w:rsidRDefault="00D522EC" w:rsidP="00D522EC">
      <w:pPr>
        <w:jc w:val="center"/>
      </w:pPr>
      <w:r>
        <w:rPr>
          <w:noProof/>
        </w:rPr>
        <w:drawing>
          <wp:inline distT="0" distB="0" distL="0" distR="0" wp14:anchorId="3E391503" wp14:editId="2EE7E3F7">
            <wp:extent cx="5238750" cy="3220085"/>
            <wp:effectExtent l="0" t="0" r="0" b="0"/>
            <wp:docPr id="5" name="Picture 3" descr="Material ESG strategy generates operational routines. Routines create verified outcomes and capability value. Verified outcomes influence trust and reputation; capability and reputation contribute to durable advantage. Category fit, affordability, external dependency and time lag moderate the model, while commercial rivals also affect observed performance." title="Figure 3. Revised evidence-based mechanism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Material ESG strategy generates operational routines. Routines create verified outcomes and capability value. Verified outcomes influence trust and reputation; capability and reputation contribute to durable advantage. Category fit, affordability, external dependency and time lag moderate the model, while commercial rivals also affect observed performance." title="Figure 3. Revised evidence-based mechanism model"/>
                    <pic:cNvPicPr>
                      <a:picLocks noChangeAspect="1" noChangeArrowheads="1"/>
                    </pic:cNvPicPr>
                  </pic:nvPicPr>
                  <pic:blipFill>
                    <a:blip r:embed="rId21"/>
                    <a:stretch>
                      <a:fillRect/>
                    </a:stretch>
                  </pic:blipFill>
                  <pic:spPr bwMode="auto">
                    <a:xfrm>
                      <a:off x="0" y="0"/>
                      <a:ext cx="5238750" cy="3220085"/>
                    </a:xfrm>
                    <a:prstGeom prst="rect">
                      <a:avLst/>
                    </a:prstGeom>
                    <a:noFill/>
                  </pic:spPr>
                </pic:pic>
              </a:graphicData>
            </a:graphic>
          </wp:inline>
        </w:drawing>
      </w:r>
    </w:p>
    <w:p w14:paraId="522706B4" w14:textId="77777777" w:rsidR="00D522EC" w:rsidRPr="00D522EC" w:rsidRDefault="00D522EC" w:rsidP="00D522EC">
      <w:pPr>
        <w:jc w:val="center"/>
        <w:rPr>
          <w:i/>
          <w:iCs/>
        </w:rPr>
      </w:pPr>
      <w:r w:rsidRPr="00D522EC">
        <w:rPr>
          <w:i/>
          <w:iCs/>
        </w:rPr>
        <w:t>Source: Created by the author.</w:t>
      </w:r>
    </w:p>
    <w:p w14:paraId="1919E0F9" w14:textId="77777777" w:rsidR="00D522EC" w:rsidRDefault="00D522EC" w:rsidP="00D522EC">
      <w:r>
        <w:t>The new model means that material ESG considerations are embedded in operational processes that can lead to innovation, efficiency, resilience and risk management. When outcomes are relevant, credible and affordable, verified outcomes can give stakeholders something to interpret, thereby impacting trust and reputation. Operational capabilities and reputation can interact as they contribute to the attainment of durable advantage, and external dependency, category fit, time lags, pricing, portfolio decisions and macroeconomic conditions influence the observed commercial outcomes. Thus, Figure 5 is a conceptual refinement, and not a causal validation of the sequence nor a statistical mediation model, informed by evidence.</w:t>
      </w:r>
    </w:p>
    <w:p w14:paraId="050E56D8" w14:textId="10D86F40" w:rsidR="004B4463" w:rsidRDefault="00D522EC" w:rsidP="00D522EC">
      <w:r>
        <w:t xml:space="preserve">The theoretical (contributing) aspect is the controlled-signalling view of ESG. It's not the amount of disclosure that makes for legitimacy, it's a series of accountable decisions, measurable delivery and proportionate claims. The RBV can account for the reasons underlying routines becoming durable capabilities, and the stakeholder theory can identify relationships that make those routines valuable. It is not about the automatic return on an ESG spend, it's about reputation, the judgement of the stakeholders on this chain. This holistic approach can also explain why it is possible that mature ESG systems may be </w:t>
      </w:r>
      <w:r>
        <w:lastRenderedPageBreak/>
        <w:t>criticized, that not achieving a target does not mean the end of the ESG strategy, and that short-term financial performance may differ from that of ESG</w:t>
      </w:r>
      <w:r w:rsidR="00F763E6">
        <w:t>.</w:t>
      </w:r>
    </w:p>
    <w:p w14:paraId="12264B9A" w14:textId="77777777" w:rsidR="004B4463" w:rsidRDefault="00F763E6">
      <w:pPr>
        <w:pStyle w:val="Heading2"/>
      </w:pPr>
      <w:bookmarkStart w:id="123" w:name="_Toc240378643"/>
      <w:bookmarkStart w:id="124" w:name="_Toc241154065"/>
      <w:r>
        <w:t>5.7 Implications of the discussion</w:t>
      </w:r>
      <w:bookmarkEnd w:id="123"/>
      <w:bookmarkEnd w:id="124"/>
    </w:p>
    <w:p w14:paraId="622F1016" w14:textId="71B52BB3" w:rsidR="004B4463" w:rsidRDefault="009F652C">
      <w:r>
        <w:t>The results warn against using one ESG score as the 'treatment' or a measure of strategic capability. Future research needs to differentiate operational results, assurance, stakeholder interpretation and commercial results, and with appropriate time lags. The analysis moves managers focus from maximising activity or disclosure to issue/claim level governance. In the regulatory arena, the more "substantiation" is specified, the more competition is likely to be enhanced by making it harder for weak claims to simply "pretend" to have substantive action. For investors, baseline stability and value-chain capability, in addition to an overall rating, may provide useful information as well as target governance</w:t>
      </w:r>
      <w:r w:rsidR="00F763E6">
        <w:t>.</w:t>
      </w:r>
    </w:p>
    <w:p w14:paraId="4288FE39" w14:textId="77777777" w:rsidR="004B4463" w:rsidRDefault="00F763E6">
      <w:pPr>
        <w:pStyle w:val="Heading2"/>
      </w:pPr>
      <w:bookmarkStart w:id="125" w:name="_Toc240378644"/>
      <w:bookmarkStart w:id="126" w:name="_Toc241154066"/>
      <w:r>
        <w:t>5.8 Critical evaluation of causal claims</w:t>
      </w:r>
      <w:bookmarkEnd w:id="125"/>
      <w:bookmarkEnd w:id="126"/>
    </w:p>
    <w:p w14:paraId="0D4CFE99" w14:textId="77777777" w:rsidR="007A5E77" w:rsidRDefault="007A5E77" w:rsidP="007A5E77">
      <w:r>
        <w:t>The method does not provide for an estimation of the average treatment effect so the word 'impact' in the dissertation title should be read with great care. There are three conceptual tests that are applied in the consideration of causal claims: temporality, mechanism and rival explanation. The questions are: Does the action come before the change you're looking for? Is there a plausible mechanism between the action and the change? Is there another explanation for the same change? For many company level financial claims, the third test is not met due to the fact that simultaneously there are pricing changes, portfolio changes and macro-economic changes. Other operational claims may be easier to meet the first two criteria; for instance, renewable procurement can help to directly reduce reported market-based Scope 2 emissions; however, care needs to be taken in attributing the commercial claims.</w:t>
      </w:r>
    </w:p>
    <w:p w14:paraId="5DCFF165" w14:textId="193EFA07" w:rsidR="007A5E77" w:rsidRDefault="007A5E77" w:rsidP="007A5E77">
      <w:r>
        <w:t xml:space="preserve">This separation prevents two conflicting mistakes. Post hoc attribution is the first; where growth is correlated with improved ESG, then it is assumed that it was attributable to ESG. The second is causal nihilism, which is that, since you cannot identify perfectly, ESG is not relevant at all from a commercial perspective. But there is a critical-realist position between these extremes. Mechanisms can be strategically important even if they do not have a net strategic effect that can be separated out in public data. Conclusions </w:t>
      </w:r>
      <w:r>
        <w:lastRenderedPageBreak/>
        <w:t>should thus be determined by the evidence presented not coerced to either prove or dismiss.</w:t>
      </w:r>
    </w:p>
    <w:p w14:paraId="2EDA8779" w14:textId="411B13DE" w:rsidR="004B4463" w:rsidRDefault="007A5E77" w:rsidP="007A5E77">
      <w:r>
        <w:t>The evidence also poses a time horizon issue. Agricultural practices and brand trust may take years to influence cost / demand, meaning that there may be a disconnect between annual change in finances, and capability development through scope 3 partnerships. Target statements, on the other hand, can set up unwelcome reputational expectations before delivery of the services. Lagged designs and event sequences should thus be used in future empirical studies, in addition to the use of contemporaneous scores. Leading indicators of capability as well as lagging impact and financial indicators are important to track for current decision making by boards.</w:t>
      </w:r>
    </w:p>
    <w:p w14:paraId="108BEDED" w14:textId="77777777" w:rsidR="004B4463" w:rsidRDefault="00F763E6">
      <w:pPr>
        <w:pStyle w:val="Heading2"/>
      </w:pPr>
      <w:bookmarkStart w:id="127" w:name="_Toc240378645"/>
      <w:bookmarkStart w:id="128" w:name="_Toc241154067"/>
      <w:r>
        <w:t>5.9 Overall evaluative judgement</w:t>
      </w:r>
      <w:bookmarkEnd w:id="127"/>
      <w:bookmarkEnd w:id="128"/>
    </w:p>
    <w:p w14:paraId="49E9CE61" w14:textId="77777777" w:rsidR="009F652C" w:rsidRDefault="009F652C" w:rsidP="009F652C">
      <w:r>
        <w:t>An overall evaluative judgement shall make a distinction between a strategic quality and the moral sufficiency. Gains over a company's own standards do not prove that there are no negative environmental or social effects, or that any such effects are ecologically desirable or socially fair. Nor does it mean, from a normative point of view, that someone else is responsible for transition costs, if they exist. Stakeholder theory is pertinent because value creation that pushes unaffordable costs on suppliers, workers/communities, might give a short-term win in profits, but can erode legitimacy and long-term sustainability. Commercial contribution is, under the proposed framework, therefore, dimension of strategy, and not a measure of responsibility.</w:t>
      </w:r>
    </w:p>
    <w:p w14:paraId="299F3868" w14:textId="198FFCB1" w:rsidR="009F652C" w:rsidRDefault="009F652C" w:rsidP="009F652C">
      <w:r>
        <w:t xml:space="preserve">Another implication has to do with transparency. In the short run, a company with a more complete disclosure may seem weaker, and thus be exposed to even more scrutiny, than a less transparent competitor. </w:t>
      </w:r>
      <w:r w:rsidR="00E7309C">
        <w:t>Christensen et al. (2022)</w:t>
      </w:r>
      <w:r>
        <w:t xml:space="preserve"> also find that the more is disclosed, the more is the disagreement between ESG raters. Specificity should thus be rewarded in comparative evaluation, but without neglecting the underlying performance. Changes in Targets, restatements and disclosed negative movements can be a sign of learning when governance is clear, evidence is present and the ambition remains; warning signs are when Target boundaries are opportunistically adjusted and explanations are incomplete.</w:t>
      </w:r>
    </w:p>
    <w:p w14:paraId="2FD5B6B3" w14:textId="46D5F2FB" w:rsidR="004B4463" w:rsidRDefault="009F652C" w:rsidP="009F652C">
      <w:r>
        <w:lastRenderedPageBreak/>
        <w:t>The cases as a whole do not indicate a general ESG halo or discount. They agree with an interpretation that the quality of execution may be more important than the ESG label  material initiatives can provide opportunities to innovate, reduce waste, manage risks and satisfy regulatory expectations; credible evidence can make their capacities more legible for stakeholders. It is worth saying that there is no attempt to measure an 'execution premium' in the dissertation, it is a term of convenience to refer to the effect conceptually. The mechanism-specific indicators and explicit counterfactual questions for managers should therefore be: What would cost, risk, trust or innovation capacity have looked like without the initiative and what other non-ESG factors would have plausibly led to the same effect? Though it cannot be answered with public documents, posing the question diminishes the danger of assuming association to be causation</w:t>
      </w:r>
      <w:r w:rsidR="00F763E6">
        <w:t>.</w:t>
      </w:r>
    </w:p>
    <w:p w14:paraId="34CECEFD" w14:textId="77777777" w:rsidR="004B4463" w:rsidRDefault="00F763E6">
      <w:pPr>
        <w:pStyle w:val="Heading1"/>
        <w:pageBreakBefore/>
      </w:pPr>
      <w:bookmarkStart w:id="129" w:name="_Toc240378646"/>
      <w:bookmarkStart w:id="130" w:name="_Toc241154068"/>
      <w:bookmarkEnd w:id="111"/>
      <w:r>
        <w:lastRenderedPageBreak/>
        <w:t>Chapter 6: Recommendations</w:t>
      </w:r>
      <w:bookmarkEnd w:id="129"/>
      <w:bookmarkEnd w:id="130"/>
    </w:p>
    <w:p w14:paraId="7CE79134" w14:textId="77777777" w:rsidR="004B4463" w:rsidRDefault="00F763E6">
      <w:pPr>
        <w:pStyle w:val="Heading2"/>
      </w:pPr>
      <w:bookmarkStart w:id="131" w:name="_Toc240378647"/>
      <w:bookmarkStart w:id="132" w:name="_Toc241154069"/>
      <w:r>
        <w:t>6.1 Introduction</w:t>
      </w:r>
      <w:bookmarkEnd w:id="131"/>
      <w:bookmarkEnd w:id="132"/>
    </w:p>
    <w:p w14:paraId="5ABA7B2A" w14:textId="77777777" w:rsidR="004B4463" w:rsidRDefault="00F763E6">
      <w:r>
        <w:t>The recommendations translate the mechanism-based findings into an action framework for UK consumer-goods businesses. They are not equally applicable to every case. Unilever's priority is claim-level substantiation and boundary control across a broad portfolio; Reckitt's is alignment between product-sustainability metrics, incentives and product-risk governance; Diageo's is category-specific social legitimacy alongside climate and water execution; and ABF's decentralised model requires business-level materiality and traceability while protecting affordability. Accountable ownership, practical time horizons and measurable indicators are incorporated across the recommendations and are consolidated in the implementation priorities in Section 6.9.</w:t>
      </w:r>
    </w:p>
    <w:p w14:paraId="3F13DD17" w14:textId="77777777" w:rsidR="004B4463" w:rsidRDefault="00F763E6">
      <w:pPr>
        <w:pStyle w:val="Heading2"/>
      </w:pPr>
      <w:bookmarkStart w:id="133" w:name="_Toc240378648"/>
      <w:bookmarkStart w:id="134" w:name="_Toc241154070"/>
      <w:r>
        <w:t>6.2 Build a materiality-to-value portfolio</w:t>
      </w:r>
      <w:bookmarkEnd w:id="133"/>
      <w:bookmarkEnd w:id="134"/>
    </w:p>
    <w:p w14:paraId="7815853B" w14:textId="370ADD83" w:rsidR="004B4463" w:rsidRDefault="00F763E6">
      <w:r>
        <w:t xml:space="preserve">Boards should map each significant ESG initiative to the relevant impact or dependency, stakeholder, operational lever, expected outcome, time horizon and value pathway. Initiatives can then be grouped as licence-to-operate, risk-reduction, efficiency, innovation or reputation investments. This helps prevent resources from being spread across low-priority activities and protects long-horizon actions from short-term pressure. </w:t>
      </w:r>
      <w:r w:rsidR="001D40C4">
        <w:t>Double-materiality assessments should also be updated if there are changes in the portfolio and be documented material decisions, non-decisions and dissent</w:t>
      </w:r>
      <w:r>
        <w:t>.</w:t>
      </w:r>
    </w:p>
    <w:p w14:paraId="6CA52C61" w14:textId="77777777" w:rsidR="004B4463" w:rsidRDefault="00F763E6">
      <w:pPr>
        <w:pStyle w:val="Heading2"/>
      </w:pPr>
      <w:bookmarkStart w:id="135" w:name="_Toc240378649"/>
      <w:bookmarkStart w:id="136" w:name="_Toc241154071"/>
      <w:r>
        <w:t>6.3 Establish claim-level evidence control</w:t>
      </w:r>
      <w:bookmarkEnd w:id="135"/>
      <w:bookmarkEnd w:id="136"/>
    </w:p>
    <w:p w14:paraId="17A48080" w14:textId="3903AFE9" w:rsidR="004B4463" w:rsidRDefault="001D40C4">
      <w:r>
        <w:t>Companies should adopt a central evidence register for every claim that leads to an interaction with consumers and corporate claims with its accountable owner, approved wording, scope, baseline, methodology, supporting records, review date and assurance status. High-risk claims should undergo a common legal, sustainability, marketing, product and finance validation process. Absolute language or outdated baselines can be identified by automated screening but will require human review for accountability. Such a control will defend reputation and also lower the financial and regulatory risk in the UK consumer-enforcement regime, which was tightened up</w:t>
      </w:r>
      <w:r w:rsidR="00F763E6">
        <w:t>.</w:t>
      </w:r>
    </w:p>
    <w:p w14:paraId="1CE25A56" w14:textId="77777777" w:rsidR="004B4463" w:rsidRDefault="00F763E6">
      <w:pPr>
        <w:pStyle w:val="Heading2"/>
      </w:pPr>
      <w:bookmarkStart w:id="137" w:name="_Toc240378650"/>
      <w:bookmarkStart w:id="138" w:name="_Toc241154072"/>
      <w:r>
        <w:lastRenderedPageBreak/>
        <w:t>6.4 Move towards proportionate, progressive assurance</w:t>
      </w:r>
      <w:bookmarkEnd w:id="137"/>
      <w:bookmarkEnd w:id="138"/>
    </w:p>
    <w:p w14:paraId="32B052AF" w14:textId="7F36521E" w:rsidR="004B4463" w:rsidRDefault="001D40C4">
      <w:r>
        <w:t>Limited assurance over selected indicators is helpful to use as a starting point. A roadmap should be crafted on a risk basis starting with material metrics and claims, gradually moving towards value-chain information and key controls, and taking reasonable assurance into account as evidence systems become more developed and stakeholders rely on them. Assurance reports should be readily available and be explicit about any exclusions. Management must not assume that a subset of indicators is warranting the assurance that the overall strategy and/or every product claim has been confirmed</w:t>
      </w:r>
      <w:r w:rsidR="00F763E6">
        <w:t>.</w:t>
      </w:r>
    </w:p>
    <w:p w14:paraId="3160DB51" w14:textId="77777777" w:rsidR="004B4463" w:rsidRDefault="00F763E6">
      <w:pPr>
        <w:pStyle w:val="Heading2"/>
      </w:pPr>
      <w:bookmarkStart w:id="139" w:name="_Toc240378651"/>
      <w:bookmarkStart w:id="140" w:name="_Toc241154073"/>
      <w:r>
        <w:t>6.5 Design sustainability into affordability and product utility</w:t>
      </w:r>
      <w:bookmarkEnd w:id="139"/>
      <w:bookmarkEnd w:id="140"/>
    </w:p>
    <w:p w14:paraId="6BCA80CC" w14:textId="12B2E6DF" w:rsidR="004B4463" w:rsidRDefault="001D40C4">
      <w:r>
        <w:t>The teams should focus on 'double' and 'triple value' 'solutions' that can reduce the impact whilst increasing the utility or reducing the cost to the customer. These include more concentrated formulations, lighter and more transport efficient packaging, products with a lower energy requirement during use, products with a longer lifespan and refillable products, and moderation products that establish new occasions for use. Tests to make on stage-gate decisions: life-cycle benefit, consumer relevance, unit economics and rebound risk. This is particularly relevant in value segments in which a sustainability premium is not to be taken for granted</w:t>
      </w:r>
      <w:r w:rsidR="00F763E6">
        <w:t>.</w:t>
      </w:r>
    </w:p>
    <w:p w14:paraId="52BC1229" w14:textId="77777777" w:rsidR="004B4463" w:rsidRDefault="00F763E6">
      <w:pPr>
        <w:pStyle w:val="Heading2"/>
      </w:pPr>
      <w:bookmarkStart w:id="141" w:name="_Toc240378652"/>
      <w:bookmarkStart w:id="142" w:name="_Toc241154074"/>
      <w:r>
        <w:t>6.6 Govern Scope 3 as a partnership portfolio</w:t>
      </w:r>
      <w:bookmarkEnd w:id="141"/>
      <w:bookmarkEnd w:id="142"/>
    </w:p>
    <w:p w14:paraId="14119912" w14:textId="7DE01CA0" w:rsidR="004B4463" w:rsidRDefault="001D40C4">
      <w:r>
        <w:t>Companies need to breakdown value-chain emissions and social risks based on influence, materiality and supplier readiness. Contractual standards and primary-data requirements are good options for high-control levers, co-investment and technical support can be used by shared-control levers, and longer-term purchasing signals and pre-competitive collaboration and sector initiatives can be used by low-control or system-level levers. Reporting should be differentiated between actual supplier reductions and data-quality improvements or changes in emission-factors. Traceability (and supplier-coverage milestones) that are backed up by transparent transition finance are more decision-useful than distant targets without delivery capacity</w:t>
      </w:r>
      <w:r w:rsidR="00F763E6">
        <w:t>.</w:t>
      </w:r>
    </w:p>
    <w:p w14:paraId="022A09C8" w14:textId="77777777" w:rsidR="004B4463" w:rsidRDefault="00F763E6">
      <w:pPr>
        <w:pStyle w:val="Heading2"/>
      </w:pPr>
      <w:bookmarkStart w:id="143" w:name="_Toc240378653"/>
      <w:bookmarkStart w:id="144" w:name="_Toc241154075"/>
      <w:r>
        <w:t>6.7 Measure stakeholder-specific reputation outcomes</w:t>
      </w:r>
      <w:bookmarkEnd w:id="143"/>
      <w:bookmarkEnd w:id="144"/>
    </w:p>
    <w:p w14:paraId="21C5E0A6" w14:textId="5D3693B9" w:rsidR="004B4463" w:rsidRDefault="00402281">
      <w:r>
        <w:t xml:space="preserve">There are four distinct levels of trust that should be tracked separately; employee trust, consumer claim credibility, supplier experience, and regulatory issues and investor </w:t>
      </w:r>
      <w:r>
        <w:lastRenderedPageBreak/>
        <w:t>confidence rather than consolidating them into one “reputation” score. Relevant measures can range from longitudinal trust surveys to complaint and claim-challenge rates, to employee advocacy and supplier retention to remediation closure and movement in independent benchmarks. These indicators should be interpreted along with operation/commercial information with proper time lags. The intent is to determine where evidence for ESG does (or does not) impact stakeholders' behaviour</w:t>
      </w:r>
      <w:r w:rsidR="00F763E6">
        <w:t>.</w:t>
      </w:r>
    </w:p>
    <w:p w14:paraId="3F48137A" w14:textId="77777777" w:rsidR="004B4463" w:rsidRDefault="00F763E6">
      <w:pPr>
        <w:pStyle w:val="Heading2"/>
      </w:pPr>
      <w:bookmarkStart w:id="145" w:name="_Toc240378654"/>
      <w:bookmarkStart w:id="146" w:name="_Toc241154076"/>
      <w:r>
        <w:t>6.8 Report setbacks as decision-useful evidence</w:t>
      </w:r>
      <w:bookmarkEnd w:id="145"/>
      <w:bookmarkEnd w:id="146"/>
    </w:p>
    <w:p w14:paraId="4B2011A0" w14:textId="637A8CD9" w:rsidR="004B4463" w:rsidRDefault="00402281">
      <w:r>
        <w:t>The purpose of target changes is to provide information on the original target ambition, progress made so far, the motivation for a target change, agreement by the governance body and external dependencies and/or compensation measures. This format can also help to differentiate adaptive learning and quiet dilution. Both positive and negative indicator changes should be reported by companies and the reasons for portfolio or production impacts documented. Backsliding will be more easily understood by the public, while an apparently unbroken string of good news will be less credible</w:t>
      </w:r>
      <w:r w:rsidR="00F763E6">
        <w:t>.</w:t>
      </w:r>
    </w:p>
    <w:p w14:paraId="28510CF4" w14:textId="77777777" w:rsidR="004B4463" w:rsidRDefault="00F763E6">
      <w:pPr>
        <w:pStyle w:val="Heading2"/>
      </w:pPr>
      <w:bookmarkStart w:id="147" w:name="_Toc240378655"/>
      <w:bookmarkStart w:id="148" w:name="_Toc241154077"/>
      <w:r>
        <w:t>6.9 Implementation priorities</w:t>
      </w:r>
      <w:bookmarkEnd w:id="147"/>
      <w:bookmarkEnd w:id="148"/>
    </w:p>
    <w:p w14:paraId="486AC0B6" w14:textId="4FEBE3C7" w:rsidR="004B4463" w:rsidRDefault="00402281">
      <w:r>
        <w:t>In 12 months, companies should build up a material-claim register, designate an owner for each material metric and identify indicators which require independent assurance. In 1-3 years, primary data from suppliers, product economics and stakeholder-specific reputation measures should be more and more reflected in investment decisions. Looking forward, the goal is to establish a learning system that leverages verified ESG outcomes to guide portfolio decision making and innovation and partnership design. Board review should be based on a dashboard of key indicators, a set of key questions, and include explicit escalation criteria, where performance or evidence quality is not within agreed levels</w:t>
      </w:r>
      <w:r w:rsidR="00F763E6">
        <w:t>.</w:t>
      </w:r>
    </w:p>
    <w:p w14:paraId="426FD850" w14:textId="77777777" w:rsidR="004B4463" w:rsidRDefault="00F763E6">
      <w:pPr>
        <w:pStyle w:val="Heading2"/>
      </w:pPr>
      <w:bookmarkStart w:id="149" w:name="_Toc240378656"/>
      <w:bookmarkStart w:id="150" w:name="_Toc241154078"/>
      <w:r>
        <w:t>6.10 Decision rules and accountability</w:t>
      </w:r>
      <w:bookmarkEnd w:id="149"/>
      <w:bookmarkEnd w:id="150"/>
    </w:p>
    <w:p w14:paraId="092D55C7" w14:textId="77777777" w:rsidR="00402281" w:rsidRDefault="00402281" w:rsidP="00402281">
      <w:r>
        <w:t xml:space="preserve">The implementation should be controlled by a few clear decision rules. There should be no material claims or investments without evidence and owner. Each goal revision needs to include a rationale for why it will impact the overall ambition. Product investments promoted as sustainable products should be put through stage-gate checks for life-cycle impact and customer value and unit economics. Before approving, executive indicators </w:t>
      </w:r>
      <w:r>
        <w:lastRenderedPageBreak/>
        <w:t>should be tested to see if they induce boundary gaming and perverse incentives. These rules are a reflection of the principles and turned into auditable behaviour.</w:t>
      </w:r>
    </w:p>
    <w:p w14:paraId="2B4059F5" w14:textId="77777777" w:rsidR="00402281" w:rsidRDefault="00402281" w:rsidP="00402281">
      <w:r>
        <w:t>An exception report should be given to Boards every quarter on a problem basis, not achievement. It should identify any missed milestones, material restatements, unassured high-risk measures, challenge of claims, supplier limitations and decisions based on cost over benefit. Exceptions should specify an owner, date for corrective action and date for review. This will allow directors to call time on a poor performance or provide a better sense of governance on a delivery that is not going well.</w:t>
      </w:r>
    </w:p>
    <w:p w14:paraId="4BDB0EB4" w14:textId="5EC7DB5A" w:rsidR="004B4463" w:rsidRDefault="00402281" w:rsidP="00402281">
      <w:r>
        <w:t>There are 5 recommended indicator groups: (1) absolute impact measures and intensity impact measures, (2) product and process adoption, (3) supplier coverage and transition progress, (4) control and assurance effectiveness and (5) stakeholder-response and commercial outcomes. One should consider leading and lagging indicators separately and plausible alternative explanations should be recorded. A dashboard that doesn't result in a change in the allocation of resources, corrective action or accountability, is presentational and should be reduced or eliminated</w:t>
      </w:r>
      <w:r w:rsidR="00F763E6">
        <w:t>.</w:t>
      </w:r>
    </w:p>
    <w:p w14:paraId="2DCFE915" w14:textId="77777777" w:rsidR="004B4463" w:rsidRDefault="00F763E6">
      <w:pPr>
        <w:pStyle w:val="Heading1"/>
        <w:pageBreakBefore/>
      </w:pPr>
      <w:bookmarkStart w:id="151" w:name="_Toc240378657"/>
      <w:bookmarkStart w:id="152" w:name="_Toc241154079"/>
      <w:r>
        <w:lastRenderedPageBreak/>
        <w:t>Conclusion</w:t>
      </w:r>
      <w:bookmarkEnd w:id="151"/>
      <w:bookmarkEnd w:id="152"/>
    </w:p>
    <w:p w14:paraId="211ADAE5" w14:textId="77777777" w:rsidR="00402281" w:rsidRDefault="00402281" w:rsidP="00402281">
      <w:r>
        <w:t>This dissertation examined the potential impact of ESG (Environmental, Social and Governance) strategy on corporate reputation and its role in securing competitive advantage by comparing four companies (Unilever, Reckitt, Diageo and Associated British Foods) in the consumer goods industry in the UK. The evidence is not conclusive of a universal or immediate ESG premium. Rather, ESG seems most relevant strategically when material commitments are converted into capabilities in governance of operations and verifiable results that are recognised by stakeholders. Reputation can enhance or limit that contribution, but it is stakeholder-specific and can be contradicted, and commercial outcomes observed are strongly influenced by non-ESG factors.</w:t>
      </w:r>
    </w:p>
    <w:p w14:paraId="1E4C5025" w14:textId="730EEE0B" w:rsidR="00402281" w:rsidRDefault="00402281" w:rsidP="00402281">
      <w:r>
        <w:t>All four companies consider ESG to be part of their strategy, but organise it differently. Unilever and Reckitt have fairly targeted target and incentive schemes, Diageo ties ESG to beverage alcohol-specific tasks, and ABF has a group level oversight with significant business autonomy. Implementation is most substantive where targets are linked to product development/operations, sourcing or risk control. Board oversight and remuneration connections can enhance accountability, but in themselves are not enough to ensure the quality of outcomes. Reputation is considered to be a stakeholder assessment based on relevance, competence, consistency and integrity. Independent assurance and third-party recognition can enhance credibility, as can regulatory scrutiny or litigation risk and poorly communicated target revisions. The CMA investigation of Unilever did not lead to a confirmed violation and Diageo's Equileap rank is an independent positive signal. There is still, however, limited directly comparable evidence of reputation and so claims of trust made by companies are not considered to be measured outcomes.</w:t>
      </w:r>
    </w:p>
    <w:p w14:paraId="70AB63D2" w14:textId="77777777" w:rsidR="00402281" w:rsidRDefault="00402281" w:rsidP="00402281">
      <w:r>
        <w:t xml:space="preserve">Some proxies for competitive advantage are positively associated with ESG progress, but the association is not always consistent nor do they necessarily have a causal link. In a few areas, Unilever and Reckitt have a number of positive ESG factors along with positive commercial actions, whereas Diageo and ABF have some positive ESG factors, but financial performance in the group has been poorer. Operational capabilities; for example, innovation, efficiency, water security, supplier resilience and claim control to offer more </w:t>
      </w:r>
      <w:r>
        <w:lastRenderedPageBreak/>
        <w:t>tangible routes than reputation. Meanwhile, the effects of the composition of the portfolio, of the demand for a particular category, of restructuring, and of the price of the product are among the many competing theories. The mechanisms can be strengthened or weakened by scope 3 dependency, infrastructure constraints, changing definitions and value/sustainability conflicts. Time lags are also relevant, because a capability investment might occur before the commercial returns and reputational expectations could be built up before delivery.</w:t>
      </w:r>
    </w:p>
    <w:p w14:paraId="7A215AF5" w14:textId="2E410BB5" w:rsidR="00402281" w:rsidRDefault="00402281" w:rsidP="00402281">
      <w:r>
        <w:t>The study proposes a two-route view where material ESG strategy can help to build operational routines that lead to capability development, and material substantiated outcomes can influence stakeholder perceptions and relational advantage. Routes are analytically separable but can interact and support each other, e.g., product redesign can both reduce operating costs as well as improve stakeholder credibility if substantiated appropriately. The framework also goes beyond just an ESG-performance link to include evidence quality and stakeholder interpretation and rival causation. When targets or evidence are changed, for example, in practice, disclosure volume alone is unlikely to be as distinctive as primary data quality, product design, supplier relationships, incentive quality or decision rights.</w:t>
      </w:r>
    </w:p>
    <w:p w14:paraId="666BAED0" w14:textId="6CAB69F4" w:rsidR="004B4463" w:rsidRDefault="00402281" w:rsidP="00402281">
      <w:r>
        <w:t>The study has the limitation of using public documents, having a partial assurance, limited comparable reputation measures, sample of four companies, and analyzed period of 2020–2025. The conclusions thus suggest possible, but not necessary, contributions. Future research needs to be based on primary evidence, longitudinal stakeholder surveys, product level sales analysis, supplier level research and quasi-experiments. Finally, the strategic impact of ESG hinges on organisational credibility and capability – identifying material issues, setting feasible commitments, producing tangible results and only reporting what evidence can back up. The ESG label is easy to duplicate, useful, affordable and verifiable change is not</w:t>
      </w:r>
      <w:r w:rsidR="00F763E6">
        <w:t>.</w:t>
      </w:r>
    </w:p>
    <w:p w14:paraId="4C1E3EB3" w14:textId="77777777" w:rsidR="004B4463" w:rsidRDefault="00F763E6">
      <w:pPr>
        <w:pStyle w:val="Heading1"/>
        <w:pageBreakBefore/>
      </w:pPr>
      <w:bookmarkStart w:id="153" w:name="_Toc240378658"/>
      <w:bookmarkStart w:id="154" w:name="_Toc241154080"/>
      <w:r>
        <w:lastRenderedPageBreak/>
        <w:t>References</w:t>
      </w:r>
      <w:bookmarkEnd w:id="153"/>
      <w:bookmarkEnd w:id="154"/>
    </w:p>
    <w:p w14:paraId="3F582A66" w14:textId="77777777" w:rsidR="004B4463" w:rsidRDefault="00F763E6">
      <w:r>
        <w:t xml:space="preserve">Albuquerque, R., Koskinen, Y., Yang, S. and Zhang, C. (2020) ‘Resiliency of environmental and social stocks: An analysis of the exogenous COVID-19 market crash’, </w:t>
      </w:r>
      <w:r>
        <w:rPr>
          <w:i/>
        </w:rPr>
        <w:t>The Review of Corporate Finance Studies</w:t>
      </w:r>
      <w:r>
        <w:t xml:space="preserve">, 9(3), pp. 593–621. Available at: </w:t>
      </w:r>
      <w:hyperlink r:id="rId22">
        <w:r>
          <w:rPr>
            <w:color w:val="2F6B8A"/>
            <w:u w:val="single"/>
          </w:rPr>
          <w:t>https://doi.org/10.1093/rcfs/cfaa011</w:t>
        </w:r>
      </w:hyperlink>
      <w:r>
        <w:t xml:space="preserve"> </w:t>
      </w:r>
    </w:p>
    <w:p w14:paraId="345F6EEF" w14:textId="77777777" w:rsidR="004B4463" w:rsidRDefault="00F763E6">
      <w:r>
        <w:t>Associated British Foods plc (2025) Annual report and accounts 2025. Available at: https://www.abf.co.uk/investors/results-reports-presentations/annual-reports  (Accessed: 20 July 2026).</w:t>
      </w:r>
    </w:p>
    <w:p w14:paraId="4C2FA588" w14:textId="77777777" w:rsidR="004B4463" w:rsidRDefault="00F763E6">
      <w:r>
        <w:t xml:space="preserve">Aydoğmuş, M., Gülay, G. and Ergun, K. (2022) ‘Impact of ESG performance on firm value and profitability’, </w:t>
      </w:r>
      <w:r>
        <w:rPr>
          <w:i/>
        </w:rPr>
        <w:t>Borsa Istanbul Review</w:t>
      </w:r>
      <w:r>
        <w:t xml:space="preserve">, 22(S2), pp. S119–S127. Available at: </w:t>
      </w:r>
      <w:hyperlink r:id="rId23">
        <w:r>
          <w:rPr>
            <w:color w:val="2F6B8A"/>
            <w:u w:val="single"/>
          </w:rPr>
          <w:t>https://doi.org/10.1016/j.bir.2022.11.006</w:t>
        </w:r>
      </w:hyperlink>
      <w:r>
        <w:t xml:space="preserve"> </w:t>
      </w:r>
    </w:p>
    <w:p w14:paraId="5AEE4306" w14:textId="77777777" w:rsidR="004B4463" w:rsidRDefault="00F763E6">
      <w:r>
        <w:t xml:space="preserve">Barney, J. (1991) ‘Firm resources and sustained competitive advantage’, </w:t>
      </w:r>
      <w:r>
        <w:rPr>
          <w:i/>
        </w:rPr>
        <w:t>Journal of Management</w:t>
      </w:r>
      <w:r>
        <w:t xml:space="preserve">, 17(1), pp. 99–120. Available at: </w:t>
      </w:r>
      <w:hyperlink r:id="rId24">
        <w:r>
          <w:rPr>
            <w:color w:val="2F6B8A"/>
            <w:u w:val="single"/>
          </w:rPr>
          <w:t>https://doi.org/10.1177/014920639101700108</w:t>
        </w:r>
      </w:hyperlink>
      <w:r>
        <w:t xml:space="preserve"> </w:t>
      </w:r>
    </w:p>
    <w:p w14:paraId="018E173F" w14:textId="77777777" w:rsidR="004B4463" w:rsidRDefault="00F763E6">
      <w:r>
        <w:t xml:space="preserve">Berg, F., Kölbel, J.F. and Rigobon, R. (2022) ‘Aggregate confusion: The divergence of ESG ratings’, </w:t>
      </w:r>
      <w:r>
        <w:rPr>
          <w:i/>
        </w:rPr>
        <w:t>Review of Finance</w:t>
      </w:r>
      <w:r>
        <w:t xml:space="preserve">, 26(6), pp. 1315–1344. Available at: </w:t>
      </w:r>
      <w:hyperlink r:id="rId25">
        <w:r>
          <w:rPr>
            <w:color w:val="2F6B8A"/>
            <w:u w:val="single"/>
          </w:rPr>
          <w:t>https://doi.org/10.1093/rof/rfac033</w:t>
        </w:r>
      </w:hyperlink>
      <w:r>
        <w:t xml:space="preserve"> </w:t>
      </w:r>
    </w:p>
    <w:p w14:paraId="431E8C1A" w14:textId="77777777" w:rsidR="004B4463" w:rsidRDefault="00F763E6">
      <w:r>
        <w:t xml:space="preserve">Braun, V. and Clarke, V. (2021) ‘One size fits all? What counts as quality practice in (reflexive) thematic analysis?’, </w:t>
      </w:r>
      <w:r>
        <w:rPr>
          <w:i/>
        </w:rPr>
        <w:t>Qualitative Research in Psychology</w:t>
      </w:r>
      <w:r>
        <w:t xml:space="preserve">, 18(3), pp. 328–352. Available at: </w:t>
      </w:r>
      <w:hyperlink r:id="rId26">
        <w:r>
          <w:rPr>
            <w:color w:val="2F6B8A"/>
            <w:u w:val="single"/>
          </w:rPr>
          <w:t>https://doi.org/10.1080/14780887.2020.1769238</w:t>
        </w:r>
      </w:hyperlink>
    </w:p>
    <w:p w14:paraId="05F18E7A" w14:textId="77777777" w:rsidR="004B4463" w:rsidRDefault="00F763E6">
      <w:r>
        <w:t xml:space="preserve">Broadstock, D.C., Chan, K., Cheng, L.T.W. and Wang, X. (2021) ‘The role of ESG performance during times of financial crisis: Evidence from COVID-19 in China’, </w:t>
      </w:r>
      <w:r>
        <w:rPr>
          <w:i/>
        </w:rPr>
        <w:t>Finance Research Letters</w:t>
      </w:r>
      <w:r>
        <w:t xml:space="preserve">, 38, article 101716. Available at: </w:t>
      </w:r>
      <w:hyperlink r:id="rId27">
        <w:r>
          <w:rPr>
            <w:color w:val="2F6B8A"/>
            <w:u w:val="single"/>
          </w:rPr>
          <w:t>https://doi.org/10.1016/j.frl.2020.101716</w:t>
        </w:r>
      </w:hyperlink>
      <w:r>
        <w:t xml:space="preserve"> </w:t>
      </w:r>
    </w:p>
    <w:p w14:paraId="1EF392C6" w14:textId="77777777" w:rsidR="004B4463" w:rsidRDefault="00F763E6">
      <w:r>
        <w:t xml:space="preserve">Cabaleiro-Cerviño, G. and Mendi, P. (2024) ‘ESG-driven innovation strategy and firm performance’, </w:t>
      </w:r>
      <w:r>
        <w:rPr>
          <w:i/>
        </w:rPr>
        <w:t>Eurasian Business Review</w:t>
      </w:r>
      <w:r>
        <w:t xml:space="preserve">, 14(1), pp. 137–185. Available at: </w:t>
      </w:r>
      <w:hyperlink r:id="rId28">
        <w:r>
          <w:rPr>
            <w:color w:val="2F6B8A"/>
            <w:u w:val="single"/>
          </w:rPr>
          <w:t>https://doi.org/10.1007/s40821-024-00254-x</w:t>
        </w:r>
      </w:hyperlink>
      <w:r>
        <w:t xml:space="preserve"> </w:t>
      </w:r>
    </w:p>
    <w:p w14:paraId="01526F1B" w14:textId="77777777" w:rsidR="004B4463" w:rsidRDefault="00F763E6">
      <w:r>
        <w:lastRenderedPageBreak/>
        <w:t xml:space="preserve">Christensen, D.M., Serafeim, G. and Sikochi, A. (2022) ‘Why is corporate virtue in the eye of the beholder? The case of ESG ratings’, </w:t>
      </w:r>
      <w:r>
        <w:rPr>
          <w:i/>
        </w:rPr>
        <w:t>The Accounting Review</w:t>
      </w:r>
      <w:r>
        <w:t xml:space="preserve">, 97(1), pp. 147–175. Available at: </w:t>
      </w:r>
      <w:hyperlink r:id="rId29">
        <w:r>
          <w:rPr>
            <w:color w:val="2F6B8A"/>
            <w:u w:val="single"/>
          </w:rPr>
          <w:t>https://doi.org/10.2308/TAR-2019-0506</w:t>
        </w:r>
      </w:hyperlink>
      <w:r>
        <w:t xml:space="preserve"> </w:t>
      </w:r>
    </w:p>
    <w:p w14:paraId="527D02A0" w14:textId="77777777" w:rsidR="004B4463" w:rsidRDefault="00F763E6">
      <w:r>
        <w:t xml:space="preserve">Christensen, H.B., Hail, L. and Leuz, C. (2021) ‘Mandatory CSR and sustainability reporting: Economic analysis and literature review’, </w:t>
      </w:r>
      <w:r>
        <w:rPr>
          <w:i/>
        </w:rPr>
        <w:t>Review of Accounting Studies</w:t>
      </w:r>
      <w:r>
        <w:t xml:space="preserve">, 26(3), pp. 1176–1248. Available at: </w:t>
      </w:r>
      <w:hyperlink r:id="rId30">
        <w:r>
          <w:rPr>
            <w:color w:val="2F6B8A"/>
            <w:u w:val="single"/>
          </w:rPr>
          <w:t>https://doi.org/10.1007/s11142-021-09609-5</w:t>
        </w:r>
      </w:hyperlink>
      <w:r>
        <w:t xml:space="preserve"> </w:t>
      </w:r>
    </w:p>
    <w:p w14:paraId="20DA8739" w14:textId="77777777" w:rsidR="004B4463" w:rsidRDefault="00F763E6">
      <w:r>
        <w:t>Competition and Markets Authority (2021) Green Claims Code: Making environmental claims. Available at: https://www.gov.uk/government/publications/green-claims-code-making-environmental-claims  (Accessed: 20 July 2026).</w:t>
      </w:r>
    </w:p>
    <w:p w14:paraId="7A826581" w14:textId="77777777" w:rsidR="004B4463" w:rsidRDefault="00F763E6">
      <w:r>
        <w:t>Competition and Markets Authority (2023) Unilever’s ‘green’ claims come under CMA microscope. Available at: https://www.gov.uk/government/news/unilevers-green-claims-come-under-cma-microscope  (Accessed: 20 July 2026).</w:t>
      </w:r>
    </w:p>
    <w:p w14:paraId="777CF0DC" w14:textId="77777777" w:rsidR="004B4463" w:rsidRDefault="00F763E6">
      <w:r>
        <w:t>Competition and Markets Authority (2024) Fast-moving consumer goods (FMCG). Available at: https://www.gov.uk/cma-cases/fast-moving-consumer-goods-fmcg  (Accessed: 20 July 2026).</w:t>
      </w:r>
    </w:p>
    <w:p w14:paraId="0F311073" w14:textId="77777777" w:rsidR="004B4463" w:rsidRDefault="00F763E6">
      <w:r>
        <w:t>Competition and Markets Authority (2025) CMA to boost consumer and business confidence as new consumer protection regime comes into force. Available at: https://www.gov.uk/government/news/cma-to-boost-consumer-and-business-confidence-as-new-consumer-protection-regime-comes-into-force  (Accessed: 20 July 2026).</w:t>
      </w:r>
    </w:p>
    <w:p w14:paraId="6850CE3D" w14:textId="77777777" w:rsidR="004B4463" w:rsidRDefault="00F763E6">
      <w:r>
        <w:t xml:space="preserve">de Freitas Netto, S.V., Sobral, M.F.F., Ribeiro, A.R.B. and Soares, G.R.L. (2020) ‘Concepts and forms of greenwashing: A systematic review’, </w:t>
      </w:r>
      <w:r>
        <w:rPr>
          <w:i/>
        </w:rPr>
        <w:t>Environmental Sciences Europe</w:t>
      </w:r>
      <w:r>
        <w:t xml:space="preserve">, 32, article 19. Available at: </w:t>
      </w:r>
      <w:hyperlink r:id="rId31">
        <w:r>
          <w:rPr>
            <w:color w:val="2F6B8A"/>
            <w:u w:val="single"/>
          </w:rPr>
          <w:t>https://doi.org/10.1186/s12302-020-0300-3</w:t>
        </w:r>
      </w:hyperlink>
      <w:r>
        <w:t xml:space="preserve"> </w:t>
      </w:r>
    </w:p>
    <w:p w14:paraId="7F04D86B" w14:textId="77777777" w:rsidR="004B4463" w:rsidRDefault="00F763E6">
      <w:r>
        <w:t xml:space="preserve">Deloitte (2024) </w:t>
      </w:r>
      <w:r>
        <w:rPr>
          <w:i/>
        </w:rPr>
        <w:t>The sustainable consumer: Understanding consumer attitudes to sustainability and sustainable behaviours</w:t>
      </w:r>
      <w:r>
        <w:t xml:space="preserve">. Available at: </w:t>
      </w:r>
      <w:hyperlink r:id="rId32">
        <w:r>
          <w:rPr>
            <w:color w:val="2F6B8A"/>
            <w:u w:val="single"/>
          </w:rPr>
          <w:t>https://www.deloitte.com/uk/en/Industries/consumer/perspectives/the-sustainable-consumer.html</w:t>
        </w:r>
      </w:hyperlink>
      <w:r>
        <w:t xml:space="preserve">  (Accessed: 20 </w:t>
      </w:r>
      <w:r w:rsidR="00D67D53">
        <w:t>July</w:t>
      </w:r>
      <w:r>
        <w:t xml:space="preserve"> 2026).</w:t>
      </w:r>
    </w:p>
    <w:p w14:paraId="77EF6E0A" w14:textId="77777777" w:rsidR="004B4463" w:rsidRDefault="00F763E6">
      <w:r>
        <w:lastRenderedPageBreak/>
        <w:t xml:space="preserve">Department for Business and Trade (2026) </w:t>
      </w:r>
      <w:r>
        <w:rPr>
          <w:i/>
        </w:rPr>
        <w:t>UK Sustainability Reporting Standards: UK SRS S1 and UK SRS S2</w:t>
      </w:r>
      <w:r>
        <w:t xml:space="preserve">. Available at: </w:t>
      </w:r>
      <w:hyperlink r:id="rId33">
        <w:r>
          <w:rPr>
            <w:color w:val="2F6B8A"/>
            <w:u w:val="single"/>
          </w:rPr>
          <w:t>https://www.gov.uk/government/publications/uk-sustainability-reporting-standards-uk-srs-s1-and-uk-srs-s2</w:t>
        </w:r>
      </w:hyperlink>
      <w:r>
        <w:t xml:space="preserve">  (Accessed: 20 </w:t>
      </w:r>
      <w:r w:rsidR="00D67D53">
        <w:t>July</w:t>
      </w:r>
      <w:r>
        <w:t xml:space="preserve"> 2026).</w:t>
      </w:r>
    </w:p>
    <w:p w14:paraId="375D6880" w14:textId="77777777" w:rsidR="004B4463" w:rsidRDefault="00F763E6">
      <w:r>
        <w:t xml:space="preserve">Diageo plc (2025) </w:t>
      </w:r>
      <w:r>
        <w:rPr>
          <w:i/>
        </w:rPr>
        <w:t>Annual report 2025</w:t>
      </w:r>
      <w:r>
        <w:t xml:space="preserve">. Available at: </w:t>
      </w:r>
      <w:hyperlink r:id="rId34">
        <w:r>
          <w:rPr>
            <w:color w:val="2F6B8A"/>
            <w:u w:val="single"/>
          </w:rPr>
          <w:t>https://www.diageo.com/en/investors/results-reports-and-events/annual-reports</w:t>
        </w:r>
      </w:hyperlink>
      <w:r>
        <w:t xml:space="preserve">  (Accessed: 20 </w:t>
      </w:r>
      <w:r w:rsidR="00D67D53">
        <w:t>July</w:t>
      </w:r>
      <w:r>
        <w:t xml:space="preserve"> 2026).</w:t>
      </w:r>
    </w:p>
    <w:p w14:paraId="157EBB83" w14:textId="77777777" w:rsidR="004B4463" w:rsidRDefault="00F763E6">
      <w:r>
        <w:t xml:space="preserve">dos Reis Cardillo, M.A. and Basso, L.F.C. (2025) ‘Revisiting knowledge on ESG/CSR and financial performance: A bibliometric and systematic review of moderating variables’, </w:t>
      </w:r>
      <w:r>
        <w:rPr>
          <w:i/>
        </w:rPr>
        <w:t>Journal of Innovation &amp; Knowledge</w:t>
      </w:r>
      <w:r>
        <w:t xml:space="preserve">, 10(1), article 100648. Available at: </w:t>
      </w:r>
      <w:hyperlink r:id="rId35">
        <w:r>
          <w:rPr>
            <w:color w:val="2F6B8A"/>
            <w:u w:val="single"/>
          </w:rPr>
          <w:t>https://doi.org/10.1016/j.jik.2024.100648</w:t>
        </w:r>
      </w:hyperlink>
      <w:r>
        <w:t xml:space="preserve"> </w:t>
      </w:r>
    </w:p>
    <w:p w14:paraId="39EC4F3B" w14:textId="77777777" w:rsidR="004B4463" w:rsidRDefault="00F763E6">
      <w:r>
        <w:t xml:space="preserve">Edmans, A. (2023) ‘The end of ESG’, </w:t>
      </w:r>
      <w:r>
        <w:rPr>
          <w:i/>
        </w:rPr>
        <w:t>Financial Management</w:t>
      </w:r>
      <w:r>
        <w:t xml:space="preserve">, 52(1), pp. 3–17. Available at: </w:t>
      </w:r>
      <w:hyperlink r:id="rId36">
        <w:r>
          <w:rPr>
            <w:color w:val="2F6B8A"/>
            <w:u w:val="single"/>
          </w:rPr>
          <w:t>https://doi.org/10.1111/fima.12413</w:t>
        </w:r>
      </w:hyperlink>
      <w:r>
        <w:t xml:space="preserve"> </w:t>
      </w:r>
    </w:p>
    <w:p w14:paraId="39A85E94" w14:textId="77777777" w:rsidR="004B4463" w:rsidRDefault="00F763E6">
      <w:r>
        <w:t xml:space="preserve">Equileap (2024) </w:t>
      </w:r>
      <w:r>
        <w:rPr>
          <w:i/>
        </w:rPr>
        <w:t>Gender Equality Report &amp; Ranking 2024: Developed Markets Edition</w:t>
      </w:r>
      <w:r>
        <w:t xml:space="preserve">. Available at: </w:t>
      </w:r>
      <w:hyperlink r:id="rId37">
        <w:r>
          <w:rPr>
            <w:rStyle w:val="Hyperlink"/>
          </w:rPr>
          <w:t>https://equileap.com/wp-content/uploads/2024/02/Equileap_2024_Gender_Equality_Report_Developed_Markets.pdf</w:t>
        </w:r>
      </w:hyperlink>
      <w:r>
        <w:t xml:space="preserve">  (Accessed: 20 </w:t>
      </w:r>
      <w:r w:rsidR="00D67D53">
        <w:t>July</w:t>
      </w:r>
      <w:r>
        <w:t xml:space="preserve"> 2026).</w:t>
      </w:r>
    </w:p>
    <w:p w14:paraId="0B412CEF" w14:textId="77777777" w:rsidR="004B4463" w:rsidRDefault="00F763E6">
      <w:r>
        <w:t xml:space="preserve">Fafaliou, I., Giaka, M., Konstantios, D. and Polemis, M. (2022) ‘Firms’ ESG reputational risk and market longevity: A firm-level analysis for the United States’, </w:t>
      </w:r>
      <w:r>
        <w:rPr>
          <w:i/>
        </w:rPr>
        <w:t>Journal of Business Research</w:t>
      </w:r>
      <w:r>
        <w:t xml:space="preserve">, 149, pp. 161–177. Available at: </w:t>
      </w:r>
      <w:hyperlink r:id="rId38">
        <w:r>
          <w:rPr>
            <w:color w:val="2F6B8A"/>
            <w:u w:val="single"/>
          </w:rPr>
          <w:t>https://doi.org/10.1016/j.jbusres.2022.05.010</w:t>
        </w:r>
      </w:hyperlink>
      <w:r>
        <w:t xml:space="preserve"> </w:t>
      </w:r>
    </w:p>
    <w:p w14:paraId="5E658625" w14:textId="77777777" w:rsidR="004B4463" w:rsidRDefault="00F763E6">
      <w:r>
        <w:t>Financial Reporting Council (2024) UK Corporate Governance Code 2024. London: Financial Reporting Council. Available at: https://www.frc.org.uk/library/standards-codes-policy/corporate-governance/uk-corporate-governance-code/  (Accessed: 20 July 2026).</w:t>
      </w:r>
    </w:p>
    <w:p w14:paraId="77D8118E" w14:textId="77777777" w:rsidR="004B4463" w:rsidRDefault="00F763E6">
      <w:r>
        <w:t xml:space="preserve">Fombrun, C.J. (1996) </w:t>
      </w:r>
      <w:r>
        <w:rPr>
          <w:i/>
        </w:rPr>
        <w:t>Reputation: Realizing value from the corporate image</w:t>
      </w:r>
      <w:r>
        <w:t>. Boston, MA: Harvard Business School Press.</w:t>
      </w:r>
    </w:p>
    <w:p w14:paraId="372665CE" w14:textId="77777777" w:rsidR="004B4463" w:rsidRDefault="00F763E6">
      <w:r>
        <w:t xml:space="preserve">Freeman, R.E. (1984) </w:t>
      </w:r>
      <w:r>
        <w:rPr>
          <w:i/>
        </w:rPr>
        <w:t>Strategic management: A stakeholder approach</w:t>
      </w:r>
      <w:r>
        <w:t>. Boston, MA: Pitman.</w:t>
      </w:r>
    </w:p>
    <w:p w14:paraId="571C54FE" w14:textId="77777777" w:rsidR="004B4463" w:rsidRDefault="00F763E6">
      <w:r>
        <w:t xml:space="preserve">Gangi, F., Daniele, L.M. and Varrone, N. (2020) ‘How do corporate environmental policy and corporate reputation affect risk-adjusted financial performance?’, </w:t>
      </w:r>
      <w:r>
        <w:rPr>
          <w:i/>
        </w:rPr>
        <w:t xml:space="preserve">Business Strategy </w:t>
      </w:r>
      <w:r>
        <w:rPr>
          <w:i/>
        </w:rPr>
        <w:lastRenderedPageBreak/>
        <w:t>and the Environment</w:t>
      </w:r>
      <w:r>
        <w:t xml:space="preserve">, 29(5), pp. 1975–1991. Available at: </w:t>
      </w:r>
      <w:hyperlink r:id="rId39">
        <w:r>
          <w:rPr>
            <w:color w:val="2F6B8A"/>
            <w:u w:val="single"/>
          </w:rPr>
          <w:t>https://doi.org/10.1002/bse.2482</w:t>
        </w:r>
      </w:hyperlink>
      <w:r>
        <w:t xml:space="preserve"> </w:t>
      </w:r>
    </w:p>
    <w:p w14:paraId="74F58736" w14:textId="77777777" w:rsidR="004B4463" w:rsidRDefault="00F763E6">
      <w:r>
        <w:t xml:space="preserve">Ghitti, M., Gianfrate, G. and Palma, L. (2024) ‘The agency of greenwashing’, </w:t>
      </w:r>
      <w:r>
        <w:rPr>
          <w:i/>
        </w:rPr>
        <w:t>Journal of Management and Governance</w:t>
      </w:r>
      <w:r>
        <w:t xml:space="preserve">, 28(3), pp. 905–941. Available at: </w:t>
      </w:r>
      <w:hyperlink r:id="rId40">
        <w:r>
          <w:rPr>
            <w:color w:val="2F6B8A"/>
            <w:u w:val="single"/>
          </w:rPr>
          <w:t>https://doi.org/10.1007/s10997-023-09683-8</w:t>
        </w:r>
      </w:hyperlink>
      <w:r>
        <w:t xml:space="preserve"> </w:t>
      </w:r>
    </w:p>
    <w:p w14:paraId="0A5114E3" w14:textId="77777777" w:rsidR="004B4463" w:rsidRDefault="00F763E6">
      <w:r>
        <w:t xml:space="preserve">Gillan, S.L., Koch, A. and Starks, L.T. (2021) ‘Firms and social responsibility: A review of ESG and CSR research in corporate finance’, </w:t>
      </w:r>
      <w:r>
        <w:rPr>
          <w:i/>
        </w:rPr>
        <w:t>Journal of Corporate Finance</w:t>
      </w:r>
      <w:r>
        <w:t xml:space="preserve">, 66, article 101889. Available at: </w:t>
      </w:r>
      <w:hyperlink r:id="rId41">
        <w:r>
          <w:rPr>
            <w:color w:val="2F6B8A"/>
            <w:u w:val="single"/>
          </w:rPr>
          <w:t>https://doi.org/10.1016/j.jcorpfin.2021.101889</w:t>
        </w:r>
      </w:hyperlink>
      <w:r>
        <w:t xml:space="preserve"> </w:t>
      </w:r>
    </w:p>
    <w:p w14:paraId="639AFC17" w14:textId="77777777" w:rsidR="004B4463" w:rsidRDefault="00F763E6">
      <w:r>
        <w:t xml:space="preserve">Khan, M., Serafeim, G. and Yoon, A. (2016) ‘Corporate sustainability: First evidence on materiality’, </w:t>
      </w:r>
      <w:r>
        <w:rPr>
          <w:i/>
        </w:rPr>
        <w:t>The Accounting Review</w:t>
      </w:r>
      <w:r>
        <w:t xml:space="preserve">, 91(6), pp. 1697–1724. Available at: </w:t>
      </w:r>
      <w:hyperlink r:id="rId42">
        <w:r>
          <w:rPr>
            <w:color w:val="2F6B8A"/>
            <w:u w:val="single"/>
          </w:rPr>
          <w:t>https://doi.org/10.2308/accr-51383</w:t>
        </w:r>
      </w:hyperlink>
      <w:r>
        <w:t xml:space="preserve"> </w:t>
      </w:r>
    </w:p>
    <w:p w14:paraId="4BC5DDF7" w14:textId="77777777" w:rsidR="004B4463" w:rsidRDefault="00F763E6">
      <w:r>
        <w:t xml:space="preserve">KnowTheChain (2024) </w:t>
      </w:r>
      <w:r>
        <w:rPr>
          <w:i/>
        </w:rPr>
        <w:t>2023 apparel and footwear benchmark findings report</w:t>
      </w:r>
      <w:r>
        <w:t xml:space="preserve">. Available at: </w:t>
      </w:r>
      <w:hyperlink r:id="rId43">
        <w:r>
          <w:rPr>
            <w:color w:val="2F6B8A"/>
            <w:u w:val="single"/>
          </w:rPr>
          <w:t>https://www.business-humanrights.org/en/from-us/briefings/2023-knowthechain-apparel-footwear-benchmark/</w:t>
        </w:r>
      </w:hyperlink>
      <w:r>
        <w:t xml:space="preserve">  (Accessed: 20 </w:t>
      </w:r>
      <w:r w:rsidR="00D67D53">
        <w:t>July</w:t>
      </w:r>
      <w:r>
        <w:t xml:space="preserve"> 2026).</w:t>
      </w:r>
    </w:p>
    <w:p w14:paraId="00E11DE2" w14:textId="77777777" w:rsidR="004B4463" w:rsidRDefault="00F763E6">
      <w:r>
        <w:t>Mayer, R.C., Davis, J.H. and Schoorman, F.D. (1995) ‘An integrative model of organizational trust’, Academy of Management Review, 20(3), pp. 709–734. Available at: https://doi.org/10.5465/amr.1995.9508080335</w:t>
      </w:r>
    </w:p>
    <w:p w14:paraId="57440FB6" w14:textId="77777777" w:rsidR="004B4463" w:rsidRDefault="00F763E6">
      <w:r>
        <w:t xml:space="preserve">McKinsey &amp; Company and NielsenIQ (2023) </w:t>
      </w:r>
      <w:r>
        <w:rPr>
          <w:i/>
        </w:rPr>
        <w:t>Consumers care about sustainability—and back it up with their wallets</w:t>
      </w:r>
      <w:r>
        <w:t xml:space="preserve">. Available at: </w:t>
      </w:r>
      <w:hyperlink r:id="rId44">
        <w:r>
          <w:rPr>
            <w:color w:val="2F6B8A"/>
            <w:u w:val="single"/>
          </w:rPr>
          <w:t>https://www.mckinsey.com/industries/consumer-packaged-goods/our-insights/consumers-care-about-sustainability-and-back-it-up-with-their-wallets</w:t>
        </w:r>
      </w:hyperlink>
      <w:r>
        <w:t xml:space="preserve">  (Accessed: 20 </w:t>
      </w:r>
      <w:r w:rsidR="00D67D53">
        <w:t>July</w:t>
      </w:r>
      <w:r>
        <w:t xml:space="preserve"> 2026).</w:t>
      </w:r>
    </w:p>
    <w:p w14:paraId="691BA430" w14:textId="77777777" w:rsidR="004B4463" w:rsidRDefault="00F763E6">
      <w:r>
        <w:t xml:space="preserve">Meng, T., Dato Haji Yahya, M.H., Ashhari, Z.M. and Yu, D. (2023) ‘ESG performance, investor attention, and company reputation: Threshold model analysis based on panel data from listed companies in China’, </w:t>
      </w:r>
      <w:r>
        <w:rPr>
          <w:i/>
        </w:rPr>
        <w:t>Heliyon</w:t>
      </w:r>
      <w:r>
        <w:t xml:space="preserve">, 9(10), article e20974. Available at: </w:t>
      </w:r>
      <w:hyperlink r:id="rId45">
        <w:r>
          <w:rPr>
            <w:color w:val="2F6B8A"/>
            <w:u w:val="single"/>
          </w:rPr>
          <w:t>https://doi.org/10.1016/j.heliyon.2023.e20974</w:t>
        </w:r>
      </w:hyperlink>
      <w:r>
        <w:t xml:space="preserve"> </w:t>
      </w:r>
    </w:p>
    <w:p w14:paraId="6476C065" w14:textId="77777777" w:rsidR="004B4463" w:rsidRDefault="00F763E6">
      <w:r>
        <w:t xml:space="preserve">Persakis, A., Nikolopoulos, T., Negkakis, I.C. and Pavlopoulos, A. (2025) ‘Greenwashing in marketing: A systematic literature review and bibliometric analysis’, </w:t>
      </w:r>
      <w:r>
        <w:rPr>
          <w:i/>
        </w:rPr>
        <w:t>International Review on Public and Nonprofit Marketing</w:t>
      </w:r>
      <w:r>
        <w:t xml:space="preserve">, 22(4), pp. 957–992. Available at: </w:t>
      </w:r>
      <w:hyperlink r:id="rId46">
        <w:r>
          <w:rPr>
            <w:color w:val="2F6B8A"/>
            <w:u w:val="single"/>
          </w:rPr>
          <w:t>https://doi.org/10.1007/s12208-025-00452-x</w:t>
        </w:r>
      </w:hyperlink>
      <w:r>
        <w:t xml:space="preserve"> </w:t>
      </w:r>
    </w:p>
    <w:p w14:paraId="3ABFBF4E" w14:textId="77777777" w:rsidR="004B4463" w:rsidRDefault="00F763E6">
      <w:r>
        <w:lastRenderedPageBreak/>
        <w:t xml:space="preserve">PwC (2024) </w:t>
      </w:r>
      <w:r>
        <w:rPr>
          <w:i/>
        </w:rPr>
        <w:t>Voice of the Consumer Survey 2024: Shrinking the consumer trust deficit</w:t>
      </w:r>
      <w:r>
        <w:t xml:space="preserve">. Available at: </w:t>
      </w:r>
      <w:hyperlink r:id="rId47">
        <w:r>
          <w:rPr>
            <w:color w:val="2F6B8A"/>
            <w:u w:val="single"/>
          </w:rPr>
          <w:t>https://www.pwc.com/gx/en/issues/c-suite-insights/voice-of-the-consumer-survey/2024.html</w:t>
        </w:r>
      </w:hyperlink>
      <w:r>
        <w:t xml:space="preserve">  (Accessed: 20 </w:t>
      </w:r>
      <w:r w:rsidR="00D67D53">
        <w:t>July</w:t>
      </w:r>
      <w:r>
        <w:t xml:space="preserve"> 2026).</w:t>
      </w:r>
    </w:p>
    <w:p w14:paraId="691ADA4A" w14:textId="77777777" w:rsidR="004B4463" w:rsidRDefault="00F763E6">
      <w:r>
        <w:t xml:space="preserve">Pástor, Ľ., Stambaugh, R.F. and Taylor, L.A. (2021) ‘Sustainable investing in equilibrium’, </w:t>
      </w:r>
      <w:r>
        <w:rPr>
          <w:i/>
        </w:rPr>
        <w:t>Journal of Financial Economics</w:t>
      </w:r>
      <w:r>
        <w:t xml:space="preserve">, 142(2), pp. 550–571. Available at: </w:t>
      </w:r>
      <w:hyperlink r:id="rId48">
        <w:r>
          <w:rPr>
            <w:color w:val="2F6B8A"/>
            <w:u w:val="single"/>
          </w:rPr>
          <w:t>https://doi.org/10.1016/j.jfineco.2020.12.011</w:t>
        </w:r>
      </w:hyperlink>
      <w:r>
        <w:t xml:space="preserve"> </w:t>
      </w:r>
    </w:p>
    <w:p w14:paraId="4635499C" w14:textId="77777777" w:rsidR="004B4463" w:rsidRDefault="00F763E6">
      <w:r>
        <w:t>Reckitt Benckiser Group plc (2026) Annual report and accounts 2025. Available at: https://www.reckitt.com/investors/latest-annual-report/annual-report-archive/  (Accessed: 20 July 2026).</w:t>
      </w:r>
    </w:p>
    <w:p w14:paraId="0555C1C3" w14:textId="77777777" w:rsidR="004B4463" w:rsidRDefault="00F763E6">
      <w:r>
        <w:t xml:space="preserve">Santos, C., Coelho, A. and Marques, A. (2024) ‘A systematic literature review on greenwashing and its relationship to stakeholders: State of art and future research agenda’, </w:t>
      </w:r>
      <w:r>
        <w:rPr>
          <w:i/>
        </w:rPr>
        <w:t>Management Review Quarterly</w:t>
      </w:r>
      <w:r>
        <w:t xml:space="preserve">, 74(3), pp. 1397–1421. Available at: </w:t>
      </w:r>
      <w:hyperlink r:id="rId49">
        <w:r>
          <w:rPr>
            <w:color w:val="2F6B8A"/>
            <w:u w:val="single"/>
          </w:rPr>
          <w:t>https://doi.org/10.1007/s11301-023-00337-5</w:t>
        </w:r>
      </w:hyperlink>
      <w:r>
        <w:t xml:space="preserve"> </w:t>
      </w:r>
    </w:p>
    <w:p w14:paraId="45F71262" w14:textId="77777777" w:rsidR="004B4463" w:rsidRDefault="00F763E6">
      <w:r>
        <w:t xml:space="preserve">Saunders, M.N.K., Lewis, P. and Thornhill, A. (2023) </w:t>
      </w:r>
      <w:r>
        <w:rPr>
          <w:i/>
        </w:rPr>
        <w:t>Research methods for business students</w:t>
      </w:r>
      <w:r>
        <w:t>. 9th edn. Harlow: Pearson.</w:t>
      </w:r>
    </w:p>
    <w:p w14:paraId="32890A73" w14:textId="77777777" w:rsidR="004B4463" w:rsidRDefault="00F763E6">
      <w:r>
        <w:t xml:space="preserve">Suchman, M.C. (1995) ‘Managing legitimacy: Strategic and institutional approaches’, </w:t>
      </w:r>
      <w:r>
        <w:rPr>
          <w:i/>
        </w:rPr>
        <w:t>Academy of Management Review</w:t>
      </w:r>
      <w:r>
        <w:t xml:space="preserve">, 20(3), pp. 571–610. Available at: </w:t>
      </w:r>
      <w:hyperlink r:id="rId50">
        <w:r>
          <w:rPr>
            <w:color w:val="2F6B8A"/>
            <w:u w:val="single"/>
          </w:rPr>
          <w:t>https://doi.org/10.5465/amr.1995.9508080331</w:t>
        </w:r>
      </w:hyperlink>
      <w:r>
        <w:t xml:space="preserve"> </w:t>
      </w:r>
    </w:p>
    <w:p w14:paraId="4E62B73E" w14:textId="77777777" w:rsidR="004B4463" w:rsidRDefault="00F763E6">
      <w:r>
        <w:t xml:space="preserve">Unilever PLC (2026) </w:t>
      </w:r>
      <w:r>
        <w:rPr>
          <w:i/>
        </w:rPr>
        <w:t>Annual report and accounts 2025</w:t>
      </w:r>
      <w:r>
        <w:t xml:space="preserve">. Available at: </w:t>
      </w:r>
      <w:hyperlink r:id="rId51">
        <w:r>
          <w:rPr>
            <w:color w:val="2F6B8A"/>
            <w:u w:val="single"/>
          </w:rPr>
          <w:t>https://www.unilever.com/investors/annual-report-and-accounts/archive-of-annual-report-and-accounts/</w:t>
        </w:r>
      </w:hyperlink>
      <w:r>
        <w:t xml:space="preserve">  (Accessed: 20 </w:t>
      </w:r>
      <w:r w:rsidR="00D67D53">
        <w:t>July</w:t>
      </w:r>
      <w:r>
        <w:t xml:space="preserve"> 2026).</w:t>
      </w:r>
    </w:p>
    <w:p w14:paraId="3C1C9AB8" w14:textId="77777777" w:rsidR="004B4463" w:rsidRDefault="00F763E6">
      <w:r>
        <w:t xml:space="preserve">Whelan, T., Atz, U., Van Holt, T. and Clark, C. (2021) </w:t>
      </w:r>
      <w:r>
        <w:rPr>
          <w:i/>
        </w:rPr>
        <w:t>ESG and financial performance: Uncovering the relationship by aggregating evidence from 1,000 plus studies published between 2015–2020</w:t>
      </w:r>
      <w:r>
        <w:t>. New York: NYU Stern Center for Sustainable Business and Rockefeller Asset Management. Available at: https://www.stern.nyu.edu/sites/default/files/assets/documents/NYU-RAM_ESG-Paper_2021.pdf (Accessed: 20 July 2026).</w:t>
      </w:r>
    </w:p>
    <w:p w14:paraId="30684C7A" w14:textId="77777777" w:rsidR="004B4463" w:rsidRDefault="00F763E6">
      <w:r>
        <w:lastRenderedPageBreak/>
        <w:t xml:space="preserve">Yang, C., Zhu, C. and Albitar, K. (2024) ‘ESG ratings and green innovation: A U-shaped journey towards sustainable development’, </w:t>
      </w:r>
      <w:r>
        <w:rPr>
          <w:i/>
        </w:rPr>
        <w:t>Business Strategy and the Environment</w:t>
      </w:r>
      <w:r>
        <w:t xml:space="preserve">, 33(5), pp. 4108–4129. Available at: </w:t>
      </w:r>
      <w:hyperlink r:id="rId52">
        <w:r>
          <w:rPr>
            <w:color w:val="2F6B8A"/>
            <w:u w:val="single"/>
          </w:rPr>
          <w:t>https://doi.org/10.1002/bse.3692</w:t>
        </w:r>
      </w:hyperlink>
      <w:r>
        <w:t xml:space="preserve"> </w:t>
      </w:r>
    </w:p>
    <w:p w14:paraId="2C4AB0AC" w14:textId="77777777" w:rsidR="004B4463" w:rsidRDefault="00F763E6">
      <w:r>
        <w:t xml:space="preserve">Yu, E.P., Luu, B.V. and Chen, C.H. (2020) ‘Greenwashing in environmental, social and governance disclosures’, </w:t>
      </w:r>
      <w:r>
        <w:rPr>
          <w:i/>
        </w:rPr>
        <w:t>Research in International Business and Finance</w:t>
      </w:r>
      <w:r>
        <w:t xml:space="preserve">, 52, article 101192. Available at: </w:t>
      </w:r>
      <w:hyperlink r:id="rId53">
        <w:r>
          <w:rPr>
            <w:color w:val="2F6B8A"/>
            <w:u w:val="single"/>
          </w:rPr>
          <w:t>https://doi.org/10.1016/j.ribaf.2020.101192</w:t>
        </w:r>
      </w:hyperlink>
      <w:r>
        <w:t xml:space="preserve"> </w:t>
      </w:r>
    </w:p>
    <w:p w14:paraId="486893D8" w14:textId="77777777" w:rsidR="004B4463" w:rsidRDefault="004B4463"/>
    <w:p w14:paraId="6EFCABBE" w14:textId="77777777" w:rsidR="004B4463" w:rsidRDefault="00F763E6">
      <w:r>
        <w:br/>
      </w:r>
    </w:p>
    <w:p w14:paraId="6E5595E7" w14:textId="77777777" w:rsidR="00D67D53" w:rsidRDefault="00D67D53"/>
    <w:p w14:paraId="64649EC0" w14:textId="77777777" w:rsidR="00D67D53" w:rsidRDefault="00D67D53"/>
    <w:p w14:paraId="032B11E2" w14:textId="77777777" w:rsidR="00D67D53" w:rsidRDefault="00D67D53"/>
    <w:p w14:paraId="2659AE52" w14:textId="77777777" w:rsidR="00D67D53" w:rsidRDefault="00D67D53"/>
    <w:p w14:paraId="59814181" w14:textId="77777777" w:rsidR="00D67D53" w:rsidRDefault="00D67D53"/>
    <w:p w14:paraId="4EBAC7CE" w14:textId="77777777" w:rsidR="00D67D53" w:rsidRDefault="00D67D53"/>
    <w:p w14:paraId="6E9010C9" w14:textId="77777777" w:rsidR="00D67D53" w:rsidRDefault="00D67D53"/>
    <w:p w14:paraId="27E0DEE4" w14:textId="77777777" w:rsidR="00D67D53" w:rsidRDefault="00D67D53"/>
    <w:p w14:paraId="78D38BA5" w14:textId="77777777" w:rsidR="00D67D53" w:rsidRDefault="00D67D53"/>
    <w:p w14:paraId="66A12955" w14:textId="77777777" w:rsidR="00D67D53" w:rsidRDefault="00D67D53"/>
    <w:p w14:paraId="4FBB8D66" w14:textId="77777777" w:rsidR="00D67D53" w:rsidRDefault="00D67D53"/>
    <w:p w14:paraId="692C74FE" w14:textId="77777777" w:rsidR="00D67D53" w:rsidRDefault="00D67D53"/>
    <w:p w14:paraId="69912689" w14:textId="77777777" w:rsidR="004B4463" w:rsidRDefault="00F763E6">
      <w:pPr>
        <w:pStyle w:val="Heading1"/>
        <w:pageBreakBefore/>
      </w:pPr>
      <w:bookmarkStart w:id="155" w:name="_Toc241154081"/>
      <w:r>
        <w:lastRenderedPageBreak/>
        <w:t>Appendix A: Evidence Traceability and Coding Examples</w:t>
      </w:r>
      <w:bookmarkEnd w:id="155"/>
    </w:p>
    <w:p w14:paraId="0080560D" w14:textId="77777777" w:rsidR="004B4463" w:rsidRDefault="00F763E6">
      <w:pPr>
        <w:pStyle w:val="Heading2"/>
      </w:pPr>
      <w:bookmarkStart w:id="156" w:name="_Toc241154082"/>
      <w:r>
        <w:t>A1. Representative evidence register</w:t>
      </w:r>
      <w:bookmarkEnd w:id="156"/>
    </w:p>
    <w:tbl>
      <w:tblPr>
        <w:tblW w:w="1010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45"/>
        <w:gridCol w:w="1443"/>
        <w:gridCol w:w="1445"/>
        <w:gridCol w:w="1443"/>
        <w:gridCol w:w="1447"/>
        <w:gridCol w:w="1440"/>
        <w:gridCol w:w="1444"/>
      </w:tblGrid>
      <w:tr w:rsidR="004B4463" w:rsidRPr="0044333C" w14:paraId="6F59B060" w14:textId="77777777" w:rsidTr="0044333C">
        <w:trPr>
          <w:trHeight w:val="1050"/>
          <w:jc w:val="center"/>
        </w:trPr>
        <w:tc>
          <w:tcPr>
            <w:tcW w:w="1445" w:type="dxa"/>
          </w:tcPr>
          <w:p w14:paraId="5671E300" w14:textId="77777777" w:rsidR="004B4463" w:rsidRPr="0044333C" w:rsidRDefault="00F763E6">
            <w:pPr>
              <w:spacing w:after="0"/>
              <w:rPr>
                <w:b/>
                <w:bCs/>
              </w:rPr>
            </w:pPr>
            <w:r w:rsidRPr="0044333C">
              <w:rPr>
                <w:b/>
                <w:bCs/>
                <w:sz w:val="19"/>
              </w:rPr>
              <w:t>Case/source</w:t>
            </w:r>
          </w:p>
        </w:tc>
        <w:tc>
          <w:tcPr>
            <w:tcW w:w="1443" w:type="dxa"/>
          </w:tcPr>
          <w:p w14:paraId="6A1E4C44" w14:textId="77777777" w:rsidR="004B4463" w:rsidRPr="0044333C" w:rsidRDefault="00F763E6">
            <w:pPr>
              <w:spacing w:after="0"/>
              <w:rPr>
                <w:b/>
                <w:bCs/>
              </w:rPr>
            </w:pPr>
            <w:r w:rsidRPr="0044333C">
              <w:rPr>
                <w:b/>
                <w:bCs/>
                <w:sz w:val="19"/>
              </w:rPr>
              <w:t>Period</w:t>
            </w:r>
          </w:p>
        </w:tc>
        <w:tc>
          <w:tcPr>
            <w:tcW w:w="1445" w:type="dxa"/>
          </w:tcPr>
          <w:p w14:paraId="2760CD22" w14:textId="77777777" w:rsidR="004B4463" w:rsidRPr="0044333C" w:rsidRDefault="00F763E6">
            <w:pPr>
              <w:spacing w:after="0"/>
              <w:rPr>
                <w:b/>
                <w:bCs/>
              </w:rPr>
            </w:pPr>
            <w:r w:rsidRPr="0044333C">
              <w:rPr>
                <w:b/>
                <w:bCs/>
                <w:sz w:val="19"/>
              </w:rPr>
              <w:t>Claim/metric</w:t>
            </w:r>
          </w:p>
        </w:tc>
        <w:tc>
          <w:tcPr>
            <w:tcW w:w="1443" w:type="dxa"/>
          </w:tcPr>
          <w:p w14:paraId="47AA5191" w14:textId="77777777" w:rsidR="004B4463" w:rsidRPr="0044333C" w:rsidRDefault="00F763E6">
            <w:pPr>
              <w:spacing w:after="0"/>
              <w:rPr>
                <w:b/>
                <w:bCs/>
              </w:rPr>
            </w:pPr>
            <w:r w:rsidRPr="0044333C">
              <w:rPr>
                <w:b/>
                <w:bCs/>
                <w:sz w:val="19"/>
              </w:rPr>
              <w:t>Locator</w:t>
            </w:r>
          </w:p>
        </w:tc>
        <w:tc>
          <w:tcPr>
            <w:tcW w:w="1447" w:type="dxa"/>
          </w:tcPr>
          <w:p w14:paraId="6C07F4B3" w14:textId="77777777" w:rsidR="004B4463" w:rsidRPr="0044333C" w:rsidRDefault="00F763E6">
            <w:pPr>
              <w:spacing w:after="0"/>
              <w:rPr>
                <w:b/>
                <w:bCs/>
              </w:rPr>
            </w:pPr>
            <w:r w:rsidRPr="0044333C">
              <w:rPr>
                <w:b/>
                <w:bCs/>
                <w:sz w:val="19"/>
              </w:rPr>
              <w:t>Boundary/baseline</w:t>
            </w:r>
          </w:p>
        </w:tc>
        <w:tc>
          <w:tcPr>
            <w:tcW w:w="1440" w:type="dxa"/>
          </w:tcPr>
          <w:p w14:paraId="08436CBE" w14:textId="77777777" w:rsidR="004B4463" w:rsidRPr="0044333C" w:rsidRDefault="00F763E6">
            <w:pPr>
              <w:spacing w:after="0"/>
              <w:rPr>
                <w:b/>
                <w:bCs/>
              </w:rPr>
            </w:pPr>
            <w:r w:rsidRPr="0044333C">
              <w:rPr>
                <w:b/>
                <w:bCs/>
                <w:sz w:val="19"/>
              </w:rPr>
              <w:t>Assurance/external status</w:t>
            </w:r>
          </w:p>
        </w:tc>
        <w:tc>
          <w:tcPr>
            <w:tcW w:w="1444" w:type="dxa"/>
          </w:tcPr>
          <w:p w14:paraId="1DAF764A" w14:textId="77777777" w:rsidR="004B4463" w:rsidRPr="0044333C" w:rsidRDefault="00F763E6">
            <w:pPr>
              <w:spacing w:after="0"/>
              <w:rPr>
                <w:b/>
                <w:bCs/>
              </w:rPr>
            </w:pPr>
            <w:r w:rsidRPr="0044333C">
              <w:rPr>
                <w:b/>
                <w:bCs/>
                <w:sz w:val="19"/>
              </w:rPr>
              <w:t>Analytical use and caveat</w:t>
            </w:r>
          </w:p>
        </w:tc>
      </w:tr>
      <w:tr w:rsidR="004B4463" w14:paraId="2FD10F3E" w14:textId="77777777" w:rsidTr="0044333C">
        <w:trPr>
          <w:trHeight w:val="2921"/>
          <w:jc w:val="center"/>
        </w:trPr>
        <w:tc>
          <w:tcPr>
            <w:tcW w:w="1445" w:type="dxa"/>
          </w:tcPr>
          <w:p w14:paraId="5ED03541" w14:textId="77777777" w:rsidR="00981CC7" w:rsidRDefault="00CC58FE">
            <w:pPr>
              <w:spacing w:after="0"/>
            </w:pPr>
            <w:r>
              <w:rPr>
                <w:sz w:val="19"/>
              </w:rPr>
              <w:t>Unilever PLC, Annual Report and Accounts 2025</w:t>
            </w:r>
          </w:p>
        </w:tc>
        <w:tc>
          <w:tcPr>
            <w:tcW w:w="1443" w:type="dxa"/>
          </w:tcPr>
          <w:p w14:paraId="7497EB7B" w14:textId="77777777" w:rsidR="004B4463" w:rsidRDefault="00F763E6">
            <w:pPr>
              <w:spacing w:after="0"/>
            </w:pPr>
            <w:r>
              <w:rPr>
                <w:sz w:val="19"/>
              </w:rPr>
              <w:t>2025</w:t>
            </w:r>
          </w:p>
        </w:tc>
        <w:tc>
          <w:tcPr>
            <w:tcW w:w="1445" w:type="dxa"/>
          </w:tcPr>
          <w:p w14:paraId="0331CAF8" w14:textId="77777777" w:rsidR="004B4463" w:rsidRDefault="00F763E6">
            <w:pPr>
              <w:spacing w:after="0"/>
            </w:pPr>
            <w:r>
              <w:rPr>
                <w:sz w:val="19"/>
              </w:rPr>
              <w:t>Operational Scope 1 and 2 GHG emissions reduced 77%; 2030 target 100% reduction</w:t>
            </w:r>
          </w:p>
        </w:tc>
        <w:tc>
          <w:tcPr>
            <w:tcW w:w="1443" w:type="dxa"/>
          </w:tcPr>
          <w:p w14:paraId="2844342F" w14:textId="77777777" w:rsidR="004B4463" w:rsidRDefault="00F763E6">
            <w:pPr>
              <w:spacing w:after="0"/>
            </w:pPr>
            <w:r>
              <w:rPr>
                <w:sz w:val="19"/>
              </w:rPr>
              <w:t>p. 30</w:t>
            </w:r>
          </w:p>
        </w:tc>
        <w:tc>
          <w:tcPr>
            <w:tcW w:w="1447" w:type="dxa"/>
          </w:tcPr>
          <w:p w14:paraId="5B92A95F" w14:textId="77777777" w:rsidR="004B4463" w:rsidRDefault="00F763E6">
            <w:pPr>
              <w:spacing w:after="0"/>
            </w:pPr>
            <w:r>
              <w:rPr>
                <w:sz w:val="19"/>
              </w:rPr>
              <w:t>2015 baseline; 2025 reporting boundary disclosed by company</w:t>
            </w:r>
          </w:p>
        </w:tc>
        <w:tc>
          <w:tcPr>
            <w:tcW w:w="1440" w:type="dxa"/>
          </w:tcPr>
          <w:p w14:paraId="24787821" w14:textId="77777777" w:rsidR="004B4463" w:rsidRDefault="00F763E6">
            <w:pPr>
              <w:spacing w:after="0"/>
            </w:pPr>
            <w:r>
              <w:rPr>
                <w:sz w:val="19"/>
              </w:rPr>
              <w:t>Company report; assurance only where specifically scoped</w:t>
            </w:r>
          </w:p>
        </w:tc>
        <w:tc>
          <w:tcPr>
            <w:tcW w:w="1444" w:type="dxa"/>
          </w:tcPr>
          <w:p w14:paraId="3CA562EE" w14:textId="77777777" w:rsidR="004B4463" w:rsidRDefault="00F763E6">
            <w:pPr>
              <w:spacing w:after="0"/>
            </w:pPr>
            <w:r>
              <w:rPr>
                <w:sz w:val="19"/>
              </w:rPr>
              <w:t>Operational progress. Do not describe 77% as the target; do not infer causation for sales or margin.</w:t>
            </w:r>
          </w:p>
        </w:tc>
      </w:tr>
      <w:tr w:rsidR="004B4463" w14:paraId="1FD6A3EC" w14:textId="77777777" w:rsidTr="0044333C">
        <w:trPr>
          <w:trHeight w:val="2910"/>
          <w:jc w:val="center"/>
        </w:trPr>
        <w:tc>
          <w:tcPr>
            <w:tcW w:w="1445" w:type="dxa"/>
          </w:tcPr>
          <w:p w14:paraId="02427BA5" w14:textId="77777777" w:rsidR="004B4463" w:rsidRDefault="00F763E6">
            <w:pPr>
              <w:spacing w:after="0"/>
            </w:pPr>
            <w:r>
              <w:rPr>
                <w:sz w:val="19"/>
              </w:rPr>
              <w:t>CMA, FMCG case record</w:t>
            </w:r>
          </w:p>
        </w:tc>
        <w:tc>
          <w:tcPr>
            <w:tcW w:w="1443" w:type="dxa"/>
          </w:tcPr>
          <w:p w14:paraId="4B8E0C4F" w14:textId="77777777" w:rsidR="004B4463" w:rsidRDefault="00F763E6">
            <w:pPr>
              <w:spacing w:after="0"/>
            </w:pPr>
            <w:r>
              <w:rPr>
                <w:sz w:val="19"/>
              </w:rPr>
              <w:t>2023-2024</w:t>
            </w:r>
          </w:p>
        </w:tc>
        <w:tc>
          <w:tcPr>
            <w:tcW w:w="1445" w:type="dxa"/>
          </w:tcPr>
          <w:p w14:paraId="237B025A" w14:textId="77777777" w:rsidR="004B4463" w:rsidRDefault="00F763E6">
            <w:pPr>
              <w:spacing w:after="0"/>
            </w:pPr>
            <w:r>
              <w:rPr>
                <w:sz w:val="19"/>
              </w:rPr>
              <w:t>Investigation of Unilever environmental claims; case closed in Nov 2024</w:t>
            </w:r>
          </w:p>
        </w:tc>
        <w:tc>
          <w:tcPr>
            <w:tcW w:w="1443" w:type="dxa"/>
          </w:tcPr>
          <w:p w14:paraId="41160465" w14:textId="77777777" w:rsidR="004B4463" w:rsidRDefault="00F763E6">
            <w:pPr>
              <w:spacing w:after="0"/>
            </w:pPr>
            <w:r>
              <w:rPr>
                <w:sz w:val="19"/>
              </w:rPr>
              <w:t>Official case page</w:t>
            </w:r>
          </w:p>
        </w:tc>
        <w:tc>
          <w:tcPr>
            <w:tcW w:w="1447" w:type="dxa"/>
          </w:tcPr>
          <w:p w14:paraId="04B37E65" w14:textId="77777777" w:rsidR="004B4463" w:rsidRDefault="00F763E6">
            <w:pPr>
              <w:spacing w:after="0"/>
            </w:pPr>
            <w:r>
              <w:rPr>
                <w:sz w:val="19"/>
              </w:rPr>
              <w:t>Consumer-law scrutiny of specified claims</w:t>
            </w:r>
          </w:p>
        </w:tc>
        <w:tc>
          <w:tcPr>
            <w:tcW w:w="1440" w:type="dxa"/>
          </w:tcPr>
          <w:p w14:paraId="7504AB26" w14:textId="77777777" w:rsidR="004B4463" w:rsidRDefault="00F763E6">
            <w:pPr>
              <w:spacing w:after="0"/>
            </w:pPr>
            <w:r>
              <w:rPr>
                <w:sz w:val="19"/>
              </w:rPr>
              <w:t>Regulatory record</w:t>
            </w:r>
          </w:p>
        </w:tc>
        <w:tc>
          <w:tcPr>
            <w:tcW w:w="1444" w:type="dxa"/>
          </w:tcPr>
          <w:p w14:paraId="4F26D56D" w14:textId="77777777" w:rsidR="004B4463" w:rsidRDefault="00F763E6">
            <w:pPr>
              <w:spacing w:after="0"/>
            </w:pPr>
            <w:r>
              <w:rPr>
                <w:sz w:val="19"/>
              </w:rPr>
              <w:t>Reputation/claim-substantiation exposure. Closure is neither a breach finding nor general exoneration.</w:t>
            </w:r>
          </w:p>
        </w:tc>
      </w:tr>
      <w:tr w:rsidR="004B4463" w14:paraId="5FB05214" w14:textId="77777777" w:rsidTr="0044333C">
        <w:trPr>
          <w:trHeight w:val="3221"/>
          <w:jc w:val="center"/>
        </w:trPr>
        <w:tc>
          <w:tcPr>
            <w:tcW w:w="1445" w:type="dxa"/>
          </w:tcPr>
          <w:p w14:paraId="085B48BD" w14:textId="77777777" w:rsidR="00981CC7" w:rsidRDefault="00CC58FE">
            <w:pPr>
              <w:spacing w:after="0"/>
            </w:pPr>
            <w:r>
              <w:rPr>
                <w:sz w:val="19"/>
              </w:rPr>
              <w:t>Reckitt Benckiser Group plc, Annual Report and Accounts 2025</w:t>
            </w:r>
          </w:p>
        </w:tc>
        <w:tc>
          <w:tcPr>
            <w:tcW w:w="1443" w:type="dxa"/>
          </w:tcPr>
          <w:p w14:paraId="31023063" w14:textId="77777777" w:rsidR="004B4463" w:rsidRDefault="00F763E6">
            <w:pPr>
              <w:spacing w:after="0"/>
            </w:pPr>
            <w:r>
              <w:rPr>
                <w:sz w:val="19"/>
              </w:rPr>
              <w:t>2025</w:t>
            </w:r>
          </w:p>
        </w:tc>
        <w:tc>
          <w:tcPr>
            <w:tcW w:w="1445" w:type="dxa"/>
          </w:tcPr>
          <w:p w14:paraId="3C070282" w14:textId="77777777" w:rsidR="004B4463" w:rsidRDefault="00F763E6">
            <w:pPr>
              <w:spacing w:after="0"/>
            </w:pPr>
            <w:r>
              <w:rPr>
                <w:sz w:val="19"/>
              </w:rPr>
              <w:t>Scope 1 and 2 emissions reduction 73% vs 2015; more-sustainable-products LTIP weighting 10%</w:t>
            </w:r>
          </w:p>
        </w:tc>
        <w:tc>
          <w:tcPr>
            <w:tcW w:w="1443" w:type="dxa"/>
          </w:tcPr>
          <w:p w14:paraId="73F80612" w14:textId="77777777" w:rsidR="004B4463" w:rsidRDefault="00F763E6">
            <w:pPr>
              <w:spacing w:after="0"/>
            </w:pPr>
            <w:r>
              <w:rPr>
                <w:sz w:val="19"/>
              </w:rPr>
              <w:t>p. 104 for LTIP; environmental performance in annual-report sustainability section</w:t>
            </w:r>
          </w:p>
        </w:tc>
        <w:tc>
          <w:tcPr>
            <w:tcW w:w="1447" w:type="dxa"/>
          </w:tcPr>
          <w:p w14:paraId="0D0DE05F" w14:textId="77777777" w:rsidR="004B4463" w:rsidRDefault="00F763E6">
            <w:pPr>
              <w:spacing w:after="0"/>
            </w:pPr>
            <w:r>
              <w:rPr>
                <w:sz w:val="19"/>
              </w:rPr>
              <w:t>2015 baseline for operational emissions</w:t>
            </w:r>
          </w:p>
        </w:tc>
        <w:tc>
          <w:tcPr>
            <w:tcW w:w="1440" w:type="dxa"/>
          </w:tcPr>
          <w:p w14:paraId="68654B7D" w14:textId="77777777" w:rsidR="004B4463" w:rsidRDefault="00F763E6">
            <w:pPr>
              <w:spacing w:after="0"/>
            </w:pPr>
            <w:r>
              <w:rPr>
                <w:sz w:val="19"/>
              </w:rPr>
              <w:t>Company report; assurance applies only to named metrics</w:t>
            </w:r>
          </w:p>
        </w:tc>
        <w:tc>
          <w:tcPr>
            <w:tcW w:w="1444" w:type="dxa"/>
          </w:tcPr>
          <w:p w14:paraId="110DF658" w14:textId="77777777" w:rsidR="00981CC7" w:rsidRDefault="00CC58FE">
            <w:pPr>
              <w:spacing w:after="0"/>
            </w:pPr>
            <w:r>
              <w:rPr>
                <w:sz w:val="19"/>
              </w:rPr>
              <w:t>Governance and operational mechanisms. Use the current 10% weighting; assurance applies only to specified named metrics.</w:t>
            </w:r>
          </w:p>
        </w:tc>
      </w:tr>
      <w:tr w:rsidR="004B4463" w14:paraId="04749376" w14:textId="77777777" w:rsidTr="0044333C">
        <w:trPr>
          <w:trHeight w:val="2921"/>
          <w:jc w:val="center"/>
        </w:trPr>
        <w:tc>
          <w:tcPr>
            <w:tcW w:w="1445" w:type="dxa"/>
          </w:tcPr>
          <w:p w14:paraId="0A49A761" w14:textId="77777777" w:rsidR="00981CC7" w:rsidRDefault="00CC58FE">
            <w:pPr>
              <w:spacing w:after="0"/>
            </w:pPr>
            <w:r>
              <w:rPr>
                <w:sz w:val="19"/>
              </w:rPr>
              <w:lastRenderedPageBreak/>
              <w:t>Diageo plc, Annual Report 2025</w:t>
            </w:r>
          </w:p>
        </w:tc>
        <w:tc>
          <w:tcPr>
            <w:tcW w:w="1443" w:type="dxa"/>
          </w:tcPr>
          <w:p w14:paraId="46A6ED1C" w14:textId="77777777" w:rsidR="004B4463" w:rsidRDefault="00F763E6">
            <w:pPr>
              <w:spacing w:after="0"/>
            </w:pPr>
            <w:r>
              <w:rPr>
                <w:sz w:val="19"/>
              </w:rPr>
              <w:t>FY2025</w:t>
            </w:r>
          </w:p>
        </w:tc>
        <w:tc>
          <w:tcPr>
            <w:tcW w:w="1445" w:type="dxa"/>
          </w:tcPr>
          <w:p w14:paraId="0CE31FD8" w14:textId="77777777" w:rsidR="004B4463" w:rsidRDefault="00F763E6">
            <w:pPr>
              <w:spacing w:after="0"/>
            </w:pPr>
            <w:r>
              <w:rPr>
                <w:sz w:val="19"/>
              </w:rPr>
              <w:t>2.0m people educated during FY2025; 8.2m cumulative SMASHED progress</w:t>
            </w:r>
          </w:p>
        </w:tc>
        <w:tc>
          <w:tcPr>
            <w:tcW w:w="1443" w:type="dxa"/>
          </w:tcPr>
          <w:p w14:paraId="00495EB0" w14:textId="77777777" w:rsidR="004B4463" w:rsidRDefault="00F763E6">
            <w:pPr>
              <w:spacing w:after="0"/>
            </w:pPr>
            <w:r>
              <w:rPr>
                <w:sz w:val="19"/>
              </w:rPr>
              <w:t>Positive Drinking performance table</w:t>
            </w:r>
          </w:p>
        </w:tc>
        <w:tc>
          <w:tcPr>
            <w:tcW w:w="1447" w:type="dxa"/>
          </w:tcPr>
          <w:p w14:paraId="19C248C7" w14:textId="77777777" w:rsidR="004B4463" w:rsidRDefault="00F763E6">
            <w:pPr>
              <w:spacing w:after="0"/>
            </w:pPr>
            <w:r>
              <w:rPr>
                <w:sz w:val="19"/>
              </w:rPr>
              <w:t>Annual vs cumulative measures separated</w:t>
            </w:r>
          </w:p>
        </w:tc>
        <w:tc>
          <w:tcPr>
            <w:tcW w:w="1440" w:type="dxa"/>
          </w:tcPr>
          <w:p w14:paraId="4D6EAEAB" w14:textId="77777777" w:rsidR="004B4463" w:rsidRDefault="00F763E6">
            <w:pPr>
              <w:spacing w:after="0"/>
            </w:pPr>
            <w:r>
              <w:rPr>
                <w:sz w:val="19"/>
              </w:rPr>
              <w:t>Company report</w:t>
            </w:r>
          </w:p>
        </w:tc>
        <w:tc>
          <w:tcPr>
            <w:tcW w:w="1444" w:type="dxa"/>
          </w:tcPr>
          <w:p w14:paraId="2A2FBD0E" w14:textId="77777777" w:rsidR="004B4463" w:rsidRDefault="00F763E6">
            <w:pPr>
              <w:spacing w:after="0"/>
            </w:pPr>
            <w:r>
              <w:rPr>
                <w:sz w:val="19"/>
              </w:rPr>
              <w:t>Category-specific social-purpose evidence. Reach is not a direct reputation score.</w:t>
            </w:r>
          </w:p>
        </w:tc>
      </w:tr>
      <w:tr w:rsidR="004B4463" w14:paraId="349AC736" w14:textId="77777777" w:rsidTr="0044333C">
        <w:trPr>
          <w:trHeight w:val="3221"/>
          <w:jc w:val="center"/>
        </w:trPr>
        <w:tc>
          <w:tcPr>
            <w:tcW w:w="1445" w:type="dxa"/>
          </w:tcPr>
          <w:p w14:paraId="0749D363" w14:textId="77777777" w:rsidR="00981CC7" w:rsidRDefault="00CC58FE">
            <w:pPr>
              <w:spacing w:after="0"/>
            </w:pPr>
            <w:r>
              <w:rPr>
                <w:sz w:val="19"/>
              </w:rPr>
              <w:t>Associated British Foods plc, Annual Report 2025</w:t>
            </w:r>
          </w:p>
        </w:tc>
        <w:tc>
          <w:tcPr>
            <w:tcW w:w="1443" w:type="dxa"/>
          </w:tcPr>
          <w:p w14:paraId="363F3550" w14:textId="77777777" w:rsidR="004B4463" w:rsidRDefault="00F763E6">
            <w:pPr>
              <w:spacing w:after="0"/>
            </w:pPr>
            <w:r>
              <w:rPr>
                <w:sz w:val="19"/>
              </w:rPr>
              <w:t>2025</w:t>
            </w:r>
          </w:p>
        </w:tc>
        <w:tc>
          <w:tcPr>
            <w:tcW w:w="1445" w:type="dxa"/>
          </w:tcPr>
          <w:p w14:paraId="31ED0851" w14:textId="77777777" w:rsidR="004B4463" w:rsidRDefault="00F763E6">
            <w:pPr>
              <w:spacing w:after="0"/>
            </w:pPr>
            <w:r>
              <w:rPr>
                <w:sz w:val="19"/>
              </w:rPr>
              <w:t>Primark revenue £9.489bn; adjusted operating profit £1.126bn; margin 11.9%; LFL sales -2.3%</w:t>
            </w:r>
          </w:p>
        </w:tc>
        <w:tc>
          <w:tcPr>
            <w:tcW w:w="1443" w:type="dxa"/>
          </w:tcPr>
          <w:p w14:paraId="6D64E57D" w14:textId="77777777" w:rsidR="004B4463" w:rsidRDefault="00F763E6">
            <w:pPr>
              <w:spacing w:after="0"/>
            </w:pPr>
            <w:r>
              <w:rPr>
                <w:sz w:val="19"/>
              </w:rPr>
              <w:t>Retail operating review; Annual Report p. 17 for retail financial summary</w:t>
            </w:r>
          </w:p>
        </w:tc>
        <w:tc>
          <w:tcPr>
            <w:tcW w:w="1447" w:type="dxa"/>
          </w:tcPr>
          <w:p w14:paraId="52C4D2FC" w14:textId="77777777" w:rsidR="004B4463" w:rsidRDefault="00F763E6">
            <w:pPr>
              <w:spacing w:after="0"/>
            </w:pPr>
            <w:r>
              <w:rPr>
                <w:sz w:val="19"/>
              </w:rPr>
              <w:t>Primark/Retail segment</w:t>
            </w:r>
          </w:p>
        </w:tc>
        <w:tc>
          <w:tcPr>
            <w:tcW w:w="1440" w:type="dxa"/>
          </w:tcPr>
          <w:p w14:paraId="63DF0102" w14:textId="77777777" w:rsidR="004B4463" w:rsidRDefault="00F763E6">
            <w:pPr>
              <w:spacing w:after="0"/>
            </w:pPr>
            <w:r>
              <w:rPr>
                <w:sz w:val="19"/>
              </w:rPr>
              <w:t>Official company financial reporting</w:t>
            </w:r>
          </w:p>
        </w:tc>
        <w:tc>
          <w:tcPr>
            <w:tcW w:w="1444" w:type="dxa"/>
          </w:tcPr>
          <w:p w14:paraId="7D36A667" w14:textId="77777777" w:rsidR="004B4463" w:rsidRDefault="00F763E6">
            <w:pPr>
              <w:spacing w:after="0"/>
            </w:pPr>
            <w:r>
              <w:rPr>
                <w:sz w:val="19"/>
              </w:rPr>
              <w:t>Commercial context. New-store growth offsets weaker LFL; do not describe -2.3% as a growth driver.</w:t>
            </w:r>
          </w:p>
        </w:tc>
      </w:tr>
      <w:tr w:rsidR="004B4463" w14:paraId="3A23C077" w14:textId="77777777" w:rsidTr="0044333C">
        <w:trPr>
          <w:trHeight w:val="3231"/>
          <w:jc w:val="center"/>
        </w:trPr>
        <w:tc>
          <w:tcPr>
            <w:tcW w:w="1445" w:type="dxa"/>
          </w:tcPr>
          <w:p w14:paraId="30D93DF5" w14:textId="77777777" w:rsidR="004B4463" w:rsidRDefault="00F763E6">
            <w:pPr>
              <w:spacing w:after="0"/>
            </w:pPr>
            <w:r>
              <w:rPr>
                <w:sz w:val="19"/>
              </w:rPr>
              <w:t>KnowTheChain, 2023 Apparel &amp; Footwear Benchmark</w:t>
            </w:r>
          </w:p>
        </w:tc>
        <w:tc>
          <w:tcPr>
            <w:tcW w:w="1443" w:type="dxa"/>
          </w:tcPr>
          <w:p w14:paraId="192AA398" w14:textId="77777777" w:rsidR="004B4463" w:rsidRDefault="00F763E6">
            <w:pPr>
              <w:spacing w:after="0"/>
            </w:pPr>
            <w:r>
              <w:rPr>
                <w:sz w:val="19"/>
              </w:rPr>
              <w:t>2023</w:t>
            </w:r>
          </w:p>
        </w:tc>
        <w:tc>
          <w:tcPr>
            <w:tcW w:w="1445" w:type="dxa"/>
          </w:tcPr>
          <w:p w14:paraId="13D2AB8E" w14:textId="77777777" w:rsidR="004B4463" w:rsidRDefault="00F763E6">
            <w:pPr>
              <w:spacing w:after="0"/>
            </w:pPr>
            <w:r>
              <w:rPr>
                <w:sz w:val="19"/>
              </w:rPr>
              <w:t>Benchmark of forced-labour risk management across apparel and footwear companies</w:t>
            </w:r>
          </w:p>
        </w:tc>
        <w:tc>
          <w:tcPr>
            <w:tcW w:w="1443" w:type="dxa"/>
          </w:tcPr>
          <w:p w14:paraId="140C15F2" w14:textId="77777777" w:rsidR="004B4463" w:rsidRDefault="00F763E6">
            <w:pPr>
              <w:spacing w:after="0"/>
            </w:pPr>
            <w:r>
              <w:rPr>
                <w:sz w:val="19"/>
              </w:rPr>
              <w:t>Benchmark methodology and findings</w:t>
            </w:r>
          </w:p>
        </w:tc>
        <w:tc>
          <w:tcPr>
            <w:tcW w:w="1447" w:type="dxa"/>
          </w:tcPr>
          <w:p w14:paraId="2EB29099" w14:textId="77777777" w:rsidR="004B4463" w:rsidRDefault="00F763E6">
            <w:pPr>
              <w:spacing w:after="0"/>
            </w:pPr>
            <w:r>
              <w:rPr>
                <w:sz w:val="19"/>
              </w:rPr>
              <w:t>Sector benchmark; firm scores interpreted within methodology</w:t>
            </w:r>
          </w:p>
        </w:tc>
        <w:tc>
          <w:tcPr>
            <w:tcW w:w="1440" w:type="dxa"/>
          </w:tcPr>
          <w:p w14:paraId="13621374" w14:textId="77777777" w:rsidR="004B4463" w:rsidRDefault="00F763E6">
            <w:pPr>
              <w:spacing w:after="0"/>
            </w:pPr>
            <w:r>
              <w:rPr>
                <w:sz w:val="19"/>
              </w:rPr>
              <w:t>Independent benchmark</w:t>
            </w:r>
          </w:p>
        </w:tc>
        <w:tc>
          <w:tcPr>
            <w:tcW w:w="1444" w:type="dxa"/>
          </w:tcPr>
          <w:p w14:paraId="349102C3" w14:textId="77777777" w:rsidR="004B4463" w:rsidRDefault="00F763E6">
            <w:pPr>
              <w:spacing w:after="0"/>
            </w:pPr>
            <w:r>
              <w:rPr>
                <w:sz w:val="19"/>
              </w:rPr>
              <w:t>External due-diligence context. Not a child-labour-only benchmark and sector average is not a firm-specific verdict.</w:t>
            </w:r>
          </w:p>
        </w:tc>
      </w:tr>
      <w:tr w:rsidR="004B4463" w14:paraId="6E0B751A" w14:textId="77777777" w:rsidTr="0044333C">
        <w:trPr>
          <w:trHeight w:val="2600"/>
          <w:jc w:val="center"/>
        </w:trPr>
        <w:tc>
          <w:tcPr>
            <w:tcW w:w="1445" w:type="dxa"/>
          </w:tcPr>
          <w:p w14:paraId="089B75F7" w14:textId="77777777" w:rsidR="004B4463" w:rsidRDefault="00F763E6">
            <w:pPr>
              <w:spacing w:after="0"/>
            </w:pPr>
            <w:r>
              <w:rPr>
                <w:sz w:val="19"/>
              </w:rPr>
              <w:t>Equileap, Gender Equality Report &amp; Ranking 2024</w:t>
            </w:r>
          </w:p>
        </w:tc>
        <w:tc>
          <w:tcPr>
            <w:tcW w:w="1443" w:type="dxa"/>
          </w:tcPr>
          <w:p w14:paraId="4F094B50" w14:textId="77777777" w:rsidR="004B4463" w:rsidRDefault="00F763E6">
            <w:pPr>
              <w:spacing w:after="0"/>
            </w:pPr>
            <w:r>
              <w:rPr>
                <w:sz w:val="19"/>
              </w:rPr>
              <w:t>2024</w:t>
            </w:r>
          </w:p>
        </w:tc>
        <w:tc>
          <w:tcPr>
            <w:tcW w:w="1445" w:type="dxa"/>
          </w:tcPr>
          <w:p w14:paraId="329B19F3" w14:textId="77777777" w:rsidR="004B4463" w:rsidRDefault="00F763E6">
            <w:pPr>
              <w:spacing w:after="0"/>
            </w:pPr>
            <w:r>
              <w:rPr>
                <w:sz w:val="19"/>
              </w:rPr>
              <w:t>Issue-specific gender-equality benchmark</w:t>
            </w:r>
          </w:p>
        </w:tc>
        <w:tc>
          <w:tcPr>
            <w:tcW w:w="1443" w:type="dxa"/>
          </w:tcPr>
          <w:p w14:paraId="033F499C" w14:textId="77777777" w:rsidR="004B4463" w:rsidRDefault="00F763E6">
            <w:pPr>
              <w:spacing w:after="0"/>
            </w:pPr>
            <w:r>
              <w:rPr>
                <w:sz w:val="19"/>
              </w:rPr>
              <w:t>2024 developed-markets report</w:t>
            </w:r>
          </w:p>
        </w:tc>
        <w:tc>
          <w:tcPr>
            <w:tcW w:w="1447" w:type="dxa"/>
          </w:tcPr>
          <w:p w14:paraId="2DF7A058" w14:textId="77777777" w:rsidR="004B4463" w:rsidRDefault="00F763E6">
            <w:pPr>
              <w:spacing w:after="0"/>
            </w:pPr>
            <w:r>
              <w:rPr>
                <w:sz w:val="19"/>
              </w:rPr>
              <w:t>Gender-equality construct only</w:t>
            </w:r>
          </w:p>
        </w:tc>
        <w:tc>
          <w:tcPr>
            <w:tcW w:w="1440" w:type="dxa"/>
          </w:tcPr>
          <w:p w14:paraId="0FCF0C11" w14:textId="77777777" w:rsidR="004B4463" w:rsidRDefault="00F763E6">
            <w:pPr>
              <w:spacing w:after="0"/>
            </w:pPr>
            <w:r>
              <w:rPr>
                <w:sz w:val="19"/>
              </w:rPr>
              <w:t>Independent benchmark</w:t>
            </w:r>
          </w:p>
        </w:tc>
        <w:tc>
          <w:tcPr>
            <w:tcW w:w="1444" w:type="dxa"/>
          </w:tcPr>
          <w:p w14:paraId="150EA638" w14:textId="77777777" w:rsidR="004B4463" w:rsidRDefault="00F763E6">
            <w:pPr>
              <w:spacing w:after="0"/>
            </w:pPr>
            <w:r>
              <w:rPr>
                <w:sz w:val="19"/>
              </w:rPr>
              <w:t>Independent social-governance signal. Not a general corporate-reputation measure.</w:t>
            </w:r>
          </w:p>
        </w:tc>
      </w:tr>
    </w:tbl>
    <w:p w14:paraId="48986094" w14:textId="77777777" w:rsidR="004B4463" w:rsidRDefault="00F763E6">
      <w:pPr>
        <w:pStyle w:val="Heading2"/>
      </w:pPr>
      <w:bookmarkStart w:id="157" w:name="_Toc241154083"/>
      <w:r>
        <w:lastRenderedPageBreak/>
        <w:t>A2. Representative coding examples</w:t>
      </w:r>
      <w:bookmarkEnd w:id="157"/>
    </w:p>
    <w:tbl>
      <w:tblPr>
        <w:tblW w:w="1014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9"/>
        <w:gridCol w:w="2029"/>
        <w:gridCol w:w="2029"/>
        <w:gridCol w:w="2029"/>
        <w:gridCol w:w="2029"/>
      </w:tblGrid>
      <w:tr w:rsidR="004B4463" w14:paraId="5195A7C2" w14:textId="77777777" w:rsidTr="0044333C">
        <w:trPr>
          <w:trHeight w:val="750"/>
          <w:jc w:val="center"/>
        </w:trPr>
        <w:tc>
          <w:tcPr>
            <w:tcW w:w="2029" w:type="dxa"/>
          </w:tcPr>
          <w:p w14:paraId="18BDEA9B" w14:textId="77777777" w:rsidR="004B4463" w:rsidRDefault="00F763E6">
            <w:pPr>
              <w:spacing w:after="0"/>
            </w:pPr>
            <w:r>
              <w:rPr>
                <w:sz w:val="19"/>
              </w:rPr>
              <w:t>Evidence excerpt/observation</w:t>
            </w:r>
          </w:p>
        </w:tc>
        <w:tc>
          <w:tcPr>
            <w:tcW w:w="2029" w:type="dxa"/>
          </w:tcPr>
          <w:p w14:paraId="48DDF1CF" w14:textId="77777777" w:rsidR="004B4463" w:rsidRDefault="00F763E6">
            <w:pPr>
              <w:spacing w:after="0"/>
            </w:pPr>
            <w:r>
              <w:rPr>
                <w:sz w:val="19"/>
              </w:rPr>
              <w:t>Initial code</w:t>
            </w:r>
          </w:p>
        </w:tc>
        <w:tc>
          <w:tcPr>
            <w:tcW w:w="2029" w:type="dxa"/>
          </w:tcPr>
          <w:p w14:paraId="05926034" w14:textId="77777777" w:rsidR="004B4463" w:rsidRDefault="00F763E6">
            <w:pPr>
              <w:spacing w:after="0"/>
            </w:pPr>
            <w:r>
              <w:rPr>
                <w:sz w:val="19"/>
              </w:rPr>
              <w:t>Mechanism</w:t>
            </w:r>
          </w:p>
        </w:tc>
        <w:tc>
          <w:tcPr>
            <w:tcW w:w="2029" w:type="dxa"/>
          </w:tcPr>
          <w:p w14:paraId="5B8161BD" w14:textId="77777777" w:rsidR="004B4463" w:rsidRDefault="00F763E6">
            <w:pPr>
              <w:spacing w:after="0"/>
            </w:pPr>
            <w:r>
              <w:rPr>
                <w:sz w:val="19"/>
              </w:rPr>
              <w:t>Rival explanation</w:t>
            </w:r>
          </w:p>
        </w:tc>
        <w:tc>
          <w:tcPr>
            <w:tcW w:w="2029" w:type="dxa"/>
          </w:tcPr>
          <w:p w14:paraId="0D8F6801" w14:textId="77777777" w:rsidR="004B4463" w:rsidRDefault="00F763E6">
            <w:pPr>
              <w:spacing w:after="0"/>
            </w:pPr>
            <w:r>
              <w:rPr>
                <w:sz w:val="19"/>
              </w:rPr>
              <w:t>Calibrated inference</w:t>
            </w:r>
          </w:p>
        </w:tc>
      </w:tr>
      <w:tr w:rsidR="004B4463" w14:paraId="1B08D272" w14:textId="77777777" w:rsidTr="0044333C">
        <w:trPr>
          <w:trHeight w:val="1694"/>
          <w:jc w:val="center"/>
        </w:trPr>
        <w:tc>
          <w:tcPr>
            <w:tcW w:w="2029" w:type="dxa"/>
          </w:tcPr>
          <w:p w14:paraId="75519C8F" w14:textId="77777777" w:rsidR="004B4463" w:rsidRDefault="00F763E6">
            <w:pPr>
              <w:spacing w:after="0"/>
            </w:pPr>
            <w:r>
              <w:rPr>
                <w:sz w:val="19"/>
              </w:rPr>
              <w:t>Unilever reports 77% operational emissions reduction against a 2015 baseline.</w:t>
            </w:r>
          </w:p>
        </w:tc>
        <w:tc>
          <w:tcPr>
            <w:tcW w:w="2029" w:type="dxa"/>
          </w:tcPr>
          <w:p w14:paraId="56F0070B" w14:textId="77777777" w:rsidR="004B4463" w:rsidRDefault="00F763E6">
            <w:pPr>
              <w:spacing w:after="0"/>
            </w:pPr>
            <w:r>
              <w:rPr>
                <w:sz w:val="19"/>
              </w:rPr>
              <w:t>Measured environmental outcome</w:t>
            </w:r>
          </w:p>
        </w:tc>
        <w:tc>
          <w:tcPr>
            <w:tcW w:w="2029" w:type="dxa"/>
          </w:tcPr>
          <w:p w14:paraId="514B1CD1" w14:textId="77777777" w:rsidR="004B4463" w:rsidRDefault="00F763E6">
            <w:pPr>
              <w:spacing w:after="0"/>
            </w:pPr>
            <w:r>
              <w:rPr>
                <w:sz w:val="19"/>
              </w:rPr>
              <w:t>Efficiency/risk-control capability</w:t>
            </w:r>
          </w:p>
        </w:tc>
        <w:tc>
          <w:tcPr>
            <w:tcW w:w="2029" w:type="dxa"/>
          </w:tcPr>
          <w:p w14:paraId="499D6660" w14:textId="77777777" w:rsidR="004B4463" w:rsidRDefault="00F763E6">
            <w:pPr>
              <w:spacing w:after="0"/>
            </w:pPr>
            <w:r>
              <w:rPr>
                <w:sz w:val="19"/>
              </w:rPr>
              <w:t>Portfolio and boundary changes; energy mix; production volume</w:t>
            </w:r>
          </w:p>
        </w:tc>
        <w:tc>
          <w:tcPr>
            <w:tcW w:w="2029" w:type="dxa"/>
          </w:tcPr>
          <w:p w14:paraId="366D52A8" w14:textId="77777777" w:rsidR="004B4463" w:rsidRDefault="00F763E6">
            <w:pPr>
              <w:spacing w:after="0"/>
            </w:pPr>
            <w:r>
              <w:rPr>
                <w:sz w:val="19"/>
              </w:rPr>
              <w:t>Operational progress is evidenced; commercial effect is not demonstrated.</w:t>
            </w:r>
          </w:p>
        </w:tc>
      </w:tr>
      <w:tr w:rsidR="004B4463" w14:paraId="49F36144" w14:textId="77777777" w:rsidTr="0044333C">
        <w:trPr>
          <w:trHeight w:val="2333"/>
          <w:jc w:val="center"/>
        </w:trPr>
        <w:tc>
          <w:tcPr>
            <w:tcW w:w="2029" w:type="dxa"/>
          </w:tcPr>
          <w:p w14:paraId="3C7E29F8" w14:textId="77777777" w:rsidR="004B4463" w:rsidRDefault="00F763E6">
            <w:pPr>
              <w:spacing w:after="0"/>
            </w:pPr>
            <w:r>
              <w:rPr>
                <w:sz w:val="19"/>
              </w:rPr>
              <w:t>CMA investigated, then closed, Unilever green-claims case without a breach determination.</w:t>
            </w:r>
          </w:p>
        </w:tc>
        <w:tc>
          <w:tcPr>
            <w:tcW w:w="2029" w:type="dxa"/>
          </w:tcPr>
          <w:p w14:paraId="4F1CDEAB" w14:textId="77777777" w:rsidR="004B4463" w:rsidRDefault="00F763E6">
            <w:pPr>
              <w:spacing w:after="0"/>
            </w:pPr>
            <w:r>
              <w:rPr>
                <w:sz w:val="19"/>
              </w:rPr>
              <w:t>Regulatory scrutiny</w:t>
            </w:r>
          </w:p>
        </w:tc>
        <w:tc>
          <w:tcPr>
            <w:tcW w:w="2029" w:type="dxa"/>
          </w:tcPr>
          <w:p w14:paraId="21971C37" w14:textId="77777777" w:rsidR="004B4463" w:rsidRDefault="00F763E6">
            <w:pPr>
              <w:spacing w:after="0"/>
            </w:pPr>
            <w:r>
              <w:rPr>
                <w:sz w:val="19"/>
              </w:rPr>
              <w:t>Legitimacy/claim credibility</w:t>
            </w:r>
          </w:p>
        </w:tc>
        <w:tc>
          <w:tcPr>
            <w:tcW w:w="2029" w:type="dxa"/>
          </w:tcPr>
          <w:p w14:paraId="3D223881" w14:textId="77777777" w:rsidR="004B4463" w:rsidRDefault="00F763E6">
            <w:pPr>
              <w:spacing w:after="0"/>
            </w:pPr>
            <w:r>
              <w:rPr>
                <w:sz w:val="19"/>
              </w:rPr>
              <w:t>Closure factors include claim changes and wider enforcement programme</w:t>
            </w:r>
          </w:p>
        </w:tc>
        <w:tc>
          <w:tcPr>
            <w:tcW w:w="2029" w:type="dxa"/>
          </w:tcPr>
          <w:p w14:paraId="64DE947D" w14:textId="77777777" w:rsidR="004B4463" w:rsidRDefault="00F763E6">
            <w:pPr>
              <w:spacing w:after="0"/>
            </w:pPr>
            <w:r>
              <w:rPr>
                <w:sz w:val="19"/>
              </w:rPr>
              <w:t>Issue-specific reputational exposure is plausible; realised reputation damage is not directly measured.</w:t>
            </w:r>
          </w:p>
        </w:tc>
      </w:tr>
      <w:tr w:rsidR="004B4463" w14:paraId="5B4D7A10" w14:textId="77777777" w:rsidTr="0044333C">
        <w:trPr>
          <w:trHeight w:val="2322"/>
          <w:jc w:val="center"/>
        </w:trPr>
        <w:tc>
          <w:tcPr>
            <w:tcW w:w="2029" w:type="dxa"/>
          </w:tcPr>
          <w:p w14:paraId="18E75016" w14:textId="77777777" w:rsidR="004B4463" w:rsidRDefault="00F763E6">
            <w:pPr>
              <w:spacing w:after="0"/>
            </w:pPr>
            <w:r>
              <w:rPr>
                <w:sz w:val="19"/>
              </w:rPr>
              <w:t>Reckitt links a 10% LTIP weighting to more sustainable products.</w:t>
            </w:r>
          </w:p>
        </w:tc>
        <w:tc>
          <w:tcPr>
            <w:tcW w:w="2029" w:type="dxa"/>
          </w:tcPr>
          <w:p w14:paraId="7CF8226C" w14:textId="77777777" w:rsidR="004B4463" w:rsidRDefault="00F763E6">
            <w:pPr>
              <w:spacing w:after="0"/>
            </w:pPr>
            <w:r>
              <w:rPr>
                <w:sz w:val="19"/>
              </w:rPr>
              <w:t>Governance/incentive alignment</w:t>
            </w:r>
          </w:p>
        </w:tc>
        <w:tc>
          <w:tcPr>
            <w:tcW w:w="2029" w:type="dxa"/>
          </w:tcPr>
          <w:p w14:paraId="564D7F8C" w14:textId="77777777" w:rsidR="004B4463" w:rsidRDefault="00F763E6">
            <w:pPr>
              <w:spacing w:after="0"/>
            </w:pPr>
            <w:r>
              <w:rPr>
                <w:sz w:val="19"/>
              </w:rPr>
              <w:t>Implementation accountability</w:t>
            </w:r>
          </w:p>
        </w:tc>
        <w:tc>
          <w:tcPr>
            <w:tcW w:w="2029" w:type="dxa"/>
          </w:tcPr>
          <w:p w14:paraId="7622F081" w14:textId="77777777" w:rsidR="004B4463" w:rsidRDefault="00F763E6">
            <w:pPr>
              <w:spacing w:after="0"/>
            </w:pPr>
            <w:r>
              <w:rPr>
                <w:sz w:val="19"/>
              </w:rPr>
              <w:t>Metric design may create gaming or narrow optimisation</w:t>
            </w:r>
          </w:p>
        </w:tc>
        <w:tc>
          <w:tcPr>
            <w:tcW w:w="2029" w:type="dxa"/>
          </w:tcPr>
          <w:p w14:paraId="35716C1E" w14:textId="77777777" w:rsidR="004B4463" w:rsidRDefault="00F763E6">
            <w:pPr>
              <w:spacing w:after="0"/>
            </w:pPr>
            <w:r>
              <w:rPr>
                <w:sz w:val="19"/>
              </w:rPr>
              <w:t>Governance mechanism is present; effectiveness depends on metric quality and product outcomes.</w:t>
            </w:r>
          </w:p>
        </w:tc>
      </w:tr>
      <w:tr w:rsidR="004B4463" w14:paraId="5895E7B7" w14:textId="77777777" w:rsidTr="0044333C">
        <w:trPr>
          <w:trHeight w:val="2009"/>
          <w:jc w:val="center"/>
        </w:trPr>
        <w:tc>
          <w:tcPr>
            <w:tcW w:w="2029" w:type="dxa"/>
          </w:tcPr>
          <w:p w14:paraId="4650965F" w14:textId="77777777" w:rsidR="004B4463" w:rsidRDefault="00F763E6">
            <w:pPr>
              <w:spacing w:after="0"/>
            </w:pPr>
            <w:r>
              <w:rPr>
                <w:sz w:val="19"/>
              </w:rPr>
              <w:t>Diageo reports annual and cumulative positive-drinking education reach.</w:t>
            </w:r>
          </w:p>
        </w:tc>
        <w:tc>
          <w:tcPr>
            <w:tcW w:w="2029" w:type="dxa"/>
          </w:tcPr>
          <w:p w14:paraId="1CA59D32" w14:textId="77777777" w:rsidR="004B4463" w:rsidRDefault="00F763E6">
            <w:pPr>
              <w:spacing w:after="0"/>
            </w:pPr>
            <w:r>
              <w:rPr>
                <w:sz w:val="19"/>
              </w:rPr>
              <w:t>Social outcome/reach</w:t>
            </w:r>
          </w:p>
        </w:tc>
        <w:tc>
          <w:tcPr>
            <w:tcW w:w="2029" w:type="dxa"/>
          </w:tcPr>
          <w:p w14:paraId="188C431C" w14:textId="77777777" w:rsidR="004B4463" w:rsidRDefault="00F763E6">
            <w:pPr>
              <w:spacing w:after="0"/>
            </w:pPr>
            <w:r>
              <w:rPr>
                <w:sz w:val="19"/>
              </w:rPr>
              <w:t>Category legitimacy/stakeholder relationship</w:t>
            </w:r>
          </w:p>
        </w:tc>
        <w:tc>
          <w:tcPr>
            <w:tcW w:w="2029" w:type="dxa"/>
          </w:tcPr>
          <w:p w14:paraId="57F748A3" w14:textId="77777777" w:rsidR="004B4463" w:rsidRDefault="00F763E6">
            <w:pPr>
              <w:spacing w:after="0"/>
            </w:pPr>
            <w:r>
              <w:rPr>
                <w:sz w:val="19"/>
              </w:rPr>
              <w:t>Reach does not establish behavioural change or reputation change</w:t>
            </w:r>
          </w:p>
        </w:tc>
        <w:tc>
          <w:tcPr>
            <w:tcW w:w="2029" w:type="dxa"/>
          </w:tcPr>
          <w:p w14:paraId="44AA6949" w14:textId="77777777" w:rsidR="004B4463" w:rsidRDefault="00F763E6">
            <w:pPr>
              <w:spacing w:after="0"/>
            </w:pPr>
            <w:r>
              <w:rPr>
                <w:sz w:val="19"/>
              </w:rPr>
              <w:t>Programme execution is evidenced; trust/reputation effect remains conditional.</w:t>
            </w:r>
          </w:p>
        </w:tc>
      </w:tr>
      <w:tr w:rsidR="004B4463" w14:paraId="457C7859" w14:textId="77777777" w:rsidTr="0044333C">
        <w:trPr>
          <w:trHeight w:val="2009"/>
          <w:jc w:val="center"/>
        </w:trPr>
        <w:tc>
          <w:tcPr>
            <w:tcW w:w="2029" w:type="dxa"/>
          </w:tcPr>
          <w:p w14:paraId="09E73B4A" w14:textId="77777777" w:rsidR="004B4463" w:rsidRDefault="00F763E6">
            <w:pPr>
              <w:spacing w:after="0"/>
            </w:pPr>
            <w:r>
              <w:rPr>
                <w:sz w:val="19"/>
              </w:rPr>
              <w:t>Primark total sales +1% while like-for-like sales -2.3%.</w:t>
            </w:r>
          </w:p>
        </w:tc>
        <w:tc>
          <w:tcPr>
            <w:tcW w:w="2029" w:type="dxa"/>
          </w:tcPr>
          <w:p w14:paraId="06DA3744" w14:textId="77777777" w:rsidR="004B4463" w:rsidRDefault="00F763E6">
            <w:pPr>
              <w:spacing w:after="0"/>
            </w:pPr>
            <w:r>
              <w:rPr>
                <w:sz w:val="19"/>
              </w:rPr>
              <w:t>Commercial counter-evidence</w:t>
            </w:r>
          </w:p>
        </w:tc>
        <w:tc>
          <w:tcPr>
            <w:tcW w:w="2029" w:type="dxa"/>
          </w:tcPr>
          <w:p w14:paraId="7C86D3B6" w14:textId="77777777" w:rsidR="004B4463" w:rsidRDefault="00F763E6">
            <w:pPr>
              <w:spacing w:after="0"/>
            </w:pPr>
            <w:r>
              <w:rPr>
                <w:sz w:val="19"/>
              </w:rPr>
              <w:t>Competitive outcome context</w:t>
            </w:r>
          </w:p>
        </w:tc>
        <w:tc>
          <w:tcPr>
            <w:tcW w:w="2029" w:type="dxa"/>
          </w:tcPr>
          <w:p w14:paraId="5B74ED2B" w14:textId="77777777" w:rsidR="004B4463" w:rsidRDefault="00F763E6">
            <w:pPr>
              <w:spacing w:after="0"/>
            </w:pPr>
            <w:r>
              <w:rPr>
                <w:sz w:val="19"/>
              </w:rPr>
              <w:t>Store openings, category demand, pricing and geography</w:t>
            </w:r>
          </w:p>
        </w:tc>
        <w:tc>
          <w:tcPr>
            <w:tcW w:w="2029" w:type="dxa"/>
          </w:tcPr>
          <w:p w14:paraId="2FBB74CC" w14:textId="77777777" w:rsidR="004B4463" w:rsidRDefault="00F763E6">
            <w:pPr>
              <w:spacing w:after="0"/>
            </w:pPr>
            <w:r>
              <w:rPr>
                <w:sz w:val="19"/>
              </w:rPr>
              <w:t>No direct ESG-commercial inference; portfolio/store rollout materially affects observed sales.</w:t>
            </w:r>
          </w:p>
        </w:tc>
      </w:tr>
    </w:tbl>
    <w:p w14:paraId="5321B7B0" w14:textId="77777777" w:rsidR="0044333C" w:rsidRDefault="0044333C" w:rsidP="0044333C">
      <w:bookmarkStart w:id="158" w:name="_Toc240840731"/>
    </w:p>
    <w:p w14:paraId="4F90AE1B" w14:textId="77777777" w:rsidR="004D7A10" w:rsidRDefault="004D7A10" w:rsidP="004D7A10">
      <w:r>
        <w:br w:type="page"/>
      </w:r>
    </w:p>
    <w:p w14:paraId="7C743379" w14:textId="77777777" w:rsidR="004D7A10" w:rsidRDefault="004D7A10" w:rsidP="004D7A10">
      <w:pPr>
        <w:sectPr w:rsidR="004D7A10">
          <w:footerReference w:type="even" r:id="rId54"/>
          <w:footerReference w:type="default" r:id="rId55"/>
          <w:footerReference w:type="first" r:id="rId56"/>
          <w:pgSz w:w="12240" w:h="15840"/>
          <w:pgMar w:top="1440" w:right="1440" w:bottom="1440" w:left="1440" w:header="0" w:footer="720" w:gutter="0"/>
          <w:pgNumType w:start="1"/>
          <w:cols w:space="720"/>
          <w:formProt w:val="0"/>
          <w:docGrid w:linePitch="360"/>
        </w:sectPr>
      </w:pPr>
    </w:p>
    <w:p w14:paraId="10E797DB" w14:textId="77777777" w:rsidR="0044333C" w:rsidRDefault="0044333C" w:rsidP="004D7A10">
      <w:pPr>
        <w:pStyle w:val="Heading1"/>
        <w:pageBreakBefore/>
      </w:pPr>
      <w:bookmarkStart w:id="159" w:name="_Toc241154084"/>
      <w:r>
        <w:lastRenderedPageBreak/>
        <w:t>Appendix B: Literature Review Matrix and Reference Coverage</w:t>
      </w:r>
      <w:bookmarkEnd w:id="158"/>
      <w:bookmarkEnd w:id="159"/>
    </w:p>
    <w:p w14:paraId="1FB95971" w14:textId="77777777" w:rsidR="0044333C" w:rsidRDefault="009F43AA" w:rsidP="009F43AA">
      <w:pPr>
        <w:pStyle w:val="Heading2"/>
      </w:pPr>
      <w:bookmarkStart w:id="160" w:name="_Toc241154085"/>
      <w:r>
        <w:t xml:space="preserve">B1. </w:t>
      </w:r>
      <w:r w:rsidRPr="009F43AA">
        <w:t>Literature Review Matrix</w:t>
      </w:r>
      <w:bookmarkEnd w:id="16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04"/>
        <w:gridCol w:w="1447"/>
        <w:gridCol w:w="1049"/>
        <w:gridCol w:w="905"/>
        <w:gridCol w:w="648"/>
        <w:gridCol w:w="1230"/>
        <w:gridCol w:w="1375"/>
        <w:gridCol w:w="1086"/>
        <w:gridCol w:w="1122"/>
        <w:gridCol w:w="1556"/>
        <w:gridCol w:w="1665"/>
        <w:gridCol w:w="1303"/>
        <w:gridCol w:w="1230"/>
      </w:tblGrid>
      <w:tr w:rsidR="007E140B" w:rsidRPr="007E140B" w14:paraId="7DEB28A7" w14:textId="77777777" w:rsidTr="0026770E">
        <w:trPr>
          <w:cantSplit/>
          <w:tblHeader/>
          <w:jc w:val="center"/>
        </w:trPr>
        <w:tc>
          <w:tcPr>
            <w:tcW w:w="504" w:type="dxa"/>
            <w:shd w:val="clear" w:color="auto" w:fill="17365D"/>
            <w:tcMar>
              <w:top w:w="22" w:type="dxa"/>
              <w:left w:w="24" w:type="dxa"/>
              <w:bottom w:w="22" w:type="dxa"/>
              <w:right w:w="24" w:type="dxa"/>
            </w:tcMar>
            <w:vAlign w:val="center"/>
          </w:tcPr>
          <w:p w14:paraId="24A91653" w14:textId="77777777" w:rsidR="004D7A10" w:rsidRPr="007E140B" w:rsidRDefault="004D7A10" w:rsidP="0026770E">
            <w:pPr>
              <w:spacing w:after="0" w:line="240" w:lineRule="auto"/>
              <w:jc w:val="center"/>
              <w:rPr>
                <w:rFonts w:cs="Arial"/>
                <w:color w:val="auto"/>
              </w:rPr>
            </w:pPr>
            <w:r w:rsidRPr="007E140B">
              <w:rPr>
                <w:rFonts w:cs="Arial"/>
                <w:b/>
                <w:color w:val="auto"/>
                <w:sz w:val="15"/>
              </w:rPr>
              <w:t>No.</w:t>
            </w:r>
          </w:p>
        </w:tc>
        <w:tc>
          <w:tcPr>
            <w:tcW w:w="1447" w:type="dxa"/>
            <w:shd w:val="clear" w:color="auto" w:fill="17365D"/>
            <w:tcMar>
              <w:top w:w="22" w:type="dxa"/>
              <w:left w:w="24" w:type="dxa"/>
              <w:bottom w:w="22" w:type="dxa"/>
              <w:right w:w="24" w:type="dxa"/>
            </w:tcMar>
            <w:vAlign w:val="center"/>
          </w:tcPr>
          <w:p w14:paraId="05CA3291" w14:textId="77777777" w:rsidR="004D7A10" w:rsidRPr="007E140B" w:rsidRDefault="004D7A10" w:rsidP="0026770E">
            <w:pPr>
              <w:spacing w:after="0" w:line="240" w:lineRule="auto"/>
              <w:jc w:val="center"/>
              <w:rPr>
                <w:rFonts w:cs="Arial"/>
                <w:color w:val="auto"/>
              </w:rPr>
            </w:pPr>
            <w:r w:rsidRPr="007E140B">
              <w:rPr>
                <w:rFonts w:cs="Arial"/>
                <w:b/>
                <w:color w:val="auto"/>
                <w:sz w:val="15"/>
              </w:rPr>
              <w:t>Article Title</w:t>
            </w:r>
          </w:p>
        </w:tc>
        <w:tc>
          <w:tcPr>
            <w:tcW w:w="1049" w:type="dxa"/>
            <w:shd w:val="clear" w:color="auto" w:fill="17365D"/>
            <w:tcMar>
              <w:top w:w="22" w:type="dxa"/>
              <w:left w:w="24" w:type="dxa"/>
              <w:bottom w:w="22" w:type="dxa"/>
              <w:right w:w="24" w:type="dxa"/>
            </w:tcMar>
            <w:vAlign w:val="center"/>
          </w:tcPr>
          <w:p w14:paraId="390291EF" w14:textId="77777777" w:rsidR="004D7A10" w:rsidRPr="007E140B" w:rsidRDefault="004D7A10" w:rsidP="0026770E">
            <w:pPr>
              <w:spacing w:after="0" w:line="240" w:lineRule="auto"/>
              <w:jc w:val="center"/>
              <w:rPr>
                <w:rFonts w:cs="Arial"/>
                <w:color w:val="auto"/>
              </w:rPr>
            </w:pPr>
            <w:r w:rsidRPr="007E140B">
              <w:rPr>
                <w:rFonts w:cs="Arial"/>
                <w:b/>
                <w:color w:val="auto"/>
                <w:sz w:val="15"/>
              </w:rPr>
              <w:t>Journal / Source Name</w:t>
            </w:r>
          </w:p>
        </w:tc>
        <w:tc>
          <w:tcPr>
            <w:tcW w:w="905" w:type="dxa"/>
            <w:shd w:val="clear" w:color="auto" w:fill="17365D"/>
            <w:tcMar>
              <w:top w:w="22" w:type="dxa"/>
              <w:left w:w="24" w:type="dxa"/>
              <w:bottom w:w="22" w:type="dxa"/>
              <w:right w:w="24" w:type="dxa"/>
            </w:tcMar>
            <w:vAlign w:val="center"/>
          </w:tcPr>
          <w:p w14:paraId="32A54C93" w14:textId="77777777" w:rsidR="004D7A10" w:rsidRPr="007E140B" w:rsidRDefault="004D7A10" w:rsidP="0026770E">
            <w:pPr>
              <w:spacing w:after="0" w:line="240" w:lineRule="auto"/>
              <w:jc w:val="center"/>
              <w:rPr>
                <w:rFonts w:cs="Arial"/>
                <w:color w:val="auto"/>
              </w:rPr>
            </w:pPr>
            <w:r w:rsidRPr="007E140B">
              <w:rPr>
                <w:rFonts w:cs="Arial"/>
                <w:b/>
                <w:color w:val="auto"/>
                <w:sz w:val="15"/>
              </w:rPr>
              <w:t>Authors</w:t>
            </w:r>
          </w:p>
        </w:tc>
        <w:tc>
          <w:tcPr>
            <w:tcW w:w="648" w:type="dxa"/>
            <w:shd w:val="clear" w:color="auto" w:fill="17365D"/>
            <w:tcMar>
              <w:top w:w="22" w:type="dxa"/>
              <w:left w:w="24" w:type="dxa"/>
              <w:bottom w:w="22" w:type="dxa"/>
              <w:right w:w="24" w:type="dxa"/>
            </w:tcMar>
            <w:vAlign w:val="center"/>
          </w:tcPr>
          <w:p w14:paraId="0A777993" w14:textId="77777777" w:rsidR="004D7A10" w:rsidRPr="007E140B" w:rsidRDefault="004D7A10" w:rsidP="0026770E">
            <w:pPr>
              <w:spacing w:after="0" w:line="240" w:lineRule="auto"/>
              <w:jc w:val="center"/>
              <w:rPr>
                <w:rFonts w:cs="Arial"/>
                <w:color w:val="auto"/>
              </w:rPr>
            </w:pPr>
            <w:r w:rsidRPr="007E140B">
              <w:rPr>
                <w:rFonts w:cs="Arial"/>
                <w:b/>
                <w:color w:val="auto"/>
                <w:sz w:val="15"/>
              </w:rPr>
              <w:t>Year</w:t>
            </w:r>
          </w:p>
        </w:tc>
        <w:tc>
          <w:tcPr>
            <w:tcW w:w="1230" w:type="dxa"/>
            <w:shd w:val="clear" w:color="auto" w:fill="17365D"/>
            <w:tcMar>
              <w:top w:w="22" w:type="dxa"/>
              <w:left w:w="24" w:type="dxa"/>
              <w:bottom w:w="22" w:type="dxa"/>
              <w:right w:w="24" w:type="dxa"/>
            </w:tcMar>
            <w:vAlign w:val="center"/>
          </w:tcPr>
          <w:p w14:paraId="247FAB89" w14:textId="77777777" w:rsidR="004D7A10" w:rsidRPr="007E140B" w:rsidRDefault="004D7A10" w:rsidP="0026770E">
            <w:pPr>
              <w:spacing w:after="0" w:line="240" w:lineRule="auto"/>
              <w:jc w:val="center"/>
              <w:rPr>
                <w:rFonts w:cs="Arial"/>
                <w:color w:val="auto"/>
              </w:rPr>
            </w:pPr>
            <w:r w:rsidRPr="007E140B">
              <w:rPr>
                <w:rFonts w:cs="Arial"/>
                <w:b/>
                <w:color w:val="auto"/>
                <w:sz w:val="15"/>
              </w:rPr>
              <w:t>Aim</w:t>
            </w:r>
          </w:p>
        </w:tc>
        <w:tc>
          <w:tcPr>
            <w:tcW w:w="1375" w:type="dxa"/>
            <w:shd w:val="clear" w:color="auto" w:fill="17365D"/>
            <w:tcMar>
              <w:top w:w="22" w:type="dxa"/>
              <w:left w:w="24" w:type="dxa"/>
              <w:bottom w:w="22" w:type="dxa"/>
              <w:right w:w="24" w:type="dxa"/>
            </w:tcMar>
            <w:vAlign w:val="center"/>
          </w:tcPr>
          <w:p w14:paraId="50E463E9" w14:textId="77777777" w:rsidR="004D7A10" w:rsidRPr="007E140B" w:rsidRDefault="004D7A10" w:rsidP="0026770E">
            <w:pPr>
              <w:spacing w:after="0" w:line="240" w:lineRule="auto"/>
              <w:jc w:val="center"/>
              <w:rPr>
                <w:rFonts w:cs="Arial"/>
                <w:color w:val="auto"/>
              </w:rPr>
            </w:pPr>
            <w:r w:rsidRPr="007E140B">
              <w:rPr>
                <w:rFonts w:cs="Arial"/>
                <w:b/>
                <w:color w:val="auto"/>
                <w:sz w:val="15"/>
              </w:rPr>
              <w:t>Objectives</w:t>
            </w:r>
          </w:p>
        </w:tc>
        <w:tc>
          <w:tcPr>
            <w:tcW w:w="1086" w:type="dxa"/>
            <w:shd w:val="clear" w:color="auto" w:fill="17365D"/>
            <w:tcMar>
              <w:top w:w="22" w:type="dxa"/>
              <w:left w:w="24" w:type="dxa"/>
              <w:bottom w:w="22" w:type="dxa"/>
              <w:right w:w="24" w:type="dxa"/>
            </w:tcMar>
            <w:vAlign w:val="center"/>
          </w:tcPr>
          <w:p w14:paraId="64D9C3E0" w14:textId="77777777" w:rsidR="004D7A10" w:rsidRPr="007E140B" w:rsidRDefault="004D7A10" w:rsidP="0026770E">
            <w:pPr>
              <w:spacing w:after="0" w:line="240" w:lineRule="auto"/>
              <w:jc w:val="center"/>
              <w:rPr>
                <w:rFonts w:cs="Arial"/>
                <w:color w:val="auto"/>
              </w:rPr>
            </w:pPr>
            <w:r w:rsidRPr="007E140B">
              <w:rPr>
                <w:rFonts w:cs="Arial"/>
                <w:b/>
                <w:color w:val="auto"/>
                <w:sz w:val="15"/>
              </w:rPr>
              <w:t>Research Question</w:t>
            </w:r>
          </w:p>
        </w:tc>
        <w:tc>
          <w:tcPr>
            <w:tcW w:w="1122" w:type="dxa"/>
            <w:shd w:val="clear" w:color="auto" w:fill="17365D"/>
            <w:tcMar>
              <w:top w:w="22" w:type="dxa"/>
              <w:left w:w="24" w:type="dxa"/>
              <w:bottom w:w="22" w:type="dxa"/>
              <w:right w:w="24" w:type="dxa"/>
            </w:tcMar>
            <w:vAlign w:val="center"/>
          </w:tcPr>
          <w:p w14:paraId="113C473D" w14:textId="77777777" w:rsidR="004D7A10" w:rsidRPr="007E140B" w:rsidRDefault="004D7A10" w:rsidP="0026770E">
            <w:pPr>
              <w:spacing w:after="0" w:line="240" w:lineRule="auto"/>
              <w:jc w:val="center"/>
              <w:rPr>
                <w:rFonts w:cs="Arial"/>
                <w:color w:val="auto"/>
              </w:rPr>
            </w:pPr>
            <w:r w:rsidRPr="007E140B">
              <w:rPr>
                <w:rFonts w:cs="Arial"/>
                <w:b/>
                <w:color w:val="auto"/>
                <w:sz w:val="15"/>
              </w:rPr>
              <w:t>Method</w:t>
            </w:r>
          </w:p>
        </w:tc>
        <w:tc>
          <w:tcPr>
            <w:tcW w:w="1556" w:type="dxa"/>
            <w:shd w:val="clear" w:color="auto" w:fill="17365D"/>
            <w:tcMar>
              <w:top w:w="22" w:type="dxa"/>
              <w:left w:w="24" w:type="dxa"/>
              <w:bottom w:w="22" w:type="dxa"/>
              <w:right w:w="24" w:type="dxa"/>
            </w:tcMar>
            <w:vAlign w:val="center"/>
          </w:tcPr>
          <w:p w14:paraId="5085A0FD" w14:textId="77777777" w:rsidR="004D7A10" w:rsidRPr="007E140B" w:rsidRDefault="004D7A10" w:rsidP="0026770E">
            <w:pPr>
              <w:spacing w:after="0" w:line="240" w:lineRule="auto"/>
              <w:jc w:val="center"/>
              <w:rPr>
                <w:rFonts w:cs="Arial"/>
                <w:color w:val="auto"/>
              </w:rPr>
            </w:pPr>
            <w:r w:rsidRPr="007E140B">
              <w:rPr>
                <w:rFonts w:cs="Arial"/>
                <w:b/>
                <w:color w:val="auto"/>
                <w:sz w:val="15"/>
              </w:rPr>
              <w:t>Findings</w:t>
            </w:r>
          </w:p>
        </w:tc>
        <w:tc>
          <w:tcPr>
            <w:tcW w:w="1665" w:type="dxa"/>
            <w:shd w:val="clear" w:color="auto" w:fill="17365D"/>
            <w:tcMar>
              <w:top w:w="22" w:type="dxa"/>
              <w:left w:w="24" w:type="dxa"/>
              <w:bottom w:w="22" w:type="dxa"/>
              <w:right w:w="24" w:type="dxa"/>
            </w:tcMar>
            <w:vAlign w:val="center"/>
          </w:tcPr>
          <w:p w14:paraId="317DDBBC" w14:textId="77777777" w:rsidR="004D7A10" w:rsidRPr="007E140B" w:rsidRDefault="004D7A10" w:rsidP="0026770E">
            <w:pPr>
              <w:spacing w:after="0" w:line="240" w:lineRule="auto"/>
              <w:jc w:val="center"/>
              <w:rPr>
                <w:rFonts w:cs="Arial"/>
                <w:color w:val="auto"/>
              </w:rPr>
            </w:pPr>
            <w:r w:rsidRPr="007E140B">
              <w:rPr>
                <w:rFonts w:cs="Arial"/>
                <w:b/>
                <w:color w:val="auto"/>
                <w:sz w:val="15"/>
              </w:rPr>
              <w:t>Abstract (Summary)</w:t>
            </w:r>
          </w:p>
        </w:tc>
        <w:tc>
          <w:tcPr>
            <w:tcW w:w="1303" w:type="dxa"/>
            <w:shd w:val="clear" w:color="auto" w:fill="17365D"/>
            <w:tcMar>
              <w:top w:w="22" w:type="dxa"/>
              <w:left w:w="24" w:type="dxa"/>
              <w:bottom w:w="22" w:type="dxa"/>
              <w:right w:w="24" w:type="dxa"/>
            </w:tcMar>
            <w:vAlign w:val="center"/>
          </w:tcPr>
          <w:p w14:paraId="44637C42" w14:textId="77777777" w:rsidR="004D7A10" w:rsidRPr="007E140B" w:rsidRDefault="004D7A10" w:rsidP="0026770E">
            <w:pPr>
              <w:spacing w:after="0" w:line="240" w:lineRule="auto"/>
              <w:jc w:val="center"/>
              <w:rPr>
                <w:rFonts w:cs="Arial"/>
                <w:color w:val="auto"/>
              </w:rPr>
            </w:pPr>
            <w:r w:rsidRPr="007E140B">
              <w:rPr>
                <w:rFonts w:cs="Arial"/>
                <w:b/>
                <w:color w:val="auto"/>
                <w:sz w:val="15"/>
              </w:rPr>
              <w:t>Analysis</w:t>
            </w:r>
          </w:p>
        </w:tc>
        <w:tc>
          <w:tcPr>
            <w:tcW w:w="1230" w:type="dxa"/>
            <w:shd w:val="clear" w:color="auto" w:fill="17365D"/>
            <w:tcMar>
              <w:top w:w="22" w:type="dxa"/>
              <w:left w:w="24" w:type="dxa"/>
              <w:bottom w:w="22" w:type="dxa"/>
              <w:right w:w="24" w:type="dxa"/>
            </w:tcMar>
            <w:vAlign w:val="center"/>
          </w:tcPr>
          <w:p w14:paraId="37A2DC53" w14:textId="77777777" w:rsidR="004D7A10" w:rsidRPr="007E140B" w:rsidRDefault="004D7A10" w:rsidP="0026770E">
            <w:pPr>
              <w:spacing w:after="0" w:line="240" w:lineRule="auto"/>
              <w:jc w:val="center"/>
              <w:rPr>
                <w:rFonts w:cs="Arial"/>
                <w:color w:val="auto"/>
              </w:rPr>
            </w:pPr>
            <w:r w:rsidRPr="007E140B">
              <w:rPr>
                <w:rFonts w:cs="Arial"/>
                <w:b/>
                <w:color w:val="auto"/>
                <w:sz w:val="15"/>
              </w:rPr>
              <w:t>Source / DOI</w:t>
            </w:r>
          </w:p>
        </w:tc>
      </w:tr>
      <w:tr w:rsidR="007E140B" w:rsidRPr="007E140B" w14:paraId="2BE80D72" w14:textId="77777777" w:rsidTr="0026770E">
        <w:trPr>
          <w:cantSplit/>
          <w:jc w:val="center"/>
        </w:trPr>
        <w:tc>
          <w:tcPr>
            <w:tcW w:w="504" w:type="dxa"/>
            <w:shd w:val="clear" w:color="auto" w:fill="F7FAFC"/>
            <w:tcMar>
              <w:top w:w="22" w:type="dxa"/>
              <w:left w:w="24" w:type="dxa"/>
              <w:bottom w:w="22" w:type="dxa"/>
              <w:right w:w="24" w:type="dxa"/>
            </w:tcMar>
            <w:vAlign w:val="center"/>
          </w:tcPr>
          <w:p w14:paraId="418379F7" w14:textId="77777777" w:rsidR="004D7A10" w:rsidRPr="007E140B" w:rsidRDefault="004D7A10" w:rsidP="0026770E">
            <w:pPr>
              <w:spacing w:after="0" w:line="240" w:lineRule="auto"/>
              <w:jc w:val="center"/>
              <w:rPr>
                <w:rFonts w:cs="Arial"/>
                <w:color w:val="auto"/>
              </w:rPr>
            </w:pPr>
            <w:r w:rsidRPr="007E140B">
              <w:rPr>
                <w:rFonts w:cs="Arial"/>
                <w:b/>
                <w:color w:val="auto"/>
                <w:sz w:val="15"/>
              </w:rPr>
              <w:t>1</w:t>
            </w:r>
          </w:p>
        </w:tc>
        <w:tc>
          <w:tcPr>
            <w:tcW w:w="1447" w:type="dxa"/>
            <w:shd w:val="clear" w:color="auto" w:fill="F7FAFC"/>
            <w:tcMar>
              <w:top w:w="22" w:type="dxa"/>
              <w:left w:w="24" w:type="dxa"/>
              <w:bottom w:w="22" w:type="dxa"/>
              <w:right w:w="24" w:type="dxa"/>
            </w:tcMar>
          </w:tcPr>
          <w:p w14:paraId="6BEAD6C3" w14:textId="77777777" w:rsidR="004D7A10" w:rsidRPr="007E140B" w:rsidRDefault="004D7A10" w:rsidP="0026770E">
            <w:pPr>
              <w:spacing w:after="0" w:line="240" w:lineRule="auto"/>
              <w:rPr>
                <w:rFonts w:cs="Arial"/>
                <w:color w:val="auto"/>
              </w:rPr>
            </w:pPr>
            <w:r w:rsidRPr="007E140B">
              <w:rPr>
                <w:rFonts w:cs="Arial"/>
                <w:b/>
                <w:color w:val="auto"/>
                <w:sz w:val="15"/>
              </w:rPr>
              <w:t>Resiliency of Environmental and Social Stocks: An Analysis of the Exogenous COVID-19 Market Crash</w:t>
            </w:r>
          </w:p>
        </w:tc>
        <w:tc>
          <w:tcPr>
            <w:tcW w:w="1049" w:type="dxa"/>
            <w:shd w:val="clear" w:color="auto" w:fill="F7FAFC"/>
            <w:tcMar>
              <w:top w:w="22" w:type="dxa"/>
              <w:left w:w="24" w:type="dxa"/>
              <w:bottom w:w="22" w:type="dxa"/>
              <w:right w:w="24" w:type="dxa"/>
            </w:tcMar>
          </w:tcPr>
          <w:p w14:paraId="2B3DF578" w14:textId="77777777" w:rsidR="004D7A10" w:rsidRPr="007E140B" w:rsidRDefault="004D7A10" w:rsidP="0026770E">
            <w:pPr>
              <w:spacing w:after="0" w:line="240" w:lineRule="auto"/>
              <w:rPr>
                <w:rFonts w:cs="Arial"/>
                <w:color w:val="auto"/>
              </w:rPr>
            </w:pPr>
            <w:r w:rsidRPr="007E140B">
              <w:rPr>
                <w:rFonts w:cs="Arial"/>
                <w:color w:val="auto"/>
                <w:sz w:val="15"/>
              </w:rPr>
              <w:t>The Review of Corporate Finance Studies</w:t>
            </w:r>
          </w:p>
        </w:tc>
        <w:tc>
          <w:tcPr>
            <w:tcW w:w="905" w:type="dxa"/>
            <w:shd w:val="clear" w:color="auto" w:fill="F7FAFC"/>
            <w:tcMar>
              <w:top w:w="22" w:type="dxa"/>
              <w:left w:w="24" w:type="dxa"/>
              <w:bottom w:w="22" w:type="dxa"/>
              <w:right w:w="24" w:type="dxa"/>
            </w:tcMar>
          </w:tcPr>
          <w:p w14:paraId="02FED58A" w14:textId="77777777" w:rsidR="004D7A10" w:rsidRPr="007E140B" w:rsidRDefault="004D7A10" w:rsidP="0026770E">
            <w:pPr>
              <w:spacing w:after="0" w:line="240" w:lineRule="auto"/>
              <w:rPr>
                <w:rFonts w:cs="Arial"/>
                <w:color w:val="auto"/>
              </w:rPr>
            </w:pPr>
            <w:r w:rsidRPr="007E140B">
              <w:rPr>
                <w:rFonts w:cs="Arial"/>
                <w:color w:val="auto"/>
                <w:sz w:val="15"/>
              </w:rPr>
              <w:t>Albuquerque, R.; Koskinen, Y.; Yang, S.; Zhang, C.</w:t>
            </w:r>
          </w:p>
        </w:tc>
        <w:tc>
          <w:tcPr>
            <w:tcW w:w="648" w:type="dxa"/>
            <w:shd w:val="clear" w:color="auto" w:fill="F7FAFC"/>
            <w:tcMar>
              <w:top w:w="22" w:type="dxa"/>
              <w:left w:w="24" w:type="dxa"/>
              <w:bottom w:w="22" w:type="dxa"/>
              <w:right w:w="24" w:type="dxa"/>
            </w:tcMar>
            <w:vAlign w:val="center"/>
          </w:tcPr>
          <w:p w14:paraId="0552B38D" w14:textId="77777777" w:rsidR="004D7A10" w:rsidRPr="007E140B" w:rsidRDefault="004D7A10" w:rsidP="0026770E">
            <w:pPr>
              <w:spacing w:after="0" w:line="240" w:lineRule="auto"/>
              <w:jc w:val="center"/>
              <w:rPr>
                <w:rFonts w:cs="Arial"/>
                <w:color w:val="auto"/>
              </w:rPr>
            </w:pPr>
            <w:r w:rsidRPr="007E140B">
              <w:rPr>
                <w:rFonts w:cs="Arial"/>
                <w:b/>
                <w:color w:val="auto"/>
                <w:sz w:val="15"/>
              </w:rPr>
              <w:t>2020</w:t>
            </w:r>
          </w:p>
        </w:tc>
        <w:tc>
          <w:tcPr>
            <w:tcW w:w="1230" w:type="dxa"/>
            <w:shd w:val="clear" w:color="auto" w:fill="F7FAFC"/>
            <w:tcMar>
              <w:top w:w="22" w:type="dxa"/>
              <w:left w:w="24" w:type="dxa"/>
              <w:bottom w:w="22" w:type="dxa"/>
              <w:right w:w="24" w:type="dxa"/>
            </w:tcMar>
          </w:tcPr>
          <w:p w14:paraId="50BEE657" w14:textId="77777777" w:rsidR="004D7A10" w:rsidRPr="007E140B" w:rsidRDefault="004D7A10" w:rsidP="0026770E">
            <w:pPr>
              <w:spacing w:after="0" w:line="240" w:lineRule="auto"/>
              <w:rPr>
                <w:rFonts w:cs="Arial"/>
                <w:color w:val="auto"/>
              </w:rPr>
            </w:pPr>
            <w:r w:rsidRPr="007E140B">
              <w:rPr>
                <w:rFonts w:cs="Arial"/>
                <w:color w:val="auto"/>
                <w:sz w:val="15"/>
              </w:rPr>
              <w:t>To test whether strong environmental and social (E/S) profiles are associated with greater corporate and stock-market resilience during the exogenous COVID-19 shock.</w:t>
            </w:r>
          </w:p>
        </w:tc>
        <w:tc>
          <w:tcPr>
            <w:tcW w:w="1375" w:type="dxa"/>
            <w:shd w:val="clear" w:color="auto" w:fill="F7FAFC"/>
            <w:tcMar>
              <w:top w:w="22" w:type="dxa"/>
              <w:left w:w="24" w:type="dxa"/>
              <w:bottom w:w="22" w:type="dxa"/>
              <w:right w:w="24" w:type="dxa"/>
            </w:tcMar>
          </w:tcPr>
          <w:p w14:paraId="46977854" w14:textId="77777777" w:rsidR="004D7A10" w:rsidRPr="007E140B" w:rsidRDefault="004D7A10" w:rsidP="0026770E">
            <w:pPr>
              <w:spacing w:after="0" w:line="240" w:lineRule="auto"/>
              <w:rPr>
                <w:rFonts w:cs="Arial"/>
                <w:color w:val="auto"/>
              </w:rPr>
            </w:pPr>
            <w:r w:rsidRPr="007E140B">
              <w:rPr>
                <w:rFonts w:cs="Arial"/>
                <w:color w:val="auto"/>
                <w:sz w:val="15"/>
              </w:rPr>
              <w:t>Examine E/S scores against abnormal returns and volatility during the crash; assess operating-profit resilience; explore customer loyalty/advertising and investor E/S preferences as possible channels.</w:t>
            </w:r>
          </w:p>
        </w:tc>
        <w:tc>
          <w:tcPr>
            <w:tcW w:w="1086" w:type="dxa"/>
            <w:shd w:val="clear" w:color="auto" w:fill="F7FAFC"/>
            <w:tcMar>
              <w:top w:w="22" w:type="dxa"/>
              <w:left w:w="24" w:type="dxa"/>
              <w:bottom w:w="22" w:type="dxa"/>
              <w:right w:w="24" w:type="dxa"/>
            </w:tcMar>
          </w:tcPr>
          <w:p w14:paraId="3BF00C2D" w14:textId="77777777" w:rsidR="004D7A10" w:rsidRPr="007E140B" w:rsidRDefault="004D7A10" w:rsidP="0026770E">
            <w:pPr>
              <w:spacing w:after="0" w:line="240" w:lineRule="auto"/>
              <w:rPr>
                <w:rFonts w:cs="Arial"/>
                <w:color w:val="auto"/>
              </w:rPr>
            </w:pPr>
            <w:r w:rsidRPr="007E140B">
              <w:rPr>
                <w:rFonts w:cs="Arial"/>
                <w:color w:val="auto"/>
                <w:sz w:val="15"/>
              </w:rPr>
              <w:t>Do firms with stronger E/S profiles exhibit better market and operating resilience during an unexpected economy-wide crisis?</w:t>
            </w:r>
          </w:p>
        </w:tc>
        <w:tc>
          <w:tcPr>
            <w:tcW w:w="1122" w:type="dxa"/>
            <w:shd w:val="clear" w:color="auto" w:fill="F7FAFC"/>
            <w:tcMar>
              <w:top w:w="22" w:type="dxa"/>
              <w:left w:w="24" w:type="dxa"/>
              <w:bottom w:w="22" w:type="dxa"/>
              <w:right w:w="24" w:type="dxa"/>
            </w:tcMar>
          </w:tcPr>
          <w:p w14:paraId="030FF624" w14:textId="77777777" w:rsidR="004D7A10" w:rsidRPr="007E140B" w:rsidRDefault="004D7A10" w:rsidP="0026770E">
            <w:pPr>
              <w:spacing w:after="0" w:line="240" w:lineRule="auto"/>
              <w:rPr>
                <w:rFonts w:cs="Arial"/>
                <w:color w:val="auto"/>
              </w:rPr>
            </w:pPr>
            <w:r w:rsidRPr="007E140B">
              <w:rPr>
                <w:rFonts w:cs="Arial"/>
                <w:color w:val="auto"/>
                <w:sz w:val="15"/>
              </w:rPr>
              <w:t>Empirical study of U.S. stocks covered by Refinitiv ESG. Daily market data around Q1 2020 are combined with pre-crisis E/S ratings, operating outcomes and institutional-investor holdings; regression-based tests treat COVID-19 as an exogenous shock.</w:t>
            </w:r>
          </w:p>
        </w:tc>
        <w:tc>
          <w:tcPr>
            <w:tcW w:w="1556" w:type="dxa"/>
            <w:shd w:val="clear" w:color="auto" w:fill="F7FAFC"/>
            <w:tcMar>
              <w:top w:w="22" w:type="dxa"/>
              <w:left w:w="24" w:type="dxa"/>
              <w:bottom w:w="22" w:type="dxa"/>
              <w:right w:w="24" w:type="dxa"/>
            </w:tcMar>
          </w:tcPr>
          <w:p w14:paraId="166263C0" w14:textId="77777777" w:rsidR="004D7A10" w:rsidRPr="007E140B" w:rsidRDefault="004D7A10" w:rsidP="0026770E">
            <w:pPr>
              <w:spacing w:after="0" w:line="240" w:lineRule="auto"/>
              <w:rPr>
                <w:rFonts w:cs="Arial"/>
                <w:color w:val="auto"/>
              </w:rPr>
            </w:pPr>
            <w:r w:rsidRPr="007E140B">
              <w:rPr>
                <w:rFonts w:cs="Arial"/>
                <w:color w:val="auto"/>
                <w:sz w:val="15"/>
              </w:rPr>
              <w:t>Higher E/S scores are associated with higher crisis-period returns, lower return volatility and stronger operating-profit margins. Customer-facing investment and E/S-oriented investor ownership are consistent with loyalty/resilience channels.</w:t>
            </w:r>
          </w:p>
        </w:tc>
        <w:tc>
          <w:tcPr>
            <w:tcW w:w="1665" w:type="dxa"/>
            <w:shd w:val="clear" w:color="auto" w:fill="F7FAFC"/>
            <w:tcMar>
              <w:top w:w="22" w:type="dxa"/>
              <w:left w:w="24" w:type="dxa"/>
              <w:bottom w:w="22" w:type="dxa"/>
              <w:right w:w="24" w:type="dxa"/>
            </w:tcMar>
          </w:tcPr>
          <w:p w14:paraId="579977B8" w14:textId="77777777" w:rsidR="004D7A10" w:rsidRPr="007E140B" w:rsidRDefault="004D7A10" w:rsidP="0026770E">
            <w:pPr>
              <w:spacing w:after="0" w:line="240" w:lineRule="auto"/>
              <w:rPr>
                <w:rFonts w:cs="Arial"/>
                <w:color w:val="auto"/>
              </w:rPr>
            </w:pPr>
            <w:r w:rsidRPr="007E140B">
              <w:rPr>
                <w:rFonts w:cs="Arial"/>
                <w:color w:val="auto"/>
                <w:sz w:val="15"/>
              </w:rPr>
              <w:t>The paper uses the COVID-19 market crash as a stress test of stakeholder-oriented corporate policies. It reports that firms with stronger pre-crisis environmental and social profiles were relatively more resilient in both equity-market and operating outcomes.</w:t>
            </w:r>
          </w:p>
        </w:tc>
        <w:tc>
          <w:tcPr>
            <w:tcW w:w="1303" w:type="dxa"/>
            <w:shd w:val="clear" w:color="auto" w:fill="F7FAFC"/>
            <w:tcMar>
              <w:top w:w="22" w:type="dxa"/>
              <w:left w:w="24" w:type="dxa"/>
              <w:bottom w:w="22" w:type="dxa"/>
              <w:right w:w="24" w:type="dxa"/>
            </w:tcMar>
          </w:tcPr>
          <w:p w14:paraId="3592BCD0" w14:textId="77777777" w:rsidR="004D7A10" w:rsidRPr="007E140B" w:rsidRDefault="004D7A10" w:rsidP="0026770E">
            <w:pPr>
              <w:spacing w:after="0" w:line="240" w:lineRule="auto"/>
              <w:rPr>
                <w:rFonts w:cs="Arial"/>
                <w:color w:val="auto"/>
              </w:rPr>
            </w:pPr>
            <w:r w:rsidRPr="007E140B">
              <w:rPr>
                <w:rFonts w:cs="Arial"/>
                <w:color w:val="auto"/>
                <w:sz w:val="15"/>
              </w:rPr>
              <w:t>Directly supports the dissertation’s resilience/stakeholder-capital mechanism. However, the dissertation correctly treats crisis stock evidence as contextual and observational—not as proof that ESG causes operating advantage in UK consumer goods.</w:t>
            </w:r>
          </w:p>
        </w:tc>
        <w:tc>
          <w:tcPr>
            <w:tcW w:w="1230" w:type="dxa"/>
            <w:shd w:val="clear" w:color="auto" w:fill="F7FAFC"/>
            <w:tcMar>
              <w:top w:w="22" w:type="dxa"/>
              <w:left w:w="24" w:type="dxa"/>
              <w:bottom w:w="22" w:type="dxa"/>
              <w:right w:w="24" w:type="dxa"/>
            </w:tcMar>
          </w:tcPr>
          <w:p w14:paraId="596251C6" w14:textId="77777777" w:rsidR="004D7A10" w:rsidRPr="007E140B" w:rsidRDefault="00867805" w:rsidP="0026770E">
            <w:pPr>
              <w:spacing w:after="0" w:line="240" w:lineRule="auto"/>
              <w:rPr>
                <w:rFonts w:cs="Arial"/>
                <w:color w:val="auto"/>
              </w:rPr>
            </w:pPr>
            <w:hyperlink r:id="rId57">
              <w:r w:rsidR="004D7A10" w:rsidRPr="007E140B">
                <w:rPr>
                  <w:rFonts w:cs="Arial"/>
                  <w:color w:val="auto"/>
                  <w:sz w:val="13"/>
                  <w:szCs w:val="13"/>
                </w:rPr>
                <w:t>https://doi.org/10.1093/rcfs/cfaa011</w:t>
              </w:r>
            </w:hyperlink>
          </w:p>
        </w:tc>
      </w:tr>
      <w:tr w:rsidR="007E140B" w:rsidRPr="007E140B" w14:paraId="55EB4C77" w14:textId="77777777" w:rsidTr="0026770E">
        <w:trPr>
          <w:cantSplit/>
          <w:jc w:val="center"/>
        </w:trPr>
        <w:tc>
          <w:tcPr>
            <w:tcW w:w="504" w:type="dxa"/>
            <w:shd w:val="clear" w:color="auto" w:fill="EAF1F7"/>
            <w:tcMar>
              <w:top w:w="22" w:type="dxa"/>
              <w:left w:w="24" w:type="dxa"/>
              <w:bottom w:w="22" w:type="dxa"/>
              <w:right w:w="24" w:type="dxa"/>
            </w:tcMar>
            <w:vAlign w:val="center"/>
          </w:tcPr>
          <w:p w14:paraId="00589334" w14:textId="77777777" w:rsidR="004D7A10" w:rsidRPr="007E140B" w:rsidRDefault="004D7A10" w:rsidP="0026770E">
            <w:pPr>
              <w:spacing w:after="0" w:line="240" w:lineRule="auto"/>
              <w:jc w:val="center"/>
              <w:rPr>
                <w:rFonts w:cs="Arial"/>
                <w:color w:val="auto"/>
              </w:rPr>
            </w:pPr>
            <w:r w:rsidRPr="007E140B">
              <w:rPr>
                <w:rFonts w:cs="Arial"/>
                <w:b/>
                <w:color w:val="auto"/>
                <w:sz w:val="15"/>
              </w:rPr>
              <w:t>2</w:t>
            </w:r>
          </w:p>
        </w:tc>
        <w:tc>
          <w:tcPr>
            <w:tcW w:w="1447" w:type="dxa"/>
            <w:shd w:val="clear" w:color="auto" w:fill="EAF1F7"/>
            <w:tcMar>
              <w:top w:w="22" w:type="dxa"/>
              <w:left w:w="24" w:type="dxa"/>
              <w:bottom w:w="22" w:type="dxa"/>
              <w:right w:w="24" w:type="dxa"/>
            </w:tcMar>
          </w:tcPr>
          <w:p w14:paraId="6113DBA0" w14:textId="77777777" w:rsidR="004D7A10" w:rsidRPr="007E140B" w:rsidRDefault="004D7A10" w:rsidP="0026770E">
            <w:pPr>
              <w:spacing w:after="0" w:line="240" w:lineRule="auto"/>
              <w:rPr>
                <w:rFonts w:cs="Arial"/>
                <w:color w:val="auto"/>
              </w:rPr>
            </w:pPr>
            <w:r w:rsidRPr="007E140B">
              <w:rPr>
                <w:rFonts w:cs="Arial"/>
                <w:b/>
                <w:color w:val="auto"/>
                <w:sz w:val="15"/>
              </w:rPr>
              <w:t>Impact of ESG Performance on Firm Value and Profitability</w:t>
            </w:r>
          </w:p>
        </w:tc>
        <w:tc>
          <w:tcPr>
            <w:tcW w:w="1049" w:type="dxa"/>
            <w:shd w:val="clear" w:color="auto" w:fill="EAF1F7"/>
            <w:tcMar>
              <w:top w:w="22" w:type="dxa"/>
              <w:left w:w="24" w:type="dxa"/>
              <w:bottom w:w="22" w:type="dxa"/>
              <w:right w:w="24" w:type="dxa"/>
            </w:tcMar>
          </w:tcPr>
          <w:p w14:paraId="51DD69A2" w14:textId="77777777" w:rsidR="004D7A10" w:rsidRPr="007E140B" w:rsidRDefault="004D7A10" w:rsidP="0026770E">
            <w:pPr>
              <w:spacing w:after="0" w:line="240" w:lineRule="auto"/>
              <w:rPr>
                <w:rFonts w:cs="Arial"/>
                <w:color w:val="auto"/>
              </w:rPr>
            </w:pPr>
            <w:r w:rsidRPr="007E140B">
              <w:rPr>
                <w:rFonts w:cs="Arial"/>
                <w:color w:val="auto"/>
                <w:sz w:val="15"/>
              </w:rPr>
              <w:t>Borsa Istanbul Review</w:t>
            </w:r>
          </w:p>
        </w:tc>
        <w:tc>
          <w:tcPr>
            <w:tcW w:w="905" w:type="dxa"/>
            <w:shd w:val="clear" w:color="auto" w:fill="EAF1F7"/>
            <w:tcMar>
              <w:top w:w="22" w:type="dxa"/>
              <w:left w:w="24" w:type="dxa"/>
              <w:bottom w:w="22" w:type="dxa"/>
              <w:right w:w="24" w:type="dxa"/>
            </w:tcMar>
          </w:tcPr>
          <w:p w14:paraId="362A5248" w14:textId="77777777" w:rsidR="004D7A10" w:rsidRPr="007E140B" w:rsidRDefault="004D7A10" w:rsidP="0026770E">
            <w:pPr>
              <w:spacing w:after="0" w:line="240" w:lineRule="auto"/>
              <w:rPr>
                <w:rFonts w:cs="Arial"/>
                <w:color w:val="auto"/>
              </w:rPr>
            </w:pPr>
            <w:r w:rsidRPr="007E140B">
              <w:rPr>
                <w:rFonts w:cs="Arial"/>
                <w:color w:val="auto"/>
                <w:sz w:val="15"/>
              </w:rPr>
              <w:t>Aydoğmuş, M.; Gülay, G.; Ergun, K.</w:t>
            </w:r>
          </w:p>
        </w:tc>
        <w:tc>
          <w:tcPr>
            <w:tcW w:w="648" w:type="dxa"/>
            <w:shd w:val="clear" w:color="auto" w:fill="EAF1F7"/>
            <w:tcMar>
              <w:top w:w="22" w:type="dxa"/>
              <w:left w:w="24" w:type="dxa"/>
              <w:bottom w:w="22" w:type="dxa"/>
              <w:right w:w="24" w:type="dxa"/>
            </w:tcMar>
            <w:vAlign w:val="center"/>
          </w:tcPr>
          <w:p w14:paraId="10A35340" w14:textId="77777777" w:rsidR="004D7A10" w:rsidRPr="007E140B" w:rsidRDefault="004D7A10" w:rsidP="0026770E">
            <w:pPr>
              <w:spacing w:after="0" w:line="240" w:lineRule="auto"/>
              <w:jc w:val="center"/>
              <w:rPr>
                <w:rFonts w:cs="Arial"/>
                <w:color w:val="auto"/>
              </w:rPr>
            </w:pPr>
            <w:r w:rsidRPr="007E140B">
              <w:rPr>
                <w:rFonts w:cs="Arial"/>
                <w:b/>
                <w:color w:val="auto"/>
                <w:sz w:val="15"/>
              </w:rPr>
              <w:t>2022</w:t>
            </w:r>
          </w:p>
        </w:tc>
        <w:tc>
          <w:tcPr>
            <w:tcW w:w="1230" w:type="dxa"/>
            <w:shd w:val="clear" w:color="auto" w:fill="EAF1F7"/>
            <w:tcMar>
              <w:top w:w="22" w:type="dxa"/>
              <w:left w:w="24" w:type="dxa"/>
              <w:bottom w:w="22" w:type="dxa"/>
              <w:right w:w="24" w:type="dxa"/>
            </w:tcMar>
          </w:tcPr>
          <w:p w14:paraId="64BD6F7A" w14:textId="77777777" w:rsidR="004D7A10" w:rsidRPr="007E140B" w:rsidRDefault="004D7A10" w:rsidP="0026770E">
            <w:pPr>
              <w:spacing w:after="0" w:line="240" w:lineRule="auto"/>
              <w:rPr>
                <w:rFonts w:cs="Arial"/>
                <w:color w:val="auto"/>
              </w:rPr>
            </w:pPr>
            <w:r w:rsidRPr="007E140B">
              <w:rPr>
                <w:rFonts w:cs="Arial"/>
                <w:color w:val="auto"/>
                <w:sz w:val="15"/>
              </w:rPr>
              <w:t>To examine how overall ESG performance and the environmental, social and governance pillars relate to firm value and profitability.</w:t>
            </w:r>
          </w:p>
        </w:tc>
        <w:tc>
          <w:tcPr>
            <w:tcW w:w="1375" w:type="dxa"/>
            <w:shd w:val="clear" w:color="auto" w:fill="EAF1F7"/>
            <w:tcMar>
              <w:top w:w="22" w:type="dxa"/>
              <w:left w:w="24" w:type="dxa"/>
              <w:bottom w:w="22" w:type="dxa"/>
              <w:right w:w="24" w:type="dxa"/>
            </w:tcMar>
          </w:tcPr>
          <w:p w14:paraId="526A821F" w14:textId="77777777" w:rsidR="004D7A10" w:rsidRPr="007E140B" w:rsidRDefault="004D7A10" w:rsidP="0026770E">
            <w:pPr>
              <w:spacing w:after="0" w:line="240" w:lineRule="auto"/>
              <w:rPr>
                <w:rFonts w:cs="Arial"/>
                <w:color w:val="auto"/>
              </w:rPr>
            </w:pPr>
            <w:r w:rsidRPr="007E140B">
              <w:rPr>
                <w:rFonts w:cs="Arial"/>
                <w:color w:val="auto"/>
                <w:sz w:val="15"/>
              </w:rPr>
              <w:t>Estimate the association of combined and pillar ESG scores with Tobin’s Q and return on assets; test whether relationships remain after controlling for firm size and leverage.</w:t>
            </w:r>
          </w:p>
        </w:tc>
        <w:tc>
          <w:tcPr>
            <w:tcW w:w="1086" w:type="dxa"/>
            <w:shd w:val="clear" w:color="auto" w:fill="EAF1F7"/>
            <w:tcMar>
              <w:top w:w="22" w:type="dxa"/>
              <w:left w:w="24" w:type="dxa"/>
              <w:bottom w:w="22" w:type="dxa"/>
              <w:right w:w="24" w:type="dxa"/>
            </w:tcMar>
          </w:tcPr>
          <w:p w14:paraId="5B0EC131" w14:textId="77777777" w:rsidR="004D7A10" w:rsidRPr="007E140B" w:rsidRDefault="004D7A10" w:rsidP="0026770E">
            <w:pPr>
              <w:spacing w:after="0" w:line="240" w:lineRule="auto"/>
              <w:rPr>
                <w:rFonts w:cs="Arial"/>
                <w:color w:val="auto"/>
              </w:rPr>
            </w:pPr>
            <w:r w:rsidRPr="007E140B">
              <w:rPr>
                <w:rFonts w:cs="Arial"/>
                <w:color w:val="auto"/>
                <w:sz w:val="15"/>
              </w:rPr>
              <w:t>Does stronger ESG performance improve firm value and profitability, and do the E, S and G pillars differ in their relationships with those outcomes?</w:t>
            </w:r>
          </w:p>
        </w:tc>
        <w:tc>
          <w:tcPr>
            <w:tcW w:w="1122" w:type="dxa"/>
            <w:shd w:val="clear" w:color="auto" w:fill="EAF1F7"/>
            <w:tcMar>
              <w:top w:w="22" w:type="dxa"/>
              <w:left w:w="24" w:type="dxa"/>
              <w:bottom w:w="22" w:type="dxa"/>
              <w:right w:w="24" w:type="dxa"/>
            </w:tcMar>
          </w:tcPr>
          <w:p w14:paraId="60165E26" w14:textId="77777777" w:rsidR="004D7A10" w:rsidRPr="007E140B" w:rsidRDefault="004D7A10" w:rsidP="0026770E">
            <w:pPr>
              <w:spacing w:after="0" w:line="240" w:lineRule="auto"/>
              <w:rPr>
                <w:rFonts w:cs="Arial"/>
                <w:color w:val="auto"/>
              </w:rPr>
            </w:pPr>
            <w:r w:rsidRPr="007E140B">
              <w:rPr>
                <w:rFonts w:cs="Arial"/>
                <w:color w:val="auto"/>
                <w:sz w:val="15"/>
              </w:rPr>
              <w:t>Panel study of 1,720 listed firms from 39 countries, 2013–2021 (14,043 firm-year observations). Bloomberg financial data and Refinitiv ESG scores are analysed using fixed-effects panel regressions and diagnostic tests.</w:t>
            </w:r>
          </w:p>
        </w:tc>
        <w:tc>
          <w:tcPr>
            <w:tcW w:w="1556" w:type="dxa"/>
            <w:shd w:val="clear" w:color="auto" w:fill="EAF1F7"/>
            <w:tcMar>
              <w:top w:w="22" w:type="dxa"/>
              <w:left w:w="24" w:type="dxa"/>
              <w:bottom w:w="22" w:type="dxa"/>
              <w:right w:w="24" w:type="dxa"/>
            </w:tcMar>
          </w:tcPr>
          <w:p w14:paraId="5526C07B" w14:textId="77777777" w:rsidR="004D7A10" w:rsidRPr="007E140B" w:rsidRDefault="004D7A10" w:rsidP="0026770E">
            <w:pPr>
              <w:spacing w:after="0" w:line="240" w:lineRule="auto"/>
              <w:rPr>
                <w:rFonts w:cs="Arial"/>
                <w:color w:val="auto"/>
              </w:rPr>
            </w:pPr>
            <w:r w:rsidRPr="007E140B">
              <w:rPr>
                <w:rFonts w:cs="Arial"/>
                <w:color w:val="auto"/>
                <w:sz w:val="15"/>
              </w:rPr>
              <w:t>Combined ESG is positively associated with firm value and profitability. Social and governance scores are positively related to firm value, while environmental score is not significant for value; all three pillars are positively related to profitability.</w:t>
            </w:r>
          </w:p>
        </w:tc>
        <w:tc>
          <w:tcPr>
            <w:tcW w:w="1665" w:type="dxa"/>
            <w:shd w:val="clear" w:color="auto" w:fill="EAF1F7"/>
            <w:tcMar>
              <w:top w:w="22" w:type="dxa"/>
              <w:left w:w="24" w:type="dxa"/>
              <w:bottom w:w="22" w:type="dxa"/>
              <w:right w:w="24" w:type="dxa"/>
            </w:tcMar>
          </w:tcPr>
          <w:p w14:paraId="4AB2FF02" w14:textId="77777777" w:rsidR="004D7A10" w:rsidRPr="007E140B" w:rsidRDefault="004D7A10" w:rsidP="0026770E">
            <w:pPr>
              <w:spacing w:after="0" w:line="240" w:lineRule="auto"/>
              <w:rPr>
                <w:rFonts w:cs="Arial"/>
                <w:color w:val="auto"/>
              </w:rPr>
            </w:pPr>
            <w:r w:rsidRPr="007E140B">
              <w:rPr>
                <w:rFonts w:cs="Arial"/>
                <w:color w:val="auto"/>
                <w:sz w:val="15"/>
              </w:rPr>
              <w:t>Using a large international panel, the study finds generally positive associations between ESG performance and financial outcomes, while showing that individual ESG pillars can behave differently depending on the financial measure.</w:t>
            </w:r>
          </w:p>
        </w:tc>
        <w:tc>
          <w:tcPr>
            <w:tcW w:w="1303" w:type="dxa"/>
            <w:shd w:val="clear" w:color="auto" w:fill="EAF1F7"/>
            <w:tcMar>
              <w:top w:w="22" w:type="dxa"/>
              <w:left w:w="24" w:type="dxa"/>
              <w:bottom w:w="22" w:type="dxa"/>
              <w:right w:w="24" w:type="dxa"/>
            </w:tcMar>
          </w:tcPr>
          <w:p w14:paraId="4FEDBEC6" w14:textId="77777777" w:rsidR="004D7A10" w:rsidRPr="007E140B" w:rsidRDefault="004D7A10" w:rsidP="0026770E">
            <w:pPr>
              <w:spacing w:after="0" w:line="240" w:lineRule="auto"/>
              <w:rPr>
                <w:rFonts w:cs="Arial"/>
                <w:color w:val="auto"/>
              </w:rPr>
            </w:pPr>
            <w:r w:rsidRPr="007E140B">
              <w:rPr>
                <w:rFonts w:cs="Arial"/>
                <w:color w:val="auto"/>
                <w:sz w:val="15"/>
              </w:rPr>
              <w:t>Useful broad empirical support for an ESG–financial-performance association, but the dissertation appropriately rejects a universal causal rule because cross-country panel associations remain vulnerable to endogeneity, sector effects and reverse causality.</w:t>
            </w:r>
          </w:p>
        </w:tc>
        <w:tc>
          <w:tcPr>
            <w:tcW w:w="1230" w:type="dxa"/>
            <w:shd w:val="clear" w:color="auto" w:fill="EAF1F7"/>
            <w:tcMar>
              <w:top w:w="22" w:type="dxa"/>
              <w:left w:w="24" w:type="dxa"/>
              <w:bottom w:w="22" w:type="dxa"/>
              <w:right w:w="24" w:type="dxa"/>
            </w:tcMar>
          </w:tcPr>
          <w:p w14:paraId="6EBCA3F8" w14:textId="77777777" w:rsidR="004D7A10" w:rsidRPr="007E140B" w:rsidRDefault="00867805" w:rsidP="0026770E">
            <w:pPr>
              <w:spacing w:after="0" w:line="240" w:lineRule="auto"/>
              <w:rPr>
                <w:rFonts w:cs="Arial"/>
                <w:color w:val="auto"/>
              </w:rPr>
            </w:pPr>
            <w:hyperlink r:id="rId58">
              <w:r w:rsidR="004D7A10" w:rsidRPr="007E140B">
                <w:rPr>
                  <w:rFonts w:cs="Arial"/>
                  <w:color w:val="auto"/>
                  <w:sz w:val="13"/>
                  <w:szCs w:val="13"/>
                </w:rPr>
                <w:t>https://doi.org/10.1016/j.bir.2022.11.006</w:t>
              </w:r>
            </w:hyperlink>
          </w:p>
        </w:tc>
      </w:tr>
      <w:tr w:rsidR="007E140B" w:rsidRPr="007E140B" w14:paraId="68688EDD" w14:textId="77777777" w:rsidTr="0026770E">
        <w:trPr>
          <w:cantSplit/>
          <w:jc w:val="center"/>
        </w:trPr>
        <w:tc>
          <w:tcPr>
            <w:tcW w:w="504" w:type="dxa"/>
            <w:shd w:val="clear" w:color="auto" w:fill="F7FAFC"/>
            <w:tcMar>
              <w:top w:w="22" w:type="dxa"/>
              <w:left w:w="24" w:type="dxa"/>
              <w:bottom w:w="22" w:type="dxa"/>
              <w:right w:w="24" w:type="dxa"/>
            </w:tcMar>
            <w:vAlign w:val="center"/>
          </w:tcPr>
          <w:p w14:paraId="3EE1564F" w14:textId="77777777" w:rsidR="004D7A10" w:rsidRPr="007E140B" w:rsidRDefault="004D7A10" w:rsidP="0026770E">
            <w:pPr>
              <w:spacing w:after="0" w:line="240" w:lineRule="auto"/>
              <w:jc w:val="center"/>
              <w:rPr>
                <w:rFonts w:cs="Arial"/>
                <w:color w:val="auto"/>
              </w:rPr>
            </w:pPr>
            <w:r w:rsidRPr="007E140B">
              <w:rPr>
                <w:rFonts w:cs="Arial"/>
                <w:b/>
                <w:color w:val="auto"/>
                <w:sz w:val="15"/>
              </w:rPr>
              <w:lastRenderedPageBreak/>
              <w:t>3</w:t>
            </w:r>
          </w:p>
        </w:tc>
        <w:tc>
          <w:tcPr>
            <w:tcW w:w="1447" w:type="dxa"/>
            <w:shd w:val="clear" w:color="auto" w:fill="F7FAFC"/>
            <w:tcMar>
              <w:top w:w="22" w:type="dxa"/>
              <w:left w:w="24" w:type="dxa"/>
              <w:bottom w:w="22" w:type="dxa"/>
              <w:right w:w="24" w:type="dxa"/>
            </w:tcMar>
          </w:tcPr>
          <w:p w14:paraId="65B8EFCF" w14:textId="77777777" w:rsidR="004D7A10" w:rsidRPr="007E140B" w:rsidRDefault="004D7A10" w:rsidP="0026770E">
            <w:pPr>
              <w:spacing w:after="0" w:line="240" w:lineRule="auto"/>
              <w:rPr>
                <w:rFonts w:cs="Arial"/>
                <w:color w:val="auto"/>
              </w:rPr>
            </w:pPr>
            <w:r w:rsidRPr="007E140B">
              <w:rPr>
                <w:rFonts w:cs="Arial"/>
                <w:b/>
                <w:color w:val="auto"/>
                <w:sz w:val="15"/>
              </w:rPr>
              <w:t>Firm Resources and Sustained Competitive Advantage</w:t>
            </w:r>
          </w:p>
        </w:tc>
        <w:tc>
          <w:tcPr>
            <w:tcW w:w="1049" w:type="dxa"/>
            <w:shd w:val="clear" w:color="auto" w:fill="F7FAFC"/>
            <w:tcMar>
              <w:top w:w="22" w:type="dxa"/>
              <w:left w:w="24" w:type="dxa"/>
              <w:bottom w:w="22" w:type="dxa"/>
              <w:right w:w="24" w:type="dxa"/>
            </w:tcMar>
          </w:tcPr>
          <w:p w14:paraId="02D4D39C" w14:textId="77777777" w:rsidR="004D7A10" w:rsidRPr="007E140B" w:rsidRDefault="004D7A10" w:rsidP="0026770E">
            <w:pPr>
              <w:spacing w:after="0" w:line="240" w:lineRule="auto"/>
              <w:rPr>
                <w:rFonts w:cs="Arial"/>
                <w:color w:val="auto"/>
              </w:rPr>
            </w:pPr>
            <w:r w:rsidRPr="007E140B">
              <w:rPr>
                <w:rFonts w:cs="Arial"/>
                <w:color w:val="auto"/>
                <w:sz w:val="15"/>
              </w:rPr>
              <w:t>Journal of Management</w:t>
            </w:r>
          </w:p>
        </w:tc>
        <w:tc>
          <w:tcPr>
            <w:tcW w:w="905" w:type="dxa"/>
            <w:shd w:val="clear" w:color="auto" w:fill="F7FAFC"/>
            <w:tcMar>
              <w:top w:w="22" w:type="dxa"/>
              <w:left w:w="24" w:type="dxa"/>
              <w:bottom w:w="22" w:type="dxa"/>
              <w:right w:w="24" w:type="dxa"/>
            </w:tcMar>
          </w:tcPr>
          <w:p w14:paraId="39C6C15E" w14:textId="77777777" w:rsidR="004D7A10" w:rsidRPr="007E140B" w:rsidRDefault="004D7A10" w:rsidP="0026770E">
            <w:pPr>
              <w:spacing w:after="0" w:line="240" w:lineRule="auto"/>
              <w:rPr>
                <w:rFonts w:cs="Arial"/>
                <w:color w:val="auto"/>
              </w:rPr>
            </w:pPr>
            <w:r w:rsidRPr="007E140B">
              <w:rPr>
                <w:rFonts w:cs="Arial"/>
                <w:color w:val="auto"/>
                <w:sz w:val="15"/>
              </w:rPr>
              <w:t>Barney, J.</w:t>
            </w:r>
          </w:p>
        </w:tc>
        <w:tc>
          <w:tcPr>
            <w:tcW w:w="648" w:type="dxa"/>
            <w:shd w:val="clear" w:color="auto" w:fill="F7FAFC"/>
            <w:tcMar>
              <w:top w:w="22" w:type="dxa"/>
              <w:left w:w="24" w:type="dxa"/>
              <w:bottom w:w="22" w:type="dxa"/>
              <w:right w:w="24" w:type="dxa"/>
            </w:tcMar>
            <w:vAlign w:val="center"/>
          </w:tcPr>
          <w:p w14:paraId="18F507BF" w14:textId="77777777" w:rsidR="004D7A10" w:rsidRPr="007E140B" w:rsidRDefault="004D7A10" w:rsidP="0026770E">
            <w:pPr>
              <w:spacing w:after="0" w:line="240" w:lineRule="auto"/>
              <w:jc w:val="center"/>
              <w:rPr>
                <w:rFonts w:cs="Arial"/>
                <w:color w:val="auto"/>
              </w:rPr>
            </w:pPr>
            <w:r w:rsidRPr="007E140B">
              <w:rPr>
                <w:rFonts w:cs="Arial"/>
                <w:b/>
                <w:color w:val="auto"/>
                <w:sz w:val="15"/>
              </w:rPr>
              <w:t>1991</w:t>
            </w:r>
          </w:p>
        </w:tc>
        <w:tc>
          <w:tcPr>
            <w:tcW w:w="1230" w:type="dxa"/>
            <w:shd w:val="clear" w:color="auto" w:fill="F7FAFC"/>
            <w:tcMar>
              <w:top w:w="22" w:type="dxa"/>
              <w:left w:w="24" w:type="dxa"/>
              <w:bottom w:w="22" w:type="dxa"/>
              <w:right w:w="24" w:type="dxa"/>
            </w:tcMar>
          </w:tcPr>
          <w:p w14:paraId="0B36F7A4" w14:textId="77777777" w:rsidR="004D7A10" w:rsidRPr="007E140B" w:rsidRDefault="004D7A10" w:rsidP="0026770E">
            <w:pPr>
              <w:spacing w:after="0" w:line="240" w:lineRule="auto"/>
              <w:rPr>
                <w:rFonts w:cs="Arial"/>
                <w:color w:val="auto"/>
              </w:rPr>
            </w:pPr>
            <w:r w:rsidRPr="007E140B">
              <w:rPr>
                <w:rFonts w:cs="Arial"/>
                <w:color w:val="auto"/>
                <w:sz w:val="15"/>
              </w:rPr>
              <w:t>To explain the conditions under which firm resources can become sources of sustained competitive advantage.</w:t>
            </w:r>
          </w:p>
        </w:tc>
        <w:tc>
          <w:tcPr>
            <w:tcW w:w="1375" w:type="dxa"/>
            <w:shd w:val="clear" w:color="auto" w:fill="F7FAFC"/>
            <w:tcMar>
              <w:top w:w="22" w:type="dxa"/>
              <w:left w:w="24" w:type="dxa"/>
              <w:bottom w:w="22" w:type="dxa"/>
              <w:right w:w="24" w:type="dxa"/>
            </w:tcMar>
          </w:tcPr>
          <w:p w14:paraId="56C70C78" w14:textId="77777777" w:rsidR="004D7A10" w:rsidRPr="007E140B" w:rsidRDefault="004D7A10" w:rsidP="0026770E">
            <w:pPr>
              <w:spacing w:after="0" w:line="240" w:lineRule="auto"/>
              <w:rPr>
                <w:rFonts w:cs="Arial"/>
                <w:color w:val="auto"/>
              </w:rPr>
            </w:pPr>
            <w:r w:rsidRPr="007E140B">
              <w:rPr>
                <w:rFonts w:cs="Arial"/>
                <w:color w:val="auto"/>
                <w:sz w:val="15"/>
              </w:rPr>
              <w:t>Develop a resource-based framework connecting resource heterogeneity and immobility with value, rarity, imperfect imitability and the absence of strategically equivalent substitutes.</w:t>
            </w:r>
          </w:p>
        </w:tc>
        <w:tc>
          <w:tcPr>
            <w:tcW w:w="1086" w:type="dxa"/>
            <w:shd w:val="clear" w:color="auto" w:fill="F7FAFC"/>
            <w:tcMar>
              <w:top w:w="22" w:type="dxa"/>
              <w:left w:w="24" w:type="dxa"/>
              <w:bottom w:w="22" w:type="dxa"/>
              <w:right w:w="24" w:type="dxa"/>
            </w:tcMar>
          </w:tcPr>
          <w:p w14:paraId="2D3632C8" w14:textId="77777777" w:rsidR="004D7A10" w:rsidRPr="007E140B" w:rsidRDefault="004D7A10" w:rsidP="0026770E">
            <w:pPr>
              <w:spacing w:after="0" w:line="240" w:lineRule="auto"/>
              <w:rPr>
                <w:rFonts w:cs="Arial"/>
                <w:color w:val="auto"/>
              </w:rPr>
            </w:pPr>
            <w:r w:rsidRPr="007E140B">
              <w:rPr>
                <w:rFonts w:cs="Arial"/>
                <w:color w:val="auto"/>
                <w:sz w:val="15"/>
              </w:rPr>
              <w:t>Under what resource conditions can a firm obtain and sustain an advantage that competitors cannot readily duplicate or substitute?</w:t>
            </w:r>
          </w:p>
        </w:tc>
        <w:tc>
          <w:tcPr>
            <w:tcW w:w="1122" w:type="dxa"/>
            <w:shd w:val="clear" w:color="auto" w:fill="F7FAFC"/>
            <w:tcMar>
              <w:top w:w="22" w:type="dxa"/>
              <w:left w:w="24" w:type="dxa"/>
              <w:bottom w:w="22" w:type="dxa"/>
              <w:right w:w="24" w:type="dxa"/>
            </w:tcMar>
          </w:tcPr>
          <w:p w14:paraId="1346FEAC" w14:textId="77777777" w:rsidR="004D7A10" w:rsidRPr="007E140B" w:rsidRDefault="004D7A10" w:rsidP="0026770E">
            <w:pPr>
              <w:spacing w:after="0" w:line="240" w:lineRule="auto"/>
              <w:rPr>
                <w:rFonts w:cs="Arial"/>
                <w:color w:val="auto"/>
              </w:rPr>
            </w:pPr>
            <w:r w:rsidRPr="007E140B">
              <w:rPr>
                <w:rFonts w:cs="Arial"/>
                <w:color w:val="auto"/>
                <w:sz w:val="15"/>
              </w:rPr>
              <w:t>Conceptual/theoretical article synthesising strategy and economics literature; no empirical sample.</w:t>
            </w:r>
          </w:p>
        </w:tc>
        <w:tc>
          <w:tcPr>
            <w:tcW w:w="1556" w:type="dxa"/>
            <w:shd w:val="clear" w:color="auto" w:fill="F7FAFC"/>
            <w:tcMar>
              <w:top w:w="22" w:type="dxa"/>
              <w:left w:w="24" w:type="dxa"/>
              <w:bottom w:w="22" w:type="dxa"/>
              <w:right w:w="24" w:type="dxa"/>
            </w:tcMar>
          </w:tcPr>
          <w:p w14:paraId="25A4C20F" w14:textId="77777777" w:rsidR="004D7A10" w:rsidRPr="007E140B" w:rsidRDefault="004D7A10" w:rsidP="0026770E">
            <w:pPr>
              <w:spacing w:after="0" w:line="240" w:lineRule="auto"/>
              <w:rPr>
                <w:rFonts w:cs="Arial"/>
                <w:color w:val="auto"/>
              </w:rPr>
            </w:pPr>
            <w:r w:rsidRPr="007E140B">
              <w:rPr>
                <w:rFonts w:cs="Arial"/>
                <w:color w:val="auto"/>
                <w:sz w:val="15"/>
              </w:rPr>
              <w:t>Sustained advantage depends on resources that are valuable, rare, imperfectly imitable and not strategically substitutable. History, causal ambiguity and social complexity can protect resources from imitation.</w:t>
            </w:r>
          </w:p>
        </w:tc>
        <w:tc>
          <w:tcPr>
            <w:tcW w:w="1665" w:type="dxa"/>
            <w:shd w:val="clear" w:color="auto" w:fill="F7FAFC"/>
            <w:tcMar>
              <w:top w:w="22" w:type="dxa"/>
              <w:left w:w="24" w:type="dxa"/>
              <w:bottom w:w="22" w:type="dxa"/>
              <w:right w:w="24" w:type="dxa"/>
            </w:tcMar>
          </w:tcPr>
          <w:p w14:paraId="3CB58E6B" w14:textId="77777777" w:rsidR="004D7A10" w:rsidRPr="007E140B" w:rsidRDefault="004D7A10" w:rsidP="0026770E">
            <w:pPr>
              <w:spacing w:after="0" w:line="240" w:lineRule="auto"/>
              <w:rPr>
                <w:rFonts w:cs="Arial"/>
                <w:color w:val="auto"/>
              </w:rPr>
            </w:pPr>
            <w:r w:rsidRPr="007E140B">
              <w:rPr>
                <w:rFonts w:cs="Arial"/>
                <w:color w:val="auto"/>
                <w:sz w:val="15"/>
              </w:rPr>
              <w:t>The article establishes the classic resource-based view of the firm and shifts attention from industry position alone to firm-specific resources and capabilities as the basis of durable competitive advantage.</w:t>
            </w:r>
          </w:p>
        </w:tc>
        <w:tc>
          <w:tcPr>
            <w:tcW w:w="1303" w:type="dxa"/>
            <w:shd w:val="clear" w:color="auto" w:fill="F7FAFC"/>
            <w:tcMar>
              <w:top w:w="22" w:type="dxa"/>
              <w:left w:w="24" w:type="dxa"/>
              <w:bottom w:w="22" w:type="dxa"/>
              <w:right w:w="24" w:type="dxa"/>
            </w:tcMar>
          </w:tcPr>
          <w:p w14:paraId="1C2577F7" w14:textId="77777777" w:rsidR="004D7A10" w:rsidRPr="007E140B" w:rsidRDefault="004D7A10" w:rsidP="0026770E">
            <w:pPr>
              <w:spacing w:after="0" w:line="240" w:lineRule="auto"/>
              <w:rPr>
                <w:rFonts w:cs="Arial"/>
                <w:color w:val="auto"/>
              </w:rPr>
            </w:pPr>
            <w:r w:rsidRPr="007E140B">
              <w:rPr>
                <w:rFonts w:cs="Arial"/>
                <w:color w:val="auto"/>
                <w:sz w:val="15"/>
              </w:rPr>
              <w:t>A core theoretical foundation for the dissertation. It justifies distinguishing copyable ESG targets/labels from harder-to-imitate supplier relationships, design knowledge, routines, data systems and cross-functional capabilities.</w:t>
            </w:r>
          </w:p>
        </w:tc>
        <w:tc>
          <w:tcPr>
            <w:tcW w:w="1230" w:type="dxa"/>
            <w:shd w:val="clear" w:color="auto" w:fill="F7FAFC"/>
            <w:tcMar>
              <w:top w:w="22" w:type="dxa"/>
              <w:left w:w="24" w:type="dxa"/>
              <w:bottom w:w="22" w:type="dxa"/>
              <w:right w:w="24" w:type="dxa"/>
            </w:tcMar>
          </w:tcPr>
          <w:p w14:paraId="6477F115" w14:textId="77777777" w:rsidR="004D7A10" w:rsidRPr="007E140B" w:rsidRDefault="00867805" w:rsidP="0026770E">
            <w:pPr>
              <w:spacing w:after="0" w:line="240" w:lineRule="auto"/>
              <w:rPr>
                <w:rFonts w:cs="Arial"/>
                <w:color w:val="auto"/>
              </w:rPr>
            </w:pPr>
            <w:hyperlink r:id="rId59">
              <w:r w:rsidR="004D7A10" w:rsidRPr="007E140B">
                <w:rPr>
                  <w:rFonts w:cs="Arial"/>
                  <w:color w:val="auto"/>
                  <w:sz w:val="13"/>
                  <w:szCs w:val="13"/>
                </w:rPr>
                <w:t>https://doi.org/10.1177/014920639101700108</w:t>
              </w:r>
            </w:hyperlink>
          </w:p>
        </w:tc>
      </w:tr>
      <w:tr w:rsidR="007E140B" w:rsidRPr="007E140B" w14:paraId="33EE1167" w14:textId="77777777" w:rsidTr="0026770E">
        <w:trPr>
          <w:cantSplit/>
          <w:jc w:val="center"/>
        </w:trPr>
        <w:tc>
          <w:tcPr>
            <w:tcW w:w="504" w:type="dxa"/>
            <w:shd w:val="clear" w:color="auto" w:fill="EAF1F7"/>
            <w:tcMar>
              <w:top w:w="22" w:type="dxa"/>
              <w:left w:w="24" w:type="dxa"/>
              <w:bottom w:w="22" w:type="dxa"/>
              <w:right w:w="24" w:type="dxa"/>
            </w:tcMar>
            <w:vAlign w:val="center"/>
          </w:tcPr>
          <w:p w14:paraId="0E3DA521" w14:textId="77777777" w:rsidR="004D7A10" w:rsidRPr="007E140B" w:rsidRDefault="004D7A10" w:rsidP="0026770E">
            <w:pPr>
              <w:spacing w:after="0" w:line="240" w:lineRule="auto"/>
              <w:jc w:val="center"/>
              <w:rPr>
                <w:rFonts w:cs="Arial"/>
                <w:color w:val="auto"/>
              </w:rPr>
            </w:pPr>
            <w:r w:rsidRPr="007E140B">
              <w:rPr>
                <w:rFonts w:cs="Arial"/>
                <w:b/>
                <w:color w:val="auto"/>
                <w:sz w:val="15"/>
              </w:rPr>
              <w:t>4</w:t>
            </w:r>
          </w:p>
        </w:tc>
        <w:tc>
          <w:tcPr>
            <w:tcW w:w="1447" w:type="dxa"/>
            <w:shd w:val="clear" w:color="auto" w:fill="EAF1F7"/>
            <w:tcMar>
              <w:top w:w="22" w:type="dxa"/>
              <w:left w:w="24" w:type="dxa"/>
              <w:bottom w:w="22" w:type="dxa"/>
              <w:right w:w="24" w:type="dxa"/>
            </w:tcMar>
          </w:tcPr>
          <w:p w14:paraId="6DF4AB97" w14:textId="77777777" w:rsidR="004D7A10" w:rsidRPr="007E140B" w:rsidRDefault="004D7A10" w:rsidP="0026770E">
            <w:pPr>
              <w:spacing w:after="0" w:line="240" w:lineRule="auto"/>
              <w:rPr>
                <w:rFonts w:cs="Arial"/>
                <w:color w:val="auto"/>
              </w:rPr>
            </w:pPr>
            <w:r w:rsidRPr="007E140B">
              <w:rPr>
                <w:rFonts w:cs="Arial"/>
                <w:b/>
                <w:color w:val="auto"/>
                <w:sz w:val="15"/>
              </w:rPr>
              <w:t>Aggregate Confusion: The Divergence of ESG Ratings</w:t>
            </w:r>
          </w:p>
        </w:tc>
        <w:tc>
          <w:tcPr>
            <w:tcW w:w="1049" w:type="dxa"/>
            <w:shd w:val="clear" w:color="auto" w:fill="EAF1F7"/>
            <w:tcMar>
              <w:top w:w="22" w:type="dxa"/>
              <w:left w:w="24" w:type="dxa"/>
              <w:bottom w:w="22" w:type="dxa"/>
              <w:right w:w="24" w:type="dxa"/>
            </w:tcMar>
          </w:tcPr>
          <w:p w14:paraId="5E67C06E" w14:textId="77777777" w:rsidR="004D7A10" w:rsidRPr="007E140B" w:rsidRDefault="004D7A10" w:rsidP="0026770E">
            <w:pPr>
              <w:spacing w:after="0" w:line="240" w:lineRule="auto"/>
              <w:rPr>
                <w:rFonts w:cs="Arial"/>
                <w:color w:val="auto"/>
              </w:rPr>
            </w:pPr>
            <w:r w:rsidRPr="007E140B">
              <w:rPr>
                <w:rFonts w:cs="Arial"/>
                <w:color w:val="auto"/>
                <w:sz w:val="15"/>
              </w:rPr>
              <w:t>Review of Finance</w:t>
            </w:r>
          </w:p>
        </w:tc>
        <w:tc>
          <w:tcPr>
            <w:tcW w:w="905" w:type="dxa"/>
            <w:shd w:val="clear" w:color="auto" w:fill="EAF1F7"/>
            <w:tcMar>
              <w:top w:w="22" w:type="dxa"/>
              <w:left w:w="24" w:type="dxa"/>
              <w:bottom w:w="22" w:type="dxa"/>
              <w:right w:w="24" w:type="dxa"/>
            </w:tcMar>
          </w:tcPr>
          <w:p w14:paraId="4D4E3079" w14:textId="77777777" w:rsidR="004D7A10" w:rsidRPr="007E140B" w:rsidRDefault="004D7A10" w:rsidP="0026770E">
            <w:pPr>
              <w:spacing w:after="0" w:line="240" w:lineRule="auto"/>
              <w:rPr>
                <w:rFonts w:cs="Arial"/>
                <w:color w:val="auto"/>
              </w:rPr>
            </w:pPr>
            <w:r w:rsidRPr="007E140B">
              <w:rPr>
                <w:rFonts w:cs="Arial"/>
                <w:color w:val="auto"/>
                <w:sz w:val="15"/>
              </w:rPr>
              <w:t>Berg, F.; Kölbel, J.F.; Rigobon, R.</w:t>
            </w:r>
          </w:p>
        </w:tc>
        <w:tc>
          <w:tcPr>
            <w:tcW w:w="648" w:type="dxa"/>
            <w:shd w:val="clear" w:color="auto" w:fill="EAF1F7"/>
            <w:tcMar>
              <w:top w:w="22" w:type="dxa"/>
              <w:left w:w="24" w:type="dxa"/>
              <w:bottom w:w="22" w:type="dxa"/>
              <w:right w:w="24" w:type="dxa"/>
            </w:tcMar>
            <w:vAlign w:val="center"/>
          </w:tcPr>
          <w:p w14:paraId="4BA67D1B" w14:textId="77777777" w:rsidR="004D7A10" w:rsidRPr="007E140B" w:rsidRDefault="004D7A10" w:rsidP="0026770E">
            <w:pPr>
              <w:spacing w:after="0" w:line="240" w:lineRule="auto"/>
              <w:jc w:val="center"/>
              <w:rPr>
                <w:rFonts w:cs="Arial"/>
                <w:color w:val="auto"/>
              </w:rPr>
            </w:pPr>
            <w:r w:rsidRPr="007E140B">
              <w:rPr>
                <w:rFonts w:cs="Arial"/>
                <w:b/>
                <w:color w:val="auto"/>
                <w:sz w:val="15"/>
              </w:rPr>
              <w:t>2022</w:t>
            </w:r>
          </w:p>
        </w:tc>
        <w:tc>
          <w:tcPr>
            <w:tcW w:w="1230" w:type="dxa"/>
            <w:shd w:val="clear" w:color="auto" w:fill="EAF1F7"/>
            <w:tcMar>
              <w:top w:w="22" w:type="dxa"/>
              <w:left w:w="24" w:type="dxa"/>
              <w:bottom w:w="22" w:type="dxa"/>
              <w:right w:w="24" w:type="dxa"/>
            </w:tcMar>
          </w:tcPr>
          <w:p w14:paraId="4D1A44E8" w14:textId="77777777" w:rsidR="004D7A10" w:rsidRPr="007E140B" w:rsidRDefault="004D7A10" w:rsidP="0026770E">
            <w:pPr>
              <w:spacing w:after="0" w:line="240" w:lineRule="auto"/>
              <w:rPr>
                <w:rFonts w:cs="Arial"/>
                <w:color w:val="auto"/>
              </w:rPr>
            </w:pPr>
            <w:r w:rsidRPr="007E140B">
              <w:rPr>
                <w:rFonts w:cs="Arial"/>
                <w:color w:val="auto"/>
                <w:sz w:val="15"/>
              </w:rPr>
              <w:t>To explain why major ESG rating providers assign substantially different ratings to the same firms.</w:t>
            </w:r>
          </w:p>
        </w:tc>
        <w:tc>
          <w:tcPr>
            <w:tcW w:w="1375" w:type="dxa"/>
            <w:shd w:val="clear" w:color="auto" w:fill="EAF1F7"/>
            <w:tcMar>
              <w:top w:w="22" w:type="dxa"/>
              <w:left w:w="24" w:type="dxa"/>
              <w:bottom w:w="22" w:type="dxa"/>
              <w:right w:w="24" w:type="dxa"/>
            </w:tcMar>
          </w:tcPr>
          <w:p w14:paraId="03D258CB" w14:textId="77777777" w:rsidR="004D7A10" w:rsidRPr="007E140B" w:rsidRDefault="004D7A10" w:rsidP="0026770E">
            <w:pPr>
              <w:spacing w:after="0" w:line="240" w:lineRule="auto"/>
              <w:rPr>
                <w:rFonts w:cs="Arial"/>
                <w:color w:val="auto"/>
              </w:rPr>
            </w:pPr>
            <w:r w:rsidRPr="007E140B">
              <w:rPr>
                <w:rFonts w:cs="Arial"/>
                <w:color w:val="auto"/>
                <w:sz w:val="15"/>
              </w:rPr>
              <w:t>Create a common taxonomy for provider indicators; decompose rating divergence into scope, measurement and weighting components; investigate systematic rater effects.</w:t>
            </w:r>
          </w:p>
        </w:tc>
        <w:tc>
          <w:tcPr>
            <w:tcW w:w="1086" w:type="dxa"/>
            <w:shd w:val="clear" w:color="auto" w:fill="EAF1F7"/>
            <w:tcMar>
              <w:top w:w="22" w:type="dxa"/>
              <w:left w:w="24" w:type="dxa"/>
              <w:bottom w:w="22" w:type="dxa"/>
              <w:right w:w="24" w:type="dxa"/>
            </w:tcMar>
          </w:tcPr>
          <w:p w14:paraId="37A5156D" w14:textId="77777777" w:rsidR="004D7A10" w:rsidRPr="007E140B" w:rsidRDefault="004D7A10" w:rsidP="0026770E">
            <w:pPr>
              <w:spacing w:after="0" w:line="240" w:lineRule="auto"/>
              <w:rPr>
                <w:rFonts w:cs="Arial"/>
                <w:color w:val="auto"/>
              </w:rPr>
            </w:pPr>
            <w:r w:rsidRPr="007E140B">
              <w:rPr>
                <w:rFonts w:cs="Arial"/>
                <w:color w:val="auto"/>
                <w:sz w:val="15"/>
              </w:rPr>
              <w:t>How much ESG-rating disagreement is caused by differences in scope, measurement and weights, and do raters display systematic measurement effects?</w:t>
            </w:r>
          </w:p>
        </w:tc>
        <w:tc>
          <w:tcPr>
            <w:tcW w:w="1122" w:type="dxa"/>
            <w:shd w:val="clear" w:color="auto" w:fill="EAF1F7"/>
            <w:tcMar>
              <w:top w:w="22" w:type="dxa"/>
              <w:left w:w="24" w:type="dxa"/>
              <w:bottom w:w="22" w:type="dxa"/>
              <w:right w:w="24" w:type="dxa"/>
            </w:tcMar>
          </w:tcPr>
          <w:p w14:paraId="5333BA7B" w14:textId="77777777" w:rsidR="004D7A10" w:rsidRPr="007E140B" w:rsidRDefault="004D7A10" w:rsidP="0026770E">
            <w:pPr>
              <w:spacing w:after="0" w:line="240" w:lineRule="auto"/>
              <w:rPr>
                <w:rFonts w:cs="Arial"/>
                <w:color w:val="auto"/>
              </w:rPr>
            </w:pPr>
            <w:r w:rsidRPr="007E140B">
              <w:rPr>
                <w:rFonts w:cs="Arial"/>
                <w:color w:val="auto"/>
                <w:sz w:val="15"/>
              </w:rPr>
              <w:t>Comparative quantitative analysis of six ESG rating providers. The authors map 709 indicators into a common 64-category taxonomy and statistically decompose pairwise rating divergence.</w:t>
            </w:r>
          </w:p>
        </w:tc>
        <w:tc>
          <w:tcPr>
            <w:tcW w:w="1556" w:type="dxa"/>
            <w:shd w:val="clear" w:color="auto" w:fill="EAF1F7"/>
            <w:tcMar>
              <w:top w:w="22" w:type="dxa"/>
              <w:left w:w="24" w:type="dxa"/>
              <w:bottom w:w="22" w:type="dxa"/>
              <w:right w:w="24" w:type="dxa"/>
            </w:tcMar>
          </w:tcPr>
          <w:p w14:paraId="0285F042" w14:textId="77777777" w:rsidR="004D7A10" w:rsidRPr="007E140B" w:rsidRDefault="004D7A10" w:rsidP="0026770E">
            <w:pPr>
              <w:spacing w:after="0" w:line="240" w:lineRule="auto"/>
              <w:rPr>
                <w:rFonts w:cs="Arial"/>
                <w:color w:val="auto"/>
              </w:rPr>
            </w:pPr>
            <w:r w:rsidRPr="007E140B">
              <w:rPr>
                <w:rFonts w:cs="Arial"/>
                <w:color w:val="auto"/>
                <w:sz w:val="15"/>
              </w:rPr>
              <w:t>Measurement differences explain about 56% of divergence, scope about 38% and weights about 6%. A substantial “rater/halo effect” also influences category scores.</w:t>
            </w:r>
          </w:p>
        </w:tc>
        <w:tc>
          <w:tcPr>
            <w:tcW w:w="1665" w:type="dxa"/>
            <w:shd w:val="clear" w:color="auto" w:fill="EAF1F7"/>
            <w:tcMar>
              <w:top w:w="22" w:type="dxa"/>
              <w:left w:w="24" w:type="dxa"/>
              <w:bottom w:w="22" w:type="dxa"/>
              <w:right w:w="24" w:type="dxa"/>
            </w:tcMar>
          </w:tcPr>
          <w:p w14:paraId="675EB2D8" w14:textId="77777777" w:rsidR="004D7A10" w:rsidRPr="007E140B" w:rsidRDefault="004D7A10" w:rsidP="0026770E">
            <w:pPr>
              <w:spacing w:after="0" w:line="240" w:lineRule="auto"/>
              <w:rPr>
                <w:rFonts w:cs="Arial"/>
                <w:color w:val="auto"/>
              </w:rPr>
            </w:pPr>
            <w:r w:rsidRPr="007E140B">
              <w:rPr>
                <w:rFonts w:cs="Arial"/>
                <w:color w:val="auto"/>
                <w:sz w:val="15"/>
              </w:rPr>
              <w:t>The study demonstrates that an ESG score is partly a product of provider choices about what to measure and how to measure it. Different ratings therefore need not represent the same underlying construct.</w:t>
            </w:r>
          </w:p>
        </w:tc>
        <w:tc>
          <w:tcPr>
            <w:tcW w:w="1303" w:type="dxa"/>
            <w:shd w:val="clear" w:color="auto" w:fill="EAF1F7"/>
            <w:tcMar>
              <w:top w:w="22" w:type="dxa"/>
              <w:left w:w="24" w:type="dxa"/>
              <w:bottom w:w="22" w:type="dxa"/>
              <w:right w:w="24" w:type="dxa"/>
            </w:tcMar>
          </w:tcPr>
          <w:p w14:paraId="37000261" w14:textId="77777777" w:rsidR="004D7A10" w:rsidRPr="007E140B" w:rsidRDefault="004D7A10" w:rsidP="0026770E">
            <w:pPr>
              <w:spacing w:after="0" w:line="240" w:lineRule="auto"/>
              <w:rPr>
                <w:rFonts w:cs="Arial"/>
                <w:color w:val="auto"/>
              </w:rPr>
            </w:pPr>
            <w:r w:rsidRPr="007E140B">
              <w:rPr>
                <w:rFonts w:cs="Arial"/>
                <w:color w:val="auto"/>
                <w:sz w:val="15"/>
              </w:rPr>
              <w:t>Central to the dissertation’s measurement-divergence argument and its decision not to create a synthetic cross-company ESG score. It supports using underlying metrics, boundaries and assurance rather than a single rating.</w:t>
            </w:r>
          </w:p>
        </w:tc>
        <w:tc>
          <w:tcPr>
            <w:tcW w:w="1230" w:type="dxa"/>
            <w:shd w:val="clear" w:color="auto" w:fill="EAF1F7"/>
            <w:tcMar>
              <w:top w:w="22" w:type="dxa"/>
              <w:left w:w="24" w:type="dxa"/>
              <w:bottom w:w="22" w:type="dxa"/>
              <w:right w:w="24" w:type="dxa"/>
            </w:tcMar>
          </w:tcPr>
          <w:p w14:paraId="16682207" w14:textId="77777777" w:rsidR="004D7A10" w:rsidRPr="007E140B" w:rsidRDefault="00867805" w:rsidP="0026770E">
            <w:pPr>
              <w:spacing w:after="0" w:line="240" w:lineRule="auto"/>
              <w:rPr>
                <w:rFonts w:cs="Arial"/>
                <w:color w:val="auto"/>
              </w:rPr>
            </w:pPr>
            <w:hyperlink r:id="rId60">
              <w:r w:rsidR="004D7A10" w:rsidRPr="007E140B">
                <w:rPr>
                  <w:rFonts w:cs="Arial"/>
                  <w:color w:val="auto"/>
                  <w:sz w:val="13"/>
                  <w:szCs w:val="13"/>
                </w:rPr>
                <w:t>https://doi.org/10.1093/rof/rfac033</w:t>
              </w:r>
            </w:hyperlink>
          </w:p>
        </w:tc>
      </w:tr>
      <w:tr w:rsidR="007E140B" w:rsidRPr="007E140B" w14:paraId="40E679B6" w14:textId="77777777" w:rsidTr="0026770E">
        <w:trPr>
          <w:cantSplit/>
          <w:jc w:val="center"/>
        </w:trPr>
        <w:tc>
          <w:tcPr>
            <w:tcW w:w="504" w:type="dxa"/>
            <w:shd w:val="clear" w:color="auto" w:fill="F7FAFC"/>
            <w:tcMar>
              <w:top w:w="22" w:type="dxa"/>
              <w:left w:w="24" w:type="dxa"/>
              <w:bottom w:w="22" w:type="dxa"/>
              <w:right w:w="24" w:type="dxa"/>
            </w:tcMar>
            <w:vAlign w:val="center"/>
          </w:tcPr>
          <w:p w14:paraId="4F1E725C" w14:textId="77777777" w:rsidR="004D7A10" w:rsidRPr="007E140B" w:rsidRDefault="004D7A10" w:rsidP="0026770E">
            <w:pPr>
              <w:spacing w:after="0" w:line="240" w:lineRule="auto"/>
              <w:jc w:val="center"/>
              <w:rPr>
                <w:rFonts w:cs="Arial"/>
                <w:color w:val="auto"/>
              </w:rPr>
            </w:pPr>
            <w:r w:rsidRPr="007E140B">
              <w:rPr>
                <w:rFonts w:cs="Arial"/>
                <w:b/>
                <w:color w:val="auto"/>
                <w:sz w:val="15"/>
              </w:rPr>
              <w:t>5</w:t>
            </w:r>
          </w:p>
        </w:tc>
        <w:tc>
          <w:tcPr>
            <w:tcW w:w="1447" w:type="dxa"/>
            <w:shd w:val="clear" w:color="auto" w:fill="F7FAFC"/>
            <w:tcMar>
              <w:top w:w="22" w:type="dxa"/>
              <w:left w:w="24" w:type="dxa"/>
              <w:bottom w:w="22" w:type="dxa"/>
              <w:right w:w="24" w:type="dxa"/>
            </w:tcMar>
          </w:tcPr>
          <w:p w14:paraId="5E161A5F" w14:textId="77777777" w:rsidR="004D7A10" w:rsidRPr="007E140B" w:rsidRDefault="004D7A10" w:rsidP="0026770E">
            <w:pPr>
              <w:spacing w:after="0" w:line="240" w:lineRule="auto"/>
              <w:rPr>
                <w:rFonts w:cs="Arial"/>
                <w:color w:val="auto"/>
              </w:rPr>
            </w:pPr>
            <w:r w:rsidRPr="007E140B">
              <w:rPr>
                <w:rFonts w:cs="Arial"/>
                <w:b/>
                <w:color w:val="auto"/>
                <w:sz w:val="15"/>
              </w:rPr>
              <w:t>One Size Fits All? What Counts as Quality Practice in (Reflexive) Thematic Analysis?</w:t>
            </w:r>
          </w:p>
        </w:tc>
        <w:tc>
          <w:tcPr>
            <w:tcW w:w="1049" w:type="dxa"/>
            <w:shd w:val="clear" w:color="auto" w:fill="F7FAFC"/>
            <w:tcMar>
              <w:top w:w="22" w:type="dxa"/>
              <w:left w:w="24" w:type="dxa"/>
              <w:bottom w:w="22" w:type="dxa"/>
              <w:right w:w="24" w:type="dxa"/>
            </w:tcMar>
          </w:tcPr>
          <w:p w14:paraId="10FE9E62" w14:textId="77777777" w:rsidR="004D7A10" w:rsidRPr="007E140B" w:rsidRDefault="004D7A10" w:rsidP="0026770E">
            <w:pPr>
              <w:spacing w:after="0" w:line="240" w:lineRule="auto"/>
              <w:rPr>
                <w:rFonts w:cs="Arial"/>
                <w:color w:val="auto"/>
              </w:rPr>
            </w:pPr>
            <w:r w:rsidRPr="007E140B">
              <w:rPr>
                <w:rFonts w:cs="Arial"/>
                <w:color w:val="auto"/>
                <w:sz w:val="15"/>
              </w:rPr>
              <w:t>Qualitative Research in Psychology</w:t>
            </w:r>
          </w:p>
        </w:tc>
        <w:tc>
          <w:tcPr>
            <w:tcW w:w="905" w:type="dxa"/>
            <w:shd w:val="clear" w:color="auto" w:fill="F7FAFC"/>
            <w:tcMar>
              <w:top w:w="22" w:type="dxa"/>
              <w:left w:w="24" w:type="dxa"/>
              <w:bottom w:w="22" w:type="dxa"/>
              <w:right w:w="24" w:type="dxa"/>
            </w:tcMar>
          </w:tcPr>
          <w:p w14:paraId="130ED059" w14:textId="77777777" w:rsidR="004D7A10" w:rsidRPr="007E140B" w:rsidRDefault="004D7A10" w:rsidP="0026770E">
            <w:pPr>
              <w:spacing w:after="0" w:line="240" w:lineRule="auto"/>
              <w:rPr>
                <w:rFonts w:cs="Arial"/>
                <w:color w:val="auto"/>
              </w:rPr>
            </w:pPr>
            <w:r w:rsidRPr="007E140B">
              <w:rPr>
                <w:rFonts w:cs="Arial"/>
                <w:color w:val="auto"/>
                <w:sz w:val="15"/>
              </w:rPr>
              <w:t>Braun, V.; Clarke, V.</w:t>
            </w:r>
          </w:p>
        </w:tc>
        <w:tc>
          <w:tcPr>
            <w:tcW w:w="648" w:type="dxa"/>
            <w:shd w:val="clear" w:color="auto" w:fill="F7FAFC"/>
            <w:tcMar>
              <w:top w:w="22" w:type="dxa"/>
              <w:left w:w="24" w:type="dxa"/>
              <w:bottom w:w="22" w:type="dxa"/>
              <w:right w:w="24" w:type="dxa"/>
            </w:tcMar>
            <w:vAlign w:val="center"/>
          </w:tcPr>
          <w:p w14:paraId="3A5BA965" w14:textId="77777777" w:rsidR="004D7A10" w:rsidRPr="007E140B" w:rsidRDefault="004D7A10" w:rsidP="0026770E">
            <w:pPr>
              <w:spacing w:after="0" w:line="240" w:lineRule="auto"/>
              <w:jc w:val="center"/>
              <w:rPr>
                <w:rFonts w:cs="Arial"/>
                <w:color w:val="auto"/>
              </w:rPr>
            </w:pPr>
            <w:r w:rsidRPr="007E140B">
              <w:rPr>
                <w:rFonts w:cs="Arial"/>
                <w:b/>
                <w:color w:val="auto"/>
                <w:sz w:val="15"/>
              </w:rPr>
              <w:t>2021</w:t>
            </w:r>
          </w:p>
        </w:tc>
        <w:tc>
          <w:tcPr>
            <w:tcW w:w="1230" w:type="dxa"/>
            <w:shd w:val="clear" w:color="auto" w:fill="F7FAFC"/>
            <w:tcMar>
              <w:top w:w="22" w:type="dxa"/>
              <w:left w:w="24" w:type="dxa"/>
              <w:bottom w:w="22" w:type="dxa"/>
              <w:right w:w="24" w:type="dxa"/>
            </w:tcMar>
          </w:tcPr>
          <w:p w14:paraId="697E50F8" w14:textId="77777777" w:rsidR="004D7A10" w:rsidRPr="007E140B" w:rsidRDefault="004D7A10" w:rsidP="0026770E">
            <w:pPr>
              <w:spacing w:after="0" w:line="240" w:lineRule="auto"/>
              <w:rPr>
                <w:rFonts w:cs="Arial"/>
                <w:color w:val="auto"/>
              </w:rPr>
            </w:pPr>
            <w:r w:rsidRPr="007E140B">
              <w:rPr>
                <w:rFonts w:cs="Arial"/>
                <w:color w:val="auto"/>
                <w:sz w:val="15"/>
              </w:rPr>
              <w:t>To clarify what quality means in thematic analysis (TA), especially reflexive TA, and to challenge universal quality criteria that assume all TA approaches are the same.</w:t>
            </w:r>
          </w:p>
        </w:tc>
        <w:tc>
          <w:tcPr>
            <w:tcW w:w="1375" w:type="dxa"/>
            <w:shd w:val="clear" w:color="auto" w:fill="F7FAFC"/>
            <w:tcMar>
              <w:top w:w="22" w:type="dxa"/>
              <w:left w:w="24" w:type="dxa"/>
              <w:bottom w:w="22" w:type="dxa"/>
              <w:right w:w="24" w:type="dxa"/>
            </w:tcMar>
          </w:tcPr>
          <w:p w14:paraId="2DF52CA9" w14:textId="77777777" w:rsidR="004D7A10" w:rsidRPr="007E140B" w:rsidRDefault="004D7A10" w:rsidP="0026770E">
            <w:pPr>
              <w:spacing w:after="0" w:line="240" w:lineRule="auto"/>
              <w:rPr>
                <w:rFonts w:cs="Arial"/>
                <w:color w:val="auto"/>
              </w:rPr>
            </w:pPr>
            <w:r w:rsidRPr="007E140B">
              <w:rPr>
                <w:rFonts w:cs="Arial"/>
                <w:color w:val="auto"/>
                <w:sz w:val="15"/>
              </w:rPr>
              <w:t>Differentiate varieties of TA; identify common methodological problems; provide practical questions for evaluating reflexive TA quality.</w:t>
            </w:r>
          </w:p>
        </w:tc>
        <w:tc>
          <w:tcPr>
            <w:tcW w:w="1086" w:type="dxa"/>
            <w:shd w:val="clear" w:color="auto" w:fill="F7FAFC"/>
            <w:tcMar>
              <w:top w:w="22" w:type="dxa"/>
              <w:left w:w="24" w:type="dxa"/>
              <w:bottom w:w="22" w:type="dxa"/>
              <w:right w:w="24" w:type="dxa"/>
            </w:tcMar>
          </w:tcPr>
          <w:p w14:paraId="31BF1ED2" w14:textId="77777777" w:rsidR="004D7A10" w:rsidRPr="007E140B" w:rsidRDefault="004D7A10" w:rsidP="0026770E">
            <w:pPr>
              <w:spacing w:after="0" w:line="240" w:lineRule="auto"/>
              <w:rPr>
                <w:rFonts w:cs="Arial"/>
                <w:color w:val="auto"/>
              </w:rPr>
            </w:pPr>
            <w:r w:rsidRPr="007E140B">
              <w:rPr>
                <w:rFonts w:cs="Arial"/>
                <w:color w:val="auto"/>
                <w:sz w:val="15"/>
              </w:rPr>
              <w:t>What constitutes high-quality practice in reflexive thematic analysis, and why are coding-reliability standards not universally appropriate across TA approaches?</w:t>
            </w:r>
          </w:p>
        </w:tc>
        <w:tc>
          <w:tcPr>
            <w:tcW w:w="1122" w:type="dxa"/>
            <w:shd w:val="clear" w:color="auto" w:fill="F7FAFC"/>
            <w:tcMar>
              <w:top w:w="22" w:type="dxa"/>
              <w:left w:w="24" w:type="dxa"/>
              <w:bottom w:w="22" w:type="dxa"/>
              <w:right w:w="24" w:type="dxa"/>
            </w:tcMar>
          </w:tcPr>
          <w:p w14:paraId="0C0E2673" w14:textId="77777777" w:rsidR="004D7A10" w:rsidRPr="007E140B" w:rsidRDefault="004D7A10" w:rsidP="0026770E">
            <w:pPr>
              <w:spacing w:after="0" w:line="240" w:lineRule="auto"/>
              <w:rPr>
                <w:rFonts w:cs="Arial"/>
                <w:color w:val="auto"/>
              </w:rPr>
            </w:pPr>
            <w:r w:rsidRPr="007E140B">
              <w:rPr>
                <w:rFonts w:cs="Arial"/>
                <w:color w:val="auto"/>
                <w:sz w:val="15"/>
              </w:rPr>
              <w:t>Methodological/conceptual paper drawing on published TA practice. It discusses ten recurring problems and proposes twenty critical questions for quality assessment.</w:t>
            </w:r>
          </w:p>
        </w:tc>
        <w:tc>
          <w:tcPr>
            <w:tcW w:w="1556" w:type="dxa"/>
            <w:shd w:val="clear" w:color="auto" w:fill="F7FAFC"/>
            <w:tcMar>
              <w:top w:w="22" w:type="dxa"/>
              <w:left w:w="24" w:type="dxa"/>
              <w:bottom w:w="22" w:type="dxa"/>
              <w:right w:w="24" w:type="dxa"/>
            </w:tcMar>
          </w:tcPr>
          <w:p w14:paraId="15E5BA2F" w14:textId="77777777" w:rsidR="004D7A10" w:rsidRPr="007E140B" w:rsidRDefault="004D7A10" w:rsidP="0026770E">
            <w:pPr>
              <w:spacing w:after="0" w:line="240" w:lineRule="auto"/>
              <w:rPr>
                <w:rFonts w:cs="Arial"/>
                <w:color w:val="auto"/>
              </w:rPr>
            </w:pPr>
            <w:r w:rsidRPr="007E140B">
              <w:rPr>
                <w:rFonts w:cs="Arial"/>
                <w:color w:val="auto"/>
                <w:sz w:val="15"/>
              </w:rPr>
              <w:t>Quality criteria must fit the specific TA approach. Reflexive TA does not require consensus coding or intercoder reliability as universal standards; methodological coherence, reflexivity and transparent analytic practice are more appropriate.</w:t>
            </w:r>
          </w:p>
        </w:tc>
        <w:tc>
          <w:tcPr>
            <w:tcW w:w="1665" w:type="dxa"/>
            <w:shd w:val="clear" w:color="auto" w:fill="F7FAFC"/>
            <w:tcMar>
              <w:top w:w="22" w:type="dxa"/>
              <w:left w:w="24" w:type="dxa"/>
              <w:bottom w:w="22" w:type="dxa"/>
              <w:right w:w="24" w:type="dxa"/>
            </w:tcMar>
          </w:tcPr>
          <w:p w14:paraId="29245D97" w14:textId="77777777" w:rsidR="004D7A10" w:rsidRPr="007E140B" w:rsidRDefault="004D7A10" w:rsidP="0026770E">
            <w:pPr>
              <w:spacing w:after="0" w:line="240" w:lineRule="auto"/>
              <w:rPr>
                <w:rFonts w:cs="Arial"/>
                <w:color w:val="auto"/>
              </w:rPr>
            </w:pPr>
            <w:r w:rsidRPr="007E140B">
              <w:rPr>
                <w:rFonts w:cs="Arial"/>
                <w:color w:val="auto"/>
                <w:sz w:val="15"/>
              </w:rPr>
              <w:t>The article argues against treating thematic analysis as a homogeneous method and offers a quality framework tailored to reflexive TA rather than importing reliability procedures from different coding traditions.</w:t>
            </w:r>
          </w:p>
        </w:tc>
        <w:tc>
          <w:tcPr>
            <w:tcW w:w="1303" w:type="dxa"/>
            <w:shd w:val="clear" w:color="auto" w:fill="F7FAFC"/>
            <w:tcMar>
              <w:top w:w="22" w:type="dxa"/>
              <w:left w:w="24" w:type="dxa"/>
              <w:bottom w:w="22" w:type="dxa"/>
              <w:right w:w="24" w:type="dxa"/>
            </w:tcMar>
          </w:tcPr>
          <w:p w14:paraId="73272C64" w14:textId="77777777" w:rsidR="004D7A10" w:rsidRPr="007E140B" w:rsidRDefault="004D7A10" w:rsidP="0026770E">
            <w:pPr>
              <w:spacing w:after="0" w:line="240" w:lineRule="auto"/>
              <w:rPr>
                <w:rFonts w:cs="Arial"/>
                <w:color w:val="auto"/>
              </w:rPr>
            </w:pPr>
            <w:r w:rsidRPr="007E140B">
              <w:rPr>
                <w:rFonts w:cs="Arial"/>
                <w:color w:val="auto"/>
                <w:sz w:val="15"/>
              </w:rPr>
              <w:t>Directly supports the dissertation’s reflexive thematic-analysis design and its decision not to claim intercoder reliability. It reinforces the focus on traceability, code-definition discipline, reflexivity and transparent interpretation.</w:t>
            </w:r>
          </w:p>
        </w:tc>
        <w:tc>
          <w:tcPr>
            <w:tcW w:w="1230" w:type="dxa"/>
            <w:shd w:val="clear" w:color="auto" w:fill="F7FAFC"/>
            <w:tcMar>
              <w:top w:w="22" w:type="dxa"/>
              <w:left w:w="24" w:type="dxa"/>
              <w:bottom w:w="22" w:type="dxa"/>
              <w:right w:w="24" w:type="dxa"/>
            </w:tcMar>
          </w:tcPr>
          <w:p w14:paraId="40DEDD8E" w14:textId="77777777" w:rsidR="004D7A10" w:rsidRPr="007E140B" w:rsidRDefault="00867805" w:rsidP="0026770E">
            <w:pPr>
              <w:spacing w:after="0" w:line="240" w:lineRule="auto"/>
              <w:rPr>
                <w:rFonts w:cs="Arial"/>
                <w:color w:val="auto"/>
              </w:rPr>
            </w:pPr>
            <w:hyperlink r:id="rId61">
              <w:r w:rsidR="004D7A10" w:rsidRPr="007E140B">
                <w:rPr>
                  <w:rFonts w:cs="Arial"/>
                  <w:color w:val="auto"/>
                  <w:sz w:val="13"/>
                  <w:szCs w:val="13"/>
                </w:rPr>
                <w:t>https://doi.org/10.1080/14780887.2020.1769238</w:t>
              </w:r>
            </w:hyperlink>
          </w:p>
        </w:tc>
      </w:tr>
      <w:tr w:rsidR="007E140B" w:rsidRPr="007E140B" w14:paraId="01157034" w14:textId="77777777" w:rsidTr="0026770E">
        <w:trPr>
          <w:cantSplit/>
          <w:jc w:val="center"/>
        </w:trPr>
        <w:tc>
          <w:tcPr>
            <w:tcW w:w="504" w:type="dxa"/>
            <w:shd w:val="clear" w:color="auto" w:fill="EAF1F7"/>
            <w:tcMar>
              <w:top w:w="22" w:type="dxa"/>
              <w:left w:w="24" w:type="dxa"/>
              <w:bottom w:w="22" w:type="dxa"/>
              <w:right w:w="24" w:type="dxa"/>
            </w:tcMar>
            <w:vAlign w:val="center"/>
          </w:tcPr>
          <w:p w14:paraId="64D80EE3" w14:textId="77777777" w:rsidR="004D7A10" w:rsidRPr="007E140B" w:rsidRDefault="004D7A10" w:rsidP="0026770E">
            <w:pPr>
              <w:spacing w:after="0" w:line="240" w:lineRule="auto"/>
              <w:jc w:val="center"/>
              <w:rPr>
                <w:rFonts w:cs="Arial"/>
                <w:color w:val="auto"/>
              </w:rPr>
            </w:pPr>
            <w:r w:rsidRPr="007E140B">
              <w:rPr>
                <w:rFonts w:cs="Arial"/>
                <w:b/>
                <w:color w:val="auto"/>
                <w:sz w:val="15"/>
              </w:rPr>
              <w:lastRenderedPageBreak/>
              <w:t>6</w:t>
            </w:r>
          </w:p>
        </w:tc>
        <w:tc>
          <w:tcPr>
            <w:tcW w:w="1447" w:type="dxa"/>
            <w:shd w:val="clear" w:color="auto" w:fill="EAF1F7"/>
            <w:tcMar>
              <w:top w:w="22" w:type="dxa"/>
              <w:left w:w="24" w:type="dxa"/>
              <w:bottom w:w="22" w:type="dxa"/>
              <w:right w:w="24" w:type="dxa"/>
            </w:tcMar>
          </w:tcPr>
          <w:p w14:paraId="4FBFF727" w14:textId="77777777" w:rsidR="004D7A10" w:rsidRPr="007E140B" w:rsidRDefault="004D7A10" w:rsidP="0026770E">
            <w:pPr>
              <w:spacing w:after="0" w:line="240" w:lineRule="auto"/>
              <w:rPr>
                <w:rFonts w:cs="Arial"/>
                <w:color w:val="auto"/>
              </w:rPr>
            </w:pPr>
            <w:r w:rsidRPr="007E140B">
              <w:rPr>
                <w:rFonts w:cs="Arial"/>
                <w:b/>
                <w:color w:val="auto"/>
                <w:sz w:val="15"/>
              </w:rPr>
              <w:t>The Role of ESG Performance During Times of Financial Crisis: Evidence from COVID-19 in China</w:t>
            </w:r>
          </w:p>
        </w:tc>
        <w:tc>
          <w:tcPr>
            <w:tcW w:w="1049" w:type="dxa"/>
            <w:shd w:val="clear" w:color="auto" w:fill="EAF1F7"/>
            <w:tcMar>
              <w:top w:w="22" w:type="dxa"/>
              <w:left w:w="24" w:type="dxa"/>
              <w:bottom w:w="22" w:type="dxa"/>
              <w:right w:w="24" w:type="dxa"/>
            </w:tcMar>
          </w:tcPr>
          <w:p w14:paraId="12796119" w14:textId="77777777" w:rsidR="004D7A10" w:rsidRPr="007E140B" w:rsidRDefault="004D7A10" w:rsidP="0026770E">
            <w:pPr>
              <w:spacing w:after="0" w:line="240" w:lineRule="auto"/>
              <w:rPr>
                <w:rFonts w:cs="Arial"/>
                <w:color w:val="auto"/>
              </w:rPr>
            </w:pPr>
            <w:r w:rsidRPr="007E140B">
              <w:rPr>
                <w:rFonts w:cs="Arial"/>
                <w:color w:val="auto"/>
                <w:sz w:val="15"/>
              </w:rPr>
              <w:t>Finance Research Letters</w:t>
            </w:r>
          </w:p>
        </w:tc>
        <w:tc>
          <w:tcPr>
            <w:tcW w:w="905" w:type="dxa"/>
            <w:shd w:val="clear" w:color="auto" w:fill="EAF1F7"/>
            <w:tcMar>
              <w:top w:w="22" w:type="dxa"/>
              <w:left w:w="24" w:type="dxa"/>
              <w:bottom w:w="22" w:type="dxa"/>
              <w:right w:w="24" w:type="dxa"/>
            </w:tcMar>
          </w:tcPr>
          <w:p w14:paraId="558EABF6" w14:textId="77777777" w:rsidR="004D7A10" w:rsidRPr="007E140B" w:rsidRDefault="004D7A10" w:rsidP="0026770E">
            <w:pPr>
              <w:spacing w:after="0" w:line="240" w:lineRule="auto"/>
              <w:rPr>
                <w:rFonts w:cs="Arial"/>
                <w:color w:val="auto"/>
              </w:rPr>
            </w:pPr>
            <w:r w:rsidRPr="007E140B">
              <w:rPr>
                <w:rFonts w:cs="Arial"/>
                <w:color w:val="auto"/>
                <w:sz w:val="15"/>
              </w:rPr>
              <w:t>Broadstock, D.C.; Chan, K.; Cheng, L.T.W.; Wang, X.</w:t>
            </w:r>
          </w:p>
        </w:tc>
        <w:tc>
          <w:tcPr>
            <w:tcW w:w="648" w:type="dxa"/>
            <w:shd w:val="clear" w:color="auto" w:fill="EAF1F7"/>
            <w:tcMar>
              <w:top w:w="22" w:type="dxa"/>
              <w:left w:w="24" w:type="dxa"/>
              <w:bottom w:w="22" w:type="dxa"/>
              <w:right w:w="24" w:type="dxa"/>
            </w:tcMar>
            <w:vAlign w:val="center"/>
          </w:tcPr>
          <w:p w14:paraId="5D67D8D4" w14:textId="77777777" w:rsidR="004D7A10" w:rsidRPr="007E140B" w:rsidRDefault="004D7A10" w:rsidP="0026770E">
            <w:pPr>
              <w:spacing w:after="0" w:line="240" w:lineRule="auto"/>
              <w:jc w:val="center"/>
              <w:rPr>
                <w:rFonts w:cs="Arial"/>
                <w:color w:val="auto"/>
              </w:rPr>
            </w:pPr>
            <w:r w:rsidRPr="007E140B">
              <w:rPr>
                <w:rFonts w:cs="Arial"/>
                <w:b/>
                <w:color w:val="auto"/>
                <w:sz w:val="15"/>
              </w:rPr>
              <w:t>2021</w:t>
            </w:r>
          </w:p>
        </w:tc>
        <w:tc>
          <w:tcPr>
            <w:tcW w:w="1230" w:type="dxa"/>
            <w:shd w:val="clear" w:color="auto" w:fill="EAF1F7"/>
            <w:tcMar>
              <w:top w:w="22" w:type="dxa"/>
              <w:left w:w="24" w:type="dxa"/>
              <w:bottom w:w="22" w:type="dxa"/>
              <w:right w:w="24" w:type="dxa"/>
            </w:tcMar>
          </w:tcPr>
          <w:p w14:paraId="73F61C66" w14:textId="77777777" w:rsidR="004D7A10" w:rsidRPr="007E140B" w:rsidRDefault="004D7A10" w:rsidP="0026770E">
            <w:pPr>
              <w:spacing w:after="0" w:line="240" w:lineRule="auto"/>
              <w:rPr>
                <w:rFonts w:cs="Arial"/>
                <w:color w:val="auto"/>
              </w:rPr>
            </w:pPr>
            <w:r w:rsidRPr="007E140B">
              <w:rPr>
                <w:rFonts w:cs="Arial"/>
                <w:color w:val="auto"/>
                <w:sz w:val="15"/>
              </w:rPr>
              <w:t>To test whether ESG performance acts as a signal of resilience and risk mitigation during the COVID-19 market crisis in China.</w:t>
            </w:r>
          </w:p>
        </w:tc>
        <w:tc>
          <w:tcPr>
            <w:tcW w:w="1375" w:type="dxa"/>
            <w:shd w:val="clear" w:color="auto" w:fill="EAF1F7"/>
            <w:tcMar>
              <w:top w:w="22" w:type="dxa"/>
              <w:left w:w="24" w:type="dxa"/>
              <w:bottom w:w="22" w:type="dxa"/>
              <w:right w:w="24" w:type="dxa"/>
            </w:tcMar>
          </w:tcPr>
          <w:p w14:paraId="43AC57A9" w14:textId="77777777" w:rsidR="004D7A10" w:rsidRPr="007E140B" w:rsidRDefault="004D7A10" w:rsidP="0026770E">
            <w:pPr>
              <w:spacing w:after="0" w:line="240" w:lineRule="auto"/>
              <w:rPr>
                <w:rFonts w:cs="Arial"/>
                <w:color w:val="auto"/>
              </w:rPr>
            </w:pPr>
            <w:r w:rsidRPr="007E140B">
              <w:rPr>
                <w:rFonts w:cs="Arial"/>
                <w:color w:val="auto"/>
                <w:sz w:val="15"/>
              </w:rPr>
              <w:t>Compare high- and low-ESG portfolios; test ESG effects on crisis-period returns and risk; compare crisis and normal periods.</w:t>
            </w:r>
          </w:p>
        </w:tc>
        <w:tc>
          <w:tcPr>
            <w:tcW w:w="1086" w:type="dxa"/>
            <w:shd w:val="clear" w:color="auto" w:fill="EAF1F7"/>
            <w:tcMar>
              <w:top w:w="22" w:type="dxa"/>
              <w:left w:w="24" w:type="dxa"/>
              <w:bottom w:w="22" w:type="dxa"/>
              <w:right w:w="24" w:type="dxa"/>
            </w:tcMar>
          </w:tcPr>
          <w:p w14:paraId="45ABC9BB" w14:textId="77777777" w:rsidR="004D7A10" w:rsidRPr="007E140B" w:rsidRDefault="004D7A10" w:rsidP="0026770E">
            <w:pPr>
              <w:spacing w:after="0" w:line="240" w:lineRule="auto"/>
              <w:rPr>
                <w:rFonts w:cs="Arial"/>
                <w:color w:val="auto"/>
              </w:rPr>
            </w:pPr>
            <w:r w:rsidRPr="007E140B">
              <w:rPr>
                <w:rFonts w:cs="Arial"/>
                <w:color w:val="auto"/>
                <w:sz w:val="15"/>
              </w:rPr>
              <w:t>Does ESG performance help explain stock performance and risk mitigation during a market-wide financial crisis?</w:t>
            </w:r>
          </w:p>
        </w:tc>
        <w:tc>
          <w:tcPr>
            <w:tcW w:w="1122" w:type="dxa"/>
            <w:shd w:val="clear" w:color="auto" w:fill="EAF1F7"/>
            <w:tcMar>
              <w:top w:w="22" w:type="dxa"/>
              <w:left w:w="24" w:type="dxa"/>
              <w:bottom w:w="22" w:type="dxa"/>
              <w:right w:w="24" w:type="dxa"/>
            </w:tcMar>
          </w:tcPr>
          <w:p w14:paraId="6A66F4E1" w14:textId="77777777" w:rsidR="004D7A10" w:rsidRPr="007E140B" w:rsidRDefault="004D7A10" w:rsidP="0026770E">
            <w:pPr>
              <w:spacing w:after="0" w:line="240" w:lineRule="auto"/>
              <w:rPr>
                <w:rFonts w:cs="Arial"/>
                <w:color w:val="auto"/>
              </w:rPr>
            </w:pPr>
            <w:r w:rsidRPr="007E140B">
              <w:rPr>
                <w:rFonts w:cs="Arial"/>
                <w:color w:val="auto"/>
                <w:sz w:val="15"/>
              </w:rPr>
              <w:t>Quantitative event/portfolio analysis using China’s CSI300 constituents (300 A-share firms), ESG scores, stock returns and firm controls around the Wuhan lockdown/COVID-19 shock.</w:t>
            </w:r>
          </w:p>
        </w:tc>
        <w:tc>
          <w:tcPr>
            <w:tcW w:w="1556" w:type="dxa"/>
            <w:shd w:val="clear" w:color="auto" w:fill="EAF1F7"/>
            <w:tcMar>
              <w:top w:w="22" w:type="dxa"/>
              <w:left w:w="24" w:type="dxa"/>
              <w:bottom w:w="22" w:type="dxa"/>
              <w:right w:w="24" w:type="dxa"/>
            </w:tcMar>
          </w:tcPr>
          <w:p w14:paraId="0ACD55CD" w14:textId="77777777" w:rsidR="004D7A10" w:rsidRPr="007E140B" w:rsidRDefault="004D7A10" w:rsidP="0026770E">
            <w:pPr>
              <w:spacing w:after="0" w:line="240" w:lineRule="auto"/>
              <w:rPr>
                <w:rFonts w:cs="Arial"/>
                <w:color w:val="auto"/>
              </w:rPr>
            </w:pPr>
            <w:r w:rsidRPr="007E140B">
              <w:rPr>
                <w:rFonts w:cs="Arial"/>
                <w:color w:val="auto"/>
                <w:sz w:val="15"/>
              </w:rPr>
              <w:t>High-ESG portfolios generally outperform low-ESG portfolios; ESG performance reduces financial risk in the crisis; the effect is weaker in normal periods.</w:t>
            </w:r>
          </w:p>
        </w:tc>
        <w:tc>
          <w:tcPr>
            <w:tcW w:w="1665" w:type="dxa"/>
            <w:shd w:val="clear" w:color="auto" w:fill="EAF1F7"/>
            <w:tcMar>
              <w:top w:w="22" w:type="dxa"/>
              <w:left w:w="24" w:type="dxa"/>
              <w:bottom w:w="22" w:type="dxa"/>
              <w:right w:w="24" w:type="dxa"/>
            </w:tcMar>
          </w:tcPr>
          <w:p w14:paraId="026148D5" w14:textId="77777777" w:rsidR="004D7A10" w:rsidRPr="007E140B" w:rsidRDefault="004D7A10" w:rsidP="0026770E">
            <w:pPr>
              <w:spacing w:after="0" w:line="240" w:lineRule="auto"/>
              <w:rPr>
                <w:rFonts w:cs="Arial"/>
                <w:color w:val="auto"/>
              </w:rPr>
            </w:pPr>
            <w:r w:rsidRPr="007E140B">
              <w:rPr>
                <w:rFonts w:cs="Arial"/>
                <w:color w:val="auto"/>
                <w:sz w:val="15"/>
              </w:rPr>
              <w:t>The paper treats COVID-19 as a market-wide shock and finds that ESG performance becomes more economically relevant during periods of severe stress than during normal market conditions.</w:t>
            </w:r>
          </w:p>
        </w:tc>
        <w:tc>
          <w:tcPr>
            <w:tcW w:w="1303" w:type="dxa"/>
            <w:shd w:val="clear" w:color="auto" w:fill="EAF1F7"/>
            <w:tcMar>
              <w:top w:w="22" w:type="dxa"/>
              <w:left w:w="24" w:type="dxa"/>
              <w:bottom w:w="22" w:type="dxa"/>
              <w:right w:w="24" w:type="dxa"/>
            </w:tcMar>
          </w:tcPr>
          <w:p w14:paraId="6933BF0F" w14:textId="77777777" w:rsidR="004D7A10" w:rsidRPr="007E140B" w:rsidRDefault="004D7A10" w:rsidP="0026770E">
            <w:pPr>
              <w:spacing w:after="0" w:line="240" w:lineRule="auto"/>
              <w:rPr>
                <w:rFonts w:cs="Arial"/>
                <w:color w:val="auto"/>
              </w:rPr>
            </w:pPr>
            <w:r w:rsidRPr="007E140B">
              <w:rPr>
                <w:rFonts w:cs="Arial"/>
                <w:color w:val="auto"/>
                <w:sz w:val="15"/>
              </w:rPr>
              <w:t>Supports the dissertation’s resilience mechanism and stakeholder-capital discussion, but it is China-specific asset-pricing evidence. The dissertation appropriately avoids treating it as direct evidence of UK operating advantage.</w:t>
            </w:r>
          </w:p>
        </w:tc>
        <w:tc>
          <w:tcPr>
            <w:tcW w:w="1230" w:type="dxa"/>
            <w:shd w:val="clear" w:color="auto" w:fill="EAF1F7"/>
            <w:tcMar>
              <w:top w:w="22" w:type="dxa"/>
              <w:left w:w="24" w:type="dxa"/>
              <w:bottom w:w="22" w:type="dxa"/>
              <w:right w:w="24" w:type="dxa"/>
            </w:tcMar>
          </w:tcPr>
          <w:p w14:paraId="01359EB0" w14:textId="77777777" w:rsidR="004D7A10" w:rsidRPr="007E140B" w:rsidRDefault="00867805" w:rsidP="0026770E">
            <w:pPr>
              <w:spacing w:after="0" w:line="240" w:lineRule="auto"/>
              <w:rPr>
                <w:rFonts w:cs="Arial"/>
                <w:color w:val="auto"/>
              </w:rPr>
            </w:pPr>
            <w:hyperlink r:id="rId62">
              <w:r w:rsidR="004D7A10" w:rsidRPr="007E140B">
                <w:rPr>
                  <w:rFonts w:cs="Arial"/>
                  <w:color w:val="auto"/>
                  <w:sz w:val="13"/>
                  <w:szCs w:val="13"/>
                </w:rPr>
                <w:t>https://doi.org/10.1016/j.frl.2020.101716</w:t>
              </w:r>
            </w:hyperlink>
          </w:p>
        </w:tc>
      </w:tr>
      <w:tr w:rsidR="007E140B" w:rsidRPr="007E140B" w14:paraId="3FCE9332" w14:textId="77777777" w:rsidTr="0026770E">
        <w:trPr>
          <w:cantSplit/>
          <w:jc w:val="center"/>
        </w:trPr>
        <w:tc>
          <w:tcPr>
            <w:tcW w:w="504" w:type="dxa"/>
            <w:shd w:val="clear" w:color="auto" w:fill="F7FAFC"/>
            <w:tcMar>
              <w:top w:w="22" w:type="dxa"/>
              <w:left w:w="24" w:type="dxa"/>
              <w:bottom w:w="22" w:type="dxa"/>
              <w:right w:w="24" w:type="dxa"/>
            </w:tcMar>
            <w:vAlign w:val="center"/>
          </w:tcPr>
          <w:p w14:paraId="2E7E1917" w14:textId="77777777" w:rsidR="004D7A10" w:rsidRPr="007E140B" w:rsidRDefault="004D7A10" w:rsidP="0026770E">
            <w:pPr>
              <w:spacing w:after="0" w:line="240" w:lineRule="auto"/>
              <w:jc w:val="center"/>
              <w:rPr>
                <w:rFonts w:cs="Arial"/>
                <w:color w:val="auto"/>
              </w:rPr>
            </w:pPr>
            <w:r w:rsidRPr="007E140B">
              <w:rPr>
                <w:rFonts w:cs="Arial"/>
                <w:b/>
                <w:color w:val="auto"/>
                <w:sz w:val="15"/>
              </w:rPr>
              <w:t>7</w:t>
            </w:r>
          </w:p>
        </w:tc>
        <w:tc>
          <w:tcPr>
            <w:tcW w:w="1447" w:type="dxa"/>
            <w:shd w:val="clear" w:color="auto" w:fill="F7FAFC"/>
            <w:tcMar>
              <w:top w:w="22" w:type="dxa"/>
              <w:left w:w="24" w:type="dxa"/>
              <w:bottom w:w="22" w:type="dxa"/>
              <w:right w:w="24" w:type="dxa"/>
            </w:tcMar>
          </w:tcPr>
          <w:p w14:paraId="36954E0D" w14:textId="77777777" w:rsidR="004D7A10" w:rsidRPr="007E140B" w:rsidRDefault="004D7A10" w:rsidP="0026770E">
            <w:pPr>
              <w:spacing w:after="0" w:line="240" w:lineRule="auto"/>
              <w:rPr>
                <w:rFonts w:cs="Arial"/>
                <w:color w:val="auto"/>
              </w:rPr>
            </w:pPr>
            <w:r w:rsidRPr="007E140B">
              <w:rPr>
                <w:rFonts w:cs="Arial"/>
                <w:b/>
                <w:color w:val="auto"/>
                <w:sz w:val="15"/>
              </w:rPr>
              <w:t>ESG-Driven Innovation Strategy and Firm Performance</w:t>
            </w:r>
          </w:p>
        </w:tc>
        <w:tc>
          <w:tcPr>
            <w:tcW w:w="1049" w:type="dxa"/>
            <w:shd w:val="clear" w:color="auto" w:fill="F7FAFC"/>
            <w:tcMar>
              <w:top w:w="22" w:type="dxa"/>
              <w:left w:w="24" w:type="dxa"/>
              <w:bottom w:w="22" w:type="dxa"/>
              <w:right w:w="24" w:type="dxa"/>
            </w:tcMar>
          </w:tcPr>
          <w:p w14:paraId="18E006E1" w14:textId="77777777" w:rsidR="004D7A10" w:rsidRPr="007E140B" w:rsidRDefault="004D7A10" w:rsidP="0026770E">
            <w:pPr>
              <w:spacing w:after="0" w:line="240" w:lineRule="auto"/>
              <w:rPr>
                <w:rFonts w:cs="Arial"/>
                <w:color w:val="auto"/>
              </w:rPr>
            </w:pPr>
            <w:r w:rsidRPr="007E140B">
              <w:rPr>
                <w:rFonts w:cs="Arial"/>
                <w:color w:val="auto"/>
                <w:sz w:val="15"/>
              </w:rPr>
              <w:t>Eurasian Business Review</w:t>
            </w:r>
          </w:p>
        </w:tc>
        <w:tc>
          <w:tcPr>
            <w:tcW w:w="905" w:type="dxa"/>
            <w:shd w:val="clear" w:color="auto" w:fill="F7FAFC"/>
            <w:tcMar>
              <w:top w:w="22" w:type="dxa"/>
              <w:left w:w="24" w:type="dxa"/>
              <w:bottom w:w="22" w:type="dxa"/>
              <w:right w:w="24" w:type="dxa"/>
            </w:tcMar>
          </w:tcPr>
          <w:p w14:paraId="65749FBB" w14:textId="77777777" w:rsidR="004D7A10" w:rsidRPr="007E140B" w:rsidRDefault="004D7A10" w:rsidP="0026770E">
            <w:pPr>
              <w:spacing w:after="0" w:line="240" w:lineRule="auto"/>
              <w:rPr>
                <w:rFonts w:cs="Arial"/>
                <w:color w:val="auto"/>
              </w:rPr>
            </w:pPr>
            <w:r w:rsidRPr="007E140B">
              <w:rPr>
                <w:rFonts w:cs="Arial"/>
                <w:color w:val="auto"/>
                <w:sz w:val="15"/>
              </w:rPr>
              <w:t>Cabaleiro-Cerviño, G.; Mendi, P.</w:t>
            </w:r>
          </w:p>
        </w:tc>
        <w:tc>
          <w:tcPr>
            <w:tcW w:w="648" w:type="dxa"/>
            <w:shd w:val="clear" w:color="auto" w:fill="F7FAFC"/>
            <w:tcMar>
              <w:top w:w="22" w:type="dxa"/>
              <w:left w:w="24" w:type="dxa"/>
              <w:bottom w:w="22" w:type="dxa"/>
              <w:right w:w="24" w:type="dxa"/>
            </w:tcMar>
            <w:vAlign w:val="center"/>
          </w:tcPr>
          <w:p w14:paraId="4620B967" w14:textId="77777777" w:rsidR="004D7A10" w:rsidRPr="007E140B" w:rsidRDefault="004D7A10" w:rsidP="0026770E">
            <w:pPr>
              <w:spacing w:after="0" w:line="240" w:lineRule="auto"/>
              <w:jc w:val="center"/>
              <w:rPr>
                <w:rFonts w:cs="Arial"/>
                <w:color w:val="auto"/>
              </w:rPr>
            </w:pPr>
            <w:r w:rsidRPr="007E140B">
              <w:rPr>
                <w:rFonts w:cs="Arial"/>
                <w:b/>
                <w:color w:val="auto"/>
                <w:sz w:val="15"/>
              </w:rPr>
              <w:t>2024</w:t>
            </w:r>
          </w:p>
        </w:tc>
        <w:tc>
          <w:tcPr>
            <w:tcW w:w="1230" w:type="dxa"/>
            <w:shd w:val="clear" w:color="auto" w:fill="F7FAFC"/>
            <w:tcMar>
              <w:top w:w="22" w:type="dxa"/>
              <w:left w:w="24" w:type="dxa"/>
              <w:bottom w:w="22" w:type="dxa"/>
              <w:right w:w="24" w:type="dxa"/>
            </w:tcMar>
          </w:tcPr>
          <w:p w14:paraId="7075708B" w14:textId="77777777" w:rsidR="004D7A10" w:rsidRPr="007E140B" w:rsidRDefault="004D7A10" w:rsidP="0026770E">
            <w:pPr>
              <w:spacing w:after="0" w:line="240" w:lineRule="auto"/>
              <w:rPr>
                <w:rFonts w:cs="Arial"/>
                <w:color w:val="auto"/>
              </w:rPr>
            </w:pPr>
            <w:r w:rsidRPr="007E140B">
              <w:rPr>
                <w:rFonts w:cs="Arial"/>
                <w:color w:val="auto"/>
                <w:sz w:val="15"/>
              </w:rPr>
              <w:t>To investigate whether innovation strategies aligned with ESG goals are associated with stronger future innovation and non-innovation performance.</w:t>
            </w:r>
          </w:p>
        </w:tc>
        <w:tc>
          <w:tcPr>
            <w:tcW w:w="1375" w:type="dxa"/>
            <w:shd w:val="clear" w:color="auto" w:fill="F7FAFC"/>
            <w:tcMar>
              <w:top w:w="22" w:type="dxa"/>
              <w:left w:w="24" w:type="dxa"/>
              <w:bottom w:w="22" w:type="dxa"/>
              <w:right w:w="24" w:type="dxa"/>
            </w:tcMar>
          </w:tcPr>
          <w:p w14:paraId="646B7350" w14:textId="77777777" w:rsidR="004D7A10" w:rsidRPr="007E140B" w:rsidRDefault="004D7A10" w:rsidP="0026770E">
            <w:pPr>
              <w:spacing w:after="0" w:line="240" w:lineRule="auto"/>
              <w:rPr>
                <w:rFonts w:cs="Arial"/>
                <w:color w:val="auto"/>
              </w:rPr>
            </w:pPr>
            <w:r w:rsidRPr="007E140B">
              <w:rPr>
                <w:rFonts w:cs="Arial"/>
                <w:color w:val="auto"/>
                <w:sz w:val="15"/>
              </w:rPr>
              <w:t>Compare ESG-driven and non-ESG-driven innovative firms; test future innovation output, labour productivity, exporting and survival; reduce selection differences through matching.</w:t>
            </w:r>
          </w:p>
        </w:tc>
        <w:tc>
          <w:tcPr>
            <w:tcW w:w="1086" w:type="dxa"/>
            <w:shd w:val="clear" w:color="auto" w:fill="F7FAFC"/>
            <w:tcMar>
              <w:top w:w="22" w:type="dxa"/>
              <w:left w:w="24" w:type="dxa"/>
              <w:bottom w:w="22" w:type="dxa"/>
              <w:right w:w="24" w:type="dxa"/>
            </w:tcMar>
          </w:tcPr>
          <w:p w14:paraId="0933B6C8" w14:textId="77777777" w:rsidR="004D7A10" w:rsidRPr="007E140B" w:rsidRDefault="004D7A10" w:rsidP="0026770E">
            <w:pPr>
              <w:spacing w:after="0" w:line="240" w:lineRule="auto"/>
              <w:rPr>
                <w:rFonts w:cs="Arial"/>
                <w:color w:val="auto"/>
              </w:rPr>
            </w:pPr>
            <w:r w:rsidRPr="007E140B">
              <w:rPr>
                <w:rFonts w:cs="Arial"/>
                <w:color w:val="auto"/>
                <w:sz w:val="15"/>
              </w:rPr>
              <w:t>Do ESG-driven innovative firms outperform otherwise comparable non-ESG-driven innovative firms in subsequent innovation and business performance?</w:t>
            </w:r>
          </w:p>
        </w:tc>
        <w:tc>
          <w:tcPr>
            <w:tcW w:w="1122" w:type="dxa"/>
            <w:shd w:val="clear" w:color="auto" w:fill="F7FAFC"/>
            <w:tcMar>
              <w:top w:w="22" w:type="dxa"/>
              <w:left w:w="24" w:type="dxa"/>
              <w:bottom w:w="22" w:type="dxa"/>
              <w:right w:w="24" w:type="dxa"/>
            </w:tcMar>
          </w:tcPr>
          <w:p w14:paraId="1FF7CDA8" w14:textId="77777777" w:rsidR="004D7A10" w:rsidRPr="007E140B" w:rsidRDefault="004D7A10" w:rsidP="0026770E">
            <w:pPr>
              <w:spacing w:after="0" w:line="240" w:lineRule="auto"/>
              <w:rPr>
                <w:rFonts w:cs="Arial"/>
                <w:color w:val="auto"/>
              </w:rPr>
            </w:pPr>
            <w:r w:rsidRPr="007E140B">
              <w:rPr>
                <w:rFonts w:cs="Arial"/>
                <w:color w:val="auto"/>
                <w:sz w:val="15"/>
              </w:rPr>
              <w:t>Panel analysis using Spain’s Technological Innovation Panel (PITEC). ESG-driven innovative firms are compared with matched non-ESG-driven innovative firms to balance pre-treatment characteristics.</w:t>
            </w:r>
          </w:p>
        </w:tc>
        <w:tc>
          <w:tcPr>
            <w:tcW w:w="1556" w:type="dxa"/>
            <w:shd w:val="clear" w:color="auto" w:fill="F7FAFC"/>
            <w:tcMar>
              <w:top w:w="22" w:type="dxa"/>
              <w:left w:w="24" w:type="dxa"/>
              <w:bottom w:w="22" w:type="dxa"/>
              <w:right w:w="24" w:type="dxa"/>
            </w:tcMar>
          </w:tcPr>
          <w:p w14:paraId="009965F3" w14:textId="77777777" w:rsidR="004D7A10" w:rsidRPr="007E140B" w:rsidRDefault="004D7A10" w:rsidP="0026770E">
            <w:pPr>
              <w:spacing w:after="0" w:line="240" w:lineRule="auto"/>
              <w:rPr>
                <w:rFonts w:cs="Arial"/>
                <w:color w:val="auto"/>
              </w:rPr>
            </w:pPr>
            <w:r w:rsidRPr="007E140B">
              <w:rPr>
                <w:rFonts w:cs="Arial"/>
                <w:color w:val="auto"/>
                <w:sz w:val="15"/>
              </w:rPr>
              <w:t>ESG-driven firms show stronger future innovation performance. Results for labour productivity, exporting and survival indicate no general underperformance, though these non-innovation outcomes are less robust to specification/classification choices.</w:t>
            </w:r>
          </w:p>
        </w:tc>
        <w:tc>
          <w:tcPr>
            <w:tcW w:w="1665" w:type="dxa"/>
            <w:shd w:val="clear" w:color="auto" w:fill="F7FAFC"/>
            <w:tcMar>
              <w:top w:w="22" w:type="dxa"/>
              <w:left w:w="24" w:type="dxa"/>
              <w:bottom w:w="22" w:type="dxa"/>
              <w:right w:w="24" w:type="dxa"/>
            </w:tcMar>
          </w:tcPr>
          <w:p w14:paraId="17E8CC6F" w14:textId="77777777" w:rsidR="004D7A10" w:rsidRPr="007E140B" w:rsidRDefault="004D7A10" w:rsidP="0026770E">
            <w:pPr>
              <w:spacing w:after="0" w:line="240" w:lineRule="auto"/>
              <w:rPr>
                <w:rFonts w:cs="Arial"/>
                <w:color w:val="auto"/>
              </w:rPr>
            </w:pPr>
            <w:r w:rsidRPr="007E140B">
              <w:rPr>
                <w:rFonts w:cs="Arial"/>
                <w:color w:val="auto"/>
                <w:sz w:val="15"/>
              </w:rPr>
              <w:t>The study links ESG orientation to innovation strategy rather than to an aggregate score alone and finds the clearest advantage in later innovation performance.</w:t>
            </w:r>
          </w:p>
        </w:tc>
        <w:tc>
          <w:tcPr>
            <w:tcW w:w="1303" w:type="dxa"/>
            <w:shd w:val="clear" w:color="auto" w:fill="F7FAFC"/>
            <w:tcMar>
              <w:top w:w="22" w:type="dxa"/>
              <w:left w:w="24" w:type="dxa"/>
              <w:bottom w:w="22" w:type="dxa"/>
              <w:right w:w="24" w:type="dxa"/>
            </w:tcMar>
          </w:tcPr>
          <w:p w14:paraId="58F777CB" w14:textId="77777777" w:rsidR="004D7A10" w:rsidRPr="007E140B" w:rsidRDefault="004D7A10" w:rsidP="0026770E">
            <w:pPr>
              <w:spacing w:after="0" w:line="240" w:lineRule="auto"/>
              <w:rPr>
                <w:rFonts w:cs="Arial"/>
                <w:color w:val="auto"/>
              </w:rPr>
            </w:pPr>
            <w:r w:rsidRPr="007E140B">
              <w:rPr>
                <w:rFonts w:cs="Arial"/>
                <w:color w:val="auto"/>
                <w:sz w:val="15"/>
              </w:rPr>
              <w:t>Highly relevant to the dissertation’s operational-capability/RBV pathway. It supports the idea that ESG can contribute through innovation routines, while the qualified non-innovation results reinforce the dissertation’s conditional language.</w:t>
            </w:r>
          </w:p>
        </w:tc>
        <w:tc>
          <w:tcPr>
            <w:tcW w:w="1230" w:type="dxa"/>
            <w:shd w:val="clear" w:color="auto" w:fill="F7FAFC"/>
            <w:tcMar>
              <w:top w:w="22" w:type="dxa"/>
              <w:left w:w="24" w:type="dxa"/>
              <w:bottom w:w="22" w:type="dxa"/>
              <w:right w:w="24" w:type="dxa"/>
            </w:tcMar>
          </w:tcPr>
          <w:p w14:paraId="28BB984D" w14:textId="77777777" w:rsidR="004D7A10" w:rsidRPr="007E140B" w:rsidRDefault="00867805" w:rsidP="0026770E">
            <w:pPr>
              <w:spacing w:after="0" w:line="240" w:lineRule="auto"/>
              <w:rPr>
                <w:rFonts w:cs="Arial"/>
                <w:color w:val="auto"/>
              </w:rPr>
            </w:pPr>
            <w:hyperlink r:id="rId63">
              <w:r w:rsidR="004D7A10" w:rsidRPr="007E140B">
                <w:rPr>
                  <w:rFonts w:cs="Arial"/>
                  <w:color w:val="auto"/>
                  <w:sz w:val="13"/>
                  <w:szCs w:val="13"/>
                </w:rPr>
                <w:t>https://doi.org/10.1007/s40821-024-00254-x</w:t>
              </w:r>
            </w:hyperlink>
          </w:p>
        </w:tc>
      </w:tr>
      <w:tr w:rsidR="007E140B" w:rsidRPr="007E140B" w14:paraId="1D8944F9" w14:textId="77777777" w:rsidTr="0026770E">
        <w:trPr>
          <w:cantSplit/>
          <w:jc w:val="center"/>
        </w:trPr>
        <w:tc>
          <w:tcPr>
            <w:tcW w:w="504" w:type="dxa"/>
            <w:shd w:val="clear" w:color="auto" w:fill="EAF1F7"/>
            <w:tcMar>
              <w:top w:w="22" w:type="dxa"/>
              <w:left w:w="24" w:type="dxa"/>
              <w:bottom w:w="22" w:type="dxa"/>
              <w:right w:w="24" w:type="dxa"/>
            </w:tcMar>
            <w:vAlign w:val="center"/>
          </w:tcPr>
          <w:p w14:paraId="72F1BB1B" w14:textId="77777777" w:rsidR="004D7A10" w:rsidRPr="007E140B" w:rsidRDefault="004D7A10" w:rsidP="0026770E">
            <w:pPr>
              <w:spacing w:after="0" w:line="240" w:lineRule="auto"/>
              <w:jc w:val="center"/>
              <w:rPr>
                <w:rFonts w:cs="Arial"/>
                <w:color w:val="auto"/>
              </w:rPr>
            </w:pPr>
            <w:r w:rsidRPr="007E140B">
              <w:rPr>
                <w:rFonts w:cs="Arial"/>
                <w:b/>
                <w:color w:val="auto"/>
                <w:sz w:val="15"/>
              </w:rPr>
              <w:t>8</w:t>
            </w:r>
          </w:p>
        </w:tc>
        <w:tc>
          <w:tcPr>
            <w:tcW w:w="1447" w:type="dxa"/>
            <w:shd w:val="clear" w:color="auto" w:fill="EAF1F7"/>
            <w:tcMar>
              <w:top w:w="22" w:type="dxa"/>
              <w:left w:w="24" w:type="dxa"/>
              <w:bottom w:w="22" w:type="dxa"/>
              <w:right w:w="24" w:type="dxa"/>
            </w:tcMar>
          </w:tcPr>
          <w:p w14:paraId="3EA3E1C3" w14:textId="77777777" w:rsidR="004D7A10" w:rsidRPr="007E140B" w:rsidRDefault="004D7A10" w:rsidP="0026770E">
            <w:pPr>
              <w:spacing w:after="0" w:line="240" w:lineRule="auto"/>
              <w:rPr>
                <w:rFonts w:cs="Arial"/>
                <w:color w:val="auto"/>
              </w:rPr>
            </w:pPr>
            <w:r w:rsidRPr="007E140B">
              <w:rPr>
                <w:rFonts w:cs="Arial"/>
                <w:b/>
                <w:color w:val="auto"/>
                <w:sz w:val="15"/>
              </w:rPr>
              <w:t>Why Is Corporate Virtue in the Eye of the Beholder? The Case of ESG Ratings</w:t>
            </w:r>
          </w:p>
        </w:tc>
        <w:tc>
          <w:tcPr>
            <w:tcW w:w="1049" w:type="dxa"/>
            <w:shd w:val="clear" w:color="auto" w:fill="EAF1F7"/>
            <w:tcMar>
              <w:top w:w="22" w:type="dxa"/>
              <w:left w:w="24" w:type="dxa"/>
              <w:bottom w:w="22" w:type="dxa"/>
              <w:right w:w="24" w:type="dxa"/>
            </w:tcMar>
          </w:tcPr>
          <w:p w14:paraId="3018BF7F" w14:textId="77777777" w:rsidR="004D7A10" w:rsidRPr="007E140B" w:rsidRDefault="004D7A10" w:rsidP="0026770E">
            <w:pPr>
              <w:spacing w:after="0" w:line="240" w:lineRule="auto"/>
              <w:rPr>
                <w:rFonts w:cs="Arial"/>
                <w:color w:val="auto"/>
              </w:rPr>
            </w:pPr>
            <w:r w:rsidRPr="007E140B">
              <w:rPr>
                <w:rFonts w:cs="Arial"/>
                <w:color w:val="auto"/>
                <w:sz w:val="15"/>
              </w:rPr>
              <w:t>The Accounting Review</w:t>
            </w:r>
          </w:p>
        </w:tc>
        <w:tc>
          <w:tcPr>
            <w:tcW w:w="905" w:type="dxa"/>
            <w:shd w:val="clear" w:color="auto" w:fill="EAF1F7"/>
            <w:tcMar>
              <w:top w:w="22" w:type="dxa"/>
              <w:left w:w="24" w:type="dxa"/>
              <w:bottom w:w="22" w:type="dxa"/>
              <w:right w:w="24" w:type="dxa"/>
            </w:tcMar>
          </w:tcPr>
          <w:p w14:paraId="407733D1" w14:textId="77777777" w:rsidR="004D7A10" w:rsidRPr="007E140B" w:rsidRDefault="004D7A10" w:rsidP="0026770E">
            <w:pPr>
              <w:spacing w:after="0" w:line="240" w:lineRule="auto"/>
              <w:rPr>
                <w:rFonts w:cs="Arial"/>
                <w:color w:val="auto"/>
              </w:rPr>
            </w:pPr>
            <w:r w:rsidRPr="007E140B">
              <w:rPr>
                <w:rFonts w:cs="Arial"/>
                <w:color w:val="auto"/>
                <w:sz w:val="15"/>
              </w:rPr>
              <w:t>Christensen, D.M.; Serafeim, G.; Sikochi, A.</w:t>
            </w:r>
          </w:p>
        </w:tc>
        <w:tc>
          <w:tcPr>
            <w:tcW w:w="648" w:type="dxa"/>
            <w:shd w:val="clear" w:color="auto" w:fill="EAF1F7"/>
            <w:tcMar>
              <w:top w:w="22" w:type="dxa"/>
              <w:left w:w="24" w:type="dxa"/>
              <w:bottom w:w="22" w:type="dxa"/>
              <w:right w:w="24" w:type="dxa"/>
            </w:tcMar>
            <w:vAlign w:val="center"/>
          </w:tcPr>
          <w:p w14:paraId="380BBA1C" w14:textId="77777777" w:rsidR="004D7A10" w:rsidRPr="007E140B" w:rsidRDefault="004D7A10" w:rsidP="0026770E">
            <w:pPr>
              <w:spacing w:after="0" w:line="240" w:lineRule="auto"/>
              <w:jc w:val="center"/>
              <w:rPr>
                <w:rFonts w:cs="Arial"/>
                <w:color w:val="auto"/>
              </w:rPr>
            </w:pPr>
            <w:r w:rsidRPr="007E140B">
              <w:rPr>
                <w:rFonts w:cs="Arial"/>
                <w:b/>
                <w:color w:val="auto"/>
                <w:sz w:val="15"/>
              </w:rPr>
              <w:t>2022</w:t>
            </w:r>
          </w:p>
        </w:tc>
        <w:tc>
          <w:tcPr>
            <w:tcW w:w="1230" w:type="dxa"/>
            <w:shd w:val="clear" w:color="auto" w:fill="EAF1F7"/>
            <w:tcMar>
              <w:top w:w="22" w:type="dxa"/>
              <w:left w:w="24" w:type="dxa"/>
              <w:bottom w:w="22" w:type="dxa"/>
              <w:right w:w="24" w:type="dxa"/>
            </w:tcMar>
          </w:tcPr>
          <w:p w14:paraId="34EF8E34" w14:textId="77777777" w:rsidR="004D7A10" w:rsidRPr="007E140B" w:rsidRDefault="004D7A10" w:rsidP="0026770E">
            <w:pPr>
              <w:spacing w:after="0" w:line="240" w:lineRule="auto"/>
              <w:rPr>
                <w:rFonts w:cs="Arial"/>
                <w:color w:val="auto"/>
              </w:rPr>
            </w:pPr>
            <w:r w:rsidRPr="007E140B">
              <w:rPr>
                <w:rFonts w:cs="Arial"/>
                <w:color w:val="auto"/>
                <w:sz w:val="15"/>
              </w:rPr>
              <w:t>To explain ESG rating disagreement and determine whether greater corporate ESG disclosure reduces or increases disagreement among rating agencies.</w:t>
            </w:r>
          </w:p>
        </w:tc>
        <w:tc>
          <w:tcPr>
            <w:tcW w:w="1375" w:type="dxa"/>
            <w:shd w:val="clear" w:color="auto" w:fill="EAF1F7"/>
            <w:tcMar>
              <w:top w:w="22" w:type="dxa"/>
              <w:left w:w="24" w:type="dxa"/>
              <w:bottom w:w="22" w:type="dxa"/>
              <w:right w:w="24" w:type="dxa"/>
            </w:tcMar>
          </w:tcPr>
          <w:p w14:paraId="652F260C" w14:textId="77777777" w:rsidR="004D7A10" w:rsidRPr="007E140B" w:rsidRDefault="004D7A10" w:rsidP="0026770E">
            <w:pPr>
              <w:spacing w:after="0" w:line="240" w:lineRule="auto"/>
              <w:rPr>
                <w:rFonts w:cs="Arial"/>
                <w:color w:val="auto"/>
              </w:rPr>
            </w:pPr>
            <w:r w:rsidRPr="007E140B">
              <w:rPr>
                <w:rFonts w:cs="Arial"/>
                <w:color w:val="auto"/>
                <w:sz w:val="15"/>
              </w:rPr>
              <w:t>Test the disclosure–rating-disagreement relationship; compare disagreement for outcome versus input metrics; assess capital-market consequences of disagreement.</w:t>
            </w:r>
          </w:p>
        </w:tc>
        <w:tc>
          <w:tcPr>
            <w:tcW w:w="1086" w:type="dxa"/>
            <w:shd w:val="clear" w:color="auto" w:fill="EAF1F7"/>
            <w:tcMar>
              <w:top w:w="22" w:type="dxa"/>
              <w:left w:w="24" w:type="dxa"/>
              <w:bottom w:w="22" w:type="dxa"/>
              <w:right w:w="24" w:type="dxa"/>
            </w:tcMar>
          </w:tcPr>
          <w:p w14:paraId="5CD38D4C" w14:textId="77777777" w:rsidR="004D7A10" w:rsidRPr="007E140B" w:rsidRDefault="004D7A10" w:rsidP="0026770E">
            <w:pPr>
              <w:spacing w:after="0" w:line="240" w:lineRule="auto"/>
              <w:rPr>
                <w:rFonts w:cs="Arial"/>
                <w:color w:val="auto"/>
              </w:rPr>
            </w:pPr>
            <w:r w:rsidRPr="007E140B">
              <w:rPr>
                <w:rFonts w:cs="Arial"/>
                <w:color w:val="auto"/>
                <w:sz w:val="15"/>
              </w:rPr>
              <w:t>Does greater ESG disclosure resolve rating disagreement, and what consequences follow when rating agencies disagree more strongly?</w:t>
            </w:r>
          </w:p>
        </w:tc>
        <w:tc>
          <w:tcPr>
            <w:tcW w:w="1122" w:type="dxa"/>
            <w:shd w:val="clear" w:color="auto" w:fill="EAF1F7"/>
            <w:tcMar>
              <w:top w:w="22" w:type="dxa"/>
              <w:left w:w="24" w:type="dxa"/>
              <w:bottom w:w="22" w:type="dxa"/>
              <w:right w:w="24" w:type="dxa"/>
            </w:tcMar>
          </w:tcPr>
          <w:p w14:paraId="3AE08EE0" w14:textId="77777777" w:rsidR="004D7A10" w:rsidRPr="007E140B" w:rsidRDefault="004D7A10" w:rsidP="0026770E">
            <w:pPr>
              <w:spacing w:after="0" w:line="240" w:lineRule="auto"/>
              <w:rPr>
                <w:rFonts w:cs="Arial"/>
                <w:color w:val="auto"/>
              </w:rPr>
            </w:pPr>
            <w:r w:rsidRPr="007E140B">
              <w:rPr>
                <w:rFonts w:cs="Arial"/>
                <w:color w:val="auto"/>
                <w:sz w:val="15"/>
              </w:rPr>
              <w:t>Panel data from firms in 69 countries (2004–2016), combining Bloomberg disclosure with ratings from major providers. Uses firm fixed effects and difference-in-differences around mandatory ESG disclosure shocks.</w:t>
            </w:r>
          </w:p>
        </w:tc>
        <w:tc>
          <w:tcPr>
            <w:tcW w:w="1556" w:type="dxa"/>
            <w:shd w:val="clear" w:color="auto" w:fill="EAF1F7"/>
            <w:tcMar>
              <w:top w:w="22" w:type="dxa"/>
              <w:left w:w="24" w:type="dxa"/>
              <w:bottom w:w="22" w:type="dxa"/>
              <w:right w:w="24" w:type="dxa"/>
            </w:tcMar>
          </w:tcPr>
          <w:p w14:paraId="53D6014A" w14:textId="77777777" w:rsidR="004D7A10" w:rsidRPr="007E140B" w:rsidRDefault="004D7A10" w:rsidP="0026770E">
            <w:pPr>
              <w:spacing w:after="0" w:line="240" w:lineRule="auto"/>
              <w:rPr>
                <w:rFonts w:cs="Arial"/>
                <w:color w:val="auto"/>
              </w:rPr>
            </w:pPr>
            <w:r w:rsidRPr="007E140B">
              <w:rPr>
                <w:rFonts w:cs="Arial"/>
                <w:color w:val="auto"/>
                <w:sz w:val="15"/>
              </w:rPr>
              <w:t>More ESG disclosure increases rating disagreement, especially for outcome metrics. Greater disagreement is associated with higher return volatility, larger absolute price moves and a lower likelihood of external financing.</w:t>
            </w:r>
          </w:p>
        </w:tc>
        <w:tc>
          <w:tcPr>
            <w:tcW w:w="1665" w:type="dxa"/>
            <w:shd w:val="clear" w:color="auto" w:fill="EAF1F7"/>
            <w:tcMar>
              <w:top w:w="22" w:type="dxa"/>
              <w:left w:w="24" w:type="dxa"/>
              <w:bottom w:w="22" w:type="dxa"/>
              <w:right w:w="24" w:type="dxa"/>
            </w:tcMar>
          </w:tcPr>
          <w:p w14:paraId="53FC4C86" w14:textId="77777777" w:rsidR="004D7A10" w:rsidRPr="007E140B" w:rsidRDefault="004D7A10" w:rsidP="0026770E">
            <w:pPr>
              <w:spacing w:after="0" w:line="240" w:lineRule="auto"/>
              <w:rPr>
                <w:rFonts w:cs="Arial"/>
                <w:color w:val="auto"/>
              </w:rPr>
            </w:pPr>
            <w:r w:rsidRPr="007E140B">
              <w:rPr>
                <w:rFonts w:cs="Arial"/>
                <w:color w:val="auto"/>
                <w:sz w:val="15"/>
              </w:rPr>
              <w:t>The study shows that additional disclosure can expose more dimensions on which raters make different judgements; transparency therefore does not automatically generate rating convergence.</w:t>
            </w:r>
          </w:p>
        </w:tc>
        <w:tc>
          <w:tcPr>
            <w:tcW w:w="1303" w:type="dxa"/>
            <w:shd w:val="clear" w:color="auto" w:fill="EAF1F7"/>
            <w:tcMar>
              <w:top w:w="22" w:type="dxa"/>
              <w:left w:w="24" w:type="dxa"/>
              <w:bottom w:w="22" w:type="dxa"/>
              <w:right w:w="24" w:type="dxa"/>
            </w:tcMar>
          </w:tcPr>
          <w:p w14:paraId="111085F4" w14:textId="77777777" w:rsidR="004D7A10" w:rsidRPr="007E140B" w:rsidRDefault="004D7A10" w:rsidP="0026770E">
            <w:pPr>
              <w:spacing w:after="0" w:line="240" w:lineRule="auto"/>
              <w:rPr>
                <w:rFonts w:cs="Arial"/>
                <w:color w:val="auto"/>
              </w:rPr>
            </w:pPr>
            <w:r w:rsidRPr="007E140B">
              <w:rPr>
                <w:rFonts w:cs="Arial"/>
                <w:color w:val="auto"/>
                <w:sz w:val="15"/>
              </w:rPr>
              <w:t>Directly supports the dissertation’s warning that disclosure volume is not equivalent to performance or consensus. It also strengthens the claim that better underlying definitions and evidence controls matter more than a single score.</w:t>
            </w:r>
          </w:p>
        </w:tc>
        <w:tc>
          <w:tcPr>
            <w:tcW w:w="1230" w:type="dxa"/>
            <w:shd w:val="clear" w:color="auto" w:fill="EAF1F7"/>
            <w:tcMar>
              <w:top w:w="22" w:type="dxa"/>
              <w:left w:w="24" w:type="dxa"/>
              <w:bottom w:w="22" w:type="dxa"/>
              <w:right w:w="24" w:type="dxa"/>
            </w:tcMar>
          </w:tcPr>
          <w:p w14:paraId="41EF89E1" w14:textId="77777777" w:rsidR="004D7A10" w:rsidRPr="007E140B" w:rsidRDefault="00867805" w:rsidP="0026770E">
            <w:pPr>
              <w:spacing w:after="0" w:line="240" w:lineRule="auto"/>
              <w:rPr>
                <w:rFonts w:cs="Arial"/>
                <w:color w:val="auto"/>
              </w:rPr>
            </w:pPr>
            <w:hyperlink r:id="rId64">
              <w:r w:rsidR="004D7A10" w:rsidRPr="007E140B">
                <w:rPr>
                  <w:rFonts w:cs="Arial"/>
                  <w:color w:val="auto"/>
                  <w:sz w:val="13"/>
                  <w:szCs w:val="13"/>
                </w:rPr>
                <w:t>https://doi.org/10.2308/TAR-2019-0506</w:t>
              </w:r>
            </w:hyperlink>
          </w:p>
        </w:tc>
      </w:tr>
      <w:tr w:rsidR="007E140B" w:rsidRPr="007E140B" w14:paraId="178EFABE" w14:textId="77777777" w:rsidTr="0026770E">
        <w:trPr>
          <w:cantSplit/>
          <w:jc w:val="center"/>
        </w:trPr>
        <w:tc>
          <w:tcPr>
            <w:tcW w:w="504" w:type="dxa"/>
            <w:shd w:val="clear" w:color="auto" w:fill="F7FAFC"/>
            <w:tcMar>
              <w:top w:w="22" w:type="dxa"/>
              <w:left w:w="24" w:type="dxa"/>
              <w:bottom w:w="22" w:type="dxa"/>
              <w:right w:w="24" w:type="dxa"/>
            </w:tcMar>
            <w:vAlign w:val="center"/>
          </w:tcPr>
          <w:p w14:paraId="3627BBD4" w14:textId="77777777" w:rsidR="004D7A10" w:rsidRPr="007E140B" w:rsidRDefault="004D7A10" w:rsidP="0026770E">
            <w:pPr>
              <w:spacing w:after="0" w:line="240" w:lineRule="auto"/>
              <w:jc w:val="center"/>
              <w:rPr>
                <w:rFonts w:cs="Arial"/>
                <w:color w:val="auto"/>
              </w:rPr>
            </w:pPr>
            <w:r w:rsidRPr="007E140B">
              <w:rPr>
                <w:rFonts w:cs="Arial"/>
                <w:b/>
                <w:color w:val="auto"/>
                <w:sz w:val="15"/>
              </w:rPr>
              <w:lastRenderedPageBreak/>
              <w:t>9</w:t>
            </w:r>
          </w:p>
        </w:tc>
        <w:tc>
          <w:tcPr>
            <w:tcW w:w="1447" w:type="dxa"/>
            <w:shd w:val="clear" w:color="auto" w:fill="F7FAFC"/>
            <w:tcMar>
              <w:top w:w="22" w:type="dxa"/>
              <w:left w:w="24" w:type="dxa"/>
              <w:bottom w:w="22" w:type="dxa"/>
              <w:right w:w="24" w:type="dxa"/>
            </w:tcMar>
          </w:tcPr>
          <w:p w14:paraId="2D5D96C6" w14:textId="77777777" w:rsidR="004D7A10" w:rsidRPr="007E140B" w:rsidRDefault="004D7A10" w:rsidP="0026770E">
            <w:pPr>
              <w:spacing w:after="0" w:line="240" w:lineRule="auto"/>
              <w:rPr>
                <w:rFonts w:cs="Arial"/>
                <w:color w:val="auto"/>
              </w:rPr>
            </w:pPr>
            <w:r w:rsidRPr="007E140B">
              <w:rPr>
                <w:rFonts w:cs="Arial"/>
                <w:b/>
                <w:color w:val="auto"/>
                <w:sz w:val="15"/>
              </w:rPr>
              <w:t>Mandatory CSR and Sustainability Reporting: Economic Analysis and Literature Review</w:t>
            </w:r>
          </w:p>
        </w:tc>
        <w:tc>
          <w:tcPr>
            <w:tcW w:w="1049" w:type="dxa"/>
            <w:shd w:val="clear" w:color="auto" w:fill="F7FAFC"/>
            <w:tcMar>
              <w:top w:w="22" w:type="dxa"/>
              <w:left w:w="24" w:type="dxa"/>
              <w:bottom w:w="22" w:type="dxa"/>
              <w:right w:w="24" w:type="dxa"/>
            </w:tcMar>
          </w:tcPr>
          <w:p w14:paraId="7A6DECD6" w14:textId="77777777" w:rsidR="004D7A10" w:rsidRPr="007E140B" w:rsidRDefault="004D7A10" w:rsidP="0026770E">
            <w:pPr>
              <w:spacing w:after="0" w:line="240" w:lineRule="auto"/>
              <w:rPr>
                <w:rFonts w:cs="Arial"/>
                <w:color w:val="auto"/>
              </w:rPr>
            </w:pPr>
            <w:r w:rsidRPr="007E140B">
              <w:rPr>
                <w:rFonts w:cs="Arial"/>
                <w:color w:val="auto"/>
                <w:sz w:val="15"/>
              </w:rPr>
              <w:t>Review of Accounting Studies</w:t>
            </w:r>
          </w:p>
        </w:tc>
        <w:tc>
          <w:tcPr>
            <w:tcW w:w="905" w:type="dxa"/>
            <w:shd w:val="clear" w:color="auto" w:fill="F7FAFC"/>
            <w:tcMar>
              <w:top w:w="22" w:type="dxa"/>
              <w:left w:w="24" w:type="dxa"/>
              <w:bottom w:w="22" w:type="dxa"/>
              <w:right w:w="24" w:type="dxa"/>
            </w:tcMar>
          </w:tcPr>
          <w:p w14:paraId="6623D5CF" w14:textId="77777777" w:rsidR="004D7A10" w:rsidRPr="007E140B" w:rsidRDefault="004D7A10" w:rsidP="0026770E">
            <w:pPr>
              <w:spacing w:after="0" w:line="240" w:lineRule="auto"/>
              <w:rPr>
                <w:rFonts w:cs="Arial"/>
                <w:color w:val="auto"/>
              </w:rPr>
            </w:pPr>
            <w:r w:rsidRPr="007E140B">
              <w:rPr>
                <w:rFonts w:cs="Arial"/>
                <w:color w:val="auto"/>
                <w:sz w:val="15"/>
              </w:rPr>
              <w:t>Christensen, H.B.; Hail, L.; Leuz, C.</w:t>
            </w:r>
          </w:p>
        </w:tc>
        <w:tc>
          <w:tcPr>
            <w:tcW w:w="648" w:type="dxa"/>
            <w:shd w:val="clear" w:color="auto" w:fill="F7FAFC"/>
            <w:tcMar>
              <w:top w:w="22" w:type="dxa"/>
              <w:left w:w="24" w:type="dxa"/>
              <w:bottom w:w="22" w:type="dxa"/>
              <w:right w:w="24" w:type="dxa"/>
            </w:tcMar>
            <w:vAlign w:val="center"/>
          </w:tcPr>
          <w:p w14:paraId="07CE6103" w14:textId="77777777" w:rsidR="004D7A10" w:rsidRPr="007E140B" w:rsidRDefault="004D7A10" w:rsidP="0026770E">
            <w:pPr>
              <w:spacing w:after="0" w:line="240" w:lineRule="auto"/>
              <w:jc w:val="center"/>
              <w:rPr>
                <w:rFonts w:cs="Arial"/>
                <w:color w:val="auto"/>
              </w:rPr>
            </w:pPr>
            <w:r w:rsidRPr="007E140B">
              <w:rPr>
                <w:rFonts w:cs="Arial"/>
                <w:b/>
                <w:color w:val="auto"/>
                <w:sz w:val="15"/>
              </w:rPr>
              <w:t>2021</w:t>
            </w:r>
          </w:p>
        </w:tc>
        <w:tc>
          <w:tcPr>
            <w:tcW w:w="1230" w:type="dxa"/>
            <w:shd w:val="clear" w:color="auto" w:fill="F7FAFC"/>
            <w:tcMar>
              <w:top w:w="22" w:type="dxa"/>
              <w:left w:w="24" w:type="dxa"/>
              <w:bottom w:w="22" w:type="dxa"/>
              <w:right w:w="24" w:type="dxa"/>
            </w:tcMar>
          </w:tcPr>
          <w:p w14:paraId="136C5868" w14:textId="77777777" w:rsidR="004D7A10" w:rsidRPr="007E140B" w:rsidRDefault="004D7A10" w:rsidP="0026770E">
            <w:pPr>
              <w:spacing w:after="0" w:line="240" w:lineRule="auto"/>
              <w:rPr>
                <w:rFonts w:cs="Arial"/>
                <w:color w:val="auto"/>
              </w:rPr>
            </w:pPr>
            <w:r w:rsidRPr="007E140B">
              <w:rPr>
                <w:rFonts w:cs="Arial"/>
                <w:color w:val="auto"/>
                <w:sz w:val="15"/>
              </w:rPr>
              <w:t>To develop an economic framework and review evidence on mandatory CSR/sustainability reporting and its capital-market, stakeholder and real effects.</w:t>
            </w:r>
          </w:p>
        </w:tc>
        <w:tc>
          <w:tcPr>
            <w:tcW w:w="1375" w:type="dxa"/>
            <w:shd w:val="clear" w:color="auto" w:fill="F7FAFC"/>
            <w:tcMar>
              <w:top w:w="22" w:type="dxa"/>
              <w:left w:w="24" w:type="dxa"/>
              <w:bottom w:w="22" w:type="dxa"/>
              <w:right w:w="24" w:type="dxa"/>
            </w:tcMar>
          </w:tcPr>
          <w:p w14:paraId="3E88369E" w14:textId="77777777" w:rsidR="004D7A10" w:rsidRPr="007E140B" w:rsidRDefault="004D7A10" w:rsidP="0026770E">
            <w:pPr>
              <w:spacing w:after="0" w:line="240" w:lineRule="auto"/>
              <w:rPr>
                <w:rFonts w:cs="Arial"/>
                <w:color w:val="auto"/>
              </w:rPr>
            </w:pPr>
            <w:r w:rsidRPr="007E140B">
              <w:rPr>
                <w:rFonts w:cs="Arial"/>
                <w:color w:val="auto"/>
                <w:sz w:val="15"/>
              </w:rPr>
              <w:t>Integrate findings across accounting, finance, economics and management; explain mechanisms and trade-offs; identify implementation, standard-setting and research challenges.</w:t>
            </w:r>
          </w:p>
        </w:tc>
        <w:tc>
          <w:tcPr>
            <w:tcW w:w="1086" w:type="dxa"/>
            <w:shd w:val="clear" w:color="auto" w:fill="F7FAFC"/>
            <w:tcMar>
              <w:top w:w="22" w:type="dxa"/>
              <w:left w:w="24" w:type="dxa"/>
              <w:bottom w:w="22" w:type="dxa"/>
              <w:right w:w="24" w:type="dxa"/>
            </w:tcMar>
          </w:tcPr>
          <w:p w14:paraId="0AA42504" w14:textId="77777777" w:rsidR="004D7A10" w:rsidRPr="007E140B" w:rsidRDefault="004D7A10" w:rsidP="0026770E">
            <w:pPr>
              <w:spacing w:after="0" w:line="240" w:lineRule="auto"/>
              <w:rPr>
                <w:rFonts w:cs="Arial"/>
                <w:color w:val="auto"/>
              </w:rPr>
            </w:pPr>
            <w:r w:rsidRPr="007E140B">
              <w:rPr>
                <w:rFonts w:cs="Arial"/>
                <w:color w:val="auto"/>
                <w:sz w:val="15"/>
              </w:rPr>
              <w:t>What economic effects can mandatory sustainability reporting produce, through which mechanisms, and what design/enforcement trade-offs shape those effects?</w:t>
            </w:r>
          </w:p>
        </w:tc>
        <w:tc>
          <w:tcPr>
            <w:tcW w:w="1122" w:type="dxa"/>
            <w:shd w:val="clear" w:color="auto" w:fill="F7FAFC"/>
            <w:tcMar>
              <w:top w:w="22" w:type="dxa"/>
              <w:left w:w="24" w:type="dxa"/>
              <w:bottom w:w="22" w:type="dxa"/>
              <w:right w:w="24" w:type="dxa"/>
            </w:tcMar>
          </w:tcPr>
          <w:p w14:paraId="562CC738" w14:textId="77777777" w:rsidR="004D7A10" w:rsidRPr="007E140B" w:rsidRDefault="004D7A10" w:rsidP="0026770E">
            <w:pPr>
              <w:spacing w:after="0" w:line="240" w:lineRule="auto"/>
              <w:rPr>
                <w:rFonts w:cs="Arial"/>
                <w:color w:val="auto"/>
              </w:rPr>
            </w:pPr>
            <w:r w:rsidRPr="007E140B">
              <w:rPr>
                <w:rFonts w:cs="Arial"/>
                <w:color w:val="auto"/>
                <w:sz w:val="15"/>
              </w:rPr>
              <w:t>Economic analysis and interdisciplinary literature review; no single empirical sample.</w:t>
            </w:r>
          </w:p>
        </w:tc>
        <w:tc>
          <w:tcPr>
            <w:tcW w:w="1556" w:type="dxa"/>
            <w:shd w:val="clear" w:color="auto" w:fill="F7FAFC"/>
            <w:tcMar>
              <w:top w:w="22" w:type="dxa"/>
              <w:left w:w="24" w:type="dxa"/>
              <w:bottom w:w="22" w:type="dxa"/>
              <w:right w:w="24" w:type="dxa"/>
            </w:tcMar>
          </w:tcPr>
          <w:p w14:paraId="0EE3951A" w14:textId="77777777" w:rsidR="004D7A10" w:rsidRPr="007E140B" w:rsidRDefault="004D7A10" w:rsidP="0026770E">
            <w:pPr>
              <w:spacing w:after="0" w:line="240" w:lineRule="auto"/>
              <w:rPr>
                <w:rFonts w:cs="Arial"/>
                <w:color w:val="auto"/>
              </w:rPr>
            </w:pPr>
            <w:r w:rsidRPr="007E140B">
              <w:rPr>
                <w:rFonts w:cs="Arial"/>
                <w:color w:val="auto"/>
                <w:sz w:val="15"/>
              </w:rPr>
              <w:t>Mandatory reporting can improve information and change corporate/stakeholder behaviour, but effects depend on standards, materiality, comparability, enforcement, incentives and implementation costs. Causal evidence remains uneven.</w:t>
            </w:r>
          </w:p>
        </w:tc>
        <w:tc>
          <w:tcPr>
            <w:tcW w:w="1665" w:type="dxa"/>
            <w:shd w:val="clear" w:color="auto" w:fill="F7FAFC"/>
            <w:tcMar>
              <w:top w:w="22" w:type="dxa"/>
              <w:left w:w="24" w:type="dxa"/>
              <w:bottom w:w="22" w:type="dxa"/>
              <w:right w:w="24" w:type="dxa"/>
            </w:tcMar>
          </w:tcPr>
          <w:p w14:paraId="4BDBAD2F" w14:textId="77777777" w:rsidR="004D7A10" w:rsidRPr="007E140B" w:rsidRDefault="004D7A10" w:rsidP="0026770E">
            <w:pPr>
              <w:spacing w:after="0" w:line="240" w:lineRule="auto"/>
              <w:rPr>
                <w:rFonts w:cs="Arial"/>
                <w:color w:val="auto"/>
              </w:rPr>
            </w:pPr>
            <w:r w:rsidRPr="007E140B">
              <w:rPr>
                <w:rFonts w:cs="Arial"/>
                <w:color w:val="auto"/>
                <w:sz w:val="15"/>
              </w:rPr>
              <w:t>The article treats sustainability reporting as an information and regulation problem with potential market and real effects rather than assuming that disclosure itself improves sustainability outcomes.</w:t>
            </w:r>
          </w:p>
        </w:tc>
        <w:tc>
          <w:tcPr>
            <w:tcW w:w="1303" w:type="dxa"/>
            <w:shd w:val="clear" w:color="auto" w:fill="F7FAFC"/>
            <w:tcMar>
              <w:top w:w="22" w:type="dxa"/>
              <w:left w:w="24" w:type="dxa"/>
              <w:bottom w:w="22" w:type="dxa"/>
              <w:right w:w="24" w:type="dxa"/>
            </w:tcMar>
          </w:tcPr>
          <w:p w14:paraId="458FBA64" w14:textId="77777777" w:rsidR="004D7A10" w:rsidRPr="007E140B" w:rsidRDefault="004D7A10" w:rsidP="0026770E">
            <w:pPr>
              <w:spacing w:after="0" w:line="240" w:lineRule="auto"/>
              <w:rPr>
                <w:rFonts w:cs="Arial"/>
                <w:color w:val="auto"/>
              </w:rPr>
            </w:pPr>
            <w:r w:rsidRPr="007E140B">
              <w:rPr>
                <w:rFonts w:cs="Arial"/>
                <w:color w:val="auto"/>
                <w:sz w:val="15"/>
              </w:rPr>
              <w:t>Supports the dissertation’s control-environment argument: targets and disclosures need accountable ownership, reliable data, enforcement and appropriate scope. It also justifies caution about unintended behavioural effects of metrics.</w:t>
            </w:r>
          </w:p>
        </w:tc>
        <w:tc>
          <w:tcPr>
            <w:tcW w:w="1230" w:type="dxa"/>
            <w:shd w:val="clear" w:color="auto" w:fill="F7FAFC"/>
            <w:tcMar>
              <w:top w:w="22" w:type="dxa"/>
              <w:left w:w="24" w:type="dxa"/>
              <w:bottom w:w="22" w:type="dxa"/>
              <w:right w:w="24" w:type="dxa"/>
            </w:tcMar>
          </w:tcPr>
          <w:p w14:paraId="35EE71C2" w14:textId="77777777" w:rsidR="004D7A10" w:rsidRPr="007E140B" w:rsidRDefault="00867805" w:rsidP="0026770E">
            <w:pPr>
              <w:spacing w:after="0" w:line="240" w:lineRule="auto"/>
              <w:rPr>
                <w:rFonts w:cs="Arial"/>
                <w:color w:val="auto"/>
              </w:rPr>
            </w:pPr>
            <w:hyperlink r:id="rId65">
              <w:r w:rsidR="004D7A10" w:rsidRPr="007E140B">
                <w:rPr>
                  <w:rFonts w:cs="Arial"/>
                  <w:color w:val="auto"/>
                  <w:sz w:val="13"/>
                  <w:szCs w:val="13"/>
                </w:rPr>
                <w:t>https://doi.org/10.1007/s11142-021-09609-5</w:t>
              </w:r>
            </w:hyperlink>
          </w:p>
        </w:tc>
      </w:tr>
      <w:tr w:rsidR="007E140B" w:rsidRPr="007E140B" w14:paraId="6C9571F8" w14:textId="77777777" w:rsidTr="0026770E">
        <w:trPr>
          <w:cantSplit/>
          <w:jc w:val="center"/>
        </w:trPr>
        <w:tc>
          <w:tcPr>
            <w:tcW w:w="504" w:type="dxa"/>
            <w:shd w:val="clear" w:color="auto" w:fill="EAF1F7"/>
            <w:tcMar>
              <w:top w:w="22" w:type="dxa"/>
              <w:left w:w="24" w:type="dxa"/>
              <w:bottom w:w="22" w:type="dxa"/>
              <w:right w:w="24" w:type="dxa"/>
            </w:tcMar>
            <w:vAlign w:val="center"/>
          </w:tcPr>
          <w:p w14:paraId="633607A3" w14:textId="77777777" w:rsidR="004D7A10" w:rsidRPr="007E140B" w:rsidRDefault="004D7A10" w:rsidP="0026770E">
            <w:pPr>
              <w:spacing w:after="0" w:line="240" w:lineRule="auto"/>
              <w:jc w:val="center"/>
              <w:rPr>
                <w:rFonts w:cs="Arial"/>
                <w:color w:val="auto"/>
              </w:rPr>
            </w:pPr>
            <w:r w:rsidRPr="007E140B">
              <w:rPr>
                <w:rFonts w:cs="Arial"/>
                <w:b/>
                <w:color w:val="auto"/>
                <w:sz w:val="15"/>
              </w:rPr>
              <w:t>10</w:t>
            </w:r>
          </w:p>
        </w:tc>
        <w:tc>
          <w:tcPr>
            <w:tcW w:w="1447" w:type="dxa"/>
            <w:shd w:val="clear" w:color="auto" w:fill="EAF1F7"/>
            <w:tcMar>
              <w:top w:w="22" w:type="dxa"/>
              <w:left w:w="24" w:type="dxa"/>
              <w:bottom w:w="22" w:type="dxa"/>
              <w:right w:w="24" w:type="dxa"/>
            </w:tcMar>
          </w:tcPr>
          <w:p w14:paraId="2ACFF665" w14:textId="77777777" w:rsidR="004D7A10" w:rsidRPr="007E140B" w:rsidRDefault="004D7A10" w:rsidP="0026770E">
            <w:pPr>
              <w:spacing w:after="0" w:line="240" w:lineRule="auto"/>
              <w:rPr>
                <w:rFonts w:cs="Arial"/>
                <w:color w:val="auto"/>
              </w:rPr>
            </w:pPr>
            <w:r w:rsidRPr="007E140B">
              <w:rPr>
                <w:rFonts w:cs="Arial"/>
                <w:b/>
                <w:color w:val="auto"/>
                <w:sz w:val="15"/>
              </w:rPr>
              <w:t>Concepts and Forms of Greenwashing: A Systematic Review</w:t>
            </w:r>
          </w:p>
        </w:tc>
        <w:tc>
          <w:tcPr>
            <w:tcW w:w="1049" w:type="dxa"/>
            <w:shd w:val="clear" w:color="auto" w:fill="EAF1F7"/>
            <w:tcMar>
              <w:top w:w="22" w:type="dxa"/>
              <w:left w:w="24" w:type="dxa"/>
              <w:bottom w:w="22" w:type="dxa"/>
              <w:right w:w="24" w:type="dxa"/>
            </w:tcMar>
          </w:tcPr>
          <w:p w14:paraId="072C560A" w14:textId="77777777" w:rsidR="004D7A10" w:rsidRPr="007E140B" w:rsidRDefault="004D7A10" w:rsidP="0026770E">
            <w:pPr>
              <w:spacing w:after="0" w:line="240" w:lineRule="auto"/>
              <w:rPr>
                <w:rFonts w:cs="Arial"/>
                <w:color w:val="auto"/>
              </w:rPr>
            </w:pPr>
            <w:r w:rsidRPr="007E140B">
              <w:rPr>
                <w:rFonts w:cs="Arial"/>
                <w:color w:val="auto"/>
                <w:sz w:val="15"/>
              </w:rPr>
              <w:t>Environmental Sciences Europe</w:t>
            </w:r>
          </w:p>
        </w:tc>
        <w:tc>
          <w:tcPr>
            <w:tcW w:w="905" w:type="dxa"/>
            <w:shd w:val="clear" w:color="auto" w:fill="EAF1F7"/>
            <w:tcMar>
              <w:top w:w="22" w:type="dxa"/>
              <w:left w:w="24" w:type="dxa"/>
              <w:bottom w:w="22" w:type="dxa"/>
              <w:right w:w="24" w:type="dxa"/>
            </w:tcMar>
          </w:tcPr>
          <w:p w14:paraId="4AED6CD6" w14:textId="77777777" w:rsidR="004D7A10" w:rsidRPr="007E140B" w:rsidRDefault="004D7A10" w:rsidP="0026770E">
            <w:pPr>
              <w:spacing w:after="0" w:line="240" w:lineRule="auto"/>
              <w:rPr>
                <w:rFonts w:cs="Arial"/>
                <w:color w:val="auto"/>
              </w:rPr>
            </w:pPr>
            <w:r w:rsidRPr="007E140B">
              <w:rPr>
                <w:rFonts w:cs="Arial"/>
                <w:color w:val="auto"/>
                <w:sz w:val="15"/>
              </w:rPr>
              <w:t>de Freitas Netto, S.V.; Sobral, M.F.F.; Ribeiro, A.R.B.; Soares, G.R.L.</w:t>
            </w:r>
          </w:p>
        </w:tc>
        <w:tc>
          <w:tcPr>
            <w:tcW w:w="648" w:type="dxa"/>
            <w:shd w:val="clear" w:color="auto" w:fill="EAF1F7"/>
            <w:tcMar>
              <w:top w:w="22" w:type="dxa"/>
              <w:left w:w="24" w:type="dxa"/>
              <w:bottom w:w="22" w:type="dxa"/>
              <w:right w:w="24" w:type="dxa"/>
            </w:tcMar>
            <w:vAlign w:val="center"/>
          </w:tcPr>
          <w:p w14:paraId="11753838" w14:textId="77777777" w:rsidR="004D7A10" w:rsidRPr="007E140B" w:rsidRDefault="004D7A10" w:rsidP="0026770E">
            <w:pPr>
              <w:spacing w:after="0" w:line="240" w:lineRule="auto"/>
              <w:jc w:val="center"/>
              <w:rPr>
                <w:rFonts w:cs="Arial"/>
                <w:color w:val="auto"/>
              </w:rPr>
            </w:pPr>
            <w:r w:rsidRPr="007E140B">
              <w:rPr>
                <w:rFonts w:cs="Arial"/>
                <w:b/>
                <w:color w:val="auto"/>
                <w:sz w:val="15"/>
              </w:rPr>
              <w:t>2020</w:t>
            </w:r>
          </w:p>
        </w:tc>
        <w:tc>
          <w:tcPr>
            <w:tcW w:w="1230" w:type="dxa"/>
            <w:shd w:val="clear" w:color="auto" w:fill="EAF1F7"/>
            <w:tcMar>
              <w:top w:w="22" w:type="dxa"/>
              <w:left w:w="24" w:type="dxa"/>
              <w:bottom w:w="22" w:type="dxa"/>
              <w:right w:w="24" w:type="dxa"/>
            </w:tcMar>
          </w:tcPr>
          <w:p w14:paraId="58FA7417" w14:textId="77777777" w:rsidR="004D7A10" w:rsidRPr="007E140B" w:rsidRDefault="004D7A10" w:rsidP="0026770E">
            <w:pPr>
              <w:spacing w:after="0" w:line="240" w:lineRule="auto"/>
              <w:rPr>
                <w:rFonts w:cs="Arial"/>
                <w:color w:val="auto"/>
              </w:rPr>
            </w:pPr>
            <w:r w:rsidRPr="007E140B">
              <w:rPr>
                <w:rFonts w:cs="Arial"/>
                <w:color w:val="auto"/>
                <w:sz w:val="15"/>
              </w:rPr>
              <w:t>To clarify the main concepts and typologies of greenwashing reported in the literature during the preceding decade.</w:t>
            </w:r>
          </w:p>
        </w:tc>
        <w:tc>
          <w:tcPr>
            <w:tcW w:w="1375" w:type="dxa"/>
            <w:shd w:val="clear" w:color="auto" w:fill="EAF1F7"/>
            <w:tcMar>
              <w:top w:w="22" w:type="dxa"/>
              <w:left w:w="24" w:type="dxa"/>
              <w:bottom w:w="22" w:type="dxa"/>
              <w:right w:w="24" w:type="dxa"/>
            </w:tcMar>
          </w:tcPr>
          <w:p w14:paraId="1B447598" w14:textId="77777777" w:rsidR="004D7A10" w:rsidRPr="007E140B" w:rsidRDefault="004D7A10" w:rsidP="0026770E">
            <w:pPr>
              <w:spacing w:after="0" w:line="240" w:lineRule="auto"/>
              <w:rPr>
                <w:rFonts w:cs="Arial"/>
                <w:color w:val="auto"/>
              </w:rPr>
            </w:pPr>
            <w:r w:rsidRPr="007E140B">
              <w:rPr>
                <w:rFonts w:cs="Arial"/>
                <w:color w:val="auto"/>
                <w:sz w:val="15"/>
              </w:rPr>
              <w:t>Systematically identify greenwashing studies; consolidate definitions; classify forms/levels of greenwashing; highlight conceptual gaps.</w:t>
            </w:r>
          </w:p>
        </w:tc>
        <w:tc>
          <w:tcPr>
            <w:tcW w:w="1086" w:type="dxa"/>
            <w:shd w:val="clear" w:color="auto" w:fill="EAF1F7"/>
            <w:tcMar>
              <w:top w:w="22" w:type="dxa"/>
              <w:left w:w="24" w:type="dxa"/>
              <w:bottom w:w="22" w:type="dxa"/>
              <w:right w:w="24" w:type="dxa"/>
            </w:tcMar>
          </w:tcPr>
          <w:p w14:paraId="2C5FF687" w14:textId="77777777" w:rsidR="004D7A10" w:rsidRPr="007E140B" w:rsidRDefault="004D7A10" w:rsidP="0026770E">
            <w:pPr>
              <w:spacing w:after="0" w:line="240" w:lineRule="auto"/>
              <w:rPr>
                <w:rFonts w:cs="Arial"/>
                <w:color w:val="auto"/>
              </w:rPr>
            </w:pPr>
            <w:r w:rsidRPr="007E140B">
              <w:rPr>
                <w:rFonts w:cs="Arial"/>
                <w:color w:val="auto"/>
                <w:sz w:val="15"/>
              </w:rPr>
              <w:t>How has greenwashing been defined and categorised in recent research, and what principal forms of greenwashing recur across studies?</w:t>
            </w:r>
          </w:p>
        </w:tc>
        <w:tc>
          <w:tcPr>
            <w:tcW w:w="1122" w:type="dxa"/>
            <w:shd w:val="clear" w:color="auto" w:fill="EAF1F7"/>
            <w:tcMar>
              <w:top w:w="22" w:type="dxa"/>
              <w:left w:w="24" w:type="dxa"/>
              <w:bottom w:w="22" w:type="dxa"/>
              <w:right w:w="24" w:type="dxa"/>
            </w:tcMar>
          </w:tcPr>
          <w:p w14:paraId="78815642" w14:textId="77777777" w:rsidR="004D7A10" w:rsidRPr="007E140B" w:rsidRDefault="004D7A10" w:rsidP="0026770E">
            <w:pPr>
              <w:spacing w:after="0" w:line="240" w:lineRule="auto"/>
              <w:rPr>
                <w:rFonts w:cs="Arial"/>
                <w:color w:val="auto"/>
              </w:rPr>
            </w:pPr>
            <w:r w:rsidRPr="007E140B">
              <w:rPr>
                <w:rFonts w:cs="Arial"/>
                <w:color w:val="auto"/>
                <w:sz w:val="15"/>
              </w:rPr>
              <w:t>Systematic literature review using Scopus and Web of Science. From 263 records, screening and full-text assessment produced 42 studies meeting the review protocol.</w:t>
            </w:r>
          </w:p>
        </w:tc>
        <w:tc>
          <w:tcPr>
            <w:tcW w:w="1556" w:type="dxa"/>
            <w:shd w:val="clear" w:color="auto" w:fill="EAF1F7"/>
            <w:tcMar>
              <w:top w:w="22" w:type="dxa"/>
              <w:left w:w="24" w:type="dxa"/>
              <w:bottom w:w="22" w:type="dxa"/>
              <w:right w:w="24" w:type="dxa"/>
            </w:tcMar>
          </w:tcPr>
          <w:p w14:paraId="14D70B2E" w14:textId="77777777" w:rsidR="004D7A10" w:rsidRPr="007E140B" w:rsidRDefault="004D7A10" w:rsidP="0026770E">
            <w:pPr>
              <w:spacing w:after="0" w:line="240" w:lineRule="auto"/>
              <w:rPr>
                <w:rFonts w:cs="Arial"/>
                <w:color w:val="auto"/>
              </w:rPr>
            </w:pPr>
            <w:r w:rsidRPr="007E140B">
              <w:rPr>
                <w:rFonts w:cs="Arial"/>
                <w:color w:val="auto"/>
                <w:sz w:val="15"/>
              </w:rPr>
              <w:t>Greenwashing takes multiple forms, including selective disclosure, vague/irrelevant claims, misleading labels and product- or firm-level communication that is disconnected from underlying environmental performance.</w:t>
            </w:r>
          </w:p>
        </w:tc>
        <w:tc>
          <w:tcPr>
            <w:tcW w:w="1665" w:type="dxa"/>
            <w:shd w:val="clear" w:color="auto" w:fill="EAF1F7"/>
            <w:tcMar>
              <w:top w:w="22" w:type="dxa"/>
              <w:left w:w="24" w:type="dxa"/>
              <w:bottom w:w="22" w:type="dxa"/>
              <w:right w:w="24" w:type="dxa"/>
            </w:tcMar>
          </w:tcPr>
          <w:p w14:paraId="18D49817" w14:textId="77777777" w:rsidR="004D7A10" w:rsidRPr="007E140B" w:rsidRDefault="004D7A10" w:rsidP="0026770E">
            <w:pPr>
              <w:spacing w:after="0" w:line="240" w:lineRule="auto"/>
              <w:rPr>
                <w:rFonts w:cs="Arial"/>
                <w:color w:val="auto"/>
              </w:rPr>
            </w:pPr>
            <w:r w:rsidRPr="007E140B">
              <w:rPr>
                <w:rFonts w:cs="Arial"/>
                <w:color w:val="auto"/>
                <w:sz w:val="15"/>
              </w:rPr>
              <w:t>The review organises a fragmented greenwashing literature into clearer concepts and typologies, showing that misleading sustainability communication can occur at both corporate and product/service levels.</w:t>
            </w:r>
          </w:p>
        </w:tc>
        <w:tc>
          <w:tcPr>
            <w:tcW w:w="1303" w:type="dxa"/>
            <w:shd w:val="clear" w:color="auto" w:fill="EAF1F7"/>
            <w:tcMar>
              <w:top w:w="22" w:type="dxa"/>
              <w:left w:w="24" w:type="dxa"/>
              <w:bottom w:w="22" w:type="dxa"/>
              <w:right w:w="24" w:type="dxa"/>
            </w:tcMar>
          </w:tcPr>
          <w:p w14:paraId="2EDB5C8F" w14:textId="77777777" w:rsidR="004D7A10" w:rsidRPr="007E140B" w:rsidRDefault="004D7A10" w:rsidP="0026770E">
            <w:pPr>
              <w:spacing w:after="0" w:line="240" w:lineRule="auto"/>
              <w:rPr>
                <w:rFonts w:cs="Arial"/>
                <w:color w:val="auto"/>
              </w:rPr>
            </w:pPr>
            <w:r w:rsidRPr="007E140B">
              <w:rPr>
                <w:rFonts w:cs="Arial"/>
                <w:color w:val="auto"/>
                <w:sz w:val="15"/>
              </w:rPr>
              <w:t>Provides the conceptual basis for the dissertation’s greenwashing-risk and claim-level-evidence discussion. It is especially relevant to consumer goods because product claims can create reputational and regulatory exposure.</w:t>
            </w:r>
          </w:p>
        </w:tc>
        <w:tc>
          <w:tcPr>
            <w:tcW w:w="1230" w:type="dxa"/>
            <w:shd w:val="clear" w:color="auto" w:fill="EAF1F7"/>
            <w:tcMar>
              <w:top w:w="22" w:type="dxa"/>
              <w:left w:w="24" w:type="dxa"/>
              <w:bottom w:w="22" w:type="dxa"/>
              <w:right w:w="24" w:type="dxa"/>
            </w:tcMar>
          </w:tcPr>
          <w:p w14:paraId="307AA840" w14:textId="77777777" w:rsidR="004D7A10" w:rsidRPr="007E140B" w:rsidRDefault="00867805" w:rsidP="0026770E">
            <w:pPr>
              <w:spacing w:after="0" w:line="240" w:lineRule="auto"/>
              <w:rPr>
                <w:rFonts w:cs="Arial"/>
                <w:color w:val="auto"/>
              </w:rPr>
            </w:pPr>
            <w:hyperlink r:id="rId66">
              <w:r w:rsidR="004D7A10" w:rsidRPr="007E140B">
                <w:rPr>
                  <w:rFonts w:cs="Arial"/>
                  <w:color w:val="auto"/>
                  <w:sz w:val="13"/>
                  <w:szCs w:val="13"/>
                </w:rPr>
                <w:t>https://doi.org/10.1186/s12302-020-0300-3</w:t>
              </w:r>
            </w:hyperlink>
          </w:p>
        </w:tc>
      </w:tr>
      <w:tr w:rsidR="007E140B" w:rsidRPr="007E140B" w14:paraId="3EC8596F" w14:textId="77777777" w:rsidTr="0026770E">
        <w:trPr>
          <w:cantSplit/>
          <w:jc w:val="center"/>
        </w:trPr>
        <w:tc>
          <w:tcPr>
            <w:tcW w:w="504" w:type="dxa"/>
            <w:shd w:val="clear" w:color="auto" w:fill="F7FAFC"/>
            <w:tcMar>
              <w:top w:w="22" w:type="dxa"/>
              <w:left w:w="24" w:type="dxa"/>
              <w:bottom w:w="22" w:type="dxa"/>
              <w:right w:w="24" w:type="dxa"/>
            </w:tcMar>
            <w:vAlign w:val="center"/>
          </w:tcPr>
          <w:p w14:paraId="3C422550" w14:textId="77777777" w:rsidR="004D7A10" w:rsidRPr="007E140B" w:rsidRDefault="004D7A10" w:rsidP="0026770E">
            <w:pPr>
              <w:spacing w:after="0" w:line="240" w:lineRule="auto"/>
              <w:jc w:val="center"/>
              <w:rPr>
                <w:rFonts w:cs="Arial"/>
                <w:color w:val="auto"/>
              </w:rPr>
            </w:pPr>
            <w:r w:rsidRPr="007E140B">
              <w:rPr>
                <w:rFonts w:cs="Arial"/>
                <w:b/>
                <w:color w:val="auto"/>
                <w:sz w:val="15"/>
              </w:rPr>
              <w:t>11</w:t>
            </w:r>
          </w:p>
        </w:tc>
        <w:tc>
          <w:tcPr>
            <w:tcW w:w="1447" w:type="dxa"/>
            <w:shd w:val="clear" w:color="auto" w:fill="F7FAFC"/>
            <w:tcMar>
              <w:top w:w="22" w:type="dxa"/>
              <w:left w:w="24" w:type="dxa"/>
              <w:bottom w:w="22" w:type="dxa"/>
              <w:right w:w="24" w:type="dxa"/>
            </w:tcMar>
          </w:tcPr>
          <w:p w14:paraId="509E4F65" w14:textId="77777777" w:rsidR="004D7A10" w:rsidRPr="007E140B" w:rsidRDefault="004D7A10" w:rsidP="0026770E">
            <w:pPr>
              <w:spacing w:after="0" w:line="240" w:lineRule="auto"/>
              <w:rPr>
                <w:rFonts w:cs="Arial"/>
                <w:color w:val="auto"/>
              </w:rPr>
            </w:pPr>
            <w:r w:rsidRPr="007E140B">
              <w:rPr>
                <w:rFonts w:cs="Arial"/>
                <w:b/>
                <w:color w:val="auto"/>
                <w:sz w:val="15"/>
              </w:rPr>
              <w:t>Revisiting Knowledge on ESG/CSR and Financial Performance: A Bibliometric and Systematic Review of Moderating Variables</w:t>
            </w:r>
          </w:p>
        </w:tc>
        <w:tc>
          <w:tcPr>
            <w:tcW w:w="1049" w:type="dxa"/>
            <w:shd w:val="clear" w:color="auto" w:fill="F7FAFC"/>
            <w:tcMar>
              <w:top w:w="22" w:type="dxa"/>
              <w:left w:w="24" w:type="dxa"/>
              <w:bottom w:w="22" w:type="dxa"/>
              <w:right w:w="24" w:type="dxa"/>
            </w:tcMar>
          </w:tcPr>
          <w:p w14:paraId="6458ADA8" w14:textId="77777777" w:rsidR="004D7A10" w:rsidRPr="007E140B" w:rsidRDefault="004D7A10" w:rsidP="0026770E">
            <w:pPr>
              <w:spacing w:after="0" w:line="240" w:lineRule="auto"/>
              <w:rPr>
                <w:rFonts w:cs="Arial"/>
                <w:color w:val="auto"/>
              </w:rPr>
            </w:pPr>
            <w:r w:rsidRPr="007E140B">
              <w:rPr>
                <w:rFonts w:cs="Arial"/>
                <w:color w:val="auto"/>
                <w:sz w:val="15"/>
              </w:rPr>
              <w:t>Journal of Innovation &amp; Knowledge</w:t>
            </w:r>
          </w:p>
        </w:tc>
        <w:tc>
          <w:tcPr>
            <w:tcW w:w="905" w:type="dxa"/>
            <w:shd w:val="clear" w:color="auto" w:fill="F7FAFC"/>
            <w:tcMar>
              <w:top w:w="22" w:type="dxa"/>
              <w:left w:w="24" w:type="dxa"/>
              <w:bottom w:w="22" w:type="dxa"/>
              <w:right w:w="24" w:type="dxa"/>
            </w:tcMar>
          </w:tcPr>
          <w:p w14:paraId="390AE950" w14:textId="77777777" w:rsidR="004D7A10" w:rsidRPr="007E140B" w:rsidRDefault="004D7A10" w:rsidP="0026770E">
            <w:pPr>
              <w:spacing w:after="0" w:line="240" w:lineRule="auto"/>
              <w:rPr>
                <w:rFonts w:cs="Arial"/>
                <w:color w:val="auto"/>
              </w:rPr>
            </w:pPr>
            <w:r w:rsidRPr="007E140B">
              <w:rPr>
                <w:rFonts w:cs="Arial"/>
                <w:color w:val="auto"/>
                <w:sz w:val="15"/>
              </w:rPr>
              <w:t>dos Reis Cardillo, M.A.; Basso, L.F.C.</w:t>
            </w:r>
          </w:p>
        </w:tc>
        <w:tc>
          <w:tcPr>
            <w:tcW w:w="648" w:type="dxa"/>
            <w:shd w:val="clear" w:color="auto" w:fill="F7FAFC"/>
            <w:tcMar>
              <w:top w:w="22" w:type="dxa"/>
              <w:left w:w="24" w:type="dxa"/>
              <w:bottom w:w="22" w:type="dxa"/>
              <w:right w:w="24" w:type="dxa"/>
            </w:tcMar>
            <w:vAlign w:val="center"/>
          </w:tcPr>
          <w:p w14:paraId="72A56F63" w14:textId="77777777" w:rsidR="004D7A10" w:rsidRPr="007E140B" w:rsidRDefault="004D7A10" w:rsidP="0026770E">
            <w:pPr>
              <w:spacing w:after="0" w:line="240" w:lineRule="auto"/>
              <w:jc w:val="center"/>
              <w:rPr>
                <w:rFonts w:cs="Arial"/>
                <w:color w:val="auto"/>
              </w:rPr>
            </w:pPr>
            <w:r w:rsidRPr="007E140B">
              <w:rPr>
                <w:rFonts w:cs="Arial"/>
                <w:b/>
                <w:color w:val="auto"/>
                <w:sz w:val="15"/>
              </w:rPr>
              <w:t>2025</w:t>
            </w:r>
          </w:p>
        </w:tc>
        <w:tc>
          <w:tcPr>
            <w:tcW w:w="1230" w:type="dxa"/>
            <w:shd w:val="clear" w:color="auto" w:fill="F7FAFC"/>
            <w:tcMar>
              <w:top w:w="22" w:type="dxa"/>
              <w:left w:w="24" w:type="dxa"/>
              <w:bottom w:w="22" w:type="dxa"/>
              <w:right w:w="24" w:type="dxa"/>
            </w:tcMar>
          </w:tcPr>
          <w:p w14:paraId="4FAF1430" w14:textId="77777777" w:rsidR="004D7A10" w:rsidRPr="007E140B" w:rsidRDefault="004D7A10" w:rsidP="0026770E">
            <w:pPr>
              <w:spacing w:after="0" w:line="240" w:lineRule="auto"/>
              <w:rPr>
                <w:rFonts w:cs="Arial"/>
                <w:color w:val="auto"/>
              </w:rPr>
            </w:pPr>
            <w:r w:rsidRPr="007E140B">
              <w:rPr>
                <w:rFonts w:cs="Arial"/>
                <w:color w:val="auto"/>
                <w:sz w:val="15"/>
              </w:rPr>
              <w:t>To review how moderating variables shape the relationship between ESG/CSR measures and corporate financial performance.</w:t>
            </w:r>
          </w:p>
        </w:tc>
        <w:tc>
          <w:tcPr>
            <w:tcW w:w="1375" w:type="dxa"/>
            <w:shd w:val="clear" w:color="auto" w:fill="F7FAFC"/>
            <w:tcMar>
              <w:top w:w="22" w:type="dxa"/>
              <w:left w:w="24" w:type="dxa"/>
              <w:bottom w:w="22" w:type="dxa"/>
              <w:right w:w="24" w:type="dxa"/>
            </w:tcMar>
          </w:tcPr>
          <w:p w14:paraId="0AA64C95" w14:textId="77777777" w:rsidR="004D7A10" w:rsidRPr="007E140B" w:rsidRDefault="004D7A10" w:rsidP="0026770E">
            <w:pPr>
              <w:spacing w:after="0" w:line="240" w:lineRule="auto"/>
              <w:rPr>
                <w:rFonts w:cs="Arial"/>
                <w:color w:val="auto"/>
              </w:rPr>
            </w:pPr>
            <w:r w:rsidRPr="007E140B">
              <w:rPr>
                <w:rFonts w:cs="Arial"/>
                <w:color w:val="auto"/>
                <w:sz w:val="15"/>
              </w:rPr>
              <w:t>Map recent ESG/CSR–CFP research; identify major moderators, methods and gaps; explain why findings vary across contexts.</w:t>
            </w:r>
          </w:p>
        </w:tc>
        <w:tc>
          <w:tcPr>
            <w:tcW w:w="1086" w:type="dxa"/>
            <w:shd w:val="clear" w:color="auto" w:fill="F7FAFC"/>
            <w:tcMar>
              <w:top w:w="22" w:type="dxa"/>
              <w:left w:w="24" w:type="dxa"/>
              <w:bottom w:w="22" w:type="dxa"/>
              <w:right w:w="24" w:type="dxa"/>
            </w:tcMar>
          </w:tcPr>
          <w:p w14:paraId="28D4AD1F" w14:textId="77777777" w:rsidR="004D7A10" w:rsidRPr="007E140B" w:rsidRDefault="004D7A10" w:rsidP="0026770E">
            <w:pPr>
              <w:spacing w:after="0" w:line="240" w:lineRule="auto"/>
              <w:rPr>
                <w:rFonts w:cs="Arial"/>
                <w:color w:val="auto"/>
              </w:rPr>
            </w:pPr>
            <w:r w:rsidRPr="007E140B">
              <w:rPr>
                <w:rFonts w:cs="Arial"/>
                <w:color w:val="auto"/>
                <w:sz w:val="15"/>
              </w:rPr>
              <w:t>Which moderating variables influence the strength and direction of ESG/CSR relationships with corporate financial performance?</w:t>
            </w:r>
          </w:p>
        </w:tc>
        <w:tc>
          <w:tcPr>
            <w:tcW w:w="1122" w:type="dxa"/>
            <w:shd w:val="clear" w:color="auto" w:fill="F7FAFC"/>
            <w:tcMar>
              <w:top w:w="22" w:type="dxa"/>
              <w:left w:w="24" w:type="dxa"/>
              <w:bottom w:w="22" w:type="dxa"/>
              <w:right w:w="24" w:type="dxa"/>
            </w:tcMar>
          </w:tcPr>
          <w:p w14:paraId="0202528F" w14:textId="77777777" w:rsidR="004D7A10" w:rsidRPr="007E140B" w:rsidRDefault="004D7A10" w:rsidP="0026770E">
            <w:pPr>
              <w:spacing w:after="0" w:line="240" w:lineRule="auto"/>
              <w:rPr>
                <w:rFonts w:cs="Arial"/>
                <w:color w:val="auto"/>
              </w:rPr>
            </w:pPr>
            <w:r w:rsidRPr="007E140B">
              <w:rPr>
                <w:rFonts w:cs="Arial"/>
                <w:color w:val="auto"/>
                <w:sz w:val="15"/>
              </w:rPr>
              <w:t>Bibliometric analysis plus systematic review. Web of Science and Scopus records were screened using PRISMA/Rayyan; 108 articles published during 2019–2023 were analysed with bibliometric and coding/frequency methods.</w:t>
            </w:r>
          </w:p>
        </w:tc>
        <w:tc>
          <w:tcPr>
            <w:tcW w:w="1556" w:type="dxa"/>
            <w:shd w:val="clear" w:color="auto" w:fill="F7FAFC"/>
            <w:tcMar>
              <w:top w:w="22" w:type="dxa"/>
              <w:left w:w="24" w:type="dxa"/>
              <w:bottom w:w="22" w:type="dxa"/>
              <w:right w:w="24" w:type="dxa"/>
            </w:tcMar>
          </w:tcPr>
          <w:p w14:paraId="2E25F8B0" w14:textId="77777777" w:rsidR="004D7A10" w:rsidRPr="007E140B" w:rsidRDefault="004D7A10" w:rsidP="0026770E">
            <w:pPr>
              <w:spacing w:after="0" w:line="240" w:lineRule="auto"/>
              <w:rPr>
                <w:rFonts w:cs="Arial"/>
                <w:color w:val="auto"/>
              </w:rPr>
            </w:pPr>
            <w:r w:rsidRPr="007E140B">
              <w:rPr>
                <w:rFonts w:cs="Arial"/>
                <w:color w:val="auto"/>
                <w:sz w:val="15"/>
              </w:rPr>
              <w:t>Governance, culture, technological readiness, market maturity, macroeconomic conditions, industry characteristics, firm strategy and CSR engagement can materially change ESG/CSR–financial-performance relationships. Methods and definitions remain heterogeneous.</w:t>
            </w:r>
          </w:p>
        </w:tc>
        <w:tc>
          <w:tcPr>
            <w:tcW w:w="1665" w:type="dxa"/>
            <w:shd w:val="clear" w:color="auto" w:fill="F7FAFC"/>
            <w:tcMar>
              <w:top w:w="22" w:type="dxa"/>
              <w:left w:w="24" w:type="dxa"/>
              <w:bottom w:w="22" w:type="dxa"/>
              <w:right w:w="24" w:type="dxa"/>
            </w:tcMar>
          </w:tcPr>
          <w:p w14:paraId="01C24F63" w14:textId="77777777" w:rsidR="004D7A10" w:rsidRPr="007E140B" w:rsidRDefault="004D7A10" w:rsidP="0026770E">
            <w:pPr>
              <w:spacing w:after="0" w:line="240" w:lineRule="auto"/>
              <w:rPr>
                <w:rFonts w:cs="Arial"/>
                <w:color w:val="auto"/>
              </w:rPr>
            </w:pPr>
            <w:r w:rsidRPr="007E140B">
              <w:rPr>
                <w:rFonts w:cs="Arial"/>
                <w:color w:val="auto"/>
                <w:sz w:val="15"/>
              </w:rPr>
              <w:t>The review explains inconsistent ESG–financial-performance results by foregrounding moderators and contextual heterogeneity instead of searching for one universal effect.</w:t>
            </w:r>
          </w:p>
        </w:tc>
        <w:tc>
          <w:tcPr>
            <w:tcW w:w="1303" w:type="dxa"/>
            <w:shd w:val="clear" w:color="auto" w:fill="F7FAFC"/>
            <w:tcMar>
              <w:top w:w="22" w:type="dxa"/>
              <w:left w:w="24" w:type="dxa"/>
              <w:bottom w:w="22" w:type="dxa"/>
              <w:right w:w="24" w:type="dxa"/>
            </w:tcMar>
          </w:tcPr>
          <w:p w14:paraId="166C2C1C" w14:textId="77777777" w:rsidR="004D7A10" w:rsidRPr="007E140B" w:rsidRDefault="004D7A10" w:rsidP="0026770E">
            <w:pPr>
              <w:spacing w:after="0" w:line="240" w:lineRule="auto"/>
              <w:rPr>
                <w:rFonts w:cs="Arial"/>
                <w:color w:val="auto"/>
              </w:rPr>
            </w:pPr>
            <w:r w:rsidRPr="007E140B">
              <w:rPr>
                <w:rFonts w:cs="Arial"/>
                <w:color w:val="auto"/>
                <w:sz w:val="15"/>
              </w:rPr>
              <w:t>Strongly aligns with the dissertation’s configurational conclusion. It supports treating category economics, institutional conditions, measurement choices and firm-specific capabilities as boundary conditions rather than noise.</w:t>
            </w:r>
          </w:p>
        </w:tc>
        <w:tc>
          <w:tcPr>
            <w:tcW w:w="1230" w:type="dxa"/>
            <w:shd w:val="clear" w:color="auto" w:fill="F7FAFC"/>
            <w:tcMar>
              <w:top w:w="22" w:type="dxa"/>
              <w:left w:w="24" w:type="dxa"/>
              <w:bottom w:w="22" w:type="dxa"/>
              <w:right w:w="24" w:type="dxa"/>
            </w:tcMar>
          </w:tcPr>
          <w:p w14:paraId="4EE4E8EB" w14:textId="77777777" w:rsidR="004D7A10" w:rsidRPr="007E140B" w:rsidRDefault="00867805" w:rsidP="0026770E">
            <w:pPr>
              <w:spacing w:after="0" w:line="240" w:lineRule="auto"/>
              <w:rPr>
                <w:rFonts w:cs="Arial"/>
                <w:color w:val="auto"/>
              </w:rPr>
            </w:pPr>
            <w:hyperlink r:id="rId67">
              <w:r w:rsidR="004D7A10" w:rsidRPr="007E140B">
                <w:rPr>
                  <w:rFonts w:cs="Arial"/>
                  <w:color w:val="auto"/>
                  <w:sz w:val="13"/>
                  <w:szCs w:val="13"/>
                </w:rPr>
                <w:t>https://doi.org/10.1016/j.jik.2024.100648</w:t>
              </w:r>
            </w:hyperlink>
          </w:p>
        </w:tc>
      </w:tr>
      <w:tr w:rsidR="007E140B" w:rsidRPr="007E140B" w14:paraId="7C7E89D0" w14:textId="77777777" w:rsidTr="0026770E">
        <w:trPr>
          <w:cantSplit/>
          <w:jc w:val="center"/>
        </w:trPr>
        <w:tc>
          <w:tcPr>
            <w:tcW w:w="504" w:type="dxa"/>
            <w:shd w:val="clear" w:color="auto" w:fill="EAF1F7"/>
            <w:tcMar>
              <w:top w:w="22" w:type="dxa"/>
              <w:left w:w="24" w:type="dxa"/>
              <w:bottom w:w="22" w:type="dxa"/>
              <w:right w:w="24" w:type="dxa"/>
            </w:tcMar>
            <w:vAlign w:val="center"/>
          </w:tcPr>
          <w:p w14:paraId="271BDDE7" w14:textId="77777777" w:rsidR="004D7A10" w:rsidRPr="007E140B" w:rsidRDefault="004D7A10" w:rsidP="0026770E">
            <w:pPr>
              <w:spacing w:after="0" w:line="240" w:lineRule="auto"/>
              <w:jc w:val="center"/>
              <w:rPr>
                <w:rFonts w:cs="Arial"/>
                <w:color w:val="auto"/>
              </w:rPr>
            </w:pPr>
            <w:r w:rsidRPr="007E140B">
              <w:rPr>
                <w:rFonts w:cs="Arial"/>
                <w:b/>
                <w:color w:val="auto"/>
                <w:sz w:val="15"/>
              </w:rPr>
              <w:lastRenderedPageBreak/>
              <w:t>12</w:t>
            </w:r>
          </w:p>
        </w:tc>
        <w:tc>
          <w:tcPr>
            <w:tcW w:w="1447" w:type="dxa"/>
            <w:shd w:val="clear" w:color="auto" w:fill="EAF1F7"/>
            <w:tcMar>
              <w:top w:w="22" w:type="dxa"/>
              <w:left w:w="24" w:type="dxa"/>
              <w:bottom w:w="22" w:type="dxa"/>
              <w:right w:w="24" w:type="dxa"/>
            </w:tcMar>
          </w:tcPr>
          <w:p w14:paraId="731CB3F1" w14:textId="77777777" w:rsidR="004D7A10" w:rsidRPr="007E140B" w:rsidRDefault="004D7A10" w:rsidP="0026770E">
            <w:pPr>
              <w:spacing w:after="0" w:line="240" w:lineRule="auto"/>
              <w:rPr>
                <w:rFonts w:cs="Arial"/>
                <w:color w:val="auto"/>
              </w:rPr>
            </w:pPr>
            <w:r w:rsidRPr="007E140B">
              <w:rPr>
                <w:rFonts w:cs="Arial"/>
                <w:b/>
                <w:color w:val="auto"/>
                <w:sz w:val="15"/>
              </w:rPr>
              <w:t>The End of ESG</w:t>
            </w:r>
          </w:p>
        </w:tc>
        <w:tc>
          <w:tcPr>
            <w:tcW w:w="1049" w:type="dxa"/>
            <w:shd w:val="clear" w:color="auto" w:fill="EAF1F7"/>
            <w:tcMar>
              <w:top w:w="22" w:type="dxa"/>
              <w:left w:w="24" w:type="dxa"/>
              <w:bottom w:w="22" w:type="dxa"/>
              <w:right w:w="24" w:type="dxa"/>
            </w:tcMar>
          </w:tcPr>
          <w:p w14:paraId="2F301A44" w14:textId="77777777" w:rsidR="004D7A10" w:rsidRPr="007E140B" w:rsidRDefault="004D7A10" w:rsidP="0026770E">
            <w:pPr>
              <w:spacing w:after="0" w:line="240" w:lineRule="auto"/>
              <w:rPr>
                <w:rFonts w:cs="Arial"/>
                <w:color w:val="auto"/>
              </w:rPr>
            </w:pPr>
            <w:r w:rsidRPr="007E140B">
              <w:rPr>
                <w:rFonts w:cs="Arial"/>
                <w:color w:val="auto"/>
                <w:sz w:val="15"/>
              </w:rPr>
              <w:t>Financial Management</w:t>
            </w:r>
          </w:p>
        </w:tc>
        <w:tc>
          <w:tcPr>
            <w:tcW w:w="905" w:type="dxa"/>
            <w:shd w:val="clear" w:color="auto" w:fill="EAF1F7"/>
            <w:tcMar>
              <w:top w:w="22" w:type="dxa"/>
              <w:left w:w="24" w:type="dxa"/>
              <w:bottom w:w="22" w:type="dxa"/>
              <w:right w:w="24" w:type="dxa"/>
            </w:tcMar>
          </w:tcPr>
          <w:p w14:paraId="636C63F7" w14:textId="77777777" w:rsidR="004D7A10" w:rsidRPr="007E140B" w:rsidRDefault="004D7A10" w:rsidP="0026770E">
            <w:pPr>
              <w:spacing w:after="0" w:line="240" w:lineRule="auto"/>
              <w:rPr>
                <w:rFonts w:cs="Arial"/>
                <w:color w:val="auto"/>
              </w:rPr>
            </w:pPr>
            <w:r w:rsidRPr="007E140B">
              <w:rPr>
                <w:rFonts w:cs="Arial"/>
                <w:color w:val="auto"/>
                <w:sz w:val="15"/>
              </w:rPr>
              <w:t>Edmans, A.</w:t>
            </w:r>
          </w:p>
        </w:tc>
        <w:tc>
          <w:tcPr>
            <w:tcW w:w="648" w:type="dxa"/>
            <w:shd w:val="clear" w:color="auto" w:fill="EAF1F7"/>
            <w:tcMar>
              <w:top w:w="22" w:type="dxa"/>
              <w:left w:w="24" w:type="dxa"/>
              <w:bottom w:w="22" w:type="dxa"/>
              <w:right w:w="24" w:type="dxa"/>
            </w:tcMar>
            <w:vAlign w:val="center"/>
          </w:tcPr>
          <w:p w14:paraId="5043DC96" w14:textId="77777777" w:rsidR="004D7A10" w:rsidRPr="007E140B" w:rsidRDefault="004D7A10" w:rsidP="0026770E">
            <w:pPr>
              <w:spacing w:after="0" w:line="240" w:lineRule="auto"/>
              <w:jc w:val="center"/>
              <w:rPr>
                <w:rFonts w:cs="Arial"/>
                <w:color w:val="auto"/>
              </w:rPr>
            </w:pPr>
            <w:r w:rsidRPr="007E140B">
              <w:rPr>
                <w:rFonts w:cs="Arial"/>
                <w:b/>
                <w:color w:val="auto"/>
                <w:sz w:val="15"/>
              </w:rPr>
              <w:t>2023</w:t>
            </w:r>
          </w:p>
        </w:tc>
        <w:tc>
          <w:tcPr>
            <w:tcW w:w="1230" w:type="dxa"/>
            <w:shd w:val="clear" w:color="auto" w:fill="EAF1F7"/>
            <w:tcMar>
              <w:top w:w="22" w:type="dxa"/>
              <w:left w:w="24" w:type="dxa"/>
              <w:bottom w:w="22" w:type="dxa"/>
              <w:right w:w="24" w:type="dxa"/>
            </w:tcMar>
          </w:tcPr>
          <w:p w14:paraId="567248DF" w14:textId="77777777" w:rsidR="004D7A10" w:rsidRPr="007E140B" w:rsidRDefault="004D7A10" w:rsidP="0026770E">
            <w:pPr>
              <w:spacing w:after="0" w:line="240" w:lineRule="auto"/>
              <w:rPr>
                <w:rFonts w:cs="Arial"/>
                <w:color w:val="auto"/>
              </w:rPr>
            </w:pPr>
            <w:r w:rsidRPr="007E140B">
              <w:rPr>
                <w:rFonts w:cs="Arial"/>
                <w:color w:val="auto"/>
                <w:sz w:val="15"/>
              </w:rPr>
              <w:t>To challenge the treatment of ESG as a separate, special category and reposition material stakeholder issues within ordinary long-term business and investment analysis.</w:t>
            </w:r>
          </w:p>
        </w:tc>
        <w:tc>
          <w:tcPr>
            <w:tcW w:w="1375" w:type="dxa"/>
            <w:shd w:val="clear" w:color="auto" w:fill="EAF1F7"/>
            <w:tcMar>
              <w:top w:w="22" w:type="dxa"/>
              <w:left w:w="24" w:type="dxa"/>
              <w:bottom w:w="22" w:type="dxa"/>
              <w:right w:w="24" w:type="dxa"/>
            </w:tcMar>
          </w:tcPr>
          <w:p w14:paraId="79627FCE" w14:textId="77777777" w:rsidR="004D7A10" w:rsidRPr="007E140B" w:rsidRDefault="004D7A10" w:rsidP="0026770E">
            <w:pPr>
              <w:spacing w:after="0" w:line="240" w:lineRule="auto"/>
              <w:rPr>
                <w:rFonts w:cs="Arial"/>
                <w:color w:val="auto"/>
              </w:rPr>
            </w:pPr>
            <w:r w:rsidRPr="007E140B">
              <w:rPr>
                <w:rFonts w:cs="Arial"/>
                <w:color w:val="auto"/>
                <w:sz w:val="15"/>
              </w:rPr>
              <w:t>Clarify conceptual problems created by the ESG label; distinguish material from immaterial stakeholder issues; argue for integration with mainstream strategy and finance.</w:t>
            </w:r>
          </w:p>
        </w:tc>
        <w:tc>
          <w:tcPr>
            <w:tcW w:w="1086" w:type="dxa"/>
            <w:shd w:val="clear" w:color="auto" w:fill="EAF1F7"/>
            <w:tcMar>
              <w:top w:w="22" w:type="dxa"/>
              <w:left w:w="24" w:type="dxa"/>
              <w:bottom w:w="22" w:type="dxa"/>
              <w:right w:w="24" w:type="dxa"/>
            </w:tcMar>
          </w:tcPr>
          <w:p w14:paraId="52CDF826" w14:textId="77777777" w:rsidR="004D7A10" w:rsidRPr="007E140B" w:rsidRDefault="004D7A10" w:rsidP="0026770E">
            <w:pPr>
              <w:spacing w:after="0" w:line="240" w:lineRule="auto"/>
              <w:rPr>
                <w:rFonts w:cs="Arial"/>
                <w:color w:val="auto"/>
              </w:rPr>
            </w:pPr>
            <w:r w:rsidRPr="007E140B">
              <w:rPr>
                <w:rFonts w:cs="Arial"/>
                <w:color w:val="auto"/>
                <w:sz w:val="15"/>
              </w:rPr>
              <w:t>Should ESG be treated as a distinct objective, or should material environmental and social factors be evaluated like other drivers of long-term value?</w:t>
            </w:r>
          </w:p>
        </w:tc>
        <w:tc>
          <w:tcPr>
            <w:tcW w:w="1122" w:type="dxa"/>
            <w:shd w:val="clear" w:color="auto" w:fill="EAF1F7"/>
            <w:tcMar>
              <w:top w:w="22" w:type="dxa"/>
              <w:left w:w="24" w:type="dxa"/>
              <w:bottom w:w="22" w:type="dxa"/>
              <w:right w:w="24" w:type="dxa"/>
            </w:tcMar>
          </w:tcPr>
          <w:p w14:paraId="42B59C73" w14:textId="77777777" w:rsidR="004D7A10" w:rsidRPr="007E140B" w:rsidRDefault="004D7A10" w:rsidP="0026770E">
            <w:pPr>
              <w:spacing w:after="0" w:line="240" w:lineRule="auto"/>
              <w:rPr>
                <w:rFonts w:cs="Arial"/>
                <w:color w:val="auto"/>
              </w:rPr>
            </w:pPr>
            <w:r w:rsidRPr="007E140B">
              <w:rPr>
                <w:rFonts w:cs="Arial"/>
                <w:color w:val="auto"/>
                <w:sz w:val="15"/>
              </w:rPr>
              <w:t>Conceptual essay grounded in finance, stakeholder and ESG literature; no empirical sample.</w:t>
            </w:r>
          </w:p>
        </w:tc>
        <w:tc>
          <w:tcPr>
            <w:tcW w:w="1556" w:type="dxa"/>
            <w:shd w:val="clear" w:color="auto" w:fill="EAF1F7"/>
            <w:tcMar>
              <w:top w:w="22" w:type="dxa"/>
              <w:left w:w="24" w:type="dxa"/>
              <w:bottom w:w="22" w:type="dxa"/>
              <w:right w:w="24" w:type="dxa"/>
            </w:tcMar>
          </w:tcPr>
          <w:p w14:paraId="4C3FCF07" w14:textId="77777777" w:rsidR="004D7A10" w:rsidRPr="007E140B" w:rsidRDefault="004D7A10" w:rsidP="0026770E">
            <w:pPr>
              <w:spacing w:after="0" w:line="240" w:lineRule="auto"/>
              <w:rPr>
                <w:rFonts w:cs="Arial"/>
                <w:color w:val="auto"/>
              </w:rPr>
            </w:pPr>
            <w:r w:rsidRPr="007E140B">
              <w:rPr>
                <w:rFonts w:cs="Arial"/>
                <w:color w:val="auto"/>
                <w:sz w:val="15"/>
              </w:rPr>
              <w:t>ESG matters when specific stakeholder issues are material to long-term value, but the label can encourage box-ticking, overgeneralisation and false separation from core strategy. Material ESG factors should be integrated into normal decision-making.</w:t>
            </w:r>
          </w:p>
        </w:tc>
        <w:tc>
          <w:tcPr>
            <w:tcW w:w="1665" w:type="dxa"/>
            <w:shd w:val="clear" w:color="auto" w:fill="EAF1F7"/>
            <w:tcMar>
              <w:top w:w="22" w:type="dxa"/>
              <w:left w:w="24" w:type="dxa"/>
              <w:bottom w:w="22" w:type="dxa"/>
              <w:right w:w="24" w:type="dxa"/>
            </w:tcMar>
          </w:tcPr>
          <w:p w14:paraId="46F624EC" w14:textId="77777777" w:rsidR="004D7A10" w:rsidRPr="007E140B" w:rsidRDefault="004D7A10" w:rsidP="0026770E">
            <w:pPr>
              <w:spacing w:after="0" w:line="240" w:lineRule="auto"/>
              <w:rPr>
                <w:rFonts w:cs="Arial"/>
                <w:color w:val="auto"/>
              </w:rPr>
            </w:pPr>
            <w:r w:rsidRPr="007E140B">
              <w:rPr>
                <w:rFonts w:cs="Arial"/>
                <w:color w:val="auto"/>
                <w:sz w:val="15"/>
              </w:rPr>
              <w:t>The article argues that ESG should become less of a fashionable standalone label and more of a disciplined way to incorporate financially and socially relevant stakeholder issues into strategy.</w:t>
            </w:r>
          </w:p>
        </w:tc>
        <w:tc>
          <w:tcPr>
            <w:tcW w:w="1303" w:type="dxa"/>
            <w:shd w:val="clear" w:color="auto" w:fill="EAF1F7"/>
            <w:tcMar>
              <w:top w:w="22" w:type="dxa"/>
              <w:left w:w="24" w:type="dxa"/>
              <w:bottom w:w="22" w:type="dxa"/>
              <w:right w:w="24" w:type="dxa"/>
            </w:tcMar>
          </w:tcPr>
          <w:p w14:paraId="6BF3425B" w14:textId="77777777" w:rsidR="004D7A10" w:rsidRPr="007E140B" w:rsidRDefault="004D7A10" w:rsidP="0026770E">
            <w:pPr>
              <w:spacing w:after="0" w:line="240" w:lineRule="auto"/>
              <w:rPr>
                <w:rFonts w:cs="Arial"/>
                <w:color w:val="auto"/>
              </w:rPr>
            </w:pPr>
            <w:r w:rsidRPr="007E140B">
              <w:rPr>
                <w:rFonts w:cs="Arial"/>
                <w:color w:val="auto"/>
                <w:sz w:val="15"/>
              </w:rPr>
              <w:t>Closely matches the dissertation’s central framing that value depends less on the ESG label than on material priorities, governed execution and verified outcomes. It helps justify mechanism-specific rather than score-based analysis.</w:t>
            </w:r>
          </w:p>
        </w:tc>
        <w:tc>
          <w:tcPr>
            <w:tcW w:w="1230" w:type="dxa"/>
            <w:shd w:val="clear" w:color="auto" w:fill="EAF1F7"/>
            <w:tcMar>
              <w:top w:w="22" w:type="dxa"/>
              <w:left w:w="24" w:type="dxa"/>
              <w:bottom w:w="22" w:type="dxa"/>
              <w:right w:w="24" w:type="dxa"/>
            </w:tcMar>
          </w:tcPr>
          <w:p w14:paraId="6E4587FB" w14:textId="77777777" w:rsidR="004D7A10" w:rsidRPr="007E140B" w:rsidRDefault="00867805" w:rsidP="0026770E">
            <w:pPr>
              <w:spacing w:after="0" w:line="240" w:lineRule="auto"/>
              <w:rPr>
                <w:rFonts w:cs="Arial"/>
                <w:color w:val="auto"/>
              </w:rPr>
            </w:pPr>
            <w:hyperlink r:id="rId68">
              <w:r w:rsidR="004D7A10" w:rsidRPr="007E140B">
                <w:rPr>
                  <w:rFonts w:cs="Arial"/>
                  <w:color w:val="auto"/>
                  <w:sz w:val="13"/>
                  <w:szCs w:val="13"/>
                </w:rPr>
                <w:t>https://doi.org/10.1111/fima.12413</w:t>
              </w:r>
            </w:hyperlink>
          </w:p>
        </w:tc>
      </w:tr>
      <w:tr w:rsidR="007E140B" w:rsidRPr="007E140B" w14:paraId="2959DF25" w14:textId="77777777" w:rsidTr="0026770E">
        <w:trPr>
          <w:cantSplit/>
          <w:jc w:val="center"/>
        </w:trPr>
        <w:tc>
          <w:tcPr>
            <w:tcW w:w="504" w:type="dxa"/>
            <w:shd w:val="clear" w:color="auto" w:fill="F7FAFC"/>
            <w:tcMar>
              <w:top w:w="22" w:type="dxa"/>
              <w:left w:w="24" w:type="dxa"/>
              <w:bottom w:w="22" w:type="dxa"/>
              <w:right w:w="24" w:type="dxa"/>
            </w:tcMar>
            <w:vAlign w:val="center"/>
          </w:tcPr>
          <w:p w14:paraId="1D79E47B" w14:textId="77777777" w:rsidR="004D7A10" w:rsidRPr="007E140B" w:rsidRDefault="004D7A10" w:rsidP="0026770E">
            <w:pPr>
              <w:spacing w:after="0" w:line="240" w:lineRule="auto"/>
              <w:jc w:val="center"/>
              <w:rPr>
                <w:rFonts w:cs="Arial"/>
                <w:color w:val="auto"/>
              </w:rPr>
            </w:pPr>
            <w:r w:rsidRPr="007E140B">
              <w:rPr>
                <w:rFonts w:cs="Arial"/>
                <w:b/>
                <w:color w:val="auto"/>
                <w:sz w:val="15"/>
              </w:rPr>
              <w:t>13</w:t>
            </w:r>
          </w:p>
        </w:tc>
        <w:tc>
          <w:tcPr>
            <w:tcW w:w="1447" w:type="dxa"/>
            <w:shd w:val="clear" w:color="auto" w:fill="F7FAFC"/>
            <w:tcMar>
              <w:top w:w="22" w:type="dxa"/>
              <w:left w:w="24" w:type="dxa"/>
              <w:bottom w:w="22" w:type="dxa"/>
              <w:right w:w="24" w:type="dxa"/>
            </w:tcMar>
          </w:tcPr>
          <w:p w14:paraId="683EF628" w14:textId="77777777" w:rsidR="004D7A10" w:rsidRPr="007E140B" w:rsidRDefault="004D7A10" w:rsidP="0026770E">
            <w:pPr>
              <w:spacing w:after="0" w:line="240" w:lineRule="auto"/>
              <w:rPr>
                <w:rFonts w:cs="Arial"/>
                <w:color w:val="auto"/>
              </w:rPr>
            </w:pPr>
            <w:r w:rsidRPr="007E140B">
              <w:rPr>
                <w:rFonts w:cs="Arial"/>
                <w:b/>
                <w:color w:val="auto"/>
                <w:sz w:val="15"/>
              </w:rPr>
              <w:t>Firms’ ESG Reputational Risk and Market Longevity: A Firm-Level Analysis for the United States</w:t>
            </w:r>
          </w:p>
        </w:tc>
        <w:tc>
          <w:tcPr>
            <w:tcW w:w="1049" w:type="dxa"/>
            <w:shd w:val="clear" w:color="auto" w:fill="F7FAFC"/>
            <w:tcMar>
              <w:top w:w="22" w:type="dxa"/>
              <w:left w:w="24" w:type="dxa"/>
              <w:bottom w:w="22" w:type="dxa"/>
              <w:right w:w="24" w:type="dxa"/>
            </w:tcMar>
          </w:tcPr>
          <w:p w14:paraId="52765491" w14:textId="77777777" w:rsidR="004D7A10" w:rsidRPr="007E140B" w:rsidRDefault="004D7A10" w:rsidP="0026770E">
            <w:pPr>
              <w:spacing w:after="0" w:line="240" w:lineRule="auto"/>
              <w:rPr>
                <w:rFonts w:cs="Arial"/>
                <w:color w:val="auto"/>
              </w:rPr>
            </w:pPr>
            <w:r w:rsidRPr="007E140B">
              <w:rPr>
                <w:rFonts w:cs="Arial"/>
                <w:color w:val="auto"/>
                <w:sz w:val="15"/>
              </w:rPr>
              <w:t>Journal of Business Research</w:t>
            </w:r>
          </w:p>
        </w:tc>
        <w:tc>
          <w:tcPr>
            <w:tcW w:w="905" w:type="dxa"/>
            <w:shd w:val="clear" w:color="auto" w:fill="F7FAFC"/>
            <w:tcMar>
              <w:top w:w="22" w:type="dxa"/>
              <w:left w:w="24" w:type="dxa"/>
              <w:bottom w:w="22" w:type="dxa"/>
              <w:right w:w="24" w:type="dxa"/>
            </w:tcMar>
          </w:tcPr>
          <w:p w14:paraId="20971811" w14:textId="77777777" w:rsidR="004D7A10" w:rsidRPr="007E140B" w:rsidRDefault="004D7A10" w:rsidP="0026770E">
            <w:pPr>
              <w:spacing w:after="0" w:line="240" w:lineRule="auto"/>
              <w:rPr>
                <w:rFonts w:cs="Arial"/>
                <w:color w:val="auto"/>
              </w:rPr>
            </w:pPr>
            <w:r w:rsidRPr="007E140B">
              <w:rPr>
                <w:rFonts w:cs="Arial"/>
                <w:color w:val="auto"/>
                <w:sz w:val="15"/>
              </w:rPr>
              <w:t>Fafaliou, I.; Giaka, M.; Konstantios, D.; Polemis, M.</w:t>
            </w:r>
          </w:p>
        </w:tc>
        <w:tc>
          <w:tcPr>
            <w:tcW w:w="648" w:type="dxa"/>
            <w:shd w:val="clear" w:color="auto" w:fill="F7FAFC"/>
            <w:tcMar>
              <w:top w:w="22" w:type="dxa"/>
              <w:left w:w="24" w:type="dxa"/>
              <w:bottom w:w="22" w:type="dxa"/>
              <w:right w:w="24" w:type="dxa"/>
            </w:tcMar>
            <w:vAlign w:val="center"/>
          </w:tcPr>
          <w:p w14:paraId="5F831266" w14:textId="77777777" w:rsidR="004D7A10" w:rsidRPr="007E140B" w:rsidRDefault="004D7A10" w:rsidP="0026770E">
            <w:pPr>
              <w:spacing w:after="0" w:line="240" w:lineRule="auto"/>
              <w:jc w:val="center"/>
              <w:rPr>
                <w:rFonts w:cs="Arial"/>
                <w:color w:val="auto"/>
              </w:rPr>
            </w:pPr>
            <w:r w:rsidRPr="007E140B">
              <w:rPr>
                <w:rFonts w:cs="Arial"/>
                <w:b/>
                <w:color w:val="auto"/>
                <w:sz w:val="15"/>
              </w:rPr>
              <w:t>2022</w:t>
            </w:r>
          </w:p>
        </w:tc>
        <w:tc>
          <w:tcPr>
            <w:tcW w:w="1230" w:type="dxa"/>
            <w:shd w:val="clear" w:color="auto" w:fill="F7FAFC"/>
            <w:tcMar>
              <w:top w:w="22" w:type="dxa"/>
              <w:left w:w="24" w:type="dxa"/>
              <w:bottom w:w="22" w:type="dxa"/>
              <w:right w:w="24" w:type="dxa"/>
            </w:tcMar>
          </w:tcPr>
          <w:p w14:paraId="4265C52C" w14:textId="77777777" w:rsidR="004D7A10" w:rsidRPr="007E140B" w:rsidRDefault="004D7A10" w:rsidP="0026770E">
            <w:pPr>
              <w:spacing w:after="0" w:line="240" w:lineRule="auto"/>
              <w:rPr>
                <w:rFonts w:cs="Arial"/>
                <w:color w:val="auto"/>
              </w:rPr>
            </w:pPr>
            <w:r w:rsidRPr="007E140B">
              <w:rPr>
                <w:rFonts w:cs="Arial"/>
                <w:color w:val="auto"/>
                <w:sz w:val="15"/>
              </w:rPr>
              <w:t>To examine whether ESG reputational risk affects listed firms’ growth opportunities and market longevity.</w:t>
            </w:r>
          </w:p>
        </w:tc>
        <w:tc>
          <w:tcPr>
            <w:tcW w:w="1375" w:type="dxa"/>
            <w:shd w:val="clear" w:color="auto" w:fill="F7FAFC"/>
            <w:tcMar>
              <w:top w:w="22" w:type="dxa"/>
              <w:left w:w="24" w:type="dxa"/>
              <w:bottom w:w="22" w:type="dxa"/>
              <w:right w:w="24" w:type="dxa"/>
            </w:tcMar>
          </w:tcPr>
          <w:p w14:paraId="5549F4F6" w14:textId="77777777" w:rsidR="004D7A10" w:rsidRPr="007E140B" w:rsidRDefault="004D7A10" w:rsidP="0026770E">
            <w:pPr>
              <w:spacing w:after="0" w:line="240" w:lineRule="auto"/>
              <w:rPr>
                <w:rFonts w:cs="Arial"/>
                <w:color w:val="auto"/>
              </w:rPr>
            </w:pPr>
            <w:r w:rsidRPr="007E140B">
              <w:rPr>
                <w:rFonts w:cs="Arial"/>
                <w:color w:val="auto"/>
                <w:sz w:val="15"/>
              </w:rPr>
              <w:t>Quantify the ESG reputational-risk–longevity relationship; investigate financing/growth channels; test robustness using firm-level panel data.</w:t>
            </w:r>
          </w:p>
        </w:tc>
        <w:tc>
          <w:tcPr>
            <w:tcW w:w="1086" w:type="dxa"/>
            <w:shd w:val="clear" w:color="auto" w:fill="F7FAFC"/>
            <w:tcMar>
              <w:top w:w="22" w:type="dxa"/>
              <w:left w:w="24" w:type="dxa"/>
              <w:bottom w:w="22" w:type="dxa"/>
              <w:right w:w="24" w:type="dxa"/>
            </w:tcMar>
          </w:tcPr>
          <w:p w14:paraId="11476241" w14:textId="77777777" w:rsidR="004D7A10" w:rsidRPr="007E140B" w:rsidRDefault="004D7A10" w:rsidP="0026770E">
            <w:pPr>
              <w:spacing w:after="0" w:line="240" w:lineRule="auto"/>
              <w:rPr>
                <w:rFonts w:cs="Arial"/>
                <w:color w:val="auto"/>
              </w:rPr>
            </w:pPr>
            <w:r w:rsidRPr="007E140B">
              <w:rPr>
                <w:rFonts w:cs="Arial"/>
                <w:color w:val="auto"/>
                <w:sz w:val="15"/>
              </w:rPr>
              <w:t>Do firms with high ESG reputational risk face weaker growth opportunities, restricted external financing and shorter market longevity?</w:t>
            </w:r>
          </w:p>
        </w:tc>
        <w:tc>
          <w:tcPr>
            <w:tcW w:w="1122" w:type="dxa"/>
            <w:shd w:val="clear" w:color="auto" w:fill="F7FAFC"/>
            <w:tcMar>
              <w:top w:w="22" w:type="dxa"/>
              <w:left w:w="24" w:type="dxa"/>
              <w:bottom w:w="22" w:type="dxa"/>
              <w:right w:w="24" w:type="dxa"/>
            </w:tcMar>
          </w:tcPr>
          <w:p w14:paraId="7A9105C4" w14:textId="77777777" w:rsidR="004D7A10" w:rsidRPr="007E140B" w:rsidRDefault="004D7A10" w:rsidP="0026770E">
            <w:pPr>
              <w:spacing w:after="0" w:line="240" w:lineRule="auto"/>
              <w:rPr>
                <w:rFonts w:cs="Arial"/>
                <w:color w:val="auto"/>
              </w:rPr>
            </w:pPr>
            <w:r w:rsidRPr="007E140B">
              <w:rPr>
                <w:rFonts w:cs="Arial"/>
                <w:color w:val="auto"/>
                <w:sz w:val="15"/>
              </w:rPr>
              <w:t>Dynamic panel analysis of 1,528 U.S. listed firms from 2007–2019 using CRSP/Compustat financial data and RepRisk ESG information, with robustness checks.</w:t>
            </w:r>
          </w:p>
        </w:tc>
        <w:tc>
          <w:tcPr>
            <w:tcW w:w="1556" w:type="dxa"/>
            <w:shd w:val="clear" w:color="auto" w:fill="F7FAFC"/>
            <w:tcMar>
              <w:top w:w="22" w:type="dxa"/>
              <w:left w:w="24" w:type="dxa"/>
              <w:bottom w:w="22" w:type="dxa"/>
              <w:right w:w="24" w:type="dxa"/>
            </w:tcMar>
          </w:tcPr>
          <w:p w14:paraId="28972C36" w14:textId="77777777" w:rsidR="004D7A10" w:rsidRPr="007E140B" w:rsidRDefault="004D7A10" w:rsidP="0026770E">
            <w:pPr>
              <w:spacing w:after="0" w:line="240" w:lineRule="auto"/>
              <w:rPr>
                <w:rFonts w:cs="Arial"/>
                <w:color w:val="auto"/>
              </w:rPr>
            </w:pPr>
            <w:r w:rsidRPr="007E140B">
              <w:rPr>
                <w:rFonts w:cs="Arial"/>
                <w:color w:val="auto"/>
                <w:sz w:val="15"/>
              </w:rPr>
              <w:t>Higher ESG reputational risk is associated with weaker growth opportunities and reduced market longevity; the results are robust across alternative specifications.</w:t>
            </w:r>
          </w:p>
        </w:tc>
        <w:tc>
          <w:tcPr>
            <w:tcW w:w="1665" w:type="dxa"/>
            <w:shd w:val="clear" w:color="auto" w:fill="F7FAFC"/>
            <w:tcMar>
              <w:top w:w="22" w:type="dxa"/>
              <w:left w:w="24" w:type="dxa"/>
              <w:bottom w:w="22" w:type="dxa"/>
              <w:right w:w="24" w:type="dxa"/>
            </w:tcMar>
          </w:tcPr>
          <w:p w14:paraId="4A87DEC5" w14:textId="77777777" w:rsidR="004D7A10" w:rsidRPr="007E140B" w:rsidRDefault="004D7A10" w:rsidP="0026770E">
            <w:pPr>
              <w:spacing w:after="0" w:line="240" w:lineRule="auto"/>
              <w:rPr>
                <w:rFonts w:cs="Arial"/>
                <w:color w:val="auto"/>
              </w:rPr>
            </w:pPr>
            <w:r w:rsidRPr="007E140B">
              <w:rPr>
                <w:rFonts w:cs="Arial"/>
                <w:color w:val="auto"/>
                <w:sz w:val="15"/>
              </w:rPr>
              <w:t>The study treats ESG reputation as a market-relevant risk signal and links greater reputational risk to constraints on firms’ growth dynamics and persistence in public markets.</w:t>
            </w:r>
          </w:p>
        </w:tc>
        <w:tc>
          <w:tcPr>
            <w:tcW w:w="1303" w:type="dxa"/>
            <w:shd w:val="clear" w:color="auto" w:fill="F7FAFC"/>
            <w:tcMar>
              <w:top w:w="22" w:type="dxa"/>
              <w:left w:w="24" w:type="dxa"/>
              <w:bottom w:w="22" w:type="dxa"/>
              <w:right w:w="24" w:type="dxa"/>
            </w:tcMar>
          </w:tcPr>
          <w:p w14:paraId="597A0C86" w14:textId="77777777" w:rsidR="004D7A10" w:rsidRPr="007E140B" w:rsidRDefault="004D7A10" w:rsidP="0026770E">
            <w:pPr>
              <w:spacing w:after="0" w:line="240" w:lineRule="auto"/>
              <w:rPr>
                <w:rFonts w:cs="Arial"/>
                <w:color w:val="auto"/>
              </w:rPr>
            </w:pPr>
            <w:r w:rsidRPr="007E140B">
              <w:rPr>
                <w:rFonts w:cs="Arial"/>
                <w:color w:val="auto"/>
                <w:sz w:val="15"/>
              </w:rPr>
              <w:t>Supports the dissertation’s relational pathway and the idea that reputational exposure can have strategic consequences. The dissertation appropriately notes that U.S. market-longevity evidence is not a direct measure of UK consumer trust.</w:t>
            </w:r>
          </w:p>
        </w:tc>
        <w:tc>
          <w:tcPr>
            <w:tcW w:w="1230" w:type="dxa"/>
            <w:shd w:val="clear" w:color="auto" w:fill="F7FAFC"/>
            <w:tcMar>
              <w:top w:w="22" w:type="dxa"/>
              <w:left w:w="24" w:type="dxa"/>
              <w:bottom w:w="22" w:type="dxa"/>
              <w:right w:w="24" w:type="dxa"/>
            </w:tcMar>
          </w:tcPr>
          <w:p w14:paraId="3A3F4C2B" w14:textId="77777777" w:rsidR="004D7A10" w:rsidRPr="007E140B" w:rsidRDefault="00867805" w:rsidP="0026770E">
            <w:pPr>
              <w:spacing w:after="0" w:line="240" w:lineRule="auto"/>
              <w:rPr>
                <w:rFonts w:cs="Arial"/>
                <w:color w:val="auto"/>
              </w:rPr>
            </w:pPr>
            <w:hyperlink r:id="rId69">
              <w:r w:rsidR="004D7A10" w:rsidRPr="007E140B">
                <w:rPr>
                  <w:rFonts w:cs="Arial"/>
                  <w:color w:val="auto"/>
                  <w:sz w:val="13"/>
                  <w:szCs w:val="13"/>
                </w:rPr>
                <w:t>https://doi.org/10.1016/j.jbusres.2022.05.010</w:t>
              </w:r>
            </w:hyperlink>
          </w:p>
        </w:tc>
      </w:tr>
      <w:tr w:rsidR="007E140B" w:rsidRPr="007E140B" w14:paraId="6BA98AD6" w14:textId="77777777" w:rsidTr="0026770E">
        <w:trPr>
          <w:cantSplit/>
          <w:jc w:val="center"/>
        </w:trPr>
        <w:tc>
          <w:tcPr>
            <w:tcW w:w="504" w:type="dxa"/>
            <w:shd w:val="clear" w:color="auto" w:fill="EAF1F7"/>
            <w:tcMar>
              <w:top w:w="22" w:type="dxa"/>
              <w:left w:w="24" w:type="dxa"/>
              <w:bottom w:w="22" w:type="dxa"/>
              <w:right w:w="24" w:type="dxa"/>
            </w:tcMar>
            <w:vAlign w:val="center"/>
          </w:tcPr>
          <w:p w14:paraId="77D259E4" w14:textId="77777777" w:rsidR="004D7A10" w:rsidRPr="007E140B" w:rsidRDefault="004D7A10" w:rsidP="0026770E">
            <w:pPr>
              <w:spacing w:after="0" w:line="240" w:lineRule="auto"/>
              <w:jc w:val="center"/>
              <w:rPr>
                <w:rFonts w:cs="Arial"/>
                <w:color w:val="auto"/>
              </w:rPr>
            </w:pPr>
            <w:r w:rsidRPr="007E140B">
              <w:rPr>
                <w:rFonts w:cs="Arial"/>
                <w:b/>
                <w:color w:val="auto"/>
                <w:sz w:val="15"/>
              </w:rPr>
              <w:t>14</w:t>
            </w:r>
          </w:p>
        </w:tc>
        <w:tc>
          <w:tcPr>
            <w:tcW w:w="1447" w:type="dxa"/>
            <w:shd w:val="clear" w:color="auto" w:fill="EAF1F7"/>
            <w:tcMar>
              <w:top w:w="22" w:type="dxa"/>
              <w:left w:w="24" w:type="dxa"/>
              <w:bottom w:w="22" w:type="dxa"/>
              <w:right w:w="24" w:type="dxa"/>
            </w:tcMar>
          </w:tcPr>
          <w:p w14:paraId="5BCF7CA8" w14:textId="77777777" w:rsidR="004D7A10" w:rsidRPr="007E140B" w:rsidRDefault="004D7A10" w:rsidP="0026770E">
            <w:pPr>
              <w:spacing w:after="0" w:line="240" w:lineRule="auto"/>
              <w:rPr>
                <w:rFonts w:cs="Arial"/>
                <w:color w:val="auto"/>
              </w:rPr>
            </w:pPr>
            <w:r w:rsidRPr="007E140B">
              <w:rPr>
                <w:rFonts w:cs="Arial"/>
                <w:b/>
                <w:color w:val="auto"/>
                <w:sz w:val="15"/>
              </w:rPr>
              <w:t>How Do Corporate Environmental Policy and Corporate Reputation Affect Risk-Adjusted Financial Performance?</w:t>
            </w:r>
          </w:p>
        </w:tc>
        <w:tc>
          <w:tcPr>
            <w:tcW w:w="1049" w:type="dxa"/>
            <w:shd w:val="clear" w:color="auto" w:fill="EAF1F7"/>
            <w:tcMar>
              <w:top w:w="22" w:type="dxa"/>
              <w:left w:w="24" w:type="dxa"/>
              <w:bottom w:w="22" w:type="dxa"/>
              <w:right w:w="24" w:type="dxa"/>
            </w:tcMar>
          </w:tcPr>
          <w:p w14:paraId="41EE2A8C" w14:textId="77777777" w:rsidR="004D7A10" w:rsidRPr="007E140B" w:rsidRDefault="004D7A10" w:rsidP="0026770E">
            <w:pPr>
              <w:spacing w:after="0" w:line="240" w:lineRule="auto"/>
              <w:rPr>
                <w:rFonts w:cs="Arial"/>
                <w:color w:val="auto"/>
              </w:rPr>
            </w:pPr>
            <w:r w:rsidRPr="007E140B">
              <w:rPr>
                <w:rFonts w:cs="Arial"/>
                <w:color w:val="auto"/>
                <w:sz w:val="15"/>
              </w:rPr>
              <w:t>Business Strategy and the Environment</w:t>
            </w:r>
          </w:p>
        </w:tc>
        <w:tc>
          <w:tcPr>
            <w:tcW w:w="905" w:type="dxa"/>
            <w:shd w:val="clear" w:color="auto" w:fill="EAF1F7"/>
            <w:tcMar>
              <w:top w:w="22" w:type="dxa"/>
              <w:left w:w="24" w:type="dxa"/>
              <w:bottom w:w="22" w:type="dxa"/>
              <w:right w:w="24" w:type="dxa"/>
            </w:tcMar>
          </w:tcPr>
          <w:p w14:paraId="68E31DD0" w14:textId="77777777" w:rsidR="004D7A10" w:rsidRPr="007E140B" w:rsidRDefault="004D7A10" w:rsidP="0026770E">
            <w:pPr>
              <w:spacing w:after="0" w:line="240" w:lineRule="auto"/>
              <w:rPr>
                <w:rFonts w:cs="Arial"/>
                <w:color w:val="auto"/>
              </w:rPr>
            </w:pPr>
            <w:r w:rsidRPr="007E140B">
              <w:rPr>
                <w:rFonts w:cs="Arial"/>
                <w:color w:val="auto"/>
                <w:sz w:val="15"/>
              </w:rPr>
              <w:t>Gangi, F.; Daniele, L.M.; Varrone, N.</w:t>
            </w:r>
          </w:p>
        </w:tc>
        <w:tc>
          <w:tcPr>
            <w:tcW w:w="648" w:type="dxa"/>
            <w:shd w:val="clear" w:color="auto" w:fill="EAF1F7"/>
            <w:tcMar>
              <w:top w:w="22" w:type="dxa"/>
              <w:left w:w="24" w:type="dxa"/>
              <w:bottom w:w="22" w:type="dxa"/>
              <w:right w:w="24" w:type="dxa"/>
            </w:tcMar>
            <w:vAlign w:val="center"/>
          </w:tcPr>
          <w:p w14:paraId="6BFBB669" w14:textId="77777777" w:rsidR="004D7A10" w:rsidRPr="007E140B" w:rsidRDefault="004D7A10" w:rsidP="0026770E">
            <w:pPr>
              <w:spacing w:after="0" w:line="240" w:lineRule="auto"/>
              <w:jc w:val="center"/>
              <w:rPr>
                <w:rFonts w:cs="Arial"/>
                <w:color w:val="auto"/>
              </w:rPr>
            </w:pPr>
            <w:r w:rsidRPr="007E140B">
              <w:rPr>
                <w:rFonts w:cs="Arial"/>
                <w:b/>
                <w:color w:val="auto"/>
                <w:sz w:val="15"/>
              </w:rPr>
              <w:t>2020</w:t>
            </w:r>
          </w:p>
        </w:tc>
        <w:tc>
          <w:tcPr>
            <w:tcW w:w="1230" w:type="dxa"/>
            <w:shd w:val="clear" w:color="auto" w:fill="EAF1F7"/>
            <w:tcMar>
              <w:top w:w="22" w:type="dxa"/>
              <w:left w:w="24" w:type="dxa"/>
              <w:bottom w:w="22" w:type="dxa"/>
              <w:right w:w="24" w:type="dxa"/>
            </w:tcMar>
          </w:tcPr>
          <w:p w14:paraId="3291D208" w14:textId="77777777" w:rsidR="004D7A10" w:rsidRPr="007E140B" w:rsidRDefault="004D7A10" w:rsidP="0026770E">
            <w:pPr>
              <w:spacing w:after="0" w:line="240" w:lineRule="auto"/>
              <w:rPr>
                <w:rFonts w:cs="Arial"/>
                <w:color w:val="auto"/>
              </w:rPr>
            </w:pPr>
            <w:r w:rsidRPr="007E140B">
              <w:rPr>
                <w:rFonts w:cs="Arial"/>
                <w:color w:val="auto"/>
                <w:sz w:val="15"/>
              </w:rPr>
              <w:t>To test whether corporate environmental policy affects corporate reputation and whether reputation, in turn, influences risk-adjusted profitability and financial risk.</w:t>
            </w:r>
          </w:p>
        </w:tc>
        <w:tc>
          <w:tcPr>
            <w:tcW w:w="1375" w:type="dxa"/>
            <w:shd w:val="clear" w:color="auto" w:fill="EAF1F7"/>
            <w:tcMar>
              <w:top w:w="22" w:type="dxa"/>
              <w:left w:w="24" w:type="dxa"/>
              <w:bottom w:w="22" w:type="dxa"/>
              <w:right w:w="24" w:type="dxa"/>
            </w:tcMar>
          </w:tcPr>
          <w:p w14:paraId="1F33485D" w14:textId="77777777" w:rsidR="004D7A10" w:rsidRPr="007E140B" w:rsidRDefault="004D7A10" w:rsidP="0026770E">
            <w:pPr>
              <w:spacing w:after="0" w:line="240" w:lineRule="auto"/>
              <w:rPr>
                <w:rFonts w:cs="Arial"/>
                <w:color w:val="auto"/>
              </w:rPr>
            </w:pPr>
            <w:r w:rsidRPr="007E140B">
              <w:rPr>
                <w:rFonts w:cs="Arial"/>
                <w:color w:val="auto"/>
                <w:sz w:val="15"/>
              </w:rPr>
              <w:t>Examine environmental engagement and green innovation as antecedents of reputation; estimate reputation effects on risk-adjusted profitability and financial-distress risk; address endogeneity.</w:t>
            </w:r>
          </w:p>
        </w:tc>
        <w:tc>
          <w:tcPr>
            <w:tcW w:w="1086" w:type="dxa"/>
            <w:shd w:val="clear" w:color="auto" w:fill="EAF1F7"/>
            <w:tcMar>
              <w:top w:w="22" w:type="dxa"/>
              <w:left w:w="24" w:type="dxa"/>
              <w:bottom w:w="22" w:type="dxa"/>
              <w:right w:w="24" w:type="dxa"/>
            </w:tcMar>
          </w:tcPr>
          <w:p w14:paraId="0D6BC7E4" w14:textId="77777777" w:rsidR="004D7A10" w:rsidRPr="007E140B" w:rsidRDefault="004D7A10" w:rsidP="0026770E">
            <w:pPr>
              <w:spacing w:after="0" w:line="240" w:lineRule="auto"/>
              <w:rPr>
                <w:rFonts w:cs="Arial"/>
                <w:color w:val="auto"/>
              </w:rPr>
            </w:pPr>
            <w:r w:rsidRPr="007E140B">
              <w:rPr>
                <w:rFonts w:cs="Arial"/>
                <w:color w:val="auto"/>
                <w:sz w:val="15"/>
              </w:rPr>
              <w:t>Does environmental responsibility build corporate reputation, and does that reputation improve risk-adjusted financial performance and reduce risk?</w:t>
            </w:r>
          </w:p>
        </w:tc>
        <w:tc>
          <w:tcPr>
            <w:tcW w:w="1122" w:type="dxa"/>
            <w:shd w:val="clear" w:color="auto" w:fill="EAF1F7"/>
            <w:tcMar>
              <w:top w:w="22" w:type="dxa"/>
              <w:left w:w="24" w:type="dxa"/>
              <w:bottom w:w="22" w:type="dxa"/>
              <w:right w:w="24" w:type="dxa"/>
            </w:tcMar>
          </w:tcPr>
          <w:p w14:paraId="7AE040D4" w14:textId="77777777" w:rsidR="004D7A10" w:rsidRPr="007E140B" w:rsidRDefault="004D7A10" w:rsidP="0026770E">
            <w:pPr>
              <w:spacing w:after="0" w:line="240" w:lineRule="auto"/>
              <w:rPr>
                <w:rFonts w:cs="Arial"/>
                <w:color w:val="auto"/>
              </w:rPr>
            </w:pPr>
            <w:r w:rsidRPr="007E140B">
              <w:rPr>
                <w:rFonts w:cs="Arial"/>
                <w:color w:val="auto"/>
                <w:sz w:val="15"/>
              </w:rPr>
              <w:t>Empirical analysis of firms tracked by the Reputation Institute using a multi-equation framework and corrections for endogeneity bias.</w:t>
            </w:r>
          </w:p>
        </w:tc>
        <w:tc>
          <w:tcPr>
            <w:tcW w:w="1556" w:type="dxa"/>
            <w:shd w:val="clear" w:color="auto" w:fill="EAF1F7"/>
            <w:tcMar>
              <w:top w:w="22" w:type="dxa"/>
              <w:left w:w="24" w:type="dxa"/>
              <w:bottom w:w="22" w:type="dxa"/>
              <w:right w:w="24" w:type="dxa"/>
            </w:tcMar>
          </w:tcPr>
          <w:p w14:paraId="0823FE67" w14:textId="77777777" w:rsidR="004D7A10" w:rsidRPr="007E140B" w:rsidRDefault="004D7A10" w:rsidP="0026770E">
            <w:pPr>
              <w:spacing w:after="0" w:line="240" w:lineRule="auto"/>
              <w:rPr>
                <w:rFonts w:cs="Arial"/>
                <w:color w:val="auto"/>
              </w:rPr>
            </w:pPr>
            <w:r w:rsidRPr="007E140B">
              <w:rPr>
                <w:rFonts w:cs="Arial"/>
                <w:color w:val="auto"/>
                <w:sz w:val="15"/>
              </w:rPr>
              <w:t>Environmental engagement and green product innovation positively predict reputation. Reputation positively affects risk-adjusted profitability and the Z-score measure of financial health, acting as an insurance-like competitive asset.</w:t>
            </w:r>
          </w:p>
        </w:tc>
        <w:tc>
          <w:tcPr>
            <w:tcW w:w="1665" w:type="dxa"/>
            <w:shd w:val="clear" w:color="auto" w:fill="EAF1F7"/>
            <w:tcMar>
              <w:top w:w="22" w:type="dxa"/>
              <w:left w:w="24" w:type="dxa"/>
              <w:bottom w:w="22" w:type="dxa"/>
              <w:right w:w="24" w:type="dxa"/>
            </w:tcMar>
          </w:tcPr>
          <w:p w14:paraId="67E372C8" w14:textId="77777777" w:rsidR="004D7A10" w:rsidRPr="007E140B" w:rsidRDefault="004D7A10" w:rsidP="0026770E">
            <w:pPr>
              <w:spacing w:after="0" w:line="240" w:lineRule="auto"/>
              <w:rPr>
                <w:rFonts w:cs="Arial"/>
                <w:color w:val="auto"/>
              </w:rPr>
            </w:pPr>
            <w:r w:rsidRPr="007E140B">
              <w:rPr>
                <w:rFonts w:cs="Arial"/>
                <w:color w:val="auto"/>
                <w:sz w:val="15"/>
              </w:rPr>
              <w:t>The paper provides an explicit mechanism linking environmental practices to financial outcomes through corporate reputation rather than assuming a direct ESG–performance effect.</w:t>
            </w:r>
          </w:p>
        </w:tc>
        <w:tc>
          <w:tcPr>
            <w:tcW w:w="1303" w:type="dxa"/>
            <w:shd w:val="clear" w:color="auto" w:fill="EAF1F7"/>
            <w:tcMar>
              <w:top w:w="22" w:type="dxa"/>
              <w:left w:w="24" w:type="dxa"/>
              <w:bottom w:w="22" w:type="dxa"/>
              <w:right w:w="24" w:type="dxa"/>
            </w:tcMar>
          </w:tcPr>
          <w:p w14:paraId="1BB759CB" w14:textId="77777777" w:rsidR="004D7A10" w:rsidRPr="007E140B" w:rsidRDefault="004D7A10" w:rsidP="0026770E">
            <w:pPr>
              <w:spacing w:after="0" w:line="240" w:lineRule="auto"/>
              <w:rPr>
                <w:rFonts w:cs="Arial"/>
                <w:color w:val="auto"/>
              </w:rPr>
            </w:pPr>
            <w:r w:rsidRPr="007E140B">
              <w:rPr>
                <w:rFonts w:cs="Arial"/>
                <w:color w:val="auto"/>
                <w:sz w:val="15"/>
              </w:rPr>
              <w:t>One of the dissertation’s most relevant sources for the proposed reputation pathway. Its mediation logic is useful, but the dissertation correctly avoids claiming that the same statistically demonstrated mediation exists in the four UK cases.</w:t>
            </w:r>
          </w:p>
        </w:tc>
        <w:tc>
          <w:tcPr>
            <w:tcW w:w="1230" w:type="dxa"/>
            <w:shd w:val="clear" w:color="auto" w:fill="EAF1F7"/>
            <w:tcMar>
              <w:top w:w="22" w:type="dxa"/>
              <w:left w:w="24" w:type="dxa"/>
              <w:bottom w:w="22" w:type="dxa"/>
              <w:right w:w="24" w:type="dxa"/>
            </w:tcMar>
          </w:tcPr>
          <w:p w14:paraId="63FC933E" w14:textId="77777777" w:rsidR="004D7A10" w:rsidRPr="007E140B" w:rsidRDefault="00867805" w:rsidP="0026770E">
            <w:pPr>
              <w:spacing w:after="0" w:line="240" w:lineRule="auto"/>
              <w:rPr>
                <w:rFonts w:cs="Arial"/>
                <w:color w:val="auto"/>
              </w:rPr>
            </w:pPr>
            <w:hyperlink r:id="rId70">
              <w:r w:rsidR="004D7A10" w:rsidRPr="007E140B">
                <w:rPr>
                  <w:rFonts w:cs="Arial"/>
                  <w:color w:val="auto"/>
                  <w:sz w:val="13"/>
                  <w:szCs w:val="13"/>
                </w:rPr>
                <w:t>https://doi.org/10.1002/bse.2482</w:t>
              </w:r>
            </w:hyperlink>
          </w:p>
        </w:tc>
      </w:tr>
      <w:tr w:rsidR="007E140B" w:rsidRPr="007E140B" w14:paraId="5B005BD6" w14:textId="77777777" w:rsidTr="0026770E">
        <w:trPr>
          <w:cantSplit/>
          <w:jc w:val="center"/>
        </w:trPr>
        <w:tc>
          <w:tcPr>
            <w:tcW w:w="504" w:type="dxa"/>
            <w:shd w:val="clear" w:color="auto" w:fill="F7FAFC"/>
            <w:tcMar>
              <w:top w:w="22" w:type="dxa"/>
              <w:left w:w="24" w:type="dxa"/>
              <w:bottom w:w="22" w:type="dxa"/>
              <w:right w:w="24" w:type="dxa"/>
            </w:tcMar>
            <w:vAlign w:val="center"/>
          </w:tcPr>
          <w:p w14:paraId="6240215C" w14:textId="77777777" w:rsidR="004D7A10" w:rsidRPr="007E140B" w:rsidRDefault="004D7A10" w:rsidP="0026770E">
            <w:pPr>
              <w:spacing w:after="0" w:line="240" w:lineRule="auto"/>
              <w:jc w:val="center"/>
              <w:rPr>
                <w:rFonts w:cs="Arial"/>
                <w:color w:val="auto"/>
              </w:rPr>
            </w:pPr>
            <w:r w:rsidRPr="007E140B">
              <w:rPr>
                <w:rFonts w:cs="Arial"/>
                <w:b/>
                <w:color w:val="auto"/>
                <w:sz w:val="15"/>
              </w:rPr>
              <w:lastRenderedPageBreak/>
              <w:t>15</w:t>
            </w:r>
          </w:p>
        </w:tc>
        <w:tc>
          <w:tcPr>
            <w:tcW w:w="1447" w:type="dxa"/>
            <w:shd w:val="clear" w:color="auto" w:fill="F7FAFC"/>
            <w:tcMar>
              <w:top w:w="22" w:type="dxa"/>
              <w:left w:w="24" w:type="dxa"/>
              <w:bottom w:w="22" w:type="dxa"/>
              <w:right w:w="24" w:type="dxa"/>
            </w:tcMar>
          </w:tcPr>
          <w:p w14:paraId="514CBCBC" w14:textId="77777777" w:rsidR="004D7A10" w:rsidRPr="007E140B" w:rsidRDefault="004D7A10" w:rsidP="0026770E">
            <w:pPr>
              <w:spacing w:after="0" w:line="240" w:lineRule="auto"/>
              <w:rPr>
                <w:rFonts w:cs="Arial"/>
                <w:color w:val="auto"/>
              </w:rPr>
            </w:pPr>
            <w:r w:rsidRPr="007E140B">
              <w:rPr>
                <w:rFonts w:cs="Arial"/>
                <w:b/>
                <w:color w:val="auto"/>
                <w:sz w:val="15"/>
              </w:rPr>
              <w:t>The Agency of Greenwashing</w:t>
            </w:r>
          </w:p>
        </w:tc>
        <w:tc>
          <w:tcPr>
            <w:tcW w:w="1049" w:type="dxa"/>
            <w:shd w:val="clear" w:color="auto" w:fill="F7FAFC"/>
            <w:tcMar>
              <w:top w:w="22" w:type="dxa"/>
              <w:left w:w="24" w:type="dxa"/>
              <w:bottom w:w="22" w:type="dxa"/>
              <w:right w:w="24" w:type="dxa"/>
            </w:tcMar>
          </w:tcPr>
          <w:p w14:paraId="07F14ADF" w14:textId="77777777" w:rsidR="004D7A10" w:rsidRPr="007E140B" w:rsidRDefault="004D7A10" w:rsidP="0026770E">
            <w:pPr>
              <w:spacing w:after="0" w:line="240" w:lineRule="auto"/>
              <w:rPr>
                <w:rFonts w:cs="Arial"/>
                <w:color w:val="auto"/>
              </w:rPr>
            </w:pPr>
            <w:r w:rsidRPr="007E140B">
              <w:rPr>
                <w:rFonts w:cs="Arial"/>
                <w:color w:val="auto"/>
                <w:sz w:val="15"/>
              </w:rPr>
              <w:t>Journal of Management and Governance</w:t>
            </w:r>
          </w:p>
        </w:tc>
        <w:tc>
          <w:tcPr>
            <w:tcW w:w="905" w:type="dxa"/>
            <w:shd w:val="clear" w:color="auto" w:fill="F7FAFC"/>
            <w:tcMar>
              <w:top w:w="22" w:type="dxa"/>
              <w:left w:w="24" w:type="dxa"/>
              <w:bottom w:w="22" w:type="dxa"/>
              <w:right w:w="24" w:type="dxa"/>
            </w:tcMar>
          </w:tcPr>
          <w:p w14:paraId="4ED206EE" w14:textId="77777777" w:rsidR="004D7A10" w:rsidRPr="007E140B" w:rsidRDefault="004D7A10" w:rsidP="0026770E">
            <w:pPr>
              <w:spacing w:after="0" w:line="240" w:lineRule="auto"/>
              <w:rPr>
                <w:rFonts w:cs="Arial"/>
                <w:color w:val="auto"/>
              </w:rPr>
            </w:pPr>
            <w:r w:rsidRPr="007E140B">
              <w:rPr>
                <w:rFonts w:cs="Arial"/>
                <w:color w:val="auto"/>
                <w:sz w:val="15"/>
              </w:rPr>
              <w:t>Ghitti, M.; Gianfrate, G.; Palma, L.</w:t>
            </w:r>
          </w:p>
        </w:tc>
        <w:tc>
          <w:tcPr>
            <w:tcW w:w="648" w:type="dxa"/>
            <w:shd w:val="clear" w:color="auto" w:fill="F7FAFC"/>
            <w:tcMar>
              <w:top w:w="22" w:type="dxa"/>
              <w:left w:w="24" w:type="dxa"/>
              <w:bottom w:w="22" w:type="dxa"/>
              <w:right w:w="24" w:type="dxa"/>
            </w:tcMar>
            <w:vAlign w:val="center"/>
          </w:tcPr>
          <w:p w14:paraId="6A60C1F5" w14:textId="77777777" w:rsidR="004D7A10" w:rsidRPr="007E140B" w:rsidRDefault="004D7A10" w:rsidP="0026770E">
            <w:pPr>
              <w:spacing w:after="0" w:line="240" w:lineRule="auto"/>
              <w:jc w:val="center"/>
              <w:rPr>
                <w:rFonts w:cs="Arial"/>
                <w:color w:val="auto"/>
              </w:rPr>
            </w:pPr>
            <w:r w:rsidRPr="007E140B">
              <w:rPr>
                <w:rFonts w:cs="Arial"/>
                <w:b/>
                <w:color w:val="auto"/>
                <w:sz w:val="15"/>
              </w:rPr>
              <w:t>2024</w:t>
            </w:r>
          </w:p>
        </w:tc>
        <w:tc>
          <w:tcPr>
            <w:tcW w:w="1230" w:type="dxa"/>
            <w:shd w:val="clear" w:color="auto" w:fill="F7FAFC"/>
            <w:tcMar>
              <w:top w:w="22" w:type="dxa"/>
              <w:left w:w="24" w:type="dxa"/>
              <w:bottom w:w="22" w:type="dxa"/>
              <w:right w:w="24" w:type="dxa"/>
            </w:tcMar>
          </w:tcPr>
          <w:p w14:paraId="1CFDCA9E" w14:textId="77777777" w:rsidR="004D7A10" w:rsidRPr="007E140B" w:rsidRDefault="004D7A10" w:rsidP="0026770E">
            <w:pPr>
              <w:spacing w:after="0" w:line="240" w:lineRule="auto"/>
              <w:rPr>
                <w:rFonts w:cs="Arial"/>
                <w:color w:val="auto"/>
              </w:rPr>
            </w:pPr>
            <w:r w:rsidRPr="007E140B">
              <w:rPr>
                <w:rFonts w:cs="Arial"/>
                <w:color w:val="auto"/>
                <w:sz w:val="15"/>
              </w:rPr>
              <w:t>To develop measures of corporate greenwashing and examine how governance structures associated with agency problems relate to greenwashing and firm value.</w:t>
            </w:r>
          </w:p>
        </w:tc>
        <w:tc>
          <w:tcPr>
            <w:tcW w:w="1375" w:type="dxa"/>
            <w:shd w:val="clear" w:color="auto" w:fill="F7FAFC"/>
            <w:tcMar>
              <w:top w:w="22" w:type="dxa"/>
              <w:left w:w="24" w:type="dxa"/>
              <w:bottom w:w="22" w:type="dxa"/>
              <w:right w:w="24" w:type="dxa"/>
            </w:tcMar>
          </w:tcPr>
          <w:p w14:paraId="4F52D77B" w14:textId="77777777" w:rsidR="004D7A10" w:rsidRPr="007E140B" w:rsidRDefault="004D7A10" w:rsidP="0026770E">
            <w:pPr>
              <w:spacing w:after="0" w:line="240" w:lineRule="auto"/>
              <w:rPr>
                <w:rFonts w:cs="Arial"/>
                <w:color w:val="auto"/>
              </w:rPr>
            </w:pPr>
            <w:r w:rsidRPr="007E140B">
              <w:rPr>
                <w:rFonts w:cs="Arial"/>
                <w:color w:val="auto"/>
                <w:sz w:val="15"/>
              </w:rPr>
              <w:t>Construct greenwashing measures; test relationships with board characteristics; assess whether greenwashing is associated with firm valuation.</w:t>
            </w:r>
          </w:p>
        </w:tc>
        <w:tc>
          <w:tcPr>
            <w:tcW w:w="1086" w:type="dxa"/>
            <w:shd w:val="clear" w:color="auto" w:fill="F7FAFC"/>
            <w:tcMar>
              <w:top w:w="22" w:type="dxa"/>
              <w:left w:w="24" w:type="dxa"/>
              <w:bottom w:w="22" w:type="dxa"/>
              <w:right w:w="24" w:type="dxa"/>
            </w:tcMar>
          </w:tcPr>
          <w:p w14:paraId="3821597C" w14:textId="77777777" w:rsidR="004D7A10" w:rsidRPr="007E140B" w:rsidRDefault="004D7A10" w:rsidP="0026770E">
            <w:pPr>
              <w:spacing w:after="0" w:line="240" w:lineRule="auto"/>
              <w:rPr>
                <w:rFonts w:cs="Arial"/>
                <w:color w:val="auto"/>
              </w:rPr>
            </w:pPr>
            <w:r w:rsidRPr="007E140B">
              <w:rPr>
                <w:rFonts w:cs="Arial"/>
                <w:color w:val="auto"/>
                <w:sz w:val="15"/>
              </w:rPr>
              <w:t>Which corporate-governance features are associated with greenwashing, and what is the relationship between greenwashing and firm value?</w:t>
            </w:r>
          </w:p>
        </w:tc>
        <w:tc>
          <w:tcPr>
            <w:tcW w:w="1122" w:type="dxa"/>
            <w:shd w:val="clear" w:color="auto" w:fill="F7FAFC"/>
            <w:tcMar>
              <w:top w:w="22" w:type="dxa"/>
              <w:left w:w="24" w:type="dxa"/>
              <w:bottom w:w="22" w:type="dxa"/>
              <w:right w:w="24" w:type="dxa"/>
            </w:tcMar>
          </w:tcPr>
          <w:p w14:paraId="7272AEAE" w14:textId="77777777" w:rsidR="004D7A10" w:rsidRPr="007E140B" w:rsidRDefault="004D7A10" w:rsidP="0026770E">
            <w:pPr>
              <w:spacing w:after="0" w:line="240" w:lineRule="auto"/>
              <w:rPr>
                <w:rFonts w:cs="Arial"/>
                <w:color w:val="auto"/>
              </w:rPr>
            </w:pPr>
            <w:r w:rsidRPr="007E140B">
              <w:rPr>
                <w:rFonts w:cs="Arial"/>
                <w:color w:val="auto"/>
                <w:sz w:val="15"/>
              </w:rPr>
              <w:t>Empirical governance study using novel firm-level greenwashing measures based on environmental disclosure/performance information and board/governance characteristics.</w:t>
            </w:r>
          </w:p>
        </w:tc>
        <w:tc>
          <w:tcPr>
            <w:tcW w:w="1556" w:type="dxa"/>
            <w:shd w:val="clear" w:color="auto" w:fill="F7FAFC"/>
            <w:tcMar>
              <w:top w:w="22" w:type="dxa"/>
              <w:left w:w="24" w:type="dxa"/>
              <w:bottom w:w="22" w:type="dxa"/>
              <w:right w:w="24" w:type="dxa"/>
            </w:tcMar>
          </w:tcPr>
          <w:p w14:paraId="34A431BD" w14:textId="77777777" w:rsidR="004D7A10" w:rsidRPr="007E140B" w:rsidRDefault="004D7A10" w:rsidP="0026770E">
            <w:pPr>
              <w:spacing w:after="0" w:line="240" w:lineRule="auto"/>
              <w:rPr>
                <w:rFonts w:cs="Arial"/>
                <w:color w:val="auto"/>
              </w:rPr>
            </w:pPr>
            <w:r w:rsidRPr="007E140B">
              <w:rPr>
                <w:rFonts w:cs="Arial"/>
                <w:color w:val="auto"/>
                <w:sz w:val="15"/>
              </w:rPr>
              <w:t>Board characteristics show non-uniform associations with greenwashing; greater board independence is associated with more apparent greenwashing, female-board presence also relates to the greenwashing measure, board-size effects are ambiguous, and greenwashing is associated with lower firm value.</w:t>
            </w:r>
          </w:p>
        </w:tc>
        <w:tc>
          <w:tcPr>
            <w:tcW w:w="1665" w:type="dxa"/>
            <w:shd w:val="clear" w:color="auto" w:fill="F7FAFC"/>
            <w:tcMar>
              <w:top w:w="22" w:type="dxa"/>
              <w:left w:w="24" w:type="dxa"/>
              <w:bottom w:w="22" w:type="dxa"/>
              <w:right w:w="24" w:type="dxa"/>
            </w:tcMar>
          </w:tcPr>
          <w:p w14:paraId="1A14E220" w14:textId="77777777" w:rsidR="004D7A10" w:rsidRPr="007E140B" w:rsidRDefault="004D7A10" w:rsidP="0026770E">
            <w:pPr>
              <w:spacing w:after="0" w:line="240" w:lineRule="auto"/>
              <w:rPr>
                <w:rFonts w:cs="Arial"/>
                <w:color w:val="auto"/>
              </w:rPr>
            </w:pPr>
            <w:r w:rsidRPr="007E140B">
              <w:rPr>
                <w:rFonts w:cs="Arial"/>
                <w:color w:val="auto"/>
                <w:sz w:val="15"/>
              </w:rPr>
              <w:t>The study frames greenwashing as an agency/governance problem rather than only a communications problem and shows that conventional governance attributes do not automatically eliminate it.</w:t>
            </w:r>
          </w:p>
        </w:tc>
        <w:tc>
          <w:tcPr>
            <w:tcW w:w="1303" w:type="dxa"/>
            <w:shd w:val="clear" w:color="auto" w:fill="F7FAFC"/>
            <w:tcMar>
              <w:top w:w="22" w:type="dxa"/>
              <w:left w:w="24" w:type="dxa"/>
              <w:bottom w:w="22" w:type="dxa"/>
              <w:right w:w="24" w:type="dxa"/>
            </w:tcMar>
          </w:tcPr>
          <w:p w14:paraId="2E339D86" w14:textId="77777777" w:rsidR="004D7A10" w:rsidRPr="007E140B" w:rsidRDefault="004D7A10" w:rsidP="0026770E">
            <w:pPr>
              <w:spacing w:after="0" w:line="240" w:lineRule="auto"/>
              <w:rPr>
                <w:rFonts w:cs="Arial"/>
                <w:color w:val="auto"/>
              </w:rPr>
            </w:pPr>
            <w:r w:rsidRPr="007E140B">
              <w:rPr>
                <w:rFonts w:cs="Arial"/>
                <w:color w:val="auto"/>
                <w:sz w:val="15"/>
              </w:rPr>
              <w:t>Supports the dissertation’s claim-level governance-risk perspective. It is relevant to why board oversight, evidence ownership and controls matter, but the dissertation appropriately treats the paper as theory/empirical context rather than proof of motives in its four cases.</w:t>
            </w:r>
          </w:p>
        </w:tc>
        <w:tc>
          <w:tcPr>
            <w:tcW w:w="1230" w:type="dxa"/>
            <w:shd w:val="clear" w:color="auto" w:fill="F7FAFC"/>
            <w:tcMar>
              <w:top w:w="22" w:type="dxa"/>
              <w:left w:w="24" w:type="dxa"/>
              <w:bottom w:w="22" w:type="dxa"/>
              <w:right w:w="24" w:type="dxa"/>
            </w:tcMar>
          </w:tcPr>
          <w:p w14:paraId="0D2EE47E" w14:textId="77777777" w:rsidR="004D7A10" w:rsidRPr="007E140B" w:rsidRDefault="00867805" w:rsidP="0026770E">
            <w:pPr>
              <w:spacing w:after="0" w:line="240" w:lineRule="auto"/>
              <w:rPr>
                <w:rFonts w:cs="Arial"/>
                <w:color w:val="auto"/>
              </w:rPr>
            </w:pPr>
            <w:hyperlink r:id="rId71">
              <w:r w:rsidR="004D7A10" w:rsidRPr="007E140B">
                <w:rPr>
                  <w:rFonts w:cs="Arial"/>
                  <w:color w:val="auto"/>
                  <w:sz w:val="13"/>
                  <w:szCs w:val="13"/>
                </w:rPr>
                <w:t>https://doi.org/10.1007/s10997-023-09683-8</w:t>
              </w:r>
            </w:hyperlink>
          </w:p>
        </w:tc>
      </w:tr>
      <w:tr w:rsidR="007E140B" w:rsidRPr="007E140B" w14:paraId="3830901E" w14:textId="77777777" w:rsidTr="0026770E">
        <w:trPr>
          <w:cantSplit/>
          <w:jc w:val="center"/>
        </w:trPr>
        <w:tc>
          <w:tcPr>
            <w:tcW w:w="504" w:type="dxa"/>
            <w:shd w:val="clear" w:color="auto" w:fill="EAF1F7"/>
            <w:tcMar>
              <w:top w:w="22" w:type="dxa"/>
              <w:left w:w="24" w:type="dxa"/>
              <w:bottom w:w="22" w:type="dxa"/>
              <w:right w:w="24" w:type="dxa"/>
            </w:tcMar>
            <w:vAlign w:val="center"/>
          </w:tcPr>
          <w:p w14:paraId="37D00512" w14:textId="77777777" w:rsidR="004D7A10" w:rsidRPr="007E140B" w:rsidRDefault="004D7A10" w:rsidP="0026770E">
            <w:pPr>
              <w:spacing w:after="0" w:line="240" w:lineRule="auto"/>
              <w:jc w:val="center"/>
              <w:rPr>
                <w:rFonts w:cs="Arial"/>
                <w:color w:val="auto"/>
              </w:rPr>
            </w:pPr>
            <w:r w:rsidRPr="007E140B">
              <w:rPr>
                <w:rFonts w:cs="Arial"/>
                <w:b/>
                <w:color w:val="auto"/>
                <w:sz w:val="15"/>
              </w:rPr>
              <w:t>16</w:t>
            </w:r>
          </w:p>
        </w:tc>
        <w:tc>
          <w:tcPr>
            <w:tcW w:w="1447" w:type="dxa"/>
            <w:shd w:val="clear" w:color="auto" w:fill="EAF1F7"/>
            <w:tcMar>
              <w:top w:w="22" w:type="dxa"/>
              <w:left w:w="24" w:type="dxa"/>
              <w:bottom w:w="22" w:type="dxa"/>
              <w:right w:w="24" w:type="dxa"/>
            </w:tcMar>
          </w:tcPr>
          <w:p w14:paraId="425F65B2" w14:textId="77777777" w:rsidR="004D7A10" w:rsidRPr="007E140B" w:rsidRDefault="004D7A10" w:rsidP="0026770E">
            <w:pPr>
              <w:spacing w:after="0" w:line="240" w:lineRule="auto"/>
              <w:rPr>
                <w:rFonts w:cs="Arial"/>
                <w:color w:val="auto"/>
              </w:rPr>
            </w:pPr>
            <w:r w:rsidRPr="007E140B">
              <w:rPr>
                <w:rFonts w:cs="Arial"/>
                <w:b/>
                <w:color w:val="auto"/>
                <w:sz w:val="15"/>
              </w:rPr>
              <w:t>Firms and Social Responsibility: A Review of ESG and CSR Research in Corporate Finance</w:t>
            </w:r>
          </w:p>
        </w:tc>
        <w:tc>
          <w:tcPr>
            <w:tcW w:w="1049" w:type="dxa"/>
            <w:shd w:val="clear" w:color="auto" w:fill="EAF1F7"/>
            <w:tcMar>
              <w:top w:w="22" w:type="dxa"/>
              <w:left w:w="24" w:type="dxa"/>
              <w:bottom w:w="22" w:type="dxa"/>
              <w:right w:w="24" w:type="dxa"/>
            </w:tcMar>
          </w:tcPr>
          <w:p w14:paraId="60CD358E" w14:textId="77777777" w:rsidR="004D7A10" w:rsidRPr="007E140B" w:rsidRDefault="004D7A10" w:rsidP="0026770E">
            <w:pPr>
              <w:spacing w:after="0" w:line="240" w:lineRule="auto"/>
              <w:rPr>
                <w:rFonts w:cs="Arial"/>
                <w:color w:val="auto"/>
              </w:rPr>
            </w:pPr>
            <w:r w:rsidRPr="007E140B">
              <w:rPr>
                <w:rFonts w:cs="Arial"/>
                <w:color w:val="auto"/>
                <w:sz w:val="15"/>
              </w:rPr>
              <w:t>Journal of Corporate Finance</w:t>
            </w:r>
          </w:p>
        </w:tc>
        <w:tc>
          <w:tcPr>
            <w:tcW w:w="905" w:type="dxa"/>
            <w:shd w:val="clear" w:color="auto" w:fill="EAF1F7"/>
            <w:tcMar>
              <w:top w:w="22" w:type="dxa"/>
              <w:left w:w="24" w:type="dxa"/>
              <w:bottom w:w="22" w:type="dxa"/>
              <w:right w:w="24" w:type="dxa"/>
            </w:tcMar>
          </w:tcPr>
          <w:p w14:paraId="3B8C64E6" w14:textId="77777777" w:rsidR="004D7A10" w:rsidRPr="007E140B" w:rsidRDefault="004D7A10" w:rsidP="0026770E">
            <w:pPr>
              <w:spacing w:after="0" w:line="240" w:lineRule="auto"/>
              <w:rPr>
                <w:rFonts w:cs="Arial"/>
                <w:color w:val="auto"/>
              </w:rPr>
            </w:pPr>
            <w:r w:rsidRPr="007E140B">
              <w:rPr>
                <w:rFonts w:cs="Arial"/>
                <w:color w:val="auto"/>
                <w:sz w:val="15"/>
              </w:rPr>
              <w:t>Gillan, S.L.; Koch, A.; Starks, L.T.</w:t>
            </w:r>
          </w:p>
        </w:tc>
        <w:tc>
          <w:tcPr>
            <w:tcW w:w="648" w:type="dxa"/>
            <w:shd w:val="clear" w:color="auto" w:fill="EAF1F7"/>
            <w:tcMar>
              <w:top w:w="22" w:type="dxa"/>
              <w:left w:w="24" w:type="dxa"/>
              <w:bottom w:w="22" w:type="dxa"/>
              <w:right w:w="24" w:type="dxa"/>
            </w:tcMar>
            <w:vAlign w:val="center"/>
          </w:tcPr>
          <w:p w14:paraId="14079D01" w14:textId="77777777" w:rsidR="004D7A10" w:rsidRPr="007E140B" w:rsidRDefault="004D7A10" w:rsidP="0026770E">
            <w:pPr>
              <w:spacing w:after="0" w:line="240" w:lineRule="auto"/>
              <w:jc w:val="center"/>
              <w:rPr>
                <w:rFonts w:cs="Arial"/>
                <w:color w:val="auto"/>
              </w:rPr>
            </w:pPr>
            <w:r w:rsidRPr="007E140B">
              <w:rPr>
                <w:rFonts w:cs="Arial"/>
                <w:b/>
                <w:color w:val="auto"/>
                <w:sz w:val="15"/>
              </w:rPr>
              <w:t>2021</w:t>
            </w:r>
          </w:p>
        </w:tc>
        <w:tc>
          <w:tcPr>
            <w:tcW w:w="1230" w:type="dxa"/>
            <w:shd w:val="clear" w:color="auto" w:fill="EAF1F7"/>
            <w:tcMar>
              <w:top w:w="22" w:type="dxa"/>
              <w:left w:w="24" w:type="dxa"/>
              <w:bottom w:w="22" w:type="dxa"/>
              <w:right w:w="24" w:type="dxa"/>
            </w:tcMar>
          </w:tcPr>
          <w:p w14:paraId="031EF3DA" w14:textId="77777777" w:rsidR="004D7A10" w:rsidRPr="007E140B" w:rsidRDefault="004D7A10" w:rsidP="0026770E">
            <w:pPr>
              <w:spacing w:after="0" w:line="240" w:lineRule="auto"/>
              <w:rPr>
                <w:rFonts w:cs="Arial"/>
                <w:color w:val="auto"/>
              </w:rPr>
            </w:pPr>
            <w:r w:rsidRPr="007E140B">
              <w:rPr>
                <w:rFonts w:cs="Arial"/>
                <w:color w:val="auto"/>
                <w:sz w:val="15"/>
              </w:rPr>
              <w:t>To review financial-economics research on ESG and CSR with emphasis on corporate-finance questions.</w:t>
            </w:r>
          </w:p>
        </w:tc>
        <w:tc>
          <w:tcPr>
            <w:tcW w:w="1375" w:type="dxa"/>
            <w:shd w:val="clear" w:color="auto" w:fill="EAF1F7"/>
            <w:tcMar>
              <w:top w:w="22" w:type="dxa"/>
              <w:left w:w="24" w:type="dxa"/>
              <w:bottom w:w="22" w:type="dxa"/>
              <w:right w:w="24" w:type="dxa"/>
            </w:tcMar>
          </w:tcPr>
          <w:p w14:paraId="557DA66B" w14:textId="77777777" w:rsidR="004D7A10" w:rsidRPr="007E140B" w:rsidRDefault="004D7A10" w:rsidP="0026770E">
            <w:pPr>
              <w:spacing w:after="0" w:line="240" w:lineRule="auto"/>
              <w:rPr>
                <w:rFonts w:cs="Arial"/>
                <w:color w:val="auto"/>
              </w:rPr>
            </w:pPr>
            <w:r w:rsidRPr="007E140B">
              <w:rPr>
                <w:rFonts w:cs="Arial"/>
                <w:color w:val="auto"/>
                <w:sz w:val="15"/>
              </w:rPr>
              <w:t>Synthesize evidence on determinants of firms’ ESG/CSR profiles; review links with ownership, leadership, risk, performance and value; identify unresolved debates and research needs.</w:t>
            </w:r>
          </w:p>
        </w:tc>
        <w:tc>
          <w:tcPr>
            <w:tcW w:w="1086" w:type="dxa"/>
            <w:shd w:val="clear" w:color="auto" w:fill="EAF1F7"/>
            <w:tcMar>
              <w:top w:w="22" w:type="dxa"/>
              <w:left w:w="24" w:type="dxa"/>
              <w:bottom w:w="22" w:type="dxa"/>
              <w:right w:w="24" w:type="dxa"/>
            </w:tcMar>
          </w:tcPr>
          <w:p w14:paraId="506647DD" w14:textId="77777777" w:rsidR="004D7A10" w:rsidRPr="007E140B" w:rsidRDefault="004D7A10" w:rsidP="0026770E">
            <w:pPr>
              <w:spacing w:after="0" w:line="240" w:lineRule="auto"/>
              <w:rPr>
                <w:rFonts w:cs="Arial"/>
                <w:color w:val="auto"/>
              </w:rPr>
            </w:pPr>
            <w:r w:rsidRPr="007E140B">
              <w:rPr>
                <w:rFonts w:cs="Arial"/>
                <w:color w:val="auto"/>
                <w:sz w:val="15"/>
              </w:rPr>
              <w:t>What does corporate-finance research show about the determinants and financial consequences of ESG/CSR, and where do conflicting hypotheses/evidence remain?</w:t>
            </w:r>
          </w:p>
        </w:tc>
        <w:tc>
          <w:tcPr>
            <w:tcW w:w="1122" w:type="dxa"/>
            <w:shd w:val="clear" w:color="auto" w:fill="EAF1F7"/>
            <w:tcMar>
              <w:top w:w="22" w:type="dxa"/>
              <w:left w:w="24" w:type="dxa"/>
              <w:bottom w:w="22" w:type="dxa"/>
              <w:right w:w="24" w:type="dxa"/>
            </w:tcMar>
          </w:tcPr>
          <w:p w14:paraId="7EDFD6D4" w14:textId="77777777" w:rsidR="004D7A10" w:rsidRPr="007E140B" w:rsidRDefault="004D7A10" w:rsidP="0026770E">
            <w:pPr>
              <w:spacing w:after="0" w:line="240" w:lineRule="auto"/>
              <w:rPr>
                <w:rFonts w:cs="Arial"/>
                <w:color w:val="auto"/>
              </w:rPr>
            </w:pPr>
            <w:r w:rsidRPr="007E140B">
              <w:rPr>
                <w:rFonts w:cs="Arial"/>
                <w:color w:val="auto"/>
                <w:sz w:val="15"/>
              </w:rPr>
              <w:t>Narrative/critical review of the financial-economics ESG/CSR literature; no single dataset.</w:t>
            </w:r>
          </w:p>
        </w:tc>
        <w:tc>
          <w:tcPr>
            <w:tcW w:w="1556" w:type="dxa"/>
            <w:shd w:val="clear" w:color="auto" w:fill="EAF1F7"/>
            <w:tcMar>
              <w:top w:w="22" w:type="dxa"/>
              <w:left w:w="24" w:type="dxa"/>
              <w:bottom w:w="22" w:type="dxa"/>
              <w:right w:w="24" w:type="dxa"/>
            </w:tcMar>
          </w:tcPr>
          <w:p w14:paraId="6C417248" w14:textId="77777777" w:rsidR="004D7A10" w:rsidRPr="007E140B" w:rsidRDefault="004D7A10" w:rsidP="0026770E">
            <w:pPr>
              <w:spacing w:after="0" w:line="240" w:lineRule="auto"/>
              <w:rPr>
                <w:rFonts w:cs="Arial"/>
                <w:color w:val="auto"/>
              </w:rPr>
            </w:pPr>
            <w:r w:rsidRPr="007E140B">
              <w:rPr>
                <w:rFonts w:cs="Arial"/>
                <w:color w:val="auto"/>
                <w:sz w:val="15"/>
              </w:rPr>
              <w:t>ESG/CSR profiles are related to firms’ market, leadership and ownership characteristics and are associated with risk, performance and value, but competing theories and conflicting results remain unresolved.</w:t>
            </w:r>
          </w:p>
        </w:tc>
        <w:tc>
          <w:tcPr>
            <w:tcW w:w="1665" w:type="dxa"/>
            <w:shd w:val="clear" w:color="auto" w:fill="EAF1F7"/>
            <w:tcMar>
              <w:top w:w="22" w:type="dxa"/>
              <w:left w:w="24" w:type="dxa"/>
              <w:bottom w:w="22" w:type="dxa"/>
              <w:right w:w="24" w:type="dxa"/>
            </w:tcMar>
          </w:tcPr>
          <w:p w14:paraId="25CA2A52" w14:textId="77777777" w:rsidR="004D7A10" w:rsidRPr="007E140B" w:rsidRDefault="004D7A10" w:rsidP="0026770E">
            <w:pPr>
              <w:spacing w:after="0" w:line="240" w:lineRule="auto"/>
              <w:rPr>
                <w:rFonts w:cs="Arial"/>
                <w:color w:val="auto"/>
              </w:rPr>
            </w:pPr>
            <w:r w:rsidRPr="007E140B">
              <w:rPr>
                <w:rFonts w:cs="Arial"/>
                <w:color w:val="auto"/>
                <w:sz w:val="15"/>
              </w:rPr>
              <w:t>The review shows both the breadth of ESG/CSR research and the conceptual/measurement diversity that makes simple generalisations difficult.</w:t>
            </w:r>
          </w:p>
        </w:tc>
        <w:tc>
          <w:tcPr>
            <w:tcW w:w="1303" w:type="dxa"/>
            <w:shd w:val="clear" w:color="auto" w:fill="EAF1F7"/>
            <w:tcMar>
              <w:top w:w="22" w:type="dxa"/>
              <w:left w:w="24" w:type="dxa"/>
              <w:bottom w:w="22" w:type="dxa"/>
              <w:right w:w="24" w:type="dxa"/>
            </w:tcMar>
          </w:tcPr>
          <w:p w14:paraId="57C6507F" w14:textId="77777777" w:rsidR="004D7A10" w:rsidRPr="007E140B" w:rsidRDefault="004D7A10" w:rsidP="0026770E">
            <w:pPr>
              <w:spacing w:after="0" w:line="240" w:lineRule="auto"/>
              <w:rPr>
                <w:rFonts w:cs="Arial"/>
                <w:color w:val="auto"/>
              </w:rPr>
            </w:pPr>
            <w:r w:rsidRPr="007E140B">
              <w:rPr>
                <w:rFonts w:cs="Arial"/>
                <w:color w:val="auto"/>
                <w:sz w:val="15"/>
              </w:rPr>
              <w:t>Provides the dissertation’s broad conceptual foundation for treating ESG as heterogeneous rather than a single construct. It supports separating strategy, processes, outputs and outcomes and maintaining caution around aggregate results.</w:t>
            </w:r>
          </w:p>
        </w:tc>
        <w:tc>
          <w:tcPr>
            <w:tcW w:w="1230" w:type="dxa"/>
            <w:shd w:val="clear" w:color="auto" w:fill="EAF1F7"/>
            <w:tcMar>
              <w:top w:w="22" w:type="dxa"/>
              <w:left w:w="24" w:type="dxa"/>
              <w:bottom w:w="22" w:type="dxa"/>
              <w:right w:w="24" w:type="dxa"/>
            </w:tcMar>
          </w:tcPr>
          <w:p w14:paraId="6E0B07A1" w14:textId="77777777" w:rsidR="004D7A10" w:rsidRPr="007E140B" w:rsidRDefault="00867805" w:rsidP="0026770E">
            <w:pPr>
              <w:spacing w:after="0" w:line="240" w:lineRule="auto"/>
              <w:rPr>
                <w:rFonts w:cs="Arial"/>
                <w:color w:val="auto"/>
              </w:rPr>
            </w:pPr>
            <w:hyperlink r:id="rId72">
              <w:r w:rsidR="004D7A10" w:rsidRPr="007E140B">
                <w:rPr>
                  <w:rFonts w:cs="Arial"/>
                  <w:color w:val="auto"/>
                  <w:sz w:val="13"/>
                  <w:szCs w:val="13"/>
                </w:rPr>
                <w:t>https://doi.org/10.1016/j.jcorpfin.2021.101889</w:t>
              </w:r>
            </w:hyperlink>
          </w:p>
        </w:tc>
      </w:tr>
      <w:tr w:rsidR="007E140B" w:rsidRPr="007E140B" w14:paraId="77B3200C" w14:textId="77777777" w:rsidTr="0026770E">
        <w:trPr>
          <w:cantSplit/>
          <w:jc w:val="center"/>
        </w:trPr>
        <w:tc>
          <w:tcPr>
            <w:tcW w:w="504" w:type="dxa"/>
            <w:shd w:val="clear" w:color="auto" w:fill="F7FAFC"/>
            <w:tcMar>
              <w:top w:w="22" w:type="dxa"/>
              <w:left w:w="24" w:type="dxa"/>
              <w:bottom w:w="22" w:type="dxa"/>
              <w:right w:w="24" w:type="dxa"/>
            </w:tcMar>
            <w:vAlign w:val="center"/>
          </w:tcPr>
          <w:p w14:paraId="3A15A6A4" w14:textId="77777777" w:rsidR="004D7A10" w:rsidRPr="007E140B" w:rsidRDefault="004D7A10" w:rsidP="0026770E">
            <w:pPr>
              <w:spacing w:after="0" w:line="240" w:lineRule="auto"/>
              <w:jc w:val="center"/>
              <w:rPr>
                <w:rFonts w:cs="Arial"/>
                <w:color w:val="auto"/>
              </w:rPr>
            </w:pPr>
            <w:r w:rsidRPr="007E140B">
              <w:rPr>
                <w:rFonts w:cs="Arial"/>
                <w:b/>
                <w:color w:val="auto"/>
                <w:sz w:val="15"/>
              </w:rPr>
              <w:t>17</w:t>
            </w:r>
          </w:p>
        </w:tc>
        <w:tc>
          <w:tcPr>
            <w:tcW w:w="1447" w:type="dxa"/>
            <w:shd w:val="clear" w:color="auto" w:fill="F7FAFC"/>
            <w:tcMar>
              <w:top w:w="22" w:type="dxa"/>
              <w:left w:w="24" w:type="dxa"/>
              <w:bottom w:w="22" w:type="dxa"/>
              <w:right w:w="24" w:type="dxa"/>
            </w:tcMar>
          </w:tcPr>
          <w:p w14:paraId="6BA6AFF3" w14:textId="77777777" w:rsidR="004D7A10" w:rsidRPr="007E140B" w:rsidRDefault="004D7A10" w:rsidP="0026770E">
            <w:pPr>
              <w:spacing w:after="0" w:line="240" w:lineRule="auto"/>
              <w:rPr>
                <w:rFonts w:cs="Arial"/>
                <w:color w:val="auto"/>
              </w:rPr>
            </w:pPr>
            <w:r w:rsidRPr="007E140B">
              <w:rPr>
                <w:rFonts w:cs="Arial"/>
                <w:b/>
                <w:color w:val="auto"/>
                <w:sz w:val="15"/>
              </w:rPr>
              <w:t>Corporate Sustainability: First Evidence on Materiality</w:t>
            </w:r>
          </w:p>
        </w:tc>
        <w:tc>
          <w:tcPr>
            <w:tcW w:w="1049" w:type="dxa"/>
            <w:shd w:val="clear" w:color="auto" w:fill="F7FAFC"/>
            <w:tcMar>
              <w:top w:w="22" w:type="dxa"/>
              <w:left w:w="24" w:type="dxa"/>
              <w:bottom w:w="22" w:type="dxa"/>
              <w:right w:w="24" w:type="dxa"/>
            </w:tcMar>
          </w:tcPr>
          <w:p w14:paraId="74B8FD54" w14:textId="77777777" w:rsidR="004D7A10" w:rsidRPr="007E140B" w:rsidRDefault="004D7A10" w:rsidP="0026770E">
            <w:pPr>
              <w:spacing w:after="0" w:line="240" w:lineRule="auto"/>
              <w:rPr>
                <w:rFonts w:cs="Arial"/>
                <w:color w:val="auto"/>
              </w:rPr>
            </w:pPr>
            <w:r w:rsidRPr="007E140B">
              <w:rPr>
                <w:rFonts w:cs="Arial"/>
                <w:color w:val="auto"/>
                <w:sz w:val="15"/>
              </w:rPr>
              <w:t>The Accounting Review</w:t>
            </w:r>
          </w:p>
        </w:tc>
        <w:tc>
          <w:tcPr>
            <w:tcW w:w="905" w:type="dxa"/>
            <w:shd w:val="clear" w:color="auto" w:fill="F7FAFC"/>
            <w:tcMar>
              <w:top w:w="22" w:type="dxa"/>
              <w:left w:w="24" w:type="dxa"/>
              <w:bottom w:w="22" w:type="dxa"/>
              <w:right w:w="24" w:type="dxa"/>
            </w:tcMar>
          </w:tcPr>
          <w:p w14:paraId="77DB69B0" w14:textId="77777777" w:rsidR="004D7A10" w:rsidRPr="007E140B" w:rsidRDefault="004D7A10" w:rsidP="0026770E">
            <w:pPr>
              <w:spacing w:after="0" w:line="240" w:lineRule="auto"/>
              <w:rPr>
                <w:rFonts w:cs="Arial"/>
                <w:color w:val="auto"/>
              </w:rPr>
            </w:pPr>
            <w:r w:rsidRPr="007E140B">
              <w:rPr>
                <w:rFonts w:cs="Arial"/>
                <w:color w:val="auto"/>
                <w:sz w:val="15"/>
              </w:rPr>
              <w:t>Khan, M.; Serafeim, G.; Yoon, A.</w:t>
            </w:r>
          </w:p>
        </w:tc>
        <w:tc>
          <w:tcPr>
            <w:tcW w:w="648" w:type="dxa"/>
            <w:shd w:val="clear" w:color="auto" w:fill="F7FAFC"/>
            <w:tcMar>
              <w:top w:w="22" w:type="dxa"/>
              <w:left w:w="24" w:type="dxa"/>
              <w:bottom w:w="22" w:type="dxa"/>
              <w:right w:w="24" w:type="dxa"/>
            </w:tcMar>
            <w:vAlign w:val="center"/>
          </w:tcPr>
          <w:p w14:paraId="37726D9D" w14:textId="77777777" w:rsidR="004D7A10" w:rsidRPr="007E140B" w:rsidRDefault="004D7A10" w:rsidP="0026770E">
            <w:pPr>
              <w:spacing w:after="0" w:line="240" w:lineRule="auto"/>
              <w:jc w:val="center"/>
              <w:rPr>
                <w:rFonts w:cs="Arial"/>
                <w:color w:val="auto"/>
              </w:rPr>
            </w:pPr>
            <w:r w:rsidRPr="007E140B">
              <w:rPr>
                <w:rFonts w:cs="Arial"/>
                <w:b/>
                <w:color w:val="auto"/>
                <w:sz w:val="15"/>
              </w:rPr>
              <w:t>2016</w:t>
            </w:r>
          </w:p>
        </w:tc>
        <w:tc>
          <w:tcPr>
            <w:tcW w:w="1230" w:type="dxa"/>
            <w:shd w:val="clear" w:color="auto" w:fill="F7FAFC"/>
            <w:tcMar>
              <w:top w:w="22" w:type="dxa"/>
              <w:left w:w="24" w:type="dxa"/>
              <w:bottom w:w="22" w:type="dxa"/>
              <w:right w:w="24" w:type="dxa"/>
            </w:tcMar>
          </w:tcPr>
          <w:p w14:paraId="3BE3F06F" w14:textId="77777777" w:rsidR="004D7A10" w:rsidRPr="007E140B" w:rsidRDefault="004D7A10" w:rsidP="0026770E">
            <w:pPr>
              <w:spacing w:after="0" w:line="240" w:lineRule="auto"/>
              <w:rPr>
                <w:rFonts w:cs="Arial"/>
                <w:color w:val="auto"/>
              </w:rPr>
            </w:pPr>
            <w:r w:rsidRPr="007E140B">
              <w:rPr>
                <w:rFonts w:cs="Arial"/>
                <w:color w:val="auto"/>
                <w:sz w:val="15"/>
              </w:rPr>
              <w:t>To test whether sustainability performance on financially material issues has different value implications from performance on immaterial issues.</w:t>
            </w:r>
          </w:p>
        </w:tc>
        <w:tc>
          <w:tcPr>
            <w:tcW w:w="1375" w:type="dxa"/>
            <w:shd w:val="clear" w:color="auto" w:fill="F7FAFC"/>
            <w:tcMar>
              <w:top w:w="22" w:type="dxa"/>
              <w:left w:w="24" w:type="dxa"/>
              <w:bottom w:w="22" w:type="dxa"/>
              <w:right w:w="24" w:type="dxa"/>
            </w:tcMar>
          </w:tcPr>
          <w:p w14:paraId="328BA858" w14:textId="77777777" w:rsidR="004D7A10" w:rsidRPr="007E140B" w:rsidRDefault="004D7A10" w:rsidP="0026770E">
            <w:pPr>
              <w:spacing w:after="0" w:line="240" w:lineRule="auto"/>
              <w:rPr>
                <w:rFonts w:cs="Arial"/>
                <w:color w:val="auto"/>
              </w:rPr>
            </w:pPr>
            <w:r w:rsidRPr="007E140B">
              <w:rPr>
                <w:rFonts w:cs="Arial"/>
                <w:color w:val="auto"/>
                <w:sz w:val="15"/>
              </w:rPr>
              <w:t>Map sustainability issues to industry materiality; create firm-level material/immaterial sustainability measures; test future stock and accounting performance.</w:t>
            </w:r>
          </w:p>
        </w:tc>
        <w:tc>
          <w:tcPr>
            <w:tcW w:w="1086" w:type="dxa"/>
            <w:shd w:val="clear" w:color="auto" w:fill="F7FAFC"/>
            <w:tcMar>
              <w:top w:w="22" w:type="dxa"/>
              <w:left w:w="24" w:type="dxa"/>
              <w:bottom w:w="22" w:type="dxa"/>
              <w:right w:w="24" w:type="dxa"/>
            </w:tcMar>
          </w:tcPr>
          <w:p w14:paraId="32C5FF87" w14:textId="77777777" w:rsidR="004D7A10" w:rsidRPr="007E140B" w:rsidRDefault="004D7A10" w:rsidP="0026770E">
            <w:pPr>
              <w:spacing w:after="0" w:line="240" w:lineRule="auto"/>
              <w:rPr>
                <w:rFonts w:cs="Arial"/>
                <w:color w:val="auto"/>
              </w:rPr>
            </w:pPr>
            <w:r w:rsidRPr="007E140B">
              <w:rPr>
                <w:rFonts w:cs="Arial"/>
                <w:color w:val="auto"/>
                <w:sz w:val="15"/>
              </w:rPr>
              <w:t>Do firms that perform well on financially material sustainability issues outperform firms that perform well mainly on immaterial sustainability issues?</w:t>
            </w:r>
          </w:p>
        </w:tc>
        <w:tc>
          <w:tcPr>
            <w:tcW w:w="1122" w:type="dxa"/>
            <w:shd w:val="clear" w:color="auto" w:fill="F7FAFC"/>
            <w:tcMar>
              <w:top w:w="22" w:type="dxa"/>
              <w:left w:w="24" w:type="dxa"/>
              <w:bottom w:w="22" w:type="dxa"/>
              <w:right w:w="24" w:type="dxa"/>
            </w:tcMar>
          </w:tcPr>
          <w:p w14:paraId="70E8A36D" w14:textId="77777777" w:rsidR="004D7A10" w:rsidRPr="007E140B" w:rsidRDefault="004D7A10" w:rsidP="0026770E">
            <w:pPr>
              <w:spacing w:after="0" w:line="240" w:lineRule="auto"/>
              <w:rPr>
                <w:rFonts w:cs="Arial"/>
                <w:color w:val="auto"/>
              </w:rPr>
            </w:pPr>
            <w:r w:rsidRPr="007E140B">
              <w:rPr>
                <w:rFonts w:cs="Arial"/>
                <w:color w:val="auto"/>
                <w:sz w:val="15"/>
              </w:rPr>
              <w:t>The authors hand-map SASB materiality classifications to firm sustainability ratings, then use calendar-time portfolio return regressions and firm-level panel regressions.</w:t>
            </w:r>
          </w:p>
        </w:tc>
        <w:tc>
          <w:tcPr>
            <w:tcW w:w="1556" w:type="dxa"/>
            <w:shd w:val="clear" w:color="auto" w:fill="F7FAFC"/>
            <w:tcMar>
              <w:top w:w="22" w:type="dxa"/>
              <w:left w:w="24" w:type="dxa"/>
              <w:bottom w:w="22" w:type="dxa"/>
              <w:right w:w="24" w:type="dxa"/>
            </w:tcMar>
          </w:tcPr>
          <w:p w14:paraId="27D26E15" w14:textId="77777777" w:rsidR="004D7A10" w:rsidRPr="007E140B" w:rsidRDefault="004D7A10" w:rsidP="0026770E">
            <w:pPr>
              <w:spacing w:after="0" w:line="240" w:lineRule="auto"/>
              <w:rPr>
                <w:rFonts w:cs="Arial"/>
                <w:color w:val="auto"/>
              </w:rPr>
            </w:pPr>
            <w:r w:rsidRPr="007E140B">
              <w:rPr>
                <w:rFonts w:cs="Arial"/>
                <w:color w:val="auto"/>
                <w:sz w:val="15"/>
              </w:rPr>
              <w:t>Strong performance on material sustainability issues is associated with significant future outperformance and improved accounting performance; strong performance on immaterial issues does not show the same significant relationship.</w:t>
            </w:r>
          </w:p>
        </w:tc>
        <w:tc>
          <w:tcPr>
            <w:tcW w:w="1665" w:type="dxa"/>
            <w:shd w:val="clear" w:color="auto" w:fill="F7FAFC"/>
            <w:tcMar>
              <w:top w:w="22" w:type="dxa"/>
              <w:left w:w="24" w:type="dxa"/>
              <w:bottom w:w="22" w:type="dxa"/>
              <w:right w:w="24" w:type="dxa"/>
            </w:tcMar>
          </w:tcPr>
          <w:p w14:paraId="4ED5DB3E" w14:textId="77777777" w:rsidR="004D7A10" w:rsidRPr="007E140B" w:rsidRDefault="004D7A10" w:rsidP="0026770E">
            <w:pPr>
              <w:spacing w:after="0" w:line="240" w:lineRule="auto"/>
              <w:rPr>
                <w:rFonts w:cs="Arial"/>
                <w:color w:val="auto"/>
              </w:rPr>
            </w:pPr>
            <w:r w:rsidRPr="007E140B">
              <w:rPr>
                <w:rFonts w:cs="Arial"/>
                <w:color w:val="auto"/>
                <w:sz w:val="15"/>
              </w:rPr>
              <w:t>The paper provides influential evidence that the business relevance of sustainability depends on issue materiality rather than on undifferentiated sustainability activity.</w:t>
            </w:r>
          </w:p>
        </w:tc>
        <w:tc>
          <w:tcPr>
            <w:tcW w:w="1303" w:type="dxa"/>
            <w:shd w:val="clear" w:color="auto" w:fill="F7FAFC"/>
            <w:tcMar>
              <w:top w:w="22" w:type="dxa"/>
              <w:left w:w="24" w:type="dxa"/>
              <w:bottom w:w="22" w:type="dxa"/>
              <w:right w:w="24" w:type="dxa"/>
            </w:tcMar>
          </w:tcPr>
          <w:p w14:paraId="7D48BB87" w14:textId="77777777" w:rsidR="004D7A10" w:rsidRPr="007E140B" w:rsidRDefault="004D7A10" w:rsidP="0026770E">
            <w:pPr>
              <w:spacing w:after="0" w:line="240" w:lineRule="auto"/>
              <w:rPr>
                <w:rFonts w:cs="Arial"/>
                <w:color w:val="auto"/>
              </w:rPr>
            </w:pPr>
            <w:r w:rsidRPr="007E140B">
              <w:rPr>
                <w:rFonts w:cs="Arial"/>
                <w:color w:val="auto"/>
                <w:sz w:val="15"/>
              </w:rPr>
              <w:t>Foundational for the dissertation’s materiality-to-value logic. It justifies prioritising issues tied to revenue, cost, assets and stakeholder dependencies rather than maximising generic ESG activity.</w:t>
            </w:r>
          </w:p>
        </w:tc>
        <w:tc>
          <w:tcPr>
            <w:tcW w:w="1230" w:type="dxa"/>
            <w:shd w:val="clear" w:color="auto" w:fill="F7FAFC"/>
            <w:tcMar>
              <w:top w:w="22" w:type="dxa"/>
              <w:left w:w="24" w:type="dxa"/>
              <w:bottom w:w="22" w:type="dxa"/>
              <w:right w:w="24" w:type="dxa"/>
            </w:tcMar>
          </w:tcPr>
          <w:p w14:paraId="6A4F1A5C" w14:textId="77777777" w:rsidR="004D7A10" w:rsidRPr="007E140B" w:rsidRDefault="00867805" w:rsidP="0026770E">
            <w:pPr>
              <w:spacing w:after="0" w:line="240" w:lineRule="auto"/>
              <w:rPr>
                <w:rFonts w:cs="Arial"/>
                <w:color w:val="auto"/>
              </w:rPr>
            </w:pPr>
            <w:hyperlink r:id="rId73">
              <w:r w:rsidR="004D7A10" w:rsidRPr="007E140B">
                <w:rPr>
                  <w:rFonts w:cs="Arial"/>
                  <w:color w:val="auto"/>
                  <w:sz w:val="13"/>
                  <w:szCs w:val="13"/>
                </w:rPr>
                <w:t>https://doi.org/10.2308/accr-51383</w:t>
              </w:r>
            </w:hyperlink>
          </w:p>
        </w:tc>
      </w:tr>
      <w:tr w:rsidR="007E140B" w:rsidRPr="007E140B" w14:paraId="246FAC4A" w14:textId="77777777" w:rsidTr="0026770E">
        <w:trPr>
          <w:cantSplit/>
          <w:jc w:val="center"/>
        </w:trPr>
        <w:tc>
          <w:tcPr>
            <w:tcW w:w="504" w:type="dxa"/>
            <w:shd w:val="clear" w:color="auto" w:fill="EAF1F7"/>
            <w:tcMar>
              <w:top w:w="22" w:type="dxa"/>
              <w:left w:w="24" w:type="dxa"/>
              <w:bottom w:w="22" w:type="dxa"/>
              <w:right w:w="24" w:type="dxa"/>
            </w:tcMar>
            <w:vAlign w:val="center"/>
          </w:tcPr>
          <w:p w14:paraId="2DE16A64" w14:textId="77777777" w:rsidR="004D7A10" w:rsidRPr="007E140B" w:rsidRDefault="004D7A10" w:rsidP="0026770E">
            <w:pPr>
              <w:spacing w:after="0" w:line="240" w:lineRule="auto"/>
              <w:jc w:val="center"/>
              <w:rPr>
                <w:rFonts w:cs="Arial"/>
                <w:color w:val="auto"/>
              </w:rPr>
            </w:pPr>
            <w:r w:rsidRPr="007E140B">
              <w:rPr>
                <w:rFonts w:cs="Arial"/>
                <w:b/>
                <w:color w:val="auto"/>
                <w:sz w:val="15"/>
              </w:rPr>
              <w:lastRenderedPageBreak/>
              <w:t>18</w:t>
            </w:r>
          </w:p>
        </w:tc>
        <w:tc>
          <w:tcPr>
            <w:tcW w:w="1447" w:type="dxa"/>
            <w:shd w:val="clear" w:color="auto" w:fill="EAF1F7"/>
            <w:tcMar>
              <w:top w:w="22" w:type="dxa"/>
              <w:left w:w="24" w:type="dxa"/>
              <w:bottom w:w="22" w:type="dxa"/>
              <w:right w:w="24" w:type="dxa"/>
            </w:tcMar>
          </w:tcPr>
          <w:p w14:paraId="3BBB45E3" w14:textId="77777777" w:rsidR="004D7A10" w:rsidRPr="007E140B" w:rsidRDefault="004D7A10" w:rsidP="0026770E">
            <w:pPr>
              <w:spacing w:after="0" w:line="240" w:lineRule="auto"/>
              <w:rPr>
                <w:rFonts w:cs="Arial"/>
                <w:color w:val="auto"/>
              </w:rPr>
            </w:pPr>
            <w:r w:rsidRPr="007E140B">
              <w:rPr>
                <w:rFonts w:cs="Arial"/>
                <w:b/>
                <w:color w:val="auto"/>
                <w:sz w:val="15"/>
              </w:rPr>
              <w:t>An Integrative Model of Organizational Trust</w:t>
            </w:r>
          </w:p>
        </w:tc>
        <w:tc>
          <w:tcPr>
            <w:tcW w:w="1049" w:type="dxa"/>
            <w:shd w:val="clear" w:color="auto" w:fill="EAF1F7"/>
            <w:tcMar>
              <w:top w:w="22" w:type="dxa"/>
              <w:left w:w="24" w:type="dxa"/>
              <w:bottom w:w="22" w:type="dxa"/>
              <w:right w:w="24" w:type="dxa"/>
            </w:tcMar>
          </w:tcPr>
          <w:p w14:paraId="1A74DADA" w14:textId="77777777" w:rsidR="004D7A10" w:rsidRPr="007E140B" w:rsidRDefault="004D7A10" w:rsidP="0026770E">
            <w:pPr>
              <w:spacing w:after="0" w:line="240" w:lineRule="auto"/>
              <w:rPr>
                <w:rFonts w:cs="Arial"/>
                <w:color w:val="auto"/>
              </w:rPr>
            </w:pPr>
            <w:r w:rsidRPr="007E140B">
              <w:rPr>
                <w:rFonts w:cs="Arial"/>
                <w:color w:val="auto"/>
                <w:sz w:val="15"/>
              </w:rPr>
              <w:t>Academy of Management Review</w:t>
            </w:r>
          </w:p>
        </w:tc>
        <w:tc>
          <w:tcPr>
            <w:tcW w:w="905" w:type="dxa"/>
            <w:shd w:val="clear" w:color="auto" w:fill="EAF1F7"/>
            <w:tcMar>
              <w:top w:w="22" w:type="dxa"/>
              <w:left w:w="24" w:type="dxa"/>
              <w:bottom w:w="22" w:type="dxa"/>
              <w:right w:w="24" w:type="dxa"/>
            </w:tcMar>
          </w:tcPr>
          <w:p w14:paraId="0FFC9851" w14:textId="77777777" w:rsidR="004D7A10" w:rsidRPr="007E140B" w:rsidRDefault="004D7A10" w:rsidP="0026770E">
            <w:pPr>
              <w:spacing w:after="0" w:line="240" w:lineRule="auto"/>
              <w:rPr>
                <w:rFonts w:cs="Arial"/>
                <w:color w:val="auto"/>
              </w:rPr>
            </w:pPr>
            <w:r w:rsidRPr="007E140B">
              <w:rPr>
                <w:rFonts w:cs="Arial"/>
                <w:color w:val="auto"/>
                <w:sz w:val="15"/>
              </w:rPr>
              <w:t>Mayer, R.C.; Davis, J.H.; Schoorman, F.D.</w:t>
            </w:r>
          </w:p>
        </w:tc>
        <w:tc>
          <w:tcPr>
            <w:tcW w:w="648" w:type="dxa"/>
            <w:shd w:val="clear" w:color="auto" w:fill="EAF1F7"/>
            <w:tcMar>
              <w:top w:w="22" w:type="dxa"/>
              <w:left w:w="24" w:type="dxa"/>
              <w:bottom w:w="22" w:type="dxa"/>
              <w:right w:w="24" w:type="dxa"/>
            </w:tcMar>
            <w:vAlign w:val="center"/>
          </w:tcPr>
          <w:p w14:paraId="686C1AF6" w14:textId="77777777" w:rsidR="004D7A10" w:rsidRPr="007E140B" w:rsidRDefault="004D7A10" w:rsidP="0026770E">
            <w:pPr>
              <w:spacing w:after="0" w:line="240" w:lineRule="auto"/>
              <w:jc w:val="center"/>
              <w:rPr>
                <w:rFonts w:cs="Arial"/>
                <w:color w:val="auto"/>
              </w:rPr>
            </w:pPr>
            <w:r w:rsidRPr="007E140B">
              <w:rPr>
                <w:rFonts w:cs="Arial"/>
                <w:b/>
                <w:color w:val="auto"/>
                <w:sz w:val="15"/>
              </w:rPr>
              <w:t>1995</w:t>
            </w:r>
          </w:p>
        </w:tc>
        <w:tc>
          <w:tcPr>
            <w:tcW w:w="1230" w:type="dxa"/>
            <w:shd w:val="clear" w:color="auto" w:fill="EAF1F7"/>
            <w:tcMar>
              <w:top w:w="22" w:type="dxa"/>
              <w:left w:w="24" w:type="dxa"/>
              <w:bottom w:w="22" w:type="dxa"/>
              <w:right w:w="24" w:type="dxa"/>
            </w:tcMar>
          </w:tcPr>
          <w:p w14:paraId="165350C5" w14:textId="77777777" w:rsidR="004D7A10" w:rsidRPr="007E140B" w:rsidRDefault="004D7A10" w:rsidP="0026770E">
            <w:pPr>
              <w:spacing w:after="0" w:line="240" w:lineRule="auto"/>
              <w:rPr>
                <w:rFonts w:cs="Arial"/>
                <w:color w:val="auto"/>
              </w:rPr>
            </w:pPr>
            <w:r w:rsidRPr="007E140B">
              <w:rPr>
                <w:rFonts w:cs="Arial"/>
                <w:color w:val="auto"/>
                <w:sz w:val="15"/>
              </w:rPr>
              <w:t>To integrate fragmented research on trust into a coherent model that distinguishes trust from related constructs and explains its antecedents and outcomes.</w:t>
            </w:r>
          </w:p>
        </w:tc>
        <w:tc>
          <w:tcPr>
            <w:tcW w:w="1375" w:type="dxa"/>
            <w:shd w:val="clear" w:color="auto" w:fill="EAF1F7"/>
            <w:tcMar>
              <w:top w:w="22" w:type="dxa"/>
              <w:left w:w="24" w:type="dxa"/>
              <w:bottom w:w="22" w:type="dxa"/>
              <w:right w:w="24" w:type="dxa"/>
            </w:tcMar>
          </w:tcPr>
          <w:p w14:paraId="154E63A5" w14:textId="77777777" w:rsidR="004D7A10" w:rsidRPr="007E140B" w:rsidRDefault="004D7A10" w:rsidP="0026770E">
            <w:pPr>
              <w:spacing w:after="0" w:line="240" w:lineRule="auto"/>
              <w:rPr>
                <w:rFonts w:cs="Arial"/>
                <w:color w:val="auto"/>
              </w:rPr>
            </w:pPr>
            <w:r w:rsidRPr="007E140B">
              <w:rPr>
                <w:rFonts w:cs="Arial"/>
                <w:color w:val="auto"/>
                <w:sz w:val="15"/>
              </w:rPr>
              <w:t>Define trust; distinguish trustor propensity and trustee characteristics; explain the role of perceived risk; propose research propositions linking trustworthiness to risk-taking in relationships.</w:t>
            </w:r>
          </w:p>
        </w:tc>
        <w:tc>
          <w:tcPr>
            <w:tcW w:w="1086" w:type="dxa"/>
            <w:shd w:val="clear" w:color="auto" w:fill="EAF1F7"/>
            <w:tcMar>
              <w:top w:w="22" w:type="dxa"/>
              <w:left w:w="24" w:type="dxa"/>
              <w:bottom w:w="22" w:type="dxa"/>
              <w:right w:w="24" w:type="dxa"/>
            </w:tcMar>
          </w:tcPr>
          <w:p w14:paraId="7B516EC1" w14:textId="77777777" w:rsidR="004D7A10" w:rsidRPr="007E140B" w:rsidRDefault="004D7A10" w:rsidP="0026770E">
            <w:pPr>
              <w:spacing w:after="0" w:line="240" w:lineRule="auto"/>
              <w:rPr>
                <w:rFonts w:cs="Arial"/>
                <w:color w:val="auto"/>
              </w:rPr>
            </w:pPr>
            <w:r w:rsidRPr="007E140B">
              <w:rPr>
                <w:rFonts w:cs="Arial"/>
                <w:color w:val="auto"/>
                <w:sz w:val="15"/>
              </w:rPr>
              <w:t>What factors make a trustee appear trustworthy, and how do those perceptions combine with risk and trustor propensity to produce trust and risk-taking behaviour?</w:t>
            </w:r>
          </w:p>
        </w:tc>
        <w:tc>
          <w:tcPr>
            <w:tcW w:w="1122" w:type="dxa"/>
            <w:shd w:val="clear" w:color="auto" w:fill="EAF1F7"/>
            <w:tcMar>
              <w:top w:w="22" w:type="dxa"/>
              <w:left w:w="24" w:type="dxa"/>
              <w:bottom w:w="22" w:type="dxa"/>
              <w:right w:w="24" w:type="dxa"/>
            </w:tcMar>
          </w:tcPr>
          <w:p w14:paraId="7E12DCB1" w14:textId="77777777" w:rsidR="004D7A10" w:rsidRPr="007E140B" w:rsidRDefault="004D7A10" w:rsidP="0026770E">
            <w:pPr>
              <w:spacing w:after="0" w:line="240" w:lineRule="auto"/>
              <w:rPr>
                <w:rFonts w:cs="Arial"/>
                <w:color w:val="auto"/>
              </w:rPr>
            </w:pPr>
            <w:r w:rsidRPr="007E140B">
              <w:rPr>
                <w:rFonts w:cs="Arial"/>
                <w:color w:val="auto"/>
                <w:sz w:val="15"/>
              </w:rPr>
              <w:t>Multidisciplinary conceptual synthesis and theory development; no empirical sample.</w:t>
            </w:r>
          </w:p>
        </w:tc>
        <w:tc>
          <w:tcPr>
            <w:tcW w:w="1556" w:type="dxa"/>
            <w:shd w:val="clear" w:color="auto" w:fill="EAF1F7"/>
            <w:tcMar>
              <w:top w:w="22" w:type="dxa"/>
              <w:left w:w="24" w:type="dxa"/>
              <w:bottom w:w="22" w:type="dxa"/>
              <w:right w:w="24" w:type="dxa"/>
            </w:tcMar>
          </w:tcPr>
          <w:p w14:paraId="34A978CC" w14:textId="77777777" w:rsidR="004D7A10" w:rsidRPr="007E140B" w:rsidRDefault="004D7A10" w:rsidP="0026770E">
            <w:pPr>
              <w:spacing w:after="0" w:line="240" w:lineRule="auto"/>
              <w:rPr>
                <w:rFonts w:cs="Arial"/>
                <w:color w:val="auto"/>
              </w:rPr>
            </w:pPr>
            <w:r w:rsidRPr="007E140B">
              <w:rPr>
                <w:rFonts w:cs="Arial"/>
                <w:color w:val="auto"/>
                <w:sz w:val="15"/>
              </w:rPr>
              <w:t>Perceived ability, benevolence and integrity are central antecedents of trustworthiness; trust also depends on the trustor and perceived risk. The model distinguishes trust from behaviour that involves taking risk.</w:t>
            </w:r>
          </w:p>
        </w:tc>
        <w:tc>
          <w:tcPr>
            <w:tcW w:w="1665" w:type="dxa"/>
            <w:shd w:val="clear" w:color="auto" w:fill="EAF1F7"/>
            <w:tcMar>
              <w:top w:w="22" w:type="dxa"/>
              <w:left w:w="24" w:type="dxa"/>
              <w:bottom w:w="22" w:type="dxa"/>
              <w:right w:w="24" w:type="dxa"/>
            </w:tcMar>
          </w:tcPr>
          <w:p w14:paraId="648C05BF" w14:textId="77777777" w:rsidR="004D7A10" w:rsidRPr="007E140B" w:rsidRDefault="004D7A10" w:rsidP="0026770E">
            <w:pPr>
              <w:spacing w:after="0" w:line="240" w:lineRule="auto"/>
              <w:rPr>
                <w:rFonts w:cs="Arial"/>
                <w:color w:val="auto"/>
              </w:rPr>
            </w:pPr>
            <w:r w:rsidRPr="007E140B">
              <w:rPr>
                <w:rFonts w:cs="Arial"/>
                <w:color w:val="auto"/>
                <w:sz w:val="15"/>
              </w:rPr>
              <w:t>The article provides one of the most widely used organisational models of trust and explains why competence, goodwill and integrity can affect stakeholder willingness to accept vulnerability.</w:t>
            </w:r>
          </w:p>
        </w:tc>
        <w:tc>
          <w:tcPr>
            <w:tcW w:w="1303" w:type="dxa"/>
            <w:shd w:val="clear" w:color="auto" w:fill="EAF1F7"/>
            <w:tcMar>
              <w:top w:w="22" w:type="dxa"/>
              <w:left w:w="24" w:type="dxa"/>
              <w:bottom w:w="22" w:type="dxa"/>
              <w:right w:w="24" w:type="dxa"/>
            </w:tcMar>
          </w:tcPr>
          <w:p w14:paraId="6AC54FD8" w14:textId="77777777" w:rsidR="004D7A10" w:rsidRPr="007E140B" w:rsidRDefault="004D7A10" w:rsidP="0026770E">
            <w:pPr>
              <w:spacing w:after="0" w:line="240" w:lineRule="auto"/>
              <w:rPr>
                <w:rFonts w:cs="Arial"/>
                <w:color w:val="auto"/>
              </w:rPr>
            </w:pPr>
            <w:r w:rsidRPr="007E140B">
              <w:rPr>
                <w:rFonts w:cs="Arial"/>
                <w:color w:val="auto"/>
                <w:sz w:val="15"/>
              </w:rPr>
              <w:t>Useful for operationalising the dissertation’s stakeholder-trust mechanism: delivery can signal ability, claim–outcome consistency can signal integrity, and distribution of benefits/costs can affect perceived benevolence.</w:t>
            </w:r>
          </w:p>
        </w:tc>
        <w:tc>
          <w:tcPr>
            <w:tcW w:w="1230" w:type="dxa"/>
            <w:shd w:val="clear" w:color="auto" w:fill="EAF1F7"/>
            <w:tcMar>
              <w:top w:w="22" w:type="dxa"/>
              <w:left w:w="24" w:type="dxa"/>
              <w:bottom w:w="22" w:type="dxa"/>
              <w:right w:w="24" w:type="dxa"/>
            </w:tcMar>
          </w:tcPr>
          <w:p w14:paraId="2E94FB0B" w14:textId="77777777" w:rsidR="004D7A10" w:rsidRPr="007E140B" w:rsidRDefault="00867805" w:rsidP="0026770E">
            <w:pPr>
              <w:spacing w:after="0" w:line="240" w:lineRule="auto"/>
              <w:rPr>
                <w:rFonts w:cs="Arial"/>
                <w:color w:val="auto"/>
              </w:rPr>
            </w:pPr>
            <w:hyperlink r:id="rId74">
              <w:r w:rsidR="004D7A10" w:rsidRPr="007E140B">
                <w:rPr>
                  <w:rFonts w:cs="Arial"/>
                  <w:color w:val="auto"/>
                  <w:sz w:val="13"/>
                  <w:szCs w:val="13"/>
                </w:rPr>
                <w:t>https://doi.org/10.5465/amr.1995.9508080335</w:t>
              </w:r>
            </w:hyperlink>
          </w:p>
        </w:tc>
      </w:tr>
      <w:tr w:rsidR="007E140B" w:rsidRPr="007E140B" w14:paraId="53688102" w14:textId="77777777" w:rsidTr="0026770E">
        <w:trPr>
          <w:cantSplit/>
          <w:jc w:val="center"/>
        </w:trPr>
        <w:tc>
          <w:tcPr>
            <w:tcW w:w="504" w:type="dxa"/>
            <w:shd w:val="clear" w:color="auto" w:fill="F7FAFC"/>
            <w:tcMar>
              <w:top w:w="22" w:type="dxa"/>
              <w:left w:w="24" w:type="dxa"/>
              <w:bottom w:w="22" w:type="dxa"/>
              <w:right w:w="24" w:type="dxa"/>
            </w:tcMar>
            <w:vAlign w:val="center"/>
          </w:tcPr>
          <w:p w14:paraId="6B315DCF" w14:textId="77777777" w:rsidR="004D7A10" w:rsidRPr="007E140B" w:rsidRDefault="004D7A10" w:rsidP="0026770E">
            <w:pPr>
              <w:spacing w:after="0" w:line="240" w:lineRule="auto"/>
              <w:jc w:val="center"/>
              <w:rPr>
                <w:rFonts w:cs="Arial"/>
                <w:color w:val="auto"/>
              </w:rPr>
            </w:pPr>
            <w:r w:rsidRPr="007E140B">
              <w:rPr>
                <w:rFonts w:cs="Arial"/>
                <w:b/>
                <w:color w:val="auto"/>
                <w:sz w:val="15"/>
              </w:rPr>
              <w:t>19</w:t>
            </w:r>
          </w:p>
        </w:tc>
        <w:tc>
          <w:tcPr>
            <w:tcW w:w="1447" w:type="dxa"/>
            <w:shd w:val="clear" w:color="auto" w:fill="F7FAFC"/>
            <w:tcMar>
              <w:top w:w="22" w:type="dxa"/>
              <w:left w:w="24" w:type="dxa"/>
              <w:bottom w:w="22" w:type="dxa"/>
              <w:right w:w="24" w:type="dxa"/>
            </w:tcMar>
          </w:tcPr>
          <w:p w14:paraId="5FE8C09D" w14:textId="77777777" w:rsidR="004D7A10" w:rsidRPr="007E140B" w:rsidRDefault="004D7A10" w:rsidP="0026770E">
            <w:pPr>
              <w:spacing w:after="0" w:line="240" w:lineRule="auto"/>
              <w:rPr>
                <w:rFonts w:cs="Arial"/>
                <w:color w:val="auto"/>
              </w:rPr>
            </w:pPr>
            <w:r w:rsidRPr="007E140B">
              <w:rPr>
                <w:rFonts w:cs="Arial"/>
                <w:b/>
                <w:color w:val="auto"/>
                <w:sz w:val="15"/>
              </w:rPr>
              <w:t>ESG Performance, Investor Attention, and Company Reputation: Threshold Model Analysis Based on Panel Data from Listed Companies in China</w:t>
            </w:r>
          </w:p>
        </w:tc>
        <w:tc>
          <w:tcPr>
            <w:tcW w:w="1049" w:type="dxa"/>
            <w:shd w:val="clear" w:color="auto" w:fill="F7FAFC"/>
            <w:tcMar>
              <w:top w:w="22" w:type="dxa"/>
              <w:left w:w="24" w:type="dxa"/>
              <w:bottom w:w="22" w:type="dxa"/>
              <w:right w:w="24" w:type="dxa"/>
            </w:tcMar>
          </w:tcPr>
          <w:p w14:paraId="7F322EF5" w14:textId="77777777" w:rsidR="004D7A10" w:rsidRPr="007E140B" w:rsidRDefault="004D7A10" w:rsidP="0026770E">
            <w:pPr>
              <w:spacing w:after="0" w:line="240" w:lineRule="auto"/>
              <w:rPr>
                <w:rFonts w:cs="Arial"/>
                <w:color w:val="auto"/>
              </w:rPr>
            </w:pPr>
            <w:r w:rsidRPr="007E140B">
              <w:rPr>
                <w:rFonts w:cs="Arial"/>
                <w:color w:val="auto"/>
                <w:sz w:val="15"/>
              </w:rPr>
              <w:t>Heliyon</w:t>
            </w:r>
          </w:p>
        </w:tc>
        <w:tc>
          <w:tcPr>
            <w:tcW w:w="905" w:type="dxa"/>
            <w:shd w:val="clear" w:color="auto" w:fill="F7FAFC"/>
            <w:tcMar>
              <w:top w:w="22" w:type="dxa"/>
              <w:left w:w="24" w:type="dxa"/>
              <w:bottom w:w="22" w:type="dxa"/>
              <w:right w:w="24" w:type="dxa"/>
            </w:tcMar>
          </w:tcPr>
          <w:p w14:paraId="43406ABC" w14:textId="77777777" w:rsidR="004D7A10" w:rsidRPr="007E140B" w:rsidRDefault="004D7A10" w:rsidP="0026770E">
            <w:pPr>
              <w:spacing w:after="0" w:line="240" w:lineRule="auto"/>
              <w:rPr>
                <w:rFonts w:cs="Arial"/>
                <w:color w:val="auto"/>
              </w:rPr>
            </w:pPr>
            <w:r w:rsidRPr="007E140B">
              <w:rPr>
                <w:rFonts w:cs="Arial"/>
                <w:color w:val="auto"/>
                <w:sz w:val="15"/>
              </w:rPr>
              <w:t>Meng, T.; Dato Haji Yahya, M.H.; Ashhari, Z.M.; Yu, D.</w:t>
            </w:r>
          </w:p>
        </w:tc>
        <w:tc>
          <w:tcPr>
            <w:tcW w:w="648" w:type="dxa"/>
            <w:shd w:val="clear" w:color="auto" w:fill="F7FAFC"/>
            <w:tcMar>
              <w:top w:w="22" w:type="dxa"/>
              <w:left w:w="24" w:type="dxa"/>
              <w:bottom w:w="22" w:type="dxa"/>
              <w:right w:w="24" w:type="dxa"/>
            </w:tcMar>
            <w:vAlign w:val="center"/>
          </w:tcPr>
          <w:p w14:paraId="194B8059" w14:textId="77777777" w:rsidR="004D7A10" w:rsidRPr="007E140B" w:rsidRDefault="004D7A10" w:rsidP="0026770E">
            <w:pPr>
              <w:spacing w:after="0" w:line="240" w:lineRule="auto"/>
              <w:jc w:val="center"/>
              <w:rPr>
                <w:rFonts w:cs="Arial"/>
                <w:color w:val="auto"/>
              </w:rPr>
            </w:pPr>
            <w:r w:rsidRPr="007E140B">
              <w:rPr>
                <w:rFonts w:cs="Arial"/>
                <w:b/>
                <w:color w:val="auto"/>
                <w:sz w:val="15"/>
              </w:rPr>
              <w:t>2023</w:t>
            </w:r>
          </w:p>
        </w:tc>
        <w:tc>
          <w:tcPr>
            <w:tcW w:w="1230" w:type="dxa"/>
            <w:shd w:val="clear" w:color="auto" w:fill="F7FAFC"/>
            <w:tcMar>
              <w:top w:w="22" w:type="dxa"/>
              <w:left w:w="24" w:type="dxa"/>
              <w:bottom w:w="22" w:type="dxa"/>
              <w:right w:w="24" w:type="dxa"/>
            </w:tcMar>
          </w:tcPr>
          <w:p w14:paraId="008785D7" w14:textId="77777777" w:rsidR="004D7A10" w:rsidRPr="007E140B" w:rsidRDefault="004D7A10" w:rsidP="0026770E">
            <w:pPr>
              <w:spacing w:after="0" w:line="240" w:lineRule="auto"/>
              <w:rPr>
                <w:rFonts w:cs="Arial"/>
                <w:color w:val="auto"/>
              </w:rPr>
            </w:pPr>
            <w:r w:rsidRPr="007E140B">
              <w:rPr>
                <w:rFonts w:cs="Arial"/>
                <w:color w:val="auto"/>
                <w:sz w:val="15"/>
              </w:rPr>
              <w:t>To test how ESG performance affects company reputation in China and whether investor attention mediates and nonlinearly conditions the relationship.</w:t>
            </w:r>
          </w:p>
        </w:tc>
        <w:tc>
          <w:tcPr>
            <w:tcW w:w="1375" w:type="dxa"/>
            <w:shd w:val="clear" w:color="auto" w:fill="F7FAFC"/>
            <w:tcMar>
              <w:top w:w="22" w:type="dxa"/>
              <w:left w:w="24" w:type="dxa"/>
              <w:bottom w:w="22" w:type="dxa"/>
              <w:right w:w="24" w:type="dxa"/>
            </w:tcMar>
          </w:tcPr>
          <w:p w14:paraId="6A2642B9" w14:textId="77777777" w:rsidR="004D7A10" w:rsidRPr="007E140B" w:rsidRDefault="004D7A10" w:rsidP="0026770E">
            <w:pPr>
              <w:spacing w:after="0" w:line="240" w:lineRule="auto"/>
              <w:rPr>
                <w:rFonts w:cs="Arial"/>
                <w:color w:val="auto"/>
              </w:rPr>
            </w:pPr>
            <w:r w:rsidRPr="007E140B">
              <w:rPr>
                <w:rFonts w:cs="Arial"/>
                <w:color w:val="auto"/>
                <w:sz w:val="15"/>
              </w:rPr>
              <w:t>Estimate ESG–reputation effects; test investor-attention mediation; test ESG and investor-attention threshold effects; examine ownership heterogeneity.</w:t>
            </w:r>
          </w:p>
        </w:tc>
        <w:tc>
          <w:tcPr>
            <w:tcW w:w="1086" w:type="dxa"/>
            <w:shd w:val="clear" w:color="auto" w:fill="F7FAFC"/>
            <w:tcMar>
              <w:top w:w="22" w:type="dxa"/>
              <w:left w:w="24" w:type="dxa"/>
              <w:bottom w:w="22" w:type="dxa"/>
              <w:right w:w="24" w:type="dxa"/>
            </w:tcMar>
          </w:tcPr>
          <w:p w14:paraId="58DAA732" w14:textId="77777777" w:rsidR="004D7A10" w:rsidRPr="007E140B" w:rsidRDefault="004D7A10" w:rsidP="0026770E">
            <w:pPr>
              <w:spacing w:after="0" w:line="240" w:lineRule="auto"/>
              <w:rPr>
                <w:rFonts w:cs="Arial"/>
                <w:color w:val="auto"/>
              </w:rPr>
            </w:pPr>
            <w:r w:rsidRPr="007E140B">
              <w:rPr>
                <w:rFonts w:cs="Arial"/>
                <w:color w:val="auto"/>
                <w:sz w:val="15"/>
              </w:rPr>
              <w:t>Does ESG performance improve company reputation, does investor attention mediate the relationship, and does the effect change at different attention/ESG thresholds?</w:t>
            </w:r>
          </w:p>
        </w:tc>
        <w:tc>
          <w:tcPr>
            <w:tcW w:w="1122" w:type="dxa"/>
            <w:shd w:val="clear" w:color="auto" w:fill="F7FAFC"/>
            <w:tcMar>
              <w:top w:w="22" w:type="dxa"/>
              <w:left w:w="24" w:type="dxa"/>
              <w:bottom w:w="22" w:type="dxa"/>
              <w:right w:w="24" w:type="dxa"/>
            </w:tcMar>
          </w:tcPr>
          <w:p w14:paraId="574D155C" w14:textId="77777777" w:rsidR="004D7A10" w:rsidRPr="007E140B" w:rsidRDefault="004D7A10" w:rsidP="0026770E">
            <w:pPr>
              <w:spacing w:after="0" w:line="240" w:lineRule="auto"/>
              <w:rPr>
                <w:rFonts w:cs="Arial"/>
                <w:color w:val="auto"/>
              </w:rPr>
            </w:pPr>
            <w:r w:rsidRPr="007E140B">
              <w:rPr>
                <w:rFonts w:cs="Arial"/>
                <w:color w:val="auto"/>
                <w:sz w:val="15"/>
              </w:rPr>
              <w:t>Panel data on Chinese listed firms, 2011–2021. Uses two-way fixed-effects regressions, mediation tests (including Sobel/Bootstrap) and threshold models.</w:t>
            </w:r>
          </w:p>
        </w:tc>
        <w:tc>
          <w:tcPr>
            <w:tcW w:w="1556" w:type="dxa"/>
            <w:shd w:val="clear" w:color="auto" w:fill="F7FAFC"/>
            <w:tcMar>
              <w:top w:w="22" w:type="dxa"/>
              <w:left w:w="24" w:type="dxa"/>
              <w:bottom w:w="22" w:type="dxa"/>
              <w:right w:w="24" w:type="dxa"/>
            </w:tcMar>
          </w:tcPr>
          <w:p w14:paraId="43394F5A" w14:textId="77777777" w:rsidR="004D7A10" w:rsidRPr="007E140B" w:rsidRDefault="004D7A10" w:rsidP="0026770E">
            <w:pPr>
              <w:spacing w:after="0" w:line="240" w:lineRule="auto"/>
              <w:rPr>
                <w:rFonts w:cs="Arial"/>
                <w:color w:val="auto"/>
              </w:rPr>
            </w:pPr>
            <w:r w:rsidRPr="007E140B">
              <w:rPr>
                <w:rFonts w:cs="Arial"/>
                <w:color w:val="auto"/>
                <w:sz w:val="15"/>
              </w:rPr>
              <w:t>ESG performance is positively related to reputation. Investor attention mediates the relationship, especially among non-state-owned firms. The ESG–reputation effect strengthens nonlinearly after ESG/attention thresholds are crossed.</w:t>
            </w:r>
          </w:p>
        </w:tc>
        <w:tc>
          <w:tcPr>
            <w:tcW w:w="1665" w:type="dxa"/>
            <w:shd w:val="clear" w:color="auto" w:fill="F7FAFC"/>
            <w:tcMar>
              <w:top w:w="22" w:type="dxa"/>
              <w:left w:w="24" w:type="dxa"/>
              <w:bottom w:w="22" w:type="dxa"/>
              <w:right w:w="24" w:type="dxa"/>
            </w:tcMar>
          </w:tcPr>
          <w:p w14:paraId="08A5FCE0" w14:textId="77777777" w:rsidR="004D7A10" w:rsidRPr="007E140B" w:rsidRDefault="004D7A10" w:rsidP="0026770E">
            <w:pPr>
              <w:spacing w:after="0" w:line="240" w:lineRule="auto"/>
              <w:rPr>
                <w:rFonts w:cs="Arial"/>
                <w:color w:val="auto"/>
              </w:rPr>
            </w:pPr>
            <w:r w:rsidRPr="007E140B">
              <w:rPr>
                <w:rFonts w:cs="Arial"/>
                <w:color w:val="auto"/>
                <w:sz w:val="15"/>
              </w:rPr>
              <w:t>The study presents a reputation mechanism in which ESG can attract investor attention, which then amplifies reputational effects; the strength of the relationship varies by ownership and attention level.</w:t>
            </w:r>
          </w:p>
        </w:tc>
        <w:tc>
          <w:tcPr>
            <w:tcW w:w="1303" w:type="dxa"/>
            <w:shd w:val="clear" w:color="auto" w:fill="F7FAFC"/>
            <w:tcMar>
              <w:top w:w="22" w:type="dxa"/>
              <w:left w:w="24" w:type="dxa"/>
              <w:bottom w:w="22" w:type="dxa"/>
              <w:right w:w="24" w:type="dxa"/>
            </w:tcMar>
          </w:tcPr>
          <w:p w14:paraId="62E2D44C" w14:textId="77777777" w:rsidR="004D7A10" w:rsidRPr="007E140B" w:rsidRDefault="004D7A10" w:rsidP="0026770E">
            <w:pPr>
              <w:spacing w:after="0" w:line="240" w:lineRule="auto"/>
              <w:rPr>
                <w:rFonts w:cs="Arial"/>
                <w:color w:val="auto"/>
              </w:rPr>
            </w:pPr>
            <w:r w:rsidRPr="007E140B">
              <w:rPr>
                <w:rFonts w:cs="Arial"/>
                <w:color w:val="auto"/>
                <w:sz w:val="15"/>
              </w:rPr>
              <w:t>Relevant to the dissertation’s conditional reputation pathway, but the dissertation properly notes that investor-focused Chinese reputation metrics are not equivalent to stakeholder-specific reputation in UK consumer goods.</w:t>
            </w:r>
          </w:p>
        </w:tc>
        <w:tc>
          <w:tcPr>
            <w:tcW w:w="1230" w:type="dxa"/>
            <w:shd w:val="clear" w:color="auto" w:fill="F7FAFC"/>
            <w:tcMar>
              <w:top w:w="22" w:type="dxa"/>
              <w:left w:w="24" w:type="dxa"/>
              <w:bottom w:w="22" w:type="dxa"/>
              <w:right w:w="24" w:type="dxa"/>
            </w:tcMar>
          </w:tcPr>
          <w:p w14:paraId="32F746EB" w14:textId="77777777" w:rsidR="004D7A10" w:rsidRPr="007E140B" w:rsidRDefault="00867805" w:rsidP="0026770E">
            <w:pPr>
              <w:spacing w:after="0" w:line="240" w:lineRule="auto"/>
              <w:rPr>
                <w:rFonts w:cs="Arial"/>
                <w:color w:val="auto"/>
              </w:rPr>
            </w:pPr>
            <w:hyperlink r:id="rId75">
              <w:r w:rsidR="004D7A10" w:rsidRPr="007E140B">
                <w:rPr>
                  <w:rFonts w:cs="Arial"/>
                  <w:color w:val="auto"/>
                  <w:sz w:val="13"/>
                  <w:szCs w:val="13"/>
                </w:rPr>
                <w:t>https://doi.org/10.1016/j.heliyon.2023.e20974</w:t>
              </w:r>
            </w:hyperlink>
          </w:p>
        </w:tc>
      </w:tr>
      <w:tr w:rsidR="007E140B" w:rsidRPr="007E140B" w14:paraId="7330EBB5" w14:textId="77777777" w:rsidTr="0026770E">
        <w:trPr>
          <w:cantSplit/>
          <w:jc w:val="center"/>
        </w:trPr>
        <w:tc>
          <w:tcPr>
            <w:tcW w:w="504" w:type="dxa"/>
            <w:shd w:val="clear" w:color="auto" w:fill="EAF1F7"/>
            <w:tcMar>
              <w:top w:w="22" w:type="dxa"/>
              <w:left w:w="24" w:type="dxa"/>
              <w:bottom w:w="22" w:type="dxa"/>
              <w:right w:w="24" w:type="dxa"/>
            </w:tcMar>
            <w:vAlign w:val="center"/>
          </w:tcPr>
          <w:p w14:paraId="6B2A092F" w14:textId="77777777" w:rsidR="004D7A10" w:rsidRPr="007E140B" w:rsidRDefault="004D7A10" w:rsidP="0026770E">
            <w:pPr>
              <w:spacing w:after="0" w:line="240" w:lineRule="auto"/>
              <w:jc w:val="center"/>
              <w:rPr>
                <w:rFonts w:cs="Arial"/>
                <w:color w:val="auto"/>
              </w:rPr>
            </w:pPr>
            <w:r w:rsidRPr="007E140B">
              <w:rPr>
                <w:rFonts w:cs="Arial"/>
                <w:b/>
                <w:color w:val="auto"/>
                <w:sz w:val="15"/>
              </w:rPr>
              <w:t>20</w:t>
            </w:r>
          </w:p>
        </w:tc>
        <w:tc>
          <w:tcPr>
            <w:tcW w:w="1447" w:type="dxa"/>
            <w:shd w:val="clear" w:color="auto" w:fill="EAF1F7"/>
            <w:tcMar>
              <w:top w:w="22" w:type="dxa"/>
              <w:left w:w="24" w:type="dxa"/>
              <w:bottom w:w="22" w:type="dxa"/>
              <w:right w:w="24" w:type="dxa"/>
            </w:tcMar>
          </w:tcPr>
          <w:p w14:paraId="46AF39A6" w14:textId="77777777" w:rsidR="004D7A10" w:rsidRPr="007E140B" w:rsidRDefault="004D7A10" w:rsidP="0026770E">
            <w:pPr>
              <w:spacing w:after="0" w:line="240" w:lineRule="auto"/>
              <w:rPr>
                <w:rFonts w:cs="Arial"/>
                <w:color w:val="auto"/>
              </w:rPr>
            </w:pPr>
            <w:r w:rsidRPr="007E140B">
              <w:rPr>
                <w:rFonts w:cs="Arial"/>
                <w:b/>
                <w:color w:val="auto"/>
                <w:sz w:val="15"/>
              </w:rPr>
              <w:t>Greenwashing in Marketing: A Systematic Literature Review and Bibliometric Analysis</w:t>
            </w:r>
          </w:p>
        </w:tc>
        <w:tc>
          <w:tcPr>
            <w:tcW w:w="1049" w:type="dxa"/>
            <w:shd w:val="clear" w:color="auto" w:fill="EAF1F7"/>
            <w:tcMar>
              <w:top w:w="22" w:type="dxa"/>
              <w:left w:w="24" w:type="dxa"/>
              <w:bottom w:w="22" w:type="dxa"/>
              <w:right w:w="24" w:type="dxa"/>
            </w:tcMar>
          </w:tcPr>
          <w:p w14:paraId="4B436C99" w14:textId="77777777" w:rsidR="004D7A10" w:rsidRPr="007E140B" w:rsidRDefault="004D7A10" w:rsidP="0026770E">
            <w:pPr>
              <w:spacing w:after="0" w:line="240" w:lineRule="auto"/>
              <w:rPr>
                <w:rFonts w:cs="Arial"/>
                <w:color w:val="auto"/>
              </w:rPr>
            </w:pPr>
            <w:r w:rsidRPr="007E140B">
              <w:rPr>
                <w:rFonts w:cs="Arial"/>
                <w:color w:val="auto"/>
                <w:sz w:val="15"/>
              </w:rPr>
              <w:t>International Review on Public and Nonprofit Marketing</w:t>
            </w:r>
          </w:p>
        </w:tc>
        <w:tc>
          <w:tcPr>
            <w:tcW w:w="905" w:type="dxa"/>
            <w:shd w:val="clear" w:color="auto" w:fill="EAF1F7"/>
            <w:tcMar>
              <w:top w:w="22" w:type="dxa"/>
              <w:left w:w="24" w:type="dxa"/>
              <w:bottom w:w="22" w:type="dxa"/>
              <w:right w:w="24" w:type="dxa"/>
            </w:tcMar>
          </w:tcPr>
          <w:p w14:paraId="74A9F482" w14:textId="77777777" w:rsidR="004D7A10" w:rsidRPr="007E140B" w:rsidRDefault="004D7A10" w:rsidP="0026770E">
            <w:pPr>
              <w:spacing w:after="0" w:line="240" w:lineRule="auto"/>
              <w:rPr>
                <w:rFonts w:cs="Arial"/>
                <w:color w:val="auto"/>
              </w:rPr>
            </w:pPr>
            <w:r w:rsidRPr="007E140B">
              <w:rPr>
                <w:rFonts w:cs="Arial"/>
                <w:color w:val="auto"/>
                <w:sz w:val="15"/>
              </w:rPr>
              <w:t>Persakis, A.; Nikolopoulos, T.; Negkakis, I.C.; Pavlopoulos, A.</w:t>
            </w:r>
          </w:p>
        </w:tc>
        <w:tc>
          <w:tcPr>
            <w:tcW w:w="648" w:type="dxa"/>
            <w:shd w:val="clear" w:color="auto" w:fill="EAF1F7"/>
            <w:tcMar>
              <w:top w:w="22" w:type="dxa"/>
              <w:left w:w="24" w:type="dxa"/>
              <w:bottom w:w="22" w:type="dxa"/>
              <w:right w:w="24" w:type="dxa"/>
            </w:tcMar>
            <w:vAlign w:val="center"/>
          </w:tcPr>
          <w:p w14:paraId="371611A5" w14:textId="77777777" w:rsidR="004D7A10" w:rsidRPr="007E140B" w:rsidRDefault="004D7A10" w:rsidP="0026770E">
            <w:pPr>
              <w:spacing w:after="0" w:line="240" w:lineRule="auto"/>
              <w:jc w:val="center"/>
              <w:rPr>
                <w:rFonts w:cs="Arial"/>
                <w:color w:val="auto"/>
              </w:rPr>
            </w:pPr>
            <w:r w:rsidRPr="007E140B">
              <w:rPr>
                <w:rFonts w:cs="Arial"/>
                <w:b/>
                <w:color w:val="auto"/>
                <w:sz w:val="15"/>
              </w:rPr>
              <w:t>2025</w:t>
            </w:r>
          </w:p>
        </w:tc>
        <w:tc>
          <w:tcPr>
            <w:tcW w:w="1230" w:type="dxa"/>
            <w:shd w:val="clear" w:color="auto" w:fill="EAF1F7"/>
            <w:tcMar>
              <w:top w:w="22" w:type="dxa"/>
              <w:left w:w="24" w:type="dxa"/>
              <w:bottom w:w="22" w:type="dxa"/>
              <w:right w:w="24" w:type="dxa"/>
            </w:tcMar>
          </w:tcPr>
          <w:p w14:paraId="64AFA880" w14:textId="77777777" w:rsidR="004D7A10" w:rsidRPr="007E140B" w:rsidRDefault="004D7A10" w:rsidP="0026770E">
            <w:pPr>
              <w:spacing w:after="0" w:line="240" w:lineRule="auto"/>
              <w:rPr>
                <w:rFonts w:cs="Arial"/>
                <w:color w:val="auto"/>
              </w:rPr>
            </w:pPr>
            <w:r w:rsidRPr="007E140B">
              <w:rPr>
                <w:rFonts w:cs="Arial"/>
                <w:color w:val="auto"/>
                <w:sz w:val="15"/>
              </w:rPr>
              <w:t>To provide a comprehensive map of greenwashing research in marketing and identify its main themes, influential studies and emerging research directions.</w:t>
            </w:r>
          </w:p>
        </w:tc>
        <w:tc>
          <w:tcPr>
            <w:tcW w:w="1375" w:type="dxa"/>
            <w:shd w:val="clear" w:color="auto" w:fill="EAF1F7"/>
            <w:tcMar>
              <w:top w:w="22" w:type="dxa"/>
              <w:left w:w="24" w:type="dxa"/>
              <w:bottom w:w="22" w:type="dxa"/>
              <w:right w:w="24" w:type="dxa"/>
            </w:tcMar>
          </w:tcPr>
          <w:p w14:paraId="41E0343B" w14:textId="77777777" w:rsidR="004D7A10" w:rsidRPr="007E140B" w:rsidRDefault="004D7A10" w:rsidP="0026770E">
            <w:pPr>
              <w:spacing w:after="0" w:line="240" w:lineRule="auto"/>
              <w:rPr>
                <w:rFonts w:cs="Arial"/>
                <w:color w:val="auto"/>
              </w:rPr>
            </w:pPr>
            <w:r w:rsidRPr="007E140B">
              <w:rPr>
                <w:rFonts w:cs="Arial"/>
                <w:color w:val="auto"/>
                <w:sz w:val="15"/>
              </w:rPr>
              <w:t>Systematically review peer-reviewed greenwashing/marketing research; conduct bibliometric mapping; analyse impacts on trust, brand perceptions and transparency; identify gaps.</w:t>
            </w:r>
          </w:p>
        </w:tc>
        <w:tc>
          <w:tcPr>
            <w:tcW w:w="1086" w:type="dxa"/>
            <w:shd w:val="clear" w:color="auto" w:fill="EAF1F7"/>
            <w:tcMar>
              <w:top w:w="22" w:type="dxa"/>
              <w:left w:w="24" w:type="dxa"/>
              <w:bottom w:w="22" w:type="dxa"/>
              <w:right w:w="24" w:type="dxa"/>
            </w:tcMar>
          </w:tcPr>
          <w:p w14:paraId="51408D54" w14:textId="77777777" w:rsidR="004D7A10" w:rsidRPr="007E140B" w:rsidRDefault="004D7A10" w:rsidP="0026770E">
            <w:pPr>
              <w:spacing w:after="0" w:line="240" w:lineRule="auto"/>
              <w:rPr>
                <w:rFonts w:cs="Arial"/>
                <w:color w:val="auto"/>
              </w:rPr>
            </w:pPr>
            <w:r w:rsidRPr="007E140B">
              <w:rPr>
                <w:rFonts w:cs="Arial"/>
                <w:color w:val="auto"/>
                <w:sz w:val="15"/>
              </w:rPr>
              <w:t>How has marketing-related greenwashing research developed, what themes and actors dominate it, and what effects/gaps are most important for future study?</w:t>
            </w:r>
          </w:p>
        </w:tc>
        <w:tc>
          <w:tcPr>
            <w:tcW w:w="1122" w:type="dxa"/>
            <w:shd w:val="clear" w:color="auto" w:fill="EAF1F7"/>
            <w:tcMar>
              <w:top w:w="22" w:type="dxa"/>
              <w:left w:w="24" w:type="dxa"/>
              <w:bottom w:w="22" w:type="dxa"/>
              <w:right w:w="24" w:type="dxa"/>
            </w:tcMar>
          </w:tcPr>
          <w:p w14:paraId="347ABDD0" w14:textId="77777777" w:rsidR="004D7A10" w:rsidRPr="007E140B" w:rsidRDefault="004D7A10" w:rsidP="0026770E">
            <w:pPr>
              <w:spacing w:after="0" w:line="240" w:lineRule="auto"/>
              <w:rPr>
                <w:rFonts w:cs="Arial"/>
                <w:color w:val="auto"/>
              </w:rPr>
            </w:pPr>
            <w:r w:rsidRPr="007E140B">
              <w:rPr>
                <w:rFonts w:cs="Arial"/>
                <w:color w:val="auto"/>
                <w:sz w:val="15"/>
              </w:rPr>
              <w:t>Systematic literature review plus bibliometric analysis of 419 peer-reviewed articles published between 2004 and 2024.</w:t>
            </w:r>
          </w:p>
        </w:tc>
        <w:tc>
          <w:tcPr>
            <w:tcW w:w="1556" w:type="dxa"/>
            <w:shd w:val="clear" w:color="auto" w:fill="EAF1F7"/>
            <w:tcMar>
              <w:top w:w="22" w:type="dxa"/>
              <w:left w:w="24" w:type="dxa"/>
              <w:bottom w:w="22" w:type="dxa"/>
              <w:right w:w="24" w:type="dxa"/>
            </w:tcMar>
          </w:tcPr>
          <w:p w14:paraId="63D0966C" w14:textId="77777777" w:rsidR="004D7A10" w:rsidRPr="007E140B" w:rsidRDefault="004D7A10" w:rsidP="0026770E">
            <w:pPr>
              <w:spacing w:after="0" w:line="240" w:lineRule="auto"/>
              <w:rPr>
                <w:rFonts w:cs="Arial"/>
                <w:color w:val="auto"/>
              </w:rPr>
            </w:pPr>
            <w:r w:rsidRPr="007E140B">
              <w:rPr>
                <w:rFonts w:cs="Arial"/>
                <w:color w:val="auto"/>
                <w:sz w:val="15"/>
              </w:rPr>
              <w:t>Greenwashing research has expanded rapidly and links deceptive/exaggerated environmental claims to consumer trust, brand perceptions and corporate transparency. The field remains fragmented and calls for stronger verification and measurement.</w:t>
            </w:r>
          </w:p>
        </w:tc>
        <w:tc>
          <w:tcPr>
            <w:tcW w:w="1665" w:type="dxa"/>
            <w:shd w:val="clear" w:color="auto" w:fill="EAF1F7"/>
            <w:tcMar>
              <w:top w:w="22" w:type="dxa"/>
              <w:left w:w="24" w:type="dxa"/>
              <w:bottom w:w="22" w:type="dxa"/>
              <w:right w:w="24" w:type="dxa"/>
            </w:tcMar>
          </w:tcPr>
          <w:p w14:paraId="5427A079" w14:textId="77777777" w:rsidR="004D7A10" w:rsidRPr="007E140B" w:rsidRDefault="004D7A10" w:rsidP="0026770E">
            <w:pPr>
              <w:spacing w:after="0" w:line="240" w:lineRule="auto"/>
              <w:rPr>
                <w:rFonts w:cs="Arial"/>
                <w:color w:val="auto"/>
              </w:rPr>
            </w:pPr>
            <w:r w:rsidRPr="007E140B">
              <w:rPr>
                <w:rFonts w:cs="Arial"/>
                <w:color w:val="auto"/>
                <w:sz w:val="15"/>
              </w:rPr>
              <w:t>The review maps two decades of marketing greenwashing scholarship and shows how information asymmetry and questionable claim credibility shape stakeholder responses.</w:t>
            </w:r>
          </w:p>
        </w:tc>
        <w:tc>
          <w:tcPr>
            <w:tcW w:w="1303" w:type="dxa"/>
            <w:shd w:val="clear" w:color="auto" w:fill="EAF1F7"/>
            <w:tcMar>
              <w:top w:w="22" w:type="dxa"/>
              <w:left w:w="24" w:type="dxa"/>
              <w:bottom w:w="22" w:type="dxa"/>
              <w:right w:w="24" w:type="dxa"/>
            </w:tcMar>
          </w:tcPr>
          <w:p w14:paraId="0F4429BC" w14:textId="77777777" w:rsidR="004D7A10" w:rsidRPr="007E140B" w:rsidRDefault="004D7A10" w:rsidP="0026770E">
            <w:pPr>
              <w:spacing w:after="0" w:line="240" w:lineRule="auto"/>
              <w:rPr>
                <w:rFonts w:cs="Arial"/>
                <w:color w:val="auto"/>
              </w:rPr>
            </w:pPr>
            <w:r w:rsidRPr="007E140B">
              <w:rPr>
                <w:rFonts w:cs="Arial"/>
                <w:color w:val="auto"/>
                <w:sz w:val="15"/>
              </w:rPr>
              <w:t>Supports the dissertation’s emphasis on claim substantiation, information asymmetry and verification. Particularly useful for explaining why more communication can increase exposure if evidence quality does not improve.</w:t>
            </w:r>
          </w:p>
        </w:tc>
        <w:tc>
          <w:tcPr>
            <w:tcW w:w="1230" w:type="dxa"/>
            <w:shd w:val="clear" w:color="auto" w:fill="EAF1F7"/>
            <w:tcMar>
              <w:top w:w="22" w:type="dxa"/>
              <w:left w:w="24" w:type="dxa"/>
              <w:bottom w:w="22" w:type="dxa"/>
              <w:right w:w="24" w:type="dxa"/>
            </w:tcMar>
          </w:tcPr>
          <w:p w14:paraId="4501DABA" w14:textId="77777777" w:rsidR="004D7A10" w:rsidRPr="007E140B" w:rsidRDefault="00867805" w:rsidP="0026770E">
            <w:pPr>
              <w:spacing w:after="0" w:line="240" w:lineRule="auto"/>
              <w:rPr>
                <w:rFonts w:cs="Arial"/>
                <w:color w:val="auto"/>
              </w:rPr>
            </w:pPr>
            <w:hyperlink r:id="rId76">
              <w:r w:rsidR="004D7A10" w:rsidRPr="007E140B">
                <w:rPr>
                  <w:rFonts w:cs="Arial"/>
                  <w:color w:val="auto"/>
                  <w:sz w:val="13"/>
                  <w:szCs w:val="13"/>
                </w:rPr>
                <w:t>https://doi.org/10.1007/s12208-025-00452-x</w:t>
              </w:r>
            </w:hyperlink>
          </w:p>
        </w:tc>
      </w:tr>
      <w:tr w:rsidR="007E140B" w:rsidRPr="007E140B" w14:paraId="7F123790" w14:textId="77777777" w:rsidTr="0026770E">
        <w:trPr>
          <w:cantSplit/>
          <w:jc w:val="center"/>
        </w:trPr>
        <w:tc>
          <w:tcPr>
            <w:tcW w:w="504" w:type="dxa"/>
            <w:shd w:val="clear" w:color="auto" w:fill="F7FAFC"/>
            <w:tcMar>
              <w:top w:w="22" w:type="dxa"/>
              <w:left w:w="24" w:type="dxa"/>
              <w:bottom w:w="22" w:type="dxa"/>
              <w:right w:w="24" w:type="dxa"/>
            </w:tcMar>
            <w:vAlign w:val="center"/>
          </w:tcPr>
          <w:p w14:paraId="36CF6C4D" w14:textId="77777777" w:rsidR="004D7A10" w:rsidRPr="007E140B" w:rsidRDefault="004D7A10" w:rsidP="0026770E">
            <w:pPr>
              <w:spacing w:after="0" w:line="240" w:lineRule="auto"/>
              <w:jc w:val="center"/>
              <w:rPr>
                <w:rFonts w:cs="Arial"/>
                <w:color w:val="auto"/>
              </w:rPr>
            </w:pPr>
            <w:r w:rsidRPr="007E140B">
              <w:rPr>
                <w:rFonts w:cs="Arial"/>
                <w:b/>
                <w:color w:val="auto"/>
                <w:sz w:val="15"/>
              </w:rPr>
              <w:lastRenderedPageBreak/>
              <w:t>21</w:t>
            </w:r>
          </w:p>
        </w:tc>
        <w:tc>
          <w:tcPr>
            <w:tcW w:w="1447" w:type="dxa"/>
            <w:shd w:val="clear" w:color="auto" w:fill="F7FAFC"/>
            <w:tcMar>
              <w:top w:w="22" w:type="dxa"/>
              <w:left w:w="24" w:type="dxa"/>
              <w:bottom w:w="22" w:type="dxa"/>
              <w:right w:w="24" w:type="dxa"/>
            </w:tcMar>
          </w:tcPr>
          <w:p w14:paraId="4E7A8F07" w14:textId="77777777" w:rsidR="004D7A10" w:rsidRPr="007E140B" w:rsidRDefault="004D7A10" w:rsidP="0026770E">
            <w:pPr>
              <w:spacing w:after="0" w:line="240" w:lineRule="auto"/>
              <w:rPr>
                <w:rFonts w:cs="Arial"/>
                <w:color w:val="auto"/>
              </w:rPr>
            </w:pPr>
            <w:r w:rsidRPr="007E140B">
              <w:rPr>
                <w:rFonts w:cs="Arial"/>
                <w:b/>
                <w:color w:val="auto"/>
                <w:sz w:val="15"/>
              </w:rPr>
              <w:t>Sustainable Investing in Equilibrium</w:t>
            </w:r>
          </w:p>
        </w:tc>
        <w:tc>
          <w:tcPr>
            <w:tcW w:w="1049" w:type="dxa"/>
            <w:shd w:val="clear" w:color="auto" w:fill="F7FAFC"/>
            <w:tcMar>
              <w:top w:w="22" w:type="dxa"/>
              <w:left w:w="24" w:type="dxa"/>
              <w:bottom w:w="22" w:type="dxa"/>
              <w:right w:w="24" w:type="dxa"/>
            </w:tcMar>
          </w:tcPr>
          <w:p w14:paraId="4ECDDD34" w14:textId="77777777" w:rsidR="004D7A10" w:rsidRPr="007E140B" w:rsidRDefault="004D7A10" w:rsidP="0026770E">
            <w:pPr>
              <w:spacing w:after="0" w:line="240" w:lineRule="auto"/>
              <w:rPr>
                <w:rFonts w:cs="Arial"/>
                <w:color w:val="auto"/>
              </w:rPr>
            </w:pPr>
            <w:r w:rsidRPr="007E140B">
              <w:rPr>
                <w:rFonts w:cs="Arial"/>
                <w:color w:val="auto"/>
                <w:sz w:val="15"/>
              </w:rPr>
              <w:t>Journal of Financial Economics</w:t>
            </w:r>
          </w:p>
        </w:tc>
        <w:tc>
          <w:tcPr>
            <w:tcW w:w="905" w:type="dxa"/>
            <w:shd w:val="clear" w:color="auto" w:fill="F7FAFC"/>
            <w:tcMar>
              <w:top w:w="22" w:type="dxa"/>
              <w:left w:w="24" w:type="dxa"/>
              <w:bottom w:w="22" w:type="dxa"/>
              <w:right w:w="24" w:type="dxa"/>
            </w:tcMar>
          </w:tcPr>
          <w:p w14:paraId="4AABEFAD" w14:textId="77777777" w:rsidR="004D7A10" w:rsidRPr="007E140B" w:rsidRDefault="004D7A10" w:rsidP="0026770E">
            <w:pPr>
              <w:spacing w:after="0" w:line="240" w:lineRule="auto"/>
              <w:rPr>
                <w:rFonts w:cs="Arial"/>
                <w:color w:val="auto"/>
              </w:rPr>
            </w:pPr>
            <w:r w:rsidRPr="007E140B">
              <w:rPr>
                <w:rFonts w:cs="Arial"/>
                <w:color w:val="auto"/>
                <w:sz w:val="15"/>
              </w:rPr>
              <w:t>Pástor, Ľ.; Stambaugh, R.F.; Taylor, L.A.</w:t>
            </w:r>
          </w:p>
        </w:tc>
        <w:tc>
          <w:tcPr>
            <w:tcW w:w="648" w:type="dxa"/>
            <w:shd w:val="clear" w:color="auto" w:fill="F7FAFC"/>
            <w:tcMar>
              <w:top w:w="22" w:type="dxa"/>
              <w:left w:w="24" w:type="dxa"/>
              <w:bottom w:w="22" w:type="dxa"/>
              <w:right w:w="24" w:type="dxa"/>
            </w:tcMar>
            <w:vAlign w:val="center"/>
          </w:tcPr>
          <w:p w14:paraId="4116AD3E" w14:textId="77777777" w:rsidR="004D7A10" w:rsidRPr="007E140B" w:rsidRDefault="004D7A10" w:rsidP="0026770E">
            <w:pPr>
              <w:spacing w:after="0" w:line="240" w:lineRule="auto"/>
              <w:jc w:val="center"/>
              <w:rPr>
                <w:rFonts w:cs="Arial"/>
                <w:color w:val="auto"/>
              </w:rPr>
            </w:pPr>
            <w:r w:rsidRPr="007E140B">
              <w:rPr>
                <w:rFonts w:cs="Arial"/>
                <w:b/>
                <w:color w:val="auto"/>
                <w:sz w:val="15"/>
              </w:rPr>
              <w:t>2021</w:t>
            </w:r>
          </w:p>
        </w:tc>
        <w:tc>
          <w:tcPr>
            <w:tcW w:w="1230" w:type="dxa"/>
            <w:shd w:val="clear" w:color="auto" w:fill="F7FAFC"/>
            <w:tcMar>
              <w:top w:w="22" w:type="dxa"/>
              <w:left w:w="24" w:type="dxa"/>
              <w:bottom w:w="22" w:type="dxa"/>
              <w:right w:w="24" w:type="dxa"/>
            </w:tcMar>
          </w:tcPr>
          <w:p w14:paraId="1E0104DC" w14:textId="77777777" w:rsidR="004D7A10" w:rsidRPr="007E140B" w:rsidRDefault="004D7A10" w:rsidP="0026770E">
            <w:pPr>
              <w:spacing w:after="0" w:line="240" w:lineRule="auto"/>
              <w:rPr>
                <w:rFonts w:cs="Arial"/>
                <w:color w:val="auto"/>
              </w:rPr>
            </w:pPr>
            <w:r w:rsidRPr="007E140B">
              <w:rPr>
                <w:rFonts w:cs="Arial"/>
                <w:color w:val="auto"/>
                <w:sz w:val="15"/>
              </w:rPr>
              <w:t>To model how investor ESG preferences and climate risk affect asset prices, expected returns, realised returns and real investment in equilibrium.</w:t>
            </w:r>
          </w:p>
        </w:tc>
        <w:tc>
          <w:tcPr>
            <w:tcW w:w="1375" w:type="dxa"/>
            <w:shd w:val="clear" w:color="auto" w:fill="F7FAFC"/>
            <w:tcMar>
              <w:top w:w="22" w:type="dxa"/>
              <w:left w:w="24" w:type="dxa"/>
              <w:bottom w:w="22" w:type="dxa"/>
              <w:right w:w="24" w:type="dxa"/>
            </w:tcMar>
          </w:tcPr>
          <w:p w14:paraId="28241D87" w14:textId="77777777" w:rsidR="004D7A10" w:rsidRPr="007E140B" w:rsidRDefault="004D7A10" w:rsidP="0026770E">
            <w:pPr>
              <w:spacing w:after="0" w:line="240" w:lineRule="auto"/>
              <w:rPr>
                <w:rFonts w:cs="Arial"/>
                <w:color w:val="auto"/>
              </w:rPr>
            </w:pPr>
            <w:r w:rsidRPr="007E140B">
              <w:rPr>
                <w:rFonts w:cs="Arial"/>
                <w:color w:val="auto"/>
                <w:sz w:val="15"/>
              </w:rPr>
              <w:t>Develop an equilibrium sustainable-investing model; derive expected-return implications for green and brown assets; analyse ESG preference shocks and the size/impact of the ESG investment industry.</w:t>
            </w:r>
          </w:p>
        </w:tc>
        <w:tc>
          <w:tcPr>
            <w:tcW w:w="1086" w:type="dxa"/>
            <w:shd w:val="clear" w:color="auto" w:fill="F7FAFC"/>
            <w:tcMar>
              <w:top w:w="22" w:type="dxa"/>
              <w:left w:w="24" w:type="dxa"/>
              <w:bottom w:w="22" w:type="dxa"/>
              <w:right w:w="24" w:type="dxa"/>
            </w:tcMar>
          </w:tcPr>
          <w:p w14:paraId="0C8D80F7" w14:textId="77777777" w:rsidR="004D7A10" w:rsidRPr="007E140B" w:rsidRDefault="004D7A10" w:rsidP="0026770E">
            <w:pPr>
              <w:spacing w:after="0" w:line="240" w:lineRule="auto"/>
              <w:rPr>
                <w:rFonts w:cs="Arial"/>
                <w:color w:val="auto"/>
              </w:rPr>
            </w:pPr>
            <w:r w:rsidRPr="007E140B">
              <w:rPr>
                <w:rFonts w:cs="Arial"/>
                <w:color w:val="auto"/>
                <w:sz w:val="15"/>
              </w:rPr>
              <w:t>How do investor preferences for green assets and climate-risk hedging affect expected returns, realised performance, asset pricing and corporate investment?</w:t>
            </w:r>
          </w:p>
        </w:tc>
        <w:tc>
          <w:tcPr>
            <w:tcW w:w="1122" w:type="dxa"/>
            <w:shd w:val="clear" w:color="auto" w:fill="F7FAFC"/>
            <w:tcMar>
              <w:top w:w="22" w:type="dxa"/>
              <w:left w:w="24" w:type="dxa"/>
              <w:bottom w:w="22" w:type="dxa"/>
              <w:right w:w="24" w:type="dxa"/>
            </w:tcMar>
          </w:tcPr>
          <w:p w14:paraId="2B992AB2" w14:textId="77777777" w:rsidR="004D7A10" w:rsidRPr="007E140B" w:rsidRDefault="004D7A10" w:rsidP="0026770E">
            <w:pPr>
              <w:spacing w:after="0" w:line="240" w:lineRule="auto"/>
              <w:rPr>
                <w:rFonts w:cs="Arial"/>
                <w:color w:val="auto"/>
              </w:rPr>
            </w:pPr>
            <w:r w:rsidRPr="007E140B">
              <w:rPr>
                <w:rFonts w:cs="Arial"/>
                <w:color w:val="auto"/>
                <w:sz w:val="15"/>
              </w:rPr>
              <w:t>Theoretical equilibrium asset-pricing model with an ESG factor and market factor; no firm-level causal field experiment.</w:t>
            </w:r>
          </w:p>
        </w:tc>
        <w:tc>
          <w:tcPr>
            <w:tcW w:w="1556" w:type="dxa"/>
            <w:shd w:val="clear" w:color="auto" w:fill="F7FAFC"/>
            <w:tcMar>
              <w:top w:w="22" w:type="dxa"/>
              <w:left w:w="24" w:type="dxa"/>
              <w:bottom w:w="22" w:type="dxa"/>
              <w:right w:w="24" w:type="dxa"/>
            </w:tcMar>
          </w:tcPr>
          <w:p w14:paraId="2E07B386" w14:textId="77777777" w:rsidR="004D7A10" w:rsidRPr="007E140B" w:rsidRDefault="004D7A10" w:rsidP="0026770E">
            <w:pPr>
              <w:spacing w:after="0" w:line="240" w:lineRule="auto"/>
              <w:rPr>
                <w:rFonts w:cs="Arial"/>
                <w:color w:val="auto"/>
              </w:rPr>
            </w:pPr>
            <w:r w:rsidRPr="007E140B">
              <w:rPr>
                <w:rFonts w:cs="Arial"/>
                <w:color w:val="auto"/>
                <w:sz w:val="15"/>
              </w:rPr>
              <w:t>Green assets have lower expected returns because investors value holding them and they hedge climate risk, but they can outperform after positive ESG-preference shocks. Sustainable investing can shift real investment toward greener firms.</w:t>
            </w:r>
          </w:p>
        </w:tc>
        <w:tc>
          <w:tcPr>
            <w:tcW w:w="1665" w:type="dxa"/>
            <w:shd w:val="clear" w:color="auto" w:fill="F7FAFC"/>
            <w:tcMar>
              <w:top w:w="22" w:type="dxa"/>
              <w:left w:w="24" w:type="dxa"/>
              <w:bottom w:w="22" w:type="dxa"/>
              <w:right w:w="24" w:type="dxa"/>
            </w:tcMar>
          </w:tcPr>
          <w:p w14:paraId="787EF2BE" w14:textId="77777777" w:rsidR="004D7A10" w:rsidRPr="007E140B" w:rsidRDefault="004D7A10" w:rsidP="0026770E">
            <w:pPr>
              <w:spacing w:after="0" w:line="240" w:lineRule="auto"/>
              <w:rPr>
                <w:rFonts w:cs="Arial"/>
                <w:color w:val="auto"/>
              </w:rPr>
            </w:pPr>
            <w:r w:rsidRPr="007E140B">
              <w:rPr>
                <w:rFonts w:cs="Arial"/>
                <w:color w:val="auto"/>
                <w:sz w:val="15"/>
              </w:rPr>
              <w:t>The article separates expected returns from realised returns and shows that stakeholder/investor preferences can affect prices without implying superior operating performance.</w:t>
            </w:r>
          </w:p>
        </w:tc>
        <w:tc>
          <w:tcPr>
            <w:tcW w:w="1303" w:type="dxa"/>
            <w:shd w:val="clear" w:color="auto" w:fill="F7FAFC"/>
            <w:tcMar>
              <w:top w:w="22" w:type="dxa"/>
              <w:left w:w="24" w:type="dxa"/>
              <w:bottom w:w="22" w:type="dxa"/>
              <w:right w:w="24" w:type="dxa"/>
            </w:tcMar>
          </w:tcPr>
          <w:p w14:paraId="393365C6" w14:textId="77777777" w:rsidR="004D7A10" w:rsidRPr="007E140B" w:rsidRDefault="004D7A10" w:rsidP="0026770E">
            <w:pPr>
              <w:spacing w:after="0" w:line="240" w:lineRule="auto"/>
              <w:rPr>
                <w:rFonts w:cs="Arial"/>
                <w:color w:val="auto"/>
              </w:rPr>
            </w:pPr>
            <w:r w:rsidRPr="007E140B">
              <w:rPr>
                <w:rFonts w:cs="Arial"/>
                <w:color w:val="auto"/>
                <w:sz w:val="15"/>
              </w:rPr>
              <w:t>The dissertation uses this correctly as capital-market context rather than direct evidence of operational advantage. It helps distinguish valuation effects driven by preferences from productivity, innovation or margin mechanisms.</w:t>
            </w:r>
          </w:p>
        </w:tc>
        <w:tc>
          <w:tcPr>
            <w:tcW w:w="1230" w:type="dxa"/>
            <w:shd w:val="clear" w:color="auto" w:fill="F7FAFC"/>
            <w:tcMar>
              <w:top w:w="22" w:type="dxa"/>
              <w:left w:w="24" w:type="dxa"/>
              <w:bottom w:w="22" w:type="dxa"/>
              <w:right w:w="24" w:type="dxa"/>
            </w:tcMar>
          </w:tcPr>
          <w:p w14:paraId="03D4356D" w14:textId="77777777" w:rsidR="004D7A10" w:rsidRPr="007E140B" w:rsidRDefault="00867805" w:rsidP="0026770E">
            <w:pPr>
              <w:spacing w:after="0" w:line="240" w:lineRule="auto"/>
              <w:rPr>
                <w:rFonts w:cs="Arial"/>
                <w:color w:val="auto"/>
              </w:rPr>
            </w:pPr>
            <w:hyperlink r:id="rId77">
              <w:r w:rsidR="004D7A10" w:rsidRPr="007E140B">
                <w:rPr>
                  <w:rFonts w:cs="Arial"/>
                  <w:color w:val="auto"/>
                  <w:sz w:val="13"/>
                  <w:szCs w:val="13"/>
                </w:rPr>
                <w:t>https://doi.org/10.1016/j.jfineco.2020.12.011</w:t>
              </w:r>
            </w:hyperlink>
          </w:p>
        </w:tc>
      </w:tr>
      <w:tr w:rsidR="007E140B" w:rsidRPr="007E140B" w14:paraId="7F5AFBE4" w14:textId="77777777" w:rsidTr="0026770E">
        <w:trPr>
          <w:cantSplit/>
          <w:jc w:val="center"/>
        </w:trPr>
        <w:tc>
          <w:tcPr>
            <w:tcW w:w="504" w:type="dxa"/>
            <w:shd w:val="clear" w:color="auto" w:fill="EAF1F7"/>
            <w:tcMar>
              <w:top w:w="22" w:type="dxa"/>
              <w:left w:w="24" w:type="dxa"/>
              <w:bottom w:w="22" w:type="dxa"/>
              <w:right w:w="24" w:type="dxa"/>
            </w:tcMar>
            <w:vAlign w:val="center"/>
          </w:tcPr>
          <w:p w14:paraId="78EA8C84" w14:textId="77777777" w:rsidR="004D7A10" w:rsidRPr="007E140B" w:rsidRDefault="004D7A10" w:rsidP="0026770E">
            <w:pPr>
              <w:spacing w:after="0" w:line="240" w:lineRule="auto"/>
              <w:jc w:val="center"/>
              <w:rPr>
                <w:rFonts w:cs="Arial"/>
                <w:color w:val="auto"/>
              </w:rPr>
            </w:pPr>
            <w:r w:rsidRPr="007E140B">
              <w:rPr>
                <w:rFonts w:cs="Arial"/>
                <w:b/>
                <w:color w:val="auto"/>
                <w:sz w:val="15"/>
              </w:rPr>
              <w:t>22</w:t>
            </w:r>
          </w:p>
        </w:tc>
        <w:tc>
          <w:tcPr>
            <w:tcW w:w="1447" w:type="dxa"/>
            <w:shd w:val="clear" w:color="auto" w:fill="EAF1F7"/>
            <w:tcMar>
              <w:top w:w="22" w:type="dxa"/>
              <w:left w:w="24" w:type="dxa"/>
              <w:bottom w:w="22" w:type="dxa"/>
              <w:right w:w="24" w:type="dxa"/>
            </w:tcMar>
          </w:tcPr>
          <w:p w14:paraId="591D91DF" w14:textId="77777777" w:rsidR="004D7A10" w:rsidRPr="007E140B" w:rsidRDefault="004D7A10" w:rsidP="0026770E">
            <w:pPr>
              <w:spacing w:after="0" w:line="240" w:lineRule="auto"/>
              <w:rPr>
                <w:rFonts w:cs="Arial"/>
                <w:color w:val="auto"/>
              </w:rPr>
            </w:pPr>
            <w:r w:rsidRPr="007E140B">
              <w:rPr>
                <w:rFonts w:cs="Arial"/>
                <w:b/>
                <w:color w:val="auto"/>
                <w:sz w:val="15"/>
              </w:rPr>
              <w:t>A Systematic Literature Review on Greenwashing and Its Relationship to Stakeholders: State of Art and Future Research Agenda</w:t>
            </w:r>
          </w:p>
        </w:tc>
        <w:tc>
          <w:tcPr>
            <w:tcW w:w="1049" w:type="dxa"/>
            <w:shd w:val="clear" w:color="auto" w:fill="EAF1F7"/>
            <w:tcMar>
              <w:top w:w="22" w:type="dxa"/>
              <w:left w:w="24" w:type="dxa"/>
              <w:bottom w:w="22" w:type="dxa"/>
              <w:right w:w="24" w:type="dxa"/>
            </w:tcMar>
          </w:tcPr>
          <w:p w14:paraId="5E7203D5" w14:textId="77777777" w:rsidR="004D7A10" w:rsidRPr="007E140B" w:rsidRDefault="004D7A10" w:rsidP="0026770E">
            <w:pPr>
              <w:spacing w:after="0" w:line="240" w:lineRule="auto"/>
              <w:rPr>
                <w:rFonts w:cs="Arial"/>
                <w:color w:val="auto"/>
              </w:rPr>
            </w:pPr>
            <w:r w:rsidRPr="007E140B">
              <w:rPr>
                <w:rFonts w:cs="Arial"/>
                <w:color w:val="auto"/>
                <w:sz w:val="15"/>
              </w:rPr>
              <w:t>Management Review Quarterly</w:t>
            </w:r>
          </w:p>
        </w:tc>
        <w:tc>
          <w:tcPr>
            <w:tcW w:w="905" w:type="dxa"/>
            <w:shd w:val="clear" w:color="auto" w:fill="EAF1F7"/>
            <w:tcMar>
              <w:top w:w="22" w:type="dxa"/>
              <w:left w:w="24" w:type="dxa"/>
              <w:bottom w:w="22" w:type="dxa"/>
              <w:right w:w="24" w:type="dxa"/>
            </w:tcMar>
          </w:tcPr>
          <w:p w14:paraId="5709EAD4" w14:textId="77777777" w:rsidR="004D7A10" w:rsidRPr="007E140B" w:rsidRDefault="004D7A10" w:rsidP="0026770E">
            <w:pPr>
              <w:spacing w:after="0" w:line="240" w:lineRule="auto"/>
              <w:rPr>
                <w:rFonts w:cs="Arial"/>
                <w:color w:val="auto"/>
              </w:rPr>
            </w:pPr>
            <w:r w:rsidRPr="007E140B">
              <w:rPr>
                <w:rFonts w:cs="Arial"/>
                <w:color w:val="auto"/>
                <w:sz w:val="15"/>
              </w:rPr>
              <w:t>Santos, C.; Coelho, A.; Marques, A.</w:t>
            </w:r>
          </w:p>
        </w:tc>
        <w:tc>
          <w:tcPr>
            <w:tcW w:w="648" w:type="dxa"/>
            <w:shd w:val="clear" w:color="auto" w:fill="EAF1F7"/>
            <w:tcMar>
              <w:top w:w="22" w:type="dxa"/>
              <w:left w:w="24" w:type="dxa"/>
              <w:bottom w:w="22" w:type="dxa"/>
              <w:right w:w="24" w:type="dxa"/>
            </w:tcMar>
            <w:vAlign w:val="center"/>
          </w:tcPr>
          <w:p w14:paraId="3282A8CC" w14:textId="77777777" w:rsidR="004D7A10" w:rsidRPr="007E140B" w:rsidRDefault="004D7A10" w:rsidP="0026770E">
            <w:pPr>
              <w:spacing w:after="0" w:line="240" w:lineRule="auto"/>
              <w:jc w:val="center"/>
              <w:rPr>
                <w:rFonts w:cs="Arial"/>
                <w:color w:val="auto"/>
              </w:rPr>
            </w:pPr>
            <w:r w:rsidRPr="007E140B">
              <w:rPr>
                <w:rFonts w:cs="Arial"/>
                <w:b/>
                <w:color w:val="auto"/>
                <w:sz w:val="15"/>
              </w:rPr>
              <w:t>2024</w:t>
            </w:r>
          </w:p>
        </w:tc>
        <w:tc>
          <w:tcPr>
            <w:tcW w:w="1230" w:type="dxa"/>
            <w:shd w:val="clear" w:color="auto" w:fill="EAF1F7"/>
            <w:tcMar>
              <w:top w:w="22" w:type="dxa"/>
              <w:left w:w="24" w:type="dxa"/>
              <w:bottom w:w="22" w:type="dxa"/>
              <w:right w:w="24" w:type="dxa"/>
            </w:tcMar>
          </w:tcPr>
          <w:p w14:paraId="59927585" w14:textId="77777777" w:rsidR="004D7A10" w:rsidRPr="007E140B" w:rsidRDefault="004D7A10" w:rsidP="0026770E">
            <w:pPr>
              <w:spacing w:after="0" w:line="240" w:lineRule="auto"/>
              <w:rPr>
                <w:rFonts w:cs="Arial"/>
                <w:color w:val="auto"/>
              </w:rPr>
            </w:pPr>
            <w:r w:rsidRPr="007E140B">
              <w:rPr>
                <w:rFonts w:cs="Arial"/>
                <w:color w:val="auto"/>
                <w:sz w:val="15"/>
              </w:rPr>
              <w:t>To synthesise the evolution of greenwashing research with special attention to its relationships with stakeholders.</w:t>
            </w:r>
          </w:p>
        </w:tc>
        <w:tc>
          <w:tcPr>
            <w:tcW w:w="1375" w:type="dxa"/>
            <w:shd w:val="clear" w:color="auto" w:fill="EAF1F7"/>
            <w:tcMar>
              <w:top w:w="22" w:type="dxa"/>
              <w:left w:w="24" w:type="dxa"/>
              <w:bottom w:w="22" w:type="dxa"/>
              <w:right w:w="24" w:type="dxa"/>
            </w:tcMar>
          </w:tcPr>
          <w:p w14:paraId="62B3603B" w14:textId="77777777" w:rsidR="004D7A10" w:rsidRPr="007E140B" w:rsidRDefault="004D7A10" w:rsidP="0026770E">
            <w:pPr>
              <w:spacing w:after="0" w:line="240" w:lineRule="auto"/>
              <w:rPr>
                <w:rFonts w:cs="Arial"/>
                <w:color w:val="auto"/>
              </w:rPr>
            </w:pPr>
            <w:r w:rsidRPr="007E140B">
              <w:rPr>
                <w:rFonts w:cs="Arial"/>
                <w:color w:val="auto"/>
                <w:sz w:val="15"/>
              </w:rPr>
              <w:t>Map influential greenwashing research; analyse stakeholder-related themes; identify gaps and future research opportunities.</w:t>
            </w:r>
          </w:p>
        </w:tc>
        <w:tc>
          <w:tcPr>
            <w:tcW w:w="1086" w:type="dxa"/>
            <w:shd w:val="clear" w:color="auto" w:fill="EAF1F7"/>
            <w:tcMar>
              <w:top w:w="22" w:type="dxa"/>
              <w:left w:w="24" w:type="dxa"/>
              <w:bottom w:w="22" w:type="dxa"/>
              <w:right w:w="24" w:type="dxa"/>
            </w:tcMar>
          </w:tcPr>
          <w:p w14:paraId="167FAD60" w14:textId="77777777" w:rsidR="004D7A10" w:rsidRPr="007E140B" w:rsidRDefault="004D7A10" w:rsidP="0026770E">
            <w:pPr>
              <w:spacing w:after="0" w:line="240" w:lineRule="auto"/>
              <w:rPr>
                <w:rFonts w:cs="Arial"/>
                <w:color w:val="auto"/>
              </w:rPr>
            </w:pPr>
            <w:r w:rsidRPr="007E140B">
              <w:rPr>
                <w:rFonts w:cs="Arial"/>
                <w:color w:val="auto"/>
                <w:sz w:val="15"/>
              </w:rPr>
              <w:t>What is the state of greenwashing research, how does greenwashing affect different stakeholders, and which gaps should future research address?</w:t>
            </w:r>
          </w:p>
        </w:tc>
        <w:tc>
          <w:tcPr>
            <w:tcW w:w="1122" w:type="dxa"/>
            <w:shd w:val="clear" w:color="auto" w:fill="EAF1F7"/>
            <w:tcMar>
              <w:top w:w="22" w:type="dxa"/>
              <w:left w:w="24" w:type="dxa"/>
              <w:bottom w:w="22" w:type="dxa"/>
              <w:right w:w="24" w:type="dxa"/>
            </w:tcMar>
          </w:tcPr>
          <w:p w14:paraId="3B2AEB9B" w14:textId="77777777" w:rsidR="004D7A10" w:rsidRPr="007E140B" w:rsidRDefault="004D7A10" w:rsidP="0026770E">
            <w:pPr>
              <w:spacing w:after="0" w:line="240" w:lineRule="auto"/>
              <w:rPr>
                <w:rFonts w:cs="Arial"/>
                <w:color w:val="auto"/>
              </w:rPr>
            </w:pPr>
            <w:r w:rsidRPr="007E140B">
              <w:rPr>
                <w:rFonts w:cs="Arial"/>
                <w:color w:val="auto"/>
                <w:sz w:val="15"/>
              </w:rPr>
              <w:t>Bibliometric analysis and literature review of 310 Web of Science documents published up to 2021, using VOSviewer to map authors, journals, institutions and keyword networks.</w:t>
            </w:r>
          </w:p>
        </w:tc>
        <w:tc>
          <w:tcPr>
            <w:tcW w:w="1556" w:type="dxa"/>
            <w:shd w:val="clear" w:color="auto" w:fill="EAF1F7"/>
            <w:tcMar>
              <w:top w:w="22" w:type="dxa"/>
              <w:left w:w="24" w:type="dxa"/>
              <w:bottom w:w="22" w:type="dxa"/>
              <w:right w:w="24" w:type="dxa"/>
            </w:tcMar>
          </w:tcPr>
          <w:p w14:paraId="789D67D5" w14:textId="77777777" w:rsidR="004D7A10" w:rsidRPr="007E140B" w:rsidRDefault="004D7A10" w:rsidP="0026770E">
            <w:pPr>
              <w:spacing w:after="0" w:line="240" w:lineRule="auto"/>
              <w:rPr>
                <w:rFonts w:cs="Arial"/>
                <w:color w:val="auto"/>
              </w:rPr>
            </w:pPr>
            <w:r w:rsidRPr="007E140B">
              <w:rPr>
                <w:rFonts w:cs="Arial"/>
                <w:color w:val="auto"/>
                <w:sz w:val="15"/>
              </w:rPr>
              <w:t>Research increasingly examines effects on branding, consumer attitudes/purchase intentions, B2B relationships and greenwashing taxonomies. Stakeholder consequences and more precise classifications remain important gaps.</w:t>
            </w:r>
          </w:p>
        </w:tc>
        <w:tc>
          <w:tcPr>
            <w:tcW w:w="1665" w:type="dxa"/>
            <w:shd w:val="clear" w:color="auto" w:fill="EAF1F7"/>
            <w:tcMar>
              <w:top w:w="22" w:type="dxa"/>
              <w:left w:w="24" w:type="dxa"/>
              <w:bottom w:w="22" w:type="dxa"/>
              <w:right w:w="24" w:type="dxa"/>
            </w:tcMar>
          </w:tcPr>
          <w:p w14:paraId="49A53E01" w14:textId="77777777" w:rsidR="004D7A10" w:rsidRPr="007E140B" w:rsidRDefault="004D7A10" w:rsidP="0026770E">
            <w:pPr>
              <w:spacing w:after="0" w:line="240" w:lineRule="auto"/>
              <w:rPr>
                <w:rFonts w:cs="Arial"/>
                <w:color w:val="auto"/>
              </w:rPr>
            </w:pPr>
            <w:r w:rsidRPr="007E140B">
              <w:rPr>
                <w:rFonts w:cs="Arial"/>
                <w:color w:val="auto"/>
                <w:sz w:val="15"/>
              </w:rPr>
              <w:t>The review places stakeholders at the centre of greenwashing research and shows that misleading sustainability claims can influence multiple relational outcomes, not only consumer perceptions.</w:t>
            </w:r>
          </w:p>
        </w:tc>
        <w:tc>
          <w:tcPr>
            <w:tcW w:w="1303" w:type="dxa"/>
            <w:shd w:val="clear" w:color="auto" w:fill="EAF1F7"/>
            <w:tcMar>
              <w:top w:w="22" w:type="dxa"/>
              <w:left w:w="24" w:type="dxa"/>
              <w:bottom w:w="22" w:type="dxa"/>
              <w:right w:w="24" w:type="dxa"/>
            </w:tcMar>
          </w:tcPr>
          <w:p w14:paraId="63488E4B" w14:textId="77777777" w:rsidR="004D7A10" w:rsidRPr="007E140B" w:rsidRDefault="004D7A10" w:rsidP="0026770E">
            <w:pPr>
              <w:spacing w:after="0" w:line="240" w:lineRule="auto"/>
              <w:rPr>
                <w:rFonts w:cs="Arial"/>
                <w:color w:val="auto"/>
              </w:rPr>
            </w:pPr>
            <w:r w:rsidRPr="007E140B">
              <w:rPr>
                <w:rFonts w:cs="Arial"/>
                <w:color w:val="auto"/>
                <w:sz w:val="15"/>
              </w:rPr>
              <w:t>Supports the dissertation’s legitimacy/stakeholder framing and the need for stakeholder-specific reputation measures. It also reinforces the value of claim-level verification and clear greenwashing taxonomy.</w:t>
            </w:r>
          </w:p>
        </w:tc>
        <w:tc>
          <w:tcPr>
            <w:tcW w:w="1230" w:type="dxa"/>
            <w:shd w:val="clear" w:color="auto" w:fill="EAF1F7"/>
            <w:tcMar>
              <w:top w:w="22" w:type="dxa"/>
              <w:left w:w="24" w:type="dxa"/>
              <w:bottom w:w="22" w:type="dxa"/>
              <w:right w:w="24" w:type="dxa"/>
            </w:tcMar>
          </w:tcPr>
          <w:p w14:paraId="7187BC98" w14:textId="77777777" w:rsidR="004D7A10" w:rsidRPr="007E140B" w:rsidRDefault="00867805" w:rsidP="0026770E">
            <w:pPr>
              <w:spacing w:after="0" w:line="240" w:lineRule="auto"/>
              <w:rPr>
                <w:rFonts w:cs="Arial"/>
                <w:color w:val="auto"/>
              </w:rPr>
            </w:pPr>
            <w:hyperlink r:id="rId78">
              <w:r w:rsidR="004D7A10" w:rsidRPr="007E140B">
                <w:rPr>
                  <w:rFonts w:cs="Arial"/>
                  <w:color w:val="auto"/>
                  <w:sz w:val="13"/>
                  <w:szCs w:val="13"/>
                </w:rPr>
                <w:t>https://doi.org/10.1007/s11301-023-00337-5</w:t>
              </w:r>
            </w:hyperlink>
          </w:p>
        </w:tc>
      </w:tr>
      <w:tr w:rsidR="007E140B" w:rsidRPr="007E140B" w14:paraId="43DCB0AC" w14:textId="77777777" w:rsidTr="0026770E">
        <w:trPr>
          <w:cantSplit/>
          <w:jc w:val="center"/>
        </w:trPr>
        <w:tc>
          <w:tcPr>
            <w:tcW w:w="504" w:type="dxa"/>
            <w:shd w:val="clear" w:color="auto" w:fill="F7FAFC"/>
            <w:tcMar>
              <w:top w:w="22" w:type="dxa"/>
              <w:left w:w="24" w:type="dxa"/>
              <w:bottom w:w="22" w:type="dxa"/>
              <w:right w:w="24" w:type="dxa"/>
            </w:tcMar>
            <w:vAlign w:val="center"/>
          </w:tcPr>
          <w:p w14:paraId="607E5096" w14:textId="77777777" w:rsidR="004D7A10" w:rsidRPr="007E140B" w:rsidRDefault="004D7A10" w:rsidP="0026770E">
            <w:pPr>
              <w:spacing w:after="0" w:line="240" w:lineRule="auto"/>
              <w:jc w:val="center"/>
              <w:rPr>
                <w:rFonts w:cs="Arial"/>
                <w:color w:val="auto"/>
              </w:rPr>
            </w:pPr>
            <w:r w:rsidRPr="007E140B">
              <w:rPr>
                <w:rFonts w:cs="Arial"/>
                <w:b/>
                <w:color w:val="auto"/>
                <w:sz w:val="15"/>
              </w:rPr>
              <w:t>23</w:t>
            </w:r>
          </w:p>
        </w:tc>
        <w:tc>
          <w:tcPr>
            <w:tcW w:w="1447" w:type="dxa"/>
            <w:shd w:val="clear" w:color="auto" w:fill="F7FAFC"/>
            <w:tcMar>
              <w:top w:w="22" w:type="dxa"/>
              <w:left w:w="24" w:type="dxa"/>
              <w:bottom w:w="22" w:type="dxa"/>
              <w:right w:w="24" w:type="dxa"/>
            </w:tcMar>
          </w:tcPr>
          <w:p w14:paraId="68E686F2" w14:textId="77777777" w:rsidR="004D7A10" w:rsidRPr="007E140B" w:rsidRDefault="004D7A10" w:rsidP="0026770E">
            <w:pPr>
              <w:spacing w:after="0" w:line="240" w:lineRule="auto"/>
              <w:rPr>
                <w:rFonts w:cs="Arial"/>
                <w:color w:val="auto"/>
              </w:rPr>
            </w:pPr>
            <w:r w:rsidRPr="007E140B">
              <w:rPr>
                <w:rFonts w:cs="Arial"/>
                <w:b/>
                <w:color w:val="auto"/>
                <w:sz w:val="15"/>
              </w:rPr>
              <w:t>Managing Legitimacy: Strategic and Institutional Approaches</w:t>
            </w:r>
          </w:p>
        </w:tc>
        <w:tc>
          <w:tcPr>
            <w:tcW w:w="1049" w:type="dxa"/>
            <w:shd w:val="clear" w:color="auto" w:fill="F7FAFC"/>
            <w:tcMar>
              <w:top w:w="22" w:type="dxa"/>
              <w:left w:w="24" w:type="dxa"/>
              <w:bottom w:w="22" w:type="dxa"/>
              <w:right w:w="24" w:type="dxa"/>
            </w:tcMar>
          </w:tcPr>
          <w:p w14:paraId="6ED3E6CD" w14:textId="77777777" w:rsidR="004D7A10" w:rsidRPr="007E140B" w:rsidRDefault="004D7A10" w:rsidP="0026770E">
            <w:pPr>
              <w:spacing w:after="0" w:line="240" w:lineRule="auto"/>
              <w:rPr>
                <w:rFonts w:cs="Arial"/>
                <w:color w:val="auto"/>
              </w:rPr>
            </w:pPr>
            <w:r w:rsidRPr="007E140B">
              <w:rPr>
                <w:rFonts w:cs="Arial"/>
                <w:color w:val="auto"/>
                <w:sz w:val="15"/>
              </w:rPr>
              <w:t>Academy of Management Review</w:t>
            </w:r>
          </w:p>
        </w:tc>
        <w:tc>
          <w:tcPr>
            <w:tcW w:w="905" w:type="dxa"/>
            <w:shd w:val="clear" w:color="auto" w:fill="F7FAFC"/>
            <w:tcMar>
              <w:top w:w="22" w:type="dxa"/>
              <w:left w:w="24" w:type="dxa"/>
              <w:bottom w:w="22" w:type="dxa"/>
              <w:right w:w="24" w:type="dxa"/>
            </w:tcMar>
          </w:tcPr>
          <w:p w14:paraId="524A2E19" w14:textId="77777777" w:rsidR="004D7A10" w:rsidRPr="007E140B" w:rsidRDefault="004D7A10" w:rsidP="0026770E">
            <w:pPr>
              <w:spacing w:after="0" w:line="240" w:lineRule="auto"/>
              <w:rPr>
                <w:rFonts w:cs="Arial"/>
                <w:color w:val="auto"/>
              </w:rPr>
            </w:pPr>
            <w:r w:rsidRPr="007E140B">
              <w:rPr>
                <w:rFonts w:cs="Arial"/>
                <w:color w:val="auto"/>
                <w:sz w:val="15"/>
              </w:rPr>
              <w:t>Suchman, M.C.</w:t>
            </w:r>
          </w:p>
        </w:tc>
        <w:tc>
          <w:tcPr>
            <w:tcW w:w="648" w:type="dxa"/>
            <w:shd w:val="clear" w:color="auto" w:fill="F7FAFC"/>
            <w:tcMar>
              <w:top w:w="22" w:type="dxa"/>
              <w:left w:w="24" w:type="dxa"/>
              <w:bottom w:w="22" w:type="dxa"/>
              <w:right w:w="24" w:type="dxa"/>
            </w:tcMar>
            <w:vAlign w:val="center"/>
          </w:tcPr>
          <w:p w14:paraId="02D75704" w14:textId="77777777" w:rsidR="004D7A10" w:rsidRPr="007E140B" w:rsidRDefault="004D7A10" w:rsidP="0026770E">
            <w:pPr>
              <w:spacing w:after="0" w:line="240" w:lineRule="auto"/>
              <w:jc w:val="center"/>
              <w:rPr>
                <w:rFonts w:cs="Arial"/>
                <w:color w:val="auto"/>
              </w:rPr>
            </w:pPr>
            <w:r w:rsidRPr="007E140B">
              <w:rPr>
                <w:rFonts w:cs="Arial"/>
                <w:b/>
                <w:color w:val="auto"/>
                <w:sz w:val="15"/>
              </w:rPr>
              <w:t>1995</w:t>
            </w:r>
          </w:p>
        </w:tc>
        <w:tc>
          <w:tcPr>
            <w:tcW w:w="1230" w:type="dxa"/>
            <w:shd w:val="clear" w:color="auto" w:fill="F7FAFC"/>
            <w:tcMar>
              <w:top w:w="22" w:type="dxa"/>
              <w:left w:w="24" w:type="dxa"/>
              <w:bottom w:w="22" w:type="dxa"/>
              <w:right w:w="24" w:type="dxa"/>
            </w:tcMar>
          </w:tcPr>
          <w:p w14:paraId="1A31F771" w14:textId="77777777" w:rsidR="004D7A10" w:rsidRPr="007E140B" w:rsidRDefault="004D7A10" w:rsidP="0026770E">
            <w:pPr>
              <w:spacing w:after="0" w:line="240" w:lineRule="auto"/>
              <w:rPr>
                <w:rFonts w:cs="Arial"/>
                <w:color w:val="auto"/>
              </w:rPr>
            </w:pPr>
            <w:r w:rsidRPr="007E140B">
              <w:rPr>
                <w:rFonts w:cs="Arial"/>
                <w:color w:val="auto"/>
                <w:sz w:val="15"/>
              </w:rPr>
              <w:t>To synthesise strategic and institutional perspectives on organisational legitimacy and develop a framework for understanding how legitimacy is gained, maintained and repaired.</w:t>
            </w:r>
          </w:p>
        </w:tc>
        <w:tc>
          <w:tcPr>
            <w:tcW w:w="1375" w:type="dxa"/>
            <w:shd w:val="clear" w:color="auto" w:fill="F7FAFC"/>
            <w:tcMar>
              <w:top w:w="22" w:type="dxa"/>
              <w:left w:w="24" w:type="dxa"/>
              <w:bottom w:w="22" w:type="dxa"/>
              <w:right w:w="24" w:type="dxa"/>
            </w:tcMar>
          </w:tcPr>
          <w:p w14:paraId="09EE6C5E" w14:textId="77777777" w:rsidR="004D7A10" w:rsidRPr="007E140B" w:rsidRDefault="004D7A10" w:rsidP="0026770E">
            <w:pPr>
              <w:spacing w:after="0" w:line="240" w:lineRule="auto"/>
              <w:rPr>
                <w:rFonts w:cs="Arial"/>
                <w:color w:val="auto"/>
              </w:rPr>
            </w:pPr>
            <w:r w:rsidRPr="007E140B">
              <w:rPr>
                <w:rFonts w:cs="Arial"/>
                <w:color w:val="auto"/>
                <w:sz w:val="15"/>
              </w:rPr>
              <w:t>Define legitimacy; distinguish pragmatic, moral and cognitive forms; compare strategic/institutional approaches; identify legitimacy-management strategies and limitations.</w:t>
            </w:r>
          </w:p>
        </w:tc>
        <w:tc>
          <w:tcPr>
            <w:tcW w:w="1086" w:type="dxa"/>
            <w:shd w:val="clear" w:color="auto" w:fill="F7FAFC"/>
            <w:tcMar>
              <w:top w:w="22" w:type="dxa"/>
              <w:left w:w="24" w:type="dxa"/>
              <w:bottom w:w="22" w:type="dxa"/>
              <w:right w:w="24" w:type="dxa"/>
            </w:tcMar>
          </w:tcPr>
          <w:p w14:paraId="1AC0131D" w14:textId="77777777" w:rsidR="004D7A10" w:rsidRPr="007E140B" w:rsidRDefault="004D7A10" w:rsidP="0026770E">
            <w:pPr>
              <w:spacing w:after="0" w:line="240" w:lineRule="auto"/>
              <w:rPr>
                <w:rFonts w:cs="Arial"/>
                <w:color w:val="auto"/>
              </w:rPr>
            </w:pPr>
            <w:r w:rsidRPr="007E140B">
              <w:rPr>
                <w:rFonts w:cs="Arial"/>
                <w:color w:val="auto"/>
                <w:sz w:val="15"/>
              </w:rPr>
              <w:t>What forms of organisational legitimacy exist, and how can organisations gain, maintain and repair legitimacy under different strategic and institutional conditions?</w:t>
            </w:r>
          </w:p>
        </w:tc>
        <w:tc>
          <w:tcPr>
            <w:tcW w:w="1122" w:type="dxa"/>
            <w:shd w:val="clear" w:color="auto" w:fill="F7FAFC"/>
            <w:tcMar>
              <w:top w:w="22" w:type="dxa"/>
              <w:left w:w="24" w:type="dxa"/>
              <w:bottom w:w="22" w:type="dxa"/>
              <w:right w:w="24" w:type="dxa"/>
            </w:tcMar>
          </w:tcPr>
          <w:p w14:paraId="55AA0584" w14:textId="77777777" w:rsidR="004D7A10" w:rsidRPr="007E140B" w:rsidRDefault="004D7A10" w:rsidP="0026770E">
            <w:pPr>
              <w:spacing w:after="0" w:line="240" w:lineRule="auto"/>
              <w:rPr>
                <w:rFonts w:cs="Arial"/>
                <w:color w:val="auto"/>
              </w:rPr>
            </w:pPr>
            <w:r w:rsidRPr="007E140B">
              <w:rPr>
                <w:rFonts w:cs="Arial"/>
                <w:color w:val="auto"/>
                <w:sz w:val="15"/>
              </w:rPr>
              <w:t>Conceptual synthesis of a broad organisational-legitimacy literature; no empirical sample.</w:t>
            </w:r>
          </w:p>
        </w:tc>
        <w:tc>
          <w:tcPr>
            <w:tcW w:w="1556" w:type="dxa"/>
            <w:shd w:val="clear" w:color="auto" w:fill="F7FAFC"/>
            <w:tcMar>
              <w:top w:w="22" w:type="dxa"/>
              <w:left w:w="24" w:type="dxa"/>
              <w:bottom w:w="22" w:type="dxa"/>
              <w:right w:w="24" w:type="dxa"/>
            </w:tcMar>
          </w:tcPr>
          <w:p w14:paraId="76A28BD1" w14:textId="77777777" w:rsidR="004D7A10" w:rsidRPr="007E140B" w:rsidRDefault="004D7A10" w:rsidP="0026770E">
            <w:pPr>
              <w:spacing w:after="0" w:line="240" w:lineRule="auto"/>
              <w:rPr>
                <w:rFonts w:cs="Arial"/>
                <w:color w:val="auto"/>
              </w:rPr>
            </w:pPr>
            <w:r w:rsidRPr="007E140B">
              <w:rPr>
                <w:rFonts w:cs="Arial"/>
                <w:color w:val="auto"/>
                <w:sz w:val="15"/>
              </w:rPr>
              <w:t>Legitimacy can be pragmatic, moral or cognitive, and organisations use different strategies to build, maintain or repair it. Instrumental legitimacy management has limitations and can conflict with deeper institutional pressures.</w:t>
            </w:r>
          </w:p>
        </w:tc>
        <w:tc>
          <w:tcPr>
            <w:tcW w:w="1665" w:type="dxa"/>
            <w:shd w:val="clear" w:color="auto" w:fill="F7FAFC"/>
            <w:tcMar>
              <w:top w:w="22" w:type="dxa"/>
              <w:left w:w="24" w:type="dxa"/>
              <w:bottom w:w="22" w:type="dxa"/>
              <w:right w:w="24" w:type="dxa"/>
            </w:tcMar>
          </w:tcPr>
          <w:p w14:paraId="54DABC39" w14:textId="77777777" w:rsidR="004D7A10" w:rsidRPr="007E140B" w:rsidRDefault="004D7A10" w:rsidP="0026770E">
            <w:pPr>
              <w:spacing w:after="0" w:line="240" w:lineRule="auto"/>
              <w:rPr>
                <w:rFonts w:cs="Arial"/>
                <w:color w:val="auto"/>
              </w:rPr>
            </w:pPr>
            <w:r w:rsidRPr="007E140B">
              <w:rPr>
                <w:rFonts w:cs="Arial"/>
                <w:color w:val="auto"/>
                <w:sz w:val="15"/>
              </w:rPr>
              <w:t>The article provides a foundational legitimacy framework explaining how stakeholder acceptance depends on social norms, audience judgements and the perceived appropriateness of organisational actions.</w:t>
            </w:r>
          </w:p>
        </w:tc>
        <w:tc>
          <w:tcPr>
            <w:tcW w:w="1303" w:type="dxa"/>
            <w:shd w:val="clear" w:color="auto" w:fill="F7FAFC"/>
            <w:tcMar>
              <w:top w:w="22" w:type="dxa"/>
              <w:left w:w="24" w:type="dxa"/>
              <w:bottom w:w="22" w:type="dxa"/>
              <w:right w:w="24" w:type="dxa"/>
            </w:tcMar>
          </w:tcPr>
          <w:p w14:paraId="6673B4BD" w14:textId="77777777" w:rsidR="004D7A10" w:rsidRPr="007E140B" w:rsidRDefault="004D7A10" w:rsidP="0026770E">
            <w:pPr>
              <w:spacing w:after="0" w:line="240" w:lineRule="auto"/>
              <w:rPr>
                <w:rFonts w:cs="Arial"/>
                <w:color w:val="auto"/>
              </w:rPr>
            </w:pPr>
            <w:r w:rsidRPr="007E140B">
              <w:rPr>
                <w:rFonts w:cs="Arial"/>
                <w:color w:val="auto"/>
                <w:sz w:val="15"/>
              </w:rPr>
              <w:t>A core theoretical source for the dissertation’s signalling/legitimacy pathway. It helps explain why verified actions can strengthen acceptance while contradictions between claims and delivery can trigger scrutiny and repair needs.</w:t>
            </w:r>
          </w:p>
        </w:tc>
        <w:tc>
          <w:tcPr>
            <w:tcW w:w="1230" w:type="dxa"/>
            <w:shd w:val="clear" w:color="auto" w:fill="F7FAFC"/>
            <w:tcMar>
              <w:top w:w="22" w:type="dxa"/>
              <w:left w:w="24" w:type="dxa"/>
              <w:bottom w:w="22" w:type="dxa"/>
              <w:right w:w="24" w:type="dxa"/>
            </w:tcMar>
          </w:tcPr>
          <w:p w14:paraId="7FE9B549" w14:textId="77777777" w:rsidR="004D7A10" w:rsidRPr="007E140B" w:rsidRDefault="00867805" w:rsidP="0026770E">
            <w:pPr>
              <w:spacing w:after="0" w:line="240" w:lineRule="auto"/>
              <w:rPr>
                <w:rFonts w:cs="Arial"/>
                <w:color w:val="auto"/>
              </w:rPr>
            </w:pPr>
            <w:hyperlink r:id="rId79">
              <w:r w:rsidR="004D7A10" w:rsidRPr="007E140B">
                <w:rPr>
                  <w:rFonts w:cs="Arial"/>
                  <w:color w:val="auto"/>
                  <w:sz w:val="13"/>
                  <w:szCs w:val="13"/>
                </w:rPr>
                <w:t>https://doi.org/10.5465/amr.1995.9508080331</w:t>
              </w:r>
            </w:hyperlink>
          </w:p>
        </w:tc>
      </w:tr>
      <w:tr w:rsidR="007E140B" w:rsidRPr="007E140B" w14:paraId="2A328D82" w14:textId="77777777" w:rsidTr="0026770E">
        <w:trPr>
          <w:cantSplit/>
          <w:jc w:val="center"/>
        </w:trPr>
        <w:tc>
          <w:tcPr>
            <w:tcW w:w="504" w:type="dxa"/>
            <w:shd w:val="clear" w:color="auto" w:fill="EAF1F7"/>
            <w:tcMar>
              <w:top w:w="22" w:type="dxa"/>
              <w:left w:w="24" w:type="dxa"/>
              <w:bottom w:w="22" w:type="dxa"/>
              <w:right w:w="24" w:type="dxa"/>
            </w:tcMar>
            <w:vAlign w:val="center"/>
          </w:tcPr>
          <w:p w14:paraId="047299C5" w14:textId="77777777" w:rsidR="004D7A10" w:rsidRPr="007E140B" w:rsidRDefault="004D7A10" w:rsidP="0026770E">
            <w:pPr>
              <w:spacing w:after="0" w:line="240" w:lineRule="auto"/>
              <w:jc w:val="center"/>
              <w:rPr>
                <w:rFonts w:cs="Arial"/>
                <w:color w:val="auto"/>
              </w:rPr>
            </w:pPr>
            <w:r w:rsidRPr="007E140B">
              <w:rPr>
                <w:rFonts w:cs="Arial"/>
                <w:b/>
                <w:color w:val="auto"/>
                <w:sz w:val="15"/>
              </w:rPr>
              <w:lastRenderedPageBreak/>
              <w:t>24</w:t>
            </w:r>
          </w:p>
        </w:tc>
        <w:tc>
          <w:tcPr>
            <w:tcW w:w="1447" w:type="dxa"/>
            <w:shd w:val="clear" w:color="auto" w:fill="EAF1F7"/>
            <w:tcMar>
              <w:top w:w="22" w:type="dxa"/>
              <w:left w:w="24" w:type="dxa"/>
              <w:bottom w:w="22" w:type="dxa"/>
              <w:right w:w="24" w:type="dxa"/>
            </w:tcMar>
          </w:tcPr>
          <w:p w14:paraId="3B81C188" w14:textId="77777777" w:rsidR="004D7A10" w:rsidRPr="007E140B" w:rsidRDefault="004D7A10" w:rsidP="0026770E">
            <w:pPr>
              <w:spacing w:after="0" w:line="240" w:lineRule="auto"/>
              <w:rPr>
                <w:rFonts w:cs="Arial"/>
                <w:color w:val="auto"/>
              </w:rPr>
            </w:pPr>
            <w:r w:rsidRPr="007E140B">
              <w:rPr>
                <w:rFonts w:cs="Arial"/>
                <w:b/>
                <w:color w:val="auto"/>
                <w:sz w:val="15"/>
              </w:rPr>
              <w:t>ESG Ratings and Green Innovation: A U-Shaped Journey Towards Sustainable Development</w:t>
            </w:r>
          </w:p>
        </w:tc>
        <w:tc>
          <w:tcPr>
            <w:tcW w:w="1049" w:type="dxa"/>
            <w:shd w:val="clear" w:color="auto" w:fill="EAF1F7"/>
            <w:tcMar>
              <w:top w:w="22" w:type="dxa"/>
              <w:left w:w="24" w:type="dxa"/>
              <w:bottom w:w="22" w:type="dxa"/>
              <w:right w:w="24" w:type="dxa"/>
            </w:tcMar>
          </w:tcPr>
          <w:p w14:paraId="7BEA4343" w14:textId="77777777" w:rsidR="004D7A10" w:rsidRPr="007E140B" w:rsidRDefault="004D7A10" w:rsidP="0026770E">
            <w:pPr>
              <w:spacing w:after="0" w:line="240" w:lineRule="auto"/>
              <w:rPr>
                <w:rFonts w:cs="Arial"/>
                <w:color w:val="auto"/>
              </w:rPr>
            </w:pPr>
            <w:r w:rsidRPr="007E140B">
              <w:rPr>
                <w:rFonts w:cs="Arial"/>
                <w:color w:val="auto"/>
                <w:sz w:val="15"/>
              </w:rPr>
              <w:t>Business Strategy and the Environment</w:t>
            </w:r>
          </w:p>
        </w:tc>
        <w:tc>
          <w:tcPr>
            <w:tcW w:w="905" w:type="dxa"/>
            <w:shd w:val="clear" w:color="auto" w:fill="EAF1F7"/>
            <w:tcMar>
              <w:top w:w="22" w:type="dxa"/>
              <w:left w:w="24" w:type="dxa"/>
              <w:bottom w:w="22" w:type="dxa"/>
              <w:right w:w="24" w:type="dxa"/>
            </w:tcMar>
          </w:tcPr>
          <w:p w14:paraId="65235EC5" w14:textId="77777777" w:rsidR="004D7A10" w:rsidRPr="007E140B" w:rsidRDefault="004D7A10" w:rsidP="0026770E">
            <w:pPr>
              <w:spacing w:after="0" w:line="240" w:lineRule="auto"/>
              <w:rPr>
                <w:rFonts w:cs="Arial"/>
                <w:color w:val="auto"/>
              </w:rPr>
            </w:pPr>
            <w:r w:rsidRPr="007E140B">
              <w:rPr>
                <w:rFonts w:cs="Arial"/>
                <w:color w:val="auto"/>
                <w:sz w:val="15"/>
              </w:rPr>
              <w:t>Yang, C.; Zhu, C.; Albitar, K.</w:t>
            </w:r>
          </w:p>
        </w:tc>
        <w:tc>
          <w:tcPr>
            <w:tcW w:w="648" w:type="dxa"/>
            <w:shd w:val="clear" w:color="auto" w:fill="EAF1F7"/>
            <w:tcMar>
              <w:top w:w="22" w:type="dxa"/>
              <w:left w:w="24" w:type="dxa"/>
              <w:bottom w:w="22" w:type="dxa"/>
              <w:right w:w="24" w:type="dxa"/>
            </w:tcMar>
            <w:vAlign w:val="center"/>
          </w:tcPr>
          <w:p w14:paraId="18F7881B" w14:textId="77777777" w:rsidR="004D7A10" w:rsidRPr="007E140B" w:rsidRDefault="004D7A10" w:rsidP="0026770E">
            <w:pPr>
              <w:spacing w:after="0" w:line="240" w:lineRule="auto"/>
              <w:jc w:val="center"/>
              <w:rPr>
                <w:rFonts w:cs="Arial"/>
                <w:color w:val="auto"/>
              </w:rPr>
            </w:pPr>
            <w:r w:rsidRPr="007E140B">
              <w:rPr>
                <w:rFonts w:cs="Arial"/>
                <w:b/>
                <w:color w:val="auto"/>
                <w:sz w:val="15"/>
              </w:rPr>
              <w:t>2024</w:t>
            </w:r>
          </w:p>
        </w:tc>
        <w:tc>
          <w:tcPr>
            <w:tcW w:w="1230" w:type="dxa"/>
            <w:shd w:val="clear" w:color="auto" w:fill="EAF1F7"/>
            <w:tcMar>
              <w:top w:w="22" w:type="dxa"/>
              <w:left w:w="24" w:type="dxa"/>
              <w:bottom w:w="22" w:type="dxa"/>
              <w:right w:w="24" w:type="dxa"/>
            </w:tcMar>
          </w:tcPr>
          <w:p w14:paraId="6B2D33CC" w14:textId="77777777" w:rsidR="004D7A10" w:rsidRPr="007E140B" w:rsidRDefault="004D7A10" w:rsidP="0026770E">
            <w:pPr>
              <w:spacing w:after="0" w:line="240" w:lineRule="auto"/>
              <w:rPr>
                <w:rFonts w:cs="Arial"/>
                <w:color w:val="auto"/>
              </w:rPr>
            </w:pPr>
            <w:r w:rsidRPr="007E140B">
              <w:rPr>
                <w:rFonts w:cs="Arial"/>
                <w:color w:val="auto"/>
                <w:sz w:val="15"/>
              </w:rPr>
              <w:t>To examine the relationship between corporate ESG ratings and green innovation and determine whether the association is nonlinear.</w:t>
            </w:r>
          </w:p>
        </w:tc>
        <w:tc>
          <w:tcPr>
            <w:tcW w:w="1375" w:type="dxa"/>
            <w:shd w:val="clear" w:color="auto" w:fill="EAF1F7"/>
            <w:tcMar>
              <w:top w:w="22" w:type="dxa"/>
              <w:left w:w="24" w:type="dxa"/>
              <w:bottom w:w="22" w:type="dxa"/>
              <w:right w:w="24" w:type="dxa"/>
            </w:tcMar>
          </w:tcPr>
          <w:p w14:paraId="4028F798" w14:textId="77777777" w:rsidR="004D7A10" w:rsidRPr="007E140B" w:rsidRDefault="004D7A10" w:rsidP="0026770E">
            <w:pPr>
              <w:spacing w:after="0" w:line="240" w:lineRule="auto"/>
              <w:rPr>
                <w:rFonts w:cs="Arial"/>
                <w:color w:val="auto"/>
              </w:rPr>
            </w:pPr>
            <w:r w:rsidRPr="007E140B">
              <w:rPr>
                <w:rFonts w:cs="Arial"/>
                <w:color w:val="auto"/>
                <w:sz w:val="15"/>
              </w:rPr>
              <w:t>Test the shape of the ESG–green-innovation relationship; examine different green-patent types; analyse roles of profitability, operational risk, collaboration, subsidies and executive compensation.</w:t>
            </w:r>
          </w:p>
        </w:tc>
        <w:tc>
          <w:tcPr>
            <w:tcW w:w="1086" w:type="dxa"/>
            <w:shd w:val="clear" w:color="auto" w:fill="EAF1F7"/>
            <w:tcMar>
              <w:top w:w="22" w:type="dxa"/>
              <w:left w:w="24" w:type="dxa"/>
              <w:bottom w:w="22" w:type="dxa"/>
              <w:right w:w="24" w:type="dxa"/>
            </w:tcMar>
          </w:tcPr>
          <w:p w14:paraId="7EAF5E01" w14:textId="77777777" w:rsidR="004D7A10" w:rsidRPr="007E140B" w:rsidRDefault="004D7A10" w:rsidP="0026770E">
            <w:pPr>
              <w:spacing w:after="0" w:line="240" w:lineRule="auto"/>
              <w:rPr>
                <w:rFonts w:cs="Arial"/>
                <w:color w:val="auto"/>
              </w:rPr>
            </w:pPr>
            <w:r w:rsidRPr="007E140B">
              <w:rPr>
                <w:rFonts w:cs="Arial"/>
                <w:color w:val="auto"/>
                <w:sz w:val="15"/>
              </w:rPr>
              <w:t>How do ESG ratings affect corporate green innovation, and does the effect vary across ESG levels, patent types and firm conditions?</w:t>
            </w:r>
          </w:p>
        </w:tc>
        <w:tc>
          <w:tcPr>
            <w:tcW w:w="1122" w:type="dxa"/>
            <w:shd w:val="clear" w:color="auto" w:fill="EAF1F7"/>
            <w:tcMar>
              <w:top w:w="22" w:type="dxa"/>
              <w:left w:w="24" w:type="dxa"/>
              <w:bottom w:w="22" w:type="dxa"/>
              <w:right w:w="24" w:type="dxa"/>
            </w:tcMar>
          </w:tcPr>
          <w:p w14:paraId="28B639C3" w14:textId="77777777" w:rsidR="004D7A10" w:rsidRPr="007E140B" w:rsidRDefault="004D7A10" w:rsidP="0026770E">
            <w:pPr>
              <w:spacing w:after="0" w:line="240" w:lineRule="auto"/>
              <w:rPr>
                <w:rFonts w:cs="Arial"/>
                <w:color w:val="auto"/>
              </w:rPr>
            </w:pPr>
            <w:r w:rsidRPr="007E140B">
              <w:rPr>
                <w:rFonts w:cs="Arial"/>
                <w:color w:val="auto"/>
                <w:sz w:val="15"/>
              </w:rPr>
              <w:t>Panel study of Chinese A-share listed firms, 2011–2022. Bloomberg ESG ratings are combined with matched green patent data and CSMAR firm information; regression analyses test nonlinear relationships and heterogeneity.</w:t>
            </w:r>
          </w:p>
        </w:tc>
        <w:tc>
          <w:tcPr>
            <w:tcW w:w="1556" w:type="dxa"/>
            <w:shd w:val="clear" w:color="auto" w:fill="EAF1F7"/>
            <w:tcMar>
              <w:top w:w="22" w:type="dxa"/>
              <w:left w:w="24" w:type="dxa"/>
              <w:bottom w:w="22" w:type="dxa"/>
              <w:right w:w="24" w:type="dxa"/>
            </w:tcMar>
          </w:tcPr>
          <w:p w14:paraId="71D2A8CE" w14:textId="77777777" w:rsidR="004D7A10" w:rsidRPr="007E140B" w:rsidRDefault="004D7A10" w:rsidP="0026770E">
            <w:pPr>
              <w:spacing w:after="0" w:line="240" w:lineRule="auto"/>
              <w:rPr>
                <w:rFonts w:cs="Arial"/>
                <w:color w:val="auto"/>
              </w:rPr>
            </w:pPr>
            <w:r w:rsidRPr="007E140B">
              <w:rPr>
                <w:rFonts w:cs="Arial"/>
                <w:color w:val="auto"/>
                <w:sz w:val="15"/>
              </w:rPr>
              <w:t>A U-shaped ESG–green-innovation relationship is identified. At lower ESG levels, firms may prioritise governance/operations over green innovation; after ESG improves, green innovation becomes more prominent. Effects vary with profitability, risk and innovation type.</w:t>
            </w:r>
          </w:p>
        </w:tc>
        <w:tc>
          <w:tcPr>
            <w:tcW w:w="1665" w:type="dxa"/>
            <w:shd w:val="clear" w:color="auto" w:fill="EAF1F7"/>
            <w:tcMar>
              <w:top w:w="22" w:type="dxa"/>
              <w:left w:w="24" w:type="dxa"/>
              <w:bottom w:w="22" w:type="dxa"/>
              <w:right w:w="24" w:type="dxa"/>
            </w:tcMar>
          </w:tcPr>
          <w:p w14:paraId="39A2E52A" w14:textId="77777777" w:rsidR="004D7A10" w:rsidRPr="007E140B" w:rsidRDefault="004D7A10" w:rsidP="0026770E">
            <w:pPr>
              <w:spacing w:after="0" w:line="240" w:lineRule="auto"/>
              <w:rPr>
                <w:rFonts w:cs="Arial"/>
                <w:color w:val="auto"/>
              </w:rPr>
            </w:pPr>
            <w:r w:rsidRPr="007E140B">
              <w:rPr>
                <w:rFonts w:cs="Arial"/>
                <w:color w:val="auto"/>
                <w:sz w:val="15"/>
              </w:rPr>
              <w:t>The study rejects a simple monotonic assumption and shows that the innovation consequences of ESG ratings can change across firms’ ESG position and operating conditions.</w:t>
            </w:r>
          </w:p>
        </w:tc>
        <w:tc>
          <w:tcPr>
            <w:tcW w:w="1303" w:type="dxa"/>
            <w:shd w:val="clear" w:color="auto" w:fill="EAF1F7"/>
            <w:tcMar>
              <w:top w:w="22" w:type="dxa"/>
              <w:left w:w="24" w:type="dxa"/>
              <w:bottom w:w="22" w:type="dxa"/>
              <w:right w:w="24" w:type="dxa"/>
            </w:tcMar>
          </w:tcPr>
          <w:p w14:paraId="393E5FB0" w14:textId="77777777" w:rsidR="004D7A10" w:rsidRPr="007E140B" w:rsidRDefault="004D7A10" w:rsidP="0026770E">
            <w:pPr>
              <w:spacing w:after="0" w:line="240" w:lineRule="auto"/>
              <w:rPr>
                <w:rFonts w:cs="Arial"/>
                <w:color w:val="auto"/>
              </w:rPr>
            </w:pPr>
            <w:r w:rsidRPr="007E140B">
              <w:rPr>
                <w:rFonts w:cs="Arial"/>
                <w:color w:val="auto"/>
                <w:sz w:val="15"/>
              </w:rPr>
              <w:t>Useful evidence for the dissertation’s conditional innovation pathway. It supports avoiding a simple “more ESG = more innovation” rule and highlights the role of firm context and nonlinear effects.</w:t>
            </w:r>
          </w:p>
        </w:tc>
        <w:tc>
          <w:tcPr>
            <w:tcW w:w="1230" w:type="dxa"/>
            <w:shd w:val="clear" w:color="auto" w:fill="EAF1F7"/>
            <w:tcMar>
              <w:top w:w="22" w:type="dxa"/>
              <w:left w:w="24" w:type="dxa"/>
              <w:bottom w:w="22" w:type="dxa"/>
              <w:right w:w="24" w:type="dxa"/>
            </w:tcMar>
          </w:tcPr>
          <w:p w14:paraId="28E9BE34" w14:textId="77777777" w:rsidR="004D7A10" w:rsidRPr="007E140B" w:rsidRDefault="00867805" w:rsidP="0026770E">
            <w:pPr>
              <w:spacing w:after="0" w:line="240" w:lineRule="auto"/>
              <w:rPr>
                <w:rFonts w:cs="Arial"/>
                <w:color w:val="auto"/>
              </w:rPr>
            </w:pPr>
            <w:hyperlink r:id="rId80">
              <w:r w:rsidR="004D7A10" w:rsidRPr="007E140B">
                <w:rPr>
                  <w:rFonts w:cs="Arial"/>
                  <w:color w:val="auto"/>
                  <w:sz w:val="13"/>
                  <w:szCs w:val="13"/>
                </w:rPr>
                <w:t>https://doi.org/10.1002/bse.3692</w:t>
              </w:r>
            </w:hyperlink>
          </w:p>
        </w:tc>
      </w:tr>
      <w:tr w:rsidR="007E140B" w:rsidRPr="007E140B" w14:paraId="6D182BF2" w14:textId="77777777" w:rsidTr="0026770E">
        <w:trPr>
          <w:cantSplit/>
          <w:jc w:val="center"/>
        </w:trPr>
        <w:tc>
          <w:tcPr>
            <w:tcW w:w="504" w:type="dxa"/>
            <w:shd w:val="clear" w:color="auto" w:fill="F7FAFC"/>
            <w:tcMar>
              <w:top w:w="22" w:type="dxa"/>
              <w:left w:w="24" w:type="dxa"/>
              <w:bottom w:w="22" w:type="dxa"/>
              <w:right w:w="24" w:type="dxa"/>
            </w:tcMar>
            <w:vAlign w:val="center"/>
          </w:tcPr>
          <w:p w14:paraId="706B8C0A" w14:textId="77777777" w:rsidR="004D7A10" w:rsidRPr="007E140B" w:rsidRDefault="004D7A10" w:rsidP="0026770E">
            <w:pPr>
              <w:spacing w:after="0" w:line="240" w:lineRule="auto"/>
              <w:jc w:val="center"/>
              <w:rPr>
                <w:rFonts w:cs="Arial"/>
                <w:color w:val="auto"/>
              </w:rPr>
            </w:pPr>
            <w:r w:rsidRPr="007E140B">
              <w:rPr>
                <w:rFonts w:cs="Arial"/>
                <w:b/>
                <w:color w:val="auto"/>
                <w:sz w:val="15"/>
              </w:rPr>
              <w:t>25</w:t>
            </w:r>
          </w:p>
        </w:tc>
        <w:tc>
          <w:tcPr>
            <w:tcW w:w="1447" w:type="dxa"/>
            <w:shd w:val="clear" w:color="auto" w:fill="F7FAFC"/>
            <w:tcMar>
              <w:top w:w="22" w:type="dxa"/>
              <w:left w:w="24" w:type="dxa"/>
              <w:bottom w:w="22" w:type="dxa"/>
              <w:right w:w="24" w:type="dxa"/>
            </w:tcMar>
          </w:tcPr>
          <w:p w14:paraId="68E85756" w14:textId="77777777" w:rsidR="004D7A10" w:rsidRPr="007E140B" w:rsidRDefault="004D7A10" w:rsidP="0026770E">
            <w:pPr>
              <w:spacing w:after="0" w:line="240" w:lineRule="auto"/>
              <w:rPr>
                <w:rFonts w:cs="Arial"/>
                <w:color w:val="auto"/>
              </w:rPr>
            </w:pPr>
            <w:r w:rsidRPr="007E140B">
              <w:rPr>
                <w:rFonts w:cs="Arial"/>
                <w:b/>
                <w:color w:val="auto"/>
                <w:sz w:val="15"/>
              </w:rPr>
              <w:t>Greenwashing in Environmental, Social and Governance Disclosures</w:t>
            </w:r>
          </w:p>
        </w:tc>
        <w:tc>
          <w:tcPr>
            <w:tcW w:w="1049" w:type="dxa"/>
            <w:shd w:val="clear" w:color="auto" w:fill="F7FAFC"/>
            <w:tcMar>
              <w:top w:w="22" w:type="dxa"/>
              <w:left w:w="24" w:type="dxa"/>
              <w:bottom w:w="22" w:type="dxa"/>
              <w:right w:w="24" w:type="dxa"/>
            </w:tcMar>
          </w:tcPr>
          <w:p w14:paraId="346B7A40" w14:textId="77777777" w:rsidR="004D7A10" w:rsidRPr="007E140B" w:rsidRDefault="004D7A10" w:rsidP="0026770E">
            <w:pPr>
              <w:spacing w:after="0" w:line="240" w:lineRule="auto"/>
              <w:rPr>
                <w:rFonts w:cs="Arial"/>
                <w:color w:val="auto"/>
              </w:rPr>
            </w:pPr>
            <w:r w:rsidRPr="007E140B">
              <w:rPr>
                <w:rFonts w:cs="Arial"/>
                <w:color w:val="auto"/>
                <w:sz w:val="15"/>
              </w:rPr>
              <w:t>Research in International Business and Finance</w:t>
            </w:r>
          </w:p>
        </w:tc>
        <w:tc>
          <w:tcPr>
            <w:tcW w:w="905" w:type="dxa"/>
            <w:shd w:val="clear" w:color="auto" w:fill="F7FAFC"/>
            <w:tcMar>
              <w:top w:w="22" w:type="dxa"/>
              <w:left w:w="24" w:type="dxa"/>
              <w:bottom w:w="22" w:type="dxa"/>
              <w:right w:w="24" w:type="dxa"/>
            </w:tcMar>
          </w:tcPr>
          <w:p w14:paraId="1A3DB455" w14:textId="77777777" w:rsidR="004D7A10" w:rsidRPr="007E140B" w:rsidRDefault="004D7A10" w:rsidP="0026770E">
            <w:pPr>
              <w:spacing w:after="0" w:line="240" w:lineRule="auto"/>
              <w:rPr>
                <w:rFonts w:cs="Arial"/>
                <w:color w:val="auto"/>
              </w:rPr>
            </w:pPr>
            <w:r w:rsidRPr="007E140B">
              <w:rPr>
                <w:rFonts w:cs="Arial"/>
                <w:color w:val="auto"/>
                <w:sz w:val="15"/>
              </w:rPr>
              <w:t>Yu, E.P.; Luu, B.V.; Chen, C.H.</w:t>
            </w:r>
          </w:p>
        </w:tc>
        <w:tc>
          <w:tcPr>
            <w:tcW w:w="648" w:type="dxa"/>
            <w:shd w:val="clear" w:color="auto" w:fill="F7FAFC"/>
            <w:tcMar>
              <w:top w:w="22" w:type="dxa"/>
              <w:left w:w="24" w:type="dxa"/>
              <w:bottom w:w="22" w:type="dxa"/>
              <w:right w:w="24" w:type="dxa"/>
            </w:tcMar>
            <w:vAlign w:val="center"/>
          </w:tcPr>
          <w:p w14:paraId="4C3BD481" w14:textId="77777777" w:rsidR="004D7A10" w:rsidRPr="007E140B" w:rsidRDefault="004D7A10" w:rsidP="0026770E">
            <w:pPr>
              <w:spacing w:after="0" w:line="240" w:lineRule="auto"/>
              <w:jc w:val="center"/>
              <w:rPr>
                <w:rFonts w:cs="Arial"/>
                <w:color w:val="auto"/>
              </w:rPr>
            </w:pPr>
            <w:r w:rsidRPr="007E140B">
              <w:rPr>
                <w:rFonts w:cs="Arial"/>
                <w:b/>
                <w:color w:val="auto"/>
                <w:sz w:val="15"/>
              </w:rPr>
              <w:t>2020</w:t>
            </w:r>
          </w:p>
        </w:tc>
        <w:tc>
          <w:tcPr>
            <w:tcW w:w="1230" w:type="dxa"/>
            <w:shd w:val="clear" w:color="auto" w:fill="F7FAFC"/>
            <w:tcMar>
              <w:top w:w="22" w:type="dxa"/>
              <w:left w:w="24" w:type="dxa"/>
              <w:bottom w:w="22" w:type="dxa"/>
              <w:right w:w="24" w:type="dxa"/>
            </w:tcMar>
          </w:tcPr>
          <w:p w14:paraId="2E543879" w14:textId="77777777" w:rsidR="004D7A10" w:rsidRPr="007E140B" w:rsidRDefault="004D7A10" w:rsidP="0026770E">
            <w:pPr>
              <w:spacing w:after="0" w:line="240" w:lineRule="auto"/>
              <w:rPr>
                <w:rFonts w:cs="Arial"/>
                <w:color w:val="auto"/>
              </w:rPr>
            </w:pPr>
            <w:r w:rsidRPr="007E140B">
              <w:rPr>
                <w:rFonts w:cs="Arial"/>
                <w:color w:val="auto"/>
                <w:sz w:val="15"/>
              </w:rPr>
              <w:t>To identify and measure ESG greenwashing and examine the firm and country characteristics associated with it.</w:t>
            </w:r>
          </w:p>
        </w:tc>
        <w:tc>
          <w:tcPr>
            <w:tcW w:w="1375" w:type="dxa"/>
            <w:shd w:val="clear" w:color="auto" w:fill="F7FAFC"/>
            <w:tcMar>
              <w:top w:w="22" w:type="dxa"/>
              <w:left w:w="24" w:type="dxa"/>
              <w:bottom w:w="22" w:type="dxa"/>
              <w:right w:w="24" w:type="dxa"/>
            </w:tcMar>
          </w:tcPr>
          <w:p w14:paraId="70074B1A" w14:textId="77777777" w:rsidR="004D7A10" w:rsidRPr="007E140B" w:rsidRDefault="004D7A10" w:rsidP="0026770E">
            <w:pPr>
              <w:spacing w:after="0" w:line="240" w:lineRule="auto"/>
              <w:rPr>
                <w:rFonts w:cs="Arial"/>
                <w:color w:val="auto"/>
              </w:rPr>
            </w:pPr>
            <w:r w:rsidRPr="007E140B">
              <w:rPr>
                <w:rFonts w:cs="Arial"/>
                <w:color w:val="auto"/>
                <w:sz w:val="15"/>
              </w:rPr>
              <w:t>Construct a peer-relative greenwashing score comparing ESG disclosure with ESG performance; identify large-cap firms exhibiting greenwashing; test governance and cross-listing determinants.</w:t>
            </w:r>
          </w:p>
        </w:tc>
        <w:tc>
          <w:tcPr>
            <w:tcW w:w="1086" w:type="dxa"/>
            <w:shd w:val="clear" w:color="auto" w:fill="F7FAFC"/>
            <w:tcMar>
              <w:top w:w="22" w:type="dxa"/>
              <w:left w:w="24" w:type="dxa"/>
              <w:bottom w:w="22" w:type="dxa"/>
              <w:right w:w="24" w:type="dxa"/>
            </w:tcMar>
          </w:tcPr>
          <w:p w14:paraId="62D919C8" w14:textId="77777777" w:rsidR="004D7A10" w:rsidRPr="007E140B" w:rsidRDefault="004D7A10" w:rsidP="0026770E">
            <w:pPr>
              <w:spacing w:after="0" w:line="240" w:lineRule="auto"/>
              <w:rPr>
                <w:rFonts w:cs="Arial"/>
                <w:color w:val="auto"/>
              </w:rPr>
            </w:pPr>
            <w:r w:rsidRPr="007E140B">
              <w:rPr>
                <w:rFonts w:cs="Arial"/>
                <w:color w:val="auto"/>
                <w:sz w:val="15"/>
              </w:rPr>
              <w:t>Which firms engage in ESG greenwashing, and what firm-level governance or country-level characteristics are associated with that behaviour?</w:t>
            </w:r>
          </w:p>
        </w:tc>
        <w:tc>
          <w:tcPr>
            <w:tcW w:w="1122" w:type="dxa"/>
            <w:shd w:val="clear" w:color="auto" w:fill="F7FAFC"/>
            <w:tcMar>
              <w:top w:w="22" w:type="dxa"/>
              <w:left w:w="24" w:type="dxa"/>
              <w:bottom w:w="22" w:type="dxa"/>
              <w:right w:w="24" w:type="dxa"/>
            </w:tcMar>
          </w:tcPr>
          <w:p w14:paraId="3DBEF8E1" w14:textId="77777777" w:rsidR="004D7A10" w:rsidRPr="007E140B" w:rsidRDefault="004D7A10" w:rsidP="0026770E">
            <w:pPr>
              <w:spacing w:after="0" w:line="240" w:lineRule="auto"/>
              <w:rPr>
                <w:rFonts w:cs="Arial"/>
                <w:color w:val="auto"/>
              </w:rPr>
            </w:pPr>
            <w:r w:rsidRPr="007E140B">
              <w:rPr>
                <w:rFonts w:cs="Arial"/>
                <w:color w:val="auto"/>
                <w:sz w:val="15"/>
              </w:rPr>
              <w:t>International panel of 1,925 large-cap firms from 47 countries/territories in the MSCI All Country World Index, 2012–2016. The study creates a peer-relative greenwashing score and estimates determinant models.</w:t>
            </w:r>
          </w:p>
        </w:tc>
        <w:tc>
          <w:tcPr>
            <w:tcW w:w="1556" w:type="dxa"/>
            <w:shd w:val="clear" w:color="auto" w:fill="F7FAFC"/>
            <w:tcMar>
              <w:top w:w="22" w:type="dxa"/>
              <w:left w:w="24" w:type="dxa"/>
              <w:bottom w:w="22" w:type="dxa"/>
              <w:right w:w="24" w:type="dxa"/>
            </w:tcMar>
          </w:tcPr>
          <w:p w14:paraId="625EA6CE" w14:textId="77777777" w:rsidR="004D7A10" w:rsidRPr="007E140B" w:rsidRDefault="004D7A10" w:rsidP="0026770E">
            <w:pPr>
              <w:spacing w:after="0" w:line="240" w:lineRule="auto"/>
              <w:rPr>
                <w:rFonts w:cs="Arial"/>
                <w:color w:val="auto"/>
              </w:rPr>
            </w:pPr>
            <w:r w:rsidRPr="007E140B">
              <w:rPr>
                <w:rFonts w:cs="Arial"/>
                <w:color w:val="auto"/>
                <w:sz w:val="15"/>
              </w:rPr>
              <w:t>Greenwashing is characterised by high ESG disclosure combined with weak ESG performance. Firm-level governance factors are more important deterrents than country factors, and cross-listing is associated with less greenwashing.</w:t>
            </w:r>
          </w:p>
        </w:tc>
        <w:tc>
          <w:tcPr>
            <w:tcW w:w="1665" w:type="dxa"/>
            <w:shd w:val="clear" w:color="auto" w:fill="F7FAFC"/>
            <w:tcMar>
              <w:top w:w="22" w:type="dxa"/>
              <w:left w:w="24" w:type="dxa"/>
              <w:bottom w:w="22" w:type="dxa"/>
              <w:right w:w="24" w:type="dxa"/>
            </w:tcMar>
          </w:tcPr>
          <w:p w14:paraId="64320938" w14:textId="77777777" w:rsidR="004D7A10" w:rsidRPr="007E140B" w:rsidRDefault="004D7A10" w:rsidP="0026770E">
            <w:pPr>
              <w:spacing w:after="0" w:line="240" w:lineRule="auto"/>
              <w:rPr>
                <w:rFonts w:cs="Arial"/>
                <w:color w:val="auto"/>
              </w:rPr>
            </w:pPr>
            <w:r w:rsidRPr="007E140B">
              <w:rPr>
                <w:rFonts w:cs="Arial"/>
                <w:color w:val="auto"/>
                <w:sz w:val="15"/>
              </w:rPr>
              <w:t>The paper operationalises greenwashing as a disclosure–performance gap and shows that high disclosure volume can coexist with poor underlying ESG outcomes.</w:t>
            </w:r>
          </w:p>
        </w:tc>
        <w:tc>
          <w:tcPr>
            <w:tcW w:w="1303" w:type="dxa"/>
            <w:shd w:val="clear" w:color="auto" w:fill="F7FAFC"/>
            <w:tcMar>
              <w:top w:w="22" w:type="dxa"/>
              <w:left w:w="24" w:type="dxa"/>
              <w:bottom w:w="22" w:type="dxa"/>
              <w:right w:w="24" w:type="dxa"/>
            </w:tcMar>
          </w:tcPr>
          <w:p w14:paraId="6E98A81F" w14:textId="77777777" w:rsidR="004D7A10" w:rsidRPr="007E140B" w:rsidRDefault="004D7A10" w:rsidP="0026770E">
            <w:pPr>
              <w:spacing w:after="0" w:line="240" w:lineRule="auto"/>
              <w:rPr>
                <w:rFonts w:cs="Arial"/>
                <w:color w:val="auto"/>
              </w:rPr>
            </w:pPr>
            <w:r w:rsidRPr="007E140B">
              <w:rPr>
                <w:rFonts w:cs="Arial"/>
                <w:color w:val="auto"/>
                <w:sz w:val="15"/>
              </w:rPr>
              <w:t>Directly reinforces the dissertation’s distinction between reporting and performance. It supports claim-level evidence control and the argument that communication without corresponding outcomes can heighten reputational risk.</w:t>
            </w:r>
          </w:p>
        </w:tc>
        <w:tc>
          <w:tcPr>
            <w:tcW w:w="1230" w:type="dxa"/>
            <w:shd w:val="clear" w:color="auto" w:fill="F7FAFC"/>
            <w:tcMar>
              <w:top w:w="22" w:type="dxa"/>
              <w:left w:w="24" w:type="dxa"/>
              <w:bottom w:w="22" w:type="dxa"/>
              <w:right w:w="24" w:type="dxa"/>
            </w:tcMar>
          </w:tcPr>
          <w:p w14:paraId="717693FC" w14:textId="77777777" w:rsidR="004D7A10" w:rsidRPr="007E140B" w:rsidRDefault="00867805" w:rsidP="0026770E">
            <w:pPr>
              <w:spacing w:after="0" w:line="240" w:lineRule="auto"/>
              <w:rPr>
                <w:rFonts w:cs="Arial"/>
                <w:color w:val="auto"/>
              </w:rPr>
            </w:pPr>
            <w:hyperlink r:id="rId81">
              <w:r w:rsidR="004D7A10" w:rsidRPr="007E140B">
                <w:rPr>
                  <w:rFonts w:cs="Arial"/>
                  <w:color w:val="auto"/>
                  <w:sz w:val="13"/>
                  <w:szCs w:val="13"/>
                </w:rPr>
                <w:t>https://doi.org/10.1016/j.ribaf.2020.101192</w:t>
              </w:r>
            </w:hyperlink>
          </w:p>
        </w:tc>
      </w:tr>
      <w:tr w:rsidR="007E140B" w:rsidRPr="007E140B" w14:paraId="001AE8BE" w14:textId="77777777" w:rsidTr="0026770E">
        <w:trPr>
          <w:cantSplit/>
          <w:jc w:val="center"/>
        </w:trPr>
        <w:tc>
          <w:tcPr>
            <w:tcW w:w="504" w:type="dxa"/>
            <w:shd w:val="clear" w:color="auto" w:fill="EAF1F7"/>
            <w:tcMar>
              <w:top w:w="22" w:type="dxa"/>
              <w:left w:w="24" w:type="dxa"/>
              <w:bottom w:w="22" w:type="dxa"/>
              <w:right w:w="24" w:type="dxa"/>
            </w:tcMar>
            <w:vAlign w:val="center"/>
          </w:tcPr>
          <w:p w14:paraId="535AD76D" w14:textId="77777777" w:rsidR="004D7A10" w:rsidRPr="007E140B" w:rsidRDefault="004D7A10" w:rsidP="0026770E">
            <w:pPr>
              <w:spacing w:after="0" w:line="240" w:lineRule="auto"/>
              <w:jc w:val="center"/>
              <w:rPr>
                <w:rFonts w:cs="Arial"/>
                <w:color w:val="auto"/>
              </w:rPr>
            </w:pPr>
            <w:r w:rsidRPr="007E140B">
              <w:rPr>
                <w:rFonts w:cs="Arial"/>
                <w:b/>
                <w:color w:val="auto"/>
                <w:sz w:val="15"/>
              </w:rPr>
              <w:t>26</w:t>
            </w:r>
          </w:p>
        </w:tc>
        <w:tc>
          <w:tcPr>
            <w:tcW w:w="1447" w:type="dxa"/>
            <w:shd w:val="clear" w:color="auto" w:fill="EAF1F7"/>
            <w:tcMar>
              <w:top w:w="22" w:type="dxa"/>
              <w:left w:w="24" w:type="dxa"/>
              <w:bottom w:w="22" w:type="dxa"/>
              <w:right w:w="24" w:type="dxa"/>
            </w:tcMar>
          </w:tcPr>
          <w:p w14:paraId="5F075BD2" w14:textId="77777777" w:rsidR="004D7A10" w:rsidRPr="007E140B" w:rsidRDefault="004D7A10" w:rsidP="0026770E">
            <w:pPr>
              <w:spacing w:after="0" w:line="240" w:lineRule="auto"/>
              <w:rPr>
                <w:rFonts w:cs="Arial"/>
                <w:color w:val="auto"/>
              </w:rPr>
            </w:pPr>
            <w:r w:rsidRPr="007E140B">
              <w:rPr>
                <w:rFonts w:cs="Arial"/>
                <w:b/>
                <w:color w:val="auto"/>
                <w:sz w:val="15"/>
              </w:rPr>
              <w:t>The Sustainable Consumer: Understanding Consumer Attitudes to Sustainability and Sustainable Behaviours</w:t>
            </w:r>
          </w:p>
        </w:tc>
        <w:tc>
          <w:tcPr>
            <w:tcW w:w="1049" w:type="dxa"/>
            <w:shd w:val="clear" w:color="auto" w:fill="EAF1F7"/>
            <w:tcMar>
              <w:top w:w="22" w:type="dxa"/>
              <w:left w:w="24" w:type="dxa"/>
              <w:bottom w:w="22" w:type="dxa"/>
              <w:right w:w="24" w:type="dxa"/>
            </w:tcMar>
          </w:tcPr>
          <w:p w14:paraId="385A5E5B" w14:textId="77777777" w:rsidR="004D7A10" w:rsidRPr="007E140B" w:rsidRDefault="004D7A10" w:rsidP="0026770E">
            <w:pPr>
              <w:spacing w:after="0" w:line="240" w:lineRule="auto"/>
              <w:rPr>
                <w:rFonts w:cs="Arial"/>
                <w:color w:val="auto"/>
              </w:rPr>
            </w:pPr>
            <w:r w:rsidRPr="007E140B">
              <w:rPr>
                <w:rFonts w:cs="Arial"/>
                <w:color w:val="auto"/>
                <w:sz w:val="15"/>
              </w:rPr>
              <w:t>Deloitte UK (consumer research report)</w:t>
            </w:r>
          </w:p>
        </w:tc>
        <w:tc>
          <w:tcPr>
            <w:tcW w:w="905" w:type="dxa"/>
            <w:shd w:val="clear" w:color="auto" w:fill="EAF1F7"/>
            <w:tcMar>
              <w:top w:w="22" w:type="dxa"/>
              <w:left w:w="24" w:type="dxa"/>
              <w:bottom w:w="22" w:type="dxa"/>
              <w:right w:w="24" w:type="dxa"/>
            </w:tcMar>
          </w:tcPr>
          <w:p w14:paraId="7DE2A571" w14:textId="77777777" w:rsidR="004D7A10" w:rsidRPr="007E140B" w:rsidRDefault="004D7A10" w:rsidP="0026770E">
            <w:pPr>
              <w:spacing w:after="0" w:line="240" w:lineRule="auto"/>
              <w:rPr>
                <w:rFonts w:cs="Arial"/>
                <w:color w:val="auto"/>
              </w:rPr>
            </w:pPr>
            <w:r w:rsidRPr="007E140B">
              <w:rPr>
                <w:rFonts w:cs="Arial"/>
                <w:color w:val="auto"/>
                <w:sz w:val="15"/>
              </w:rPr>
              <w:t>Fenech, C.; Walton, B.; Majury, A. / Deloitte</w:t>
            </w:r>
          </w:p>
        </w:tc>
        <w:tc>
          <w:tcPr>
            <w:tcW w:w="648" w:type="dxa"/>
            <w:shd w:val="clear" w:color="auto" w:fill="EAF1F7"/>
            <w:tcMar>
              <w:top w:w="22" w:type="dxa"/>
              <w:left w:w="24" w:type="dxa"/>
              <w:bottom w:w="22" w:type="dxa"/>
              <w:right w:w="24" w:type="dxa"/>
            </w:tcMar>
            <w:vAlign w:val="center"/>
          </w:tcPr>
          <w:p w14:paraId="7AF1DED4" w14:textId="77777777" w:rsidR="004D7A10" w:rsidRPr="007E140B" w:rsidRDefault="004D7A10" w:rsidP="0026770E">
            <w:pPr>
              <w:spacing w:after="0" w:line="240" w:lineRule="auto"/>
              <w:jc w:val="center"/>
              <w:rPr>
                <w:rFonts w:cs="Arial"/>
                <w:color w:val="auto"/>
              </w:rPr>
            </w:pPr>
            <w:r w:rsidRPr="007E140B">
              <w:rPr>
                <w:rFonts w:cs="Arial"/>
                <w:b/>
                <w:color w:val="auto"/>
                <w:sz w:val="15"/>
              </w:rPr>
              <w:t>2024</w:t>
            </w:r>
          </w:p>
        </w:tc>
        <w:tc>
          <w:tcPr>
            <w:tcW w:w="1230" w:type="dxa"/>
            <w:shd w:val="clear" w:color="auto" w:fill="EAF1F7"/>
            <w:tcMar>
              <w:top w:w="22" w:type="dxa"/>
              <w:left w:w="24" w:type="dxa"/>
              <w:bottom w:w="22" w:type="dxa"/>
              <w:right w:w="24" w:type="dxa"/>
            </w:tcMar>
          </w:tcPr>
          <w:p w14:paraId="2BFE51BE" w14:textId="77777777" w:rsidR="004D7A10" w:rsidRPr="007E140B" w:rsidRDefault="004D7A10" w:rsidP="0026770E">
            <w:pPr>
              <w:spacing w:after="0" w:line="240" w:lineRule="auto"/>
              <w:rPr>
                <w:rFonts w:cs="Arial"/>
                <w:color w:val="auto"/>
              </w:rPr>
            </w:pPr>
            <w:r w:rsidRPr="007E140B">
              <w:rPr>
                <w:rFonts w:cs="Arial"/>
                <w:color w:val="auto"/>
                <w:sz w:val="15"/>
              </w:rPr>
              <w:t>To understand UK consumers’ attitudes to sustainability, sustainable behaviours and barriers to adopting more sustainable lifestyles.</w:t>
            </w:r>
          </w:p>
        </w:tc>
        <w:tc>
          <w:tcPr>
            <w:tcW w:w="1375" w:type="dxa"/>
            <w:shd w:val="clear" w:color="auto" w:fill="EAF1F7"/>
            <w:tcMar>
              <w:top w:w="22" w:type="dxa"/>
              <w:left w:w="24" w:type="dxa"/>
              <w:bottom w:w="22" w:type="dxa"/>
              <w:right w:w="24" w:type="dxa"/>
            </w:tcMar>
          </w:tcPr>
          <w:p w14:paraId="5692C10F" w14:textId="77777777" w:rsidR="004D7A10" w:rsidRPr="007E140B" w:rsidRDefault="004D7A10" w:rsidP="0026770E">
            <w:pPr>
              <w:spacing w:after="0" w:line="240" w:lineRule="auto"/>
              <w:rPr>
                <w:rFonts w:cs="Arial"/>
                <w:color w:val="auto"/>
              </w:rPr>
            </w:pPr>
            <w:r w:rsidRPr="007E140B">
              <w:rPr>
                <w:rFonts w:cs="Arial"/>
                <w:color w:val="auto"/>
                <w:sz w:val="15"/>
              </w:rPr>
              <w:t>Track consumer attitudes over time; identify valued sustainable/ethical practices; measure barriers such as cost, information gaps, scepticism and convenience.</w:t>
            </w:r>
          </w:p>
        </w:tc>
        <w:tc>
          <w:tcPr>
            <w:tcW w:w="1086" w:type="dxa"/>
            <w:shd w:val="clear" w:color="auto" w:fill="EAF1F7"/>
            <w:tcMar>
              <w:top w:w="22" w:type="dxa"/>
              <w:left w:w="24" w:type="dxa"/>
              <w:bottom w:w="22" w:type="dxa"/>
              <w:right w:w="24" w:type="dxa"/>
            </w:tcMar>
          </w:tcPr>
          <w:p w14:paraId="570550E3" w14:textId="77777777" w:rsidR="004D7A10" w:rsidRPr="007E140B" w:rsidRDefault="004D7A10" w:rsidP="0026770E">
            <w:pPr>
              <w:spacing w:after="0" w:line="240" w:lineRule="auto"/>
              <w:rPr>
                <w:rFonts w:cs="Arial"/>
                <w:color w:val="auto"/>
              </w:rPr>
            </w:pPr>
            <w:r w:rsidRPr="007E140B">
              <w:rPr>
                <w:rFonts w:cs="Arial"/>
                <w:color w:val="auto"/>
                <w:sz w:val="15"/>
              </w:rPr>
              <w:t>What sustainability practices do UK consumers value, and what prevents them from adopting more sustainable behaviours?</w:t>
            </w:r>
          </w:p>
        </w:tc>
        <w:tc>
          <w:tcPr>
            <w:tcW w:w="1122" w:type="dxa"/>
            <w:shd w:val="clear" w:color="auto" w:fill="EAF1F7"/>
            <w:tcMar>
              <w:top w:w="22" w:type="dxa"/>
              <w:left w:w="24" w:type="dxa"/>
              <w:bottom w:w="22" w:type="dxa"/>
              <w:right w:w="24" w:type="dxa"/>
            </w:tcMar>
          </w:tcPr>
          <w:p w14:paraId="01FCF8A6" w14:textId="77777777" w:rsidR="004D7A10" w:rsidRPr="007E140B" w:rsidRDefault="004D7A10" w:rsidP="0026770E">
            <w:pPr>
              <w:spacing w:after="0" w:line="240" w:lineRule="auto"/>
              <w:rPr>
                <w:rFonts w:cs="Arial"/>
                <w:color w:val="auto"/>
              </w:rPr>
            </w:pPr>
            <w:r w:rsidRPr="007E140B">
              <w:rPr>
                <w:rFonts w:cs="Arial"/>
                <w:color w:val="auto"/>
                <w:sz w:val="15"/>
              </w:rPr>
              <w:t>Online survey conducted by YouGov for Deloitte with a nationally representative sample of more than 2,000 UK adults aged 18+, 18–19 July 2024.</w:t>
            </w:r>
          </w:p>
        </w:tc>
        <w:tc>
          <w:tcPr>
            <w:tcW w:w="1556" w:type="dxa"/>
            <w:shd w:val="clear" w:color="auto" w:fill="EAF1F7"/>
            <w:tcMar>
              <w:top w:w="22" w:type="dxa"/>
              <w:left w:w="24" w:type="dxa"/>
              <w:bottom w:w="22" w:type="dxa"/>
              <w:right w:w="24" w:type="dxa"/>
            </w:tcMar>
          </w:tcPr>
          <w:p w14:paraId="60DBA629" w14:textId="77777777" w:rsidR="004D7A10" w:rsidRPr="007E140B" w:rsidRDefault="004D7A10" w:rsidP="0026770E">
            <w:pPr>
              <w:spacing w:after="0" w:line="240" w:lineRule="auto"/>
              <w:rPr>
                <w:rFonts w:cs="Arial"/>
                <w:color w:val="auto"/>
              </w:rPr>
            </w:pPr>
            <w:r w:rsidRPr="007E140B">
              <w:rPr>
                <w:rFonts w:cs="Arial"/>
                <w:color w:val="auto"/>
                <w:sz w:val="15"/>
              </w:rPr>
              <w:t>Affordability remains a major barrier; respondents also report information gaps, scepticism and fatigue. Sustainable packaging/products and waste reduction are among highly valued company practices.</w:t>
            </w:r>
          </w:p>
        </w:tc>
        <w:tc>
          <w:tcPr>
            <w:tcW w:w="1665" w:type="dxa"/>
            <w:shd w:val="clear" w:color="auto" w:fill="EAF1F7"/>
            <w:tcMar>
              <w:top w:w="22" w:type="dxa"/>
              <w:left w:w="24" w:type="dxa"/>
              <w:bottom w:w="22" w:type="dxa"/>
              <w:right w:w="24" w:type="dxa"/>
            </w:tcMar>
          </w:tcPr>
          <w:p w14:paraId="65825307" w14:textId="77777777" w:rsidR="004D7A10" w:rsidRPr="007E140B" w:rsidRDefault="004D7A10" w:rsidP="0026770E">
            <w:pPr>
              <w:spacing w:after="0" w:line="240" w:lineRule="auto"/>
              <w:rPr>
                <w:rFonts w:cs="Arial"/>
                <w:color w:val="auto"/>
              </w:rPr>
            </w:pPr>
            <w:r w:rsidRPr="007E140B">
              <w:rPr>
                <w:rFonts w:cs="Arial"/>
                <w:color w:val="auto"/>
                <w:sz w:val="15"/>
              </w:rPr>
              <w:t>The report shows that pro-sustainability attitudes coexist with strong cost and confidence constraints, making consumer response to sustainability conditional rather than automatic.</w:t>
            </w:r>
          </w:p>
        </w:tc>
        <w:tc>
          <w:tcPr>
            <w:tcW w:w="1303" w:type="dxa"/>
            <w:shd w:val="clear" w:color="auto" w:fill="EAF1F7"/>
            <w:tcMar>
              <w:top w:w="22" w:type="dxa"/>
              <w:left w:w="24" w:type="dxa"/>
              <w:bottom w:w="22" w:type="dxa"/>
              <w:right w:w="24" w:type="dxa"/>
            </w:tcMar>
          </w:tcPr>
          <w:p w14:paraId="53B8261C" w14:textId="77777777" w:rsidR="004D7A10" w:rsidRPr="007E140B" w:rsidRDefault="004D7A10" w:rsidP="0026770E">
            <w:pPr>
              <w:spacing w:after="0" w:line="240" w:lineRule="auto"/>
              <w:rPr>
                <w:rFonts w:cs="Arial"/>
                <w:color w:val="auto"/>
              </w:rPr>
            </w:pPr>
            <w:r w:rsidRPr="007E140B">
              <w:rPr>
                <w:rFonts w:cs="Arial"/>
                <w:color w:val="auto"/>
                <w:sz w:val="15"/>
              </w:rPr>
              <w:t>Directly supports the dissertation’s affordability/category-fit boundary condition. Because the evidence is self-reported survey data, the dissertation correctly avoids treating it as realised purchasing behaviour.</w:t>
            </w:r>
          </w:p>
        </w:tc>
        <w:tc>
          <w:tcPr>
            <w:tcW w:w="1230" w:type="dxa"/>
            <w:shd w:val="clear" w:color="auto" w:fill="EAF1F7"/>
            <w:tcMar>
              <w:top w:w="22" w:type="dxa"/>
              <w:left w:w="24" w:type="dxa"/>
              <w:bottom w:w="22" w:type="dxa"/>
              <w:right w:w="24" w:type="dxa"/>
            </w:tcMar>
          </w:tcPr>
          <w:p w14:paraId="5A9ACF98" w14:textId="77777777" w:rsidR="004D7A10" w:rsidRPr="007E140B" w:rsidRDefault="00867805" w:rsidP="0026770E">
            <w:pPr>
              <w:spacing w:after="0" w:line="240" w:lineRule="auto"/>
              <w:rPr>
                <w:rFonts w:cs="Arial"/>
                <w:color w:val="auto"/>
              </w:rPr>
            </w:pPr>
            <w:hyperlink r:id="rId82">
              <w:r w:rsidR="004D7A10" w:rsidRPr="007E140B">
                <w:rPr>
                  <w:rFonts w:cs="Arial"/>
                  <w:color w:val="auto"/>
                  <w:sz w:val="13"/>
                  <w:szCs w:val="13"/>
                </w:rPr>
                <w:t>https://www.deloitte.com/uk/en/Industries/consumer/perspectives/the-sustainable-consumer.html</w:t>
              </w:r>
            </w:hyperlink>
          </w:p>
        </w:tc>
      </w:tr>
      <w:tr w:rsidR="007E140B" w:rsidRPr="007E140B" w14:paraId="48BC2D6E" w14:textId="77777777" w:rsidTr="0026770E">
        <w:trPr>
          <w:cantSplit/>
          <w:jc w:val="center"/>
        </w:trPr>
        <w:tc>
          <w:tcPr>
            <w:tcW w:w="504" w:type="dxa"/>
            <w:shd w:val="clear" w:color="auto" w:fill="F7FAFC"/>
            <w:tcMar>
              <w:top w:w="22" w:type="dxa"/>
              <w:left w:w="24" w:type="dxa"/>
              <w:bottom w:w="22" w:type="dxa"/>
              <w:right w:w="24" w:type="dxa"/>
            </w:tcMar>
            <w:vAlign w:val="center"/>
          </w:tcPr>
          <w:p w14:paraId="235F716E" w14:textId="77777777" w:rsidR="004D7A10" w:rsidRPr="007E140B" w:rsidRDefault="004D7A10" w:rsidP="0026770E">
            <w:pPr>
              <w:spacing w:after="0" w:line="240" w:lineRule="auto"/>
              <w:jc w:val="center"/>
              <w:rPr>
                <w:rFonts w:cs="Arial"/>
                <w:color w:val="auto"/>
              </w:rPr>
            </w:pPr>
            <w:r w:rsidRPr="007E140B">
              <w:rPr>
                <w:rFonts w:cs="Arial"/>
                <w:b/>
                <w:color w:val="auto"/>
                <w:sz w:val="15"/>
              </w:rPr>
              <w:lastRenderedPageBreak/>
              <w:t>27</w:t>
            </w:r>
          </w:p>
        </w:tc>
        <w:tc>
          <w:tcPr>
            <w:tcW w:w="1447" w:type="dxa"/>
            <w:shd w:val="clear" w:color="auto" w:fill="F7FAFC"/>
            <w:tcMar>
              <w:top w:w="22" w:type="dxa"/>
              <w:left w:w="24" w:type="dxa"/>
              <w:bottom w:w="22" w:type="dxa"/>
              <w:right w:w="24" w:type="dxa"/>
            </w:tcMar>
          </w:tcPr>
          <w:p w14:paraId="1F8F497A" w14:textId="77777777" w:rsidR="004D7A10" w:rsidRPr="007E140B" w:rsidRDefault="004D7A10" w:rsidP="0026770E">
            <w:pPr>
              <w:spacing w:after="0" w:line="240" w:lineRule="auto"/>
              <w:rPr>
                <w:rFonts w:cs="Arial"/>
                <w:color w:val="auto"/>
              </w:rPr>
            </w:pPr>
            <w:r w:rsidRPr="007E140B">
              <w:rPr>
                <w:rFonts w:cs="Arial"/>
                <w:b/>
                <w:color w:val="auto"/>
                <w:sz w:val="15"/>
              </w:rPr>
              <w:t>Gender Equality Report &amp; Ranking 2024: Developed Markets Edition</w:t>
            </w:r>
          </w:p>
        </w:tc>
        <w:tc>
          <w:tcPr>
            <w:tcW w:w="1049" w:type="dxa"/>
            <w:shd w:val="clear" w:color="auto" w:fill="F7FAFC"/>
            <w:tcMar>
              <w:top w:w="22" w:type="dxa"/>
              <w:left w:w="24" w:type="dxa"/>
              <w:bottom w:w="22" w:type="dxa"/>
              <w:right w:w="24" w:type="dxa"/>
            </w:tcMar>
          </w:tcPr>
          <w:p w14:paraId="57029E3E" w14:textId="77777777" w:rsidR="004D7A10" w:rsidRPr="007E140B" w:rsidRDefault="004D7A10" w:rsidP="0026770E">
            <w:pPr>
              <w:spacing w:after="0" w:line="240" w:lineRule="auto"/>
              <w:rPr>
                <w:rFonts w:cs="Arial"/>
                <w:color w:val="auto"/>
              </w:rPr>
            </w:pPr>
            <w:r w:rsidRPr="007E140B">
              <w:rPr>
                <w:rFonts w:cs="Arial"/>
                <w:color w:val="auto"/>
                <w:sz w:val="15"/>
              </w:rPr>
              <w:t>Equileap (independent benchmark report)</w:t>
            </w:r>
          </w:p>
        </w:tc>
        <w:tc>
          <w:tcPr>
            <w:tcW w:w="905" w:type="dxa"/>
            <w:shd w:val="clear" w:color="auto" w:fill="F7FAFC"/>
            <w:tcMar>
              <w:top w:w="22" w:type="dxa"/>
              <w:left w:w="24" w:type="dxa"/>
              <w:bottom w:w="22" w:type="dxa"/>
              <w:right w:w="24" w:type="dxa"/>
            </w:tcMar>
          </w:tcPr>
          <w:p w14:paraId="1A7D90F5" w14:textId="77777777" w:rsidR="004D7A10" w:rsidRPr="007E140B" w:rsidRDefault="004D7A10" w:rsidP="0026770E">
            <w:pPr>
              <w:spacing w:after="0" w:line="240" w:lineRule="auto"/>
              <w:rPr>
                <w:rFonts w:cs="Arial"/>
                <w:color w:val="auto"/>
              </w:rPr>
            </w:pPr>
            <w:r w:rsidRPr="007E140B">
              <w:rPr>
                <w:rFonts w:cs="Arial"/>
                <w:color w:val="auto"/>
                <w:sz w:val="15"/>
              </w:rPr>
              <w:t>Equileap</w:t>
            </w:r>
          </w:p>
        </w:tc>
        <w:tc>
          <w:tcPr>
            <w:tcW w:w="648" w:type="dxa"/>
            <w:shd w:val="clear" w:color="auto" w:fill="F7FAFC"/>
            <w:tcMar>
              <w:top w:w="22" w:type="dxa"/>
              <w:left w:w="24" w:type="dxa"/>
              <w:bottom w:w="22" w:type="dxa"/>
              <w:right w:w="24" w:type="dxa"/>
            </w:tcMar>
            <w:vAlign w:val="center"/>
          </w:tcPr>
          <w:p w14:paraId="5E2ED813" w14:textId="77777777" w:rsidR="004D7A10" w:rsidRPr="007E140B" w:rsidRDefault="004D7A10" w:rsidP="0026770E">
            <w:pPr>
              <w:spacing w:after="0" w:line="240" w:lineRule="auto"/>
              <w:jc w:val="center"/>
              <w:rPr>
                <w:rFonts w:cs="Arial"/>
                <w:color w:val="auto"/>
              </w:rPr>
            </w:pPr>
            <w:r w:rsidRPr="007E140B">
              <w:rPr>
                <w:rFonts w:cs="Arial"/>
                <w:b/>
                <w:color w:val="auto"/>
                <w:sz w:val="15"/>
              </w:rPr>
              <w:t>2024</w:t>
            </w:r>
          </w:p>
        </w:tc>
        <w:tc>
          <w:tcPr>
            <w:tcW w:w="1230" w:type="dxa"/>
            <w:shd w:val="clear" w:color="auto" w:fill="F7FAFC"/>
            <w:tcMar>
              <w:top w:w="22" w:type="dxa"/>
              <w:left w:w="24" w:type="dxa"/>
              <w:bottom w:w="22" w:type="dxa"/>
              <w:right w:w="24" w:type="dxa"/>
            </w:tcMar>
          </w:tcPr>
          <w:p w14:paraId="46243F46" w14:textId="77777777" w:rsidR="004D7A10" w:rsidRPr="007E140B" w:rsidRDefault="004D7A10" w:rsidP="0026770E">
            <w:pPr>
              <w:spacing w:after="0" w:line="240" w:lineRule="auto"/>
              <w:rPr>
                <w:rFonts w:cs="Arial"/>
                <w:color w:val="auto"/>
              </w:rPr>
            </w:pPr>
            <w:r w:rsidRPr="007E140B">
              <w:rPr>
                <w:rFonts w:cs="Arial"/>
                <w:color w:val="auto"/>
                <w:sz w:val="15"/>
              </w:rPr>
              <w:t>To assess and compare workplace gender equality among large companies in developed markets using a consistent gender-equality scorecard.</w:t>
            </w:r>
          </w:p>
        </w:tc>
        <w:tc>
          <w:tcPr>
            <w:tcW w:w="1375" w:type="dxa"/>
            <w:shd w:val="clear" w:color="auto" w:fill="F7FAFC"/>
            <w:tcMar>
              <w:top w:w="22" w:type="dxa"/>
              <w:left w:w="24" w:type="dxa"/>
              <w:bottom w:w="22" w:type="dxa"/>
              <w:right w:w="24" w:type="dxa"/>
            </w:tcMar>
          </w:tcPr>
          <w:p w14:paraId="779C2942" w14:textId="77777777" w:rsidR="004D7A10" w:rsidRPr="007E140B" w:rsidRDefault="004D7A10" w:rsidP="0026770E">
            <w:pPr>
              <w:spacing w:after="0" w:line="240" w:lineRule="auto"/>
              <w:rPr>
                <w:rFonts w:cs="Arial"/>
                <w:color w:val="auto"/>
              </w:rPr>
            </w:pPr>
            <w:r w:rsidRPr="007E140B">
              <w:rPr>
                <w:rFonts w:cs="Arial"/>
                <w:color w:val="auto"/>
                <w:sz w:val="15"/>
              </w:rPr>
              <w:t>Score companies across leadership/workforce representation, pay and work-life balance, policies and transparency; identify leading firms, countries and sectors.</w:t>
            </w:r>
          </w:p>
        </w:tc>
        <w:tc>
          <w:tcPr>
            <w:tcW w:w="1086" w:type="dxa"/>
            <w:shd w:val="clear" w:color="auto" w:fill="F7FAFC"/>
            <w:tcMar>
              <w:top w:w="22" w:type="dxa"/>
              <w:left w:w="24" w:type="dxa"/>
              <w:bottom w:w="22" w:type="dxa"/>
              <w:right w:w="24" w:type="dxa"/>
            </w:tcMar>
          </w:tcPr>
          <w:p w14:paraId="3CE7B819" w14:textId="77777777" w:rsidR="004D7A10" w:rsidRPr="007E140B" w:rsidRDefault="004D7A10" w:rsidP="0026770E">
            <w:pPr>
              <w:spacing w:after="0" w:line="240" w:lineRule="auto"/>
              <w:rPr>
                <w:rFonts w:cs="Arial"/>
                <w:color w:val="auto"/>
              </w:rPr>
            </w:pPr>
            <w:r w:rsidRPr="007E140B">
              <w:rPr>
                <w:rFonts w:cs="Arial"/>
                <w:color w:val="auto"/>
                <w:sz w:val="15"/>
              </w:rPr>
              <w:t>How do major developed-market companies compare on measurable gender-equality practices and outcomes?</w:t>
            </w:r>
          </w:p>
        </w:tc>
        <w:tc>
          <w:tcPr>
            <w:tcW w:w="1122" w:type="dxa"/>
            <w:shd w:val="clear" w:color="auto" w:fill="F7FAFC"/>
            <w:tcMar>
              <w:top w:w="22" w:type="dxa"/>
              <w:left w:w="24" w:type="dxa"/>
              <w:bottom w:w="22" w:type="dxa"/>
              <w:right w:w="24" w:type="dxa"/>
            </w:tcMar>
          </w:tcPr>
          <w:p w14:paraId="208E58F2" w14:textId="77777777" w:rsidR="004D7A10" w:rsidRPr="007E140B" w:rsidRDefault="004D7A10" w:rsidP="0026770E">
            <w:pPr>
              <w:spacing w:after="0" w:line="240" w:lineRule="auto"/>
              <w:rPr>
                <w:rFonts w:cs="Arial"/>
                <w:color w:val="auto"/>
              </w:rPr>
            </w:pPr>
            <w:r w:rsidRPr="007E140B">
              <w:rPr>
                <w:rFonts w:cs="Arial"/>
                <w:color w:val="auto"/>
                <w:sz w:val="15"/>
              </w:rPr>
              <w:t>Independent benchmark using the Equileap Gender Equality Scorecard, inspired by UN Women’s Empowerment Principles, with weighted indicators across leadership, compensation/work-life balance and policies. The 2024 edition covers thousands of developed-market companies.</w:t>
            </w:r>
          </w:p>
        </w:tc>
        <w:tc>
          <w:tcPr>
            <w:tcW w:w="1556" w:type="dxa"/>
            <w:shd w:val="clear" w:color="auto" w:fill="F7FAFC"/>
            <w:tcMar>
              <w:top w:w="22" w:type="dxa"/>
              <w:left w:w="24" w:type="dxa"/>
              <w:bottom w:w="22" w:type="dxa"/>
              <w:right w:w="24" w:type="dxa"/>
            </w:tcMar>
          </w:tcPr>
          <w:p w14:paraId="0FF708CB" w14:textId="77777777" w:rsidR="004D7A10" w:rsidRPr="007E140B" w:rsidRDefault="004D7A10" w:rsidP="0026770E">
            <w:pPr>
              <w:spacing w:after="0" w:line="240" w:lineRule="auto"/>
              <w:rPr>
                <w:rFonts w:cs="Arial"/>
                <w:color w:val="auto"/>
              </w:rPr>
            </w:pPr>
            <w:r w:rsidRPr="007E140B">
              <w:rPr>
                <w:rFonts w:cs="Arial"/>
                <w:color w:val="auto"/>
                <w:sz w:val="15"/>
              </w:rPr>
              <w:t>The benchmark documents persistent leadership and pay gaps and ranks companies/countries on issue-specific gender equality. Only a small share of firms achieve balanced representation across all organisational levels.</w:t>
            </w:r>
          </w:p>
        </w:tc>
        <w:tc>
          <w:tcPr>
            <w:tcW w:w="1665" w:type="dxa"/>
            <w:shd w:val="clear" w:color="auto" w:fill="F7FAFC"/>
            <w:tcMar>
              <w:top w:w="22" w:type="dxa"/>
              <w:left w:w="24" w:type="dxa"/>
              <w:bottom w:w="22" w:type="dxa"/>
              <w:right w:w="24" w:type="dxa"/>
            </w:tcMar>
          </w:tcPr>
          <w:p w14:paraId="13191529" w14:textId="77777777" w:rsidR="004D7A10" w:rsidRPr="007E140B" w:rsidRDefault="004D7A10" w:rsidP="0026770E">
            <w:pPr>
              <w:spacing w:after="0" w:line="240" w:lineRule="auto"/>
              <w:rPr>
                <w:rFonts w:cs="Arial"/>
                <w:color w:val="auto"/>
              </w:rPr>
            </w:pPr>
            <w:r w:rsidRPr="007E140B">
              <w:rPr>
                <w:rFonts w:cs="Arial"/>
                <w:color w:val="auto"/>
                <w:sz w:val="15"/>
              </w:rPr>
              <w:t>Equileap provides an external, method-disclosed comparison of corporate gender-equality performance rather than relying on company narrative alone.</w:t>
            </w:r>
          </w:p>
        </w:tc>
        <w:tc>
          <w:tcPr>
            <w:tcW w:w="1303" w:type="dxa"/>
            <w:shd w:val="clear" w:color="auto" w:fill="F7FAFC"/>
            <w:tcMar>
              <w:top w:w="22" w:type="dxa"/>
              <w:left w:w="24" w:type="dxa"/>
              <w:bottom w:w="22" w:type="dxa"/>
              <w:right w:w="24" w:type="dxa"/>
            </w:tcMar>
          </w:tcPr>
          <w:p w14:paraId="444D8F53" w14:textId="77777777" w:rsidR="004D7A10" w:rsidRPr="007E140B" w:rsidRDefault="004D7A10" w:rsidP="0026770E">
            <w:pPr>
              <w:spacing w:after="0" w:line="240" w:lineRule="auto"/>
              <w:rPr>
                <w:rFonts w:cs="Arial"/>
                <w:color w:val="auto"/>
              </w:rPr>
            </w:pPr>
            <w:r w:rsidRPr="007E140B">
              <w:rPr>
                <w:rFonts w:cs="Arial"/>
                <w:color w:val="auto"/>
                <w:sz w:val="15"/>
              </w:rPr>
              <w:t>In the dissertation it is appropriately used as an independent, issue-specific signal for Diageo—not as a complete corporate-reputation measure. It strengthens triangulation while preserving construct boundaries.</w:t>
            </w:r>
          </w:p>
        </w:tc>
        <w:tc>
          <w:tcPr>
            <w:tcW w:w="1230" w:type="dxa"/>
            <w:shd w:val="clear" w:color="auto" w:fill="F7FAFC"/>
            <w:tcMar>
              <w:top w:w="22" w:type="dxa"/>
              <w:left w:w="24" w:type="dxa"/>
              <w:bottom w:w="22" w:type="dxa"/>
              <w:right w:w="24" w:type="dxa"/>
            </w:tcMar>
          </w:tcPr>
          <w:p w14:paraId="6E803D4A" w14:textId="77777777" w:rsidR="004D7A10" w:rsidRPr="007E140B" w:rsidRDefault="00867805" w:rsidP="0026770E">
            <w:pPr>
              <w:spacing w:after="0" w:line="240" w:lineRule="auto"/>
              <w:rPr>
                <w:rFonts w:cs="Arial"/>
                <w:color w:val="auto"/>
              </w:rPr>
            </w:pPr>
            <w:hyperlink r:id="rId83">
              <w:r w:rsidR="004D7A10" w:rsidRPr="007E140B">
                <w:rPr>
                  <w:rFonts w:cs="Arial"/>
                  <w:color w:val="auto"/>
                  <w:sz w:val="13"/>
                  <w:szCs w:val="13"/>
                </w:rPr>
                <w:t>https://equileap.com/wp-content/uploads/2024/02/Equileap_2024_Gender_Equality_Report_Developed_Markets.pdf</w:t>
              </w:r>
            </w:hyperlink>
          </w:p>
        </w:tc>
      </w:tr>
      <w:tr w:rsidR="007E140B" w:rsidRPr="007E140B" w14:paraId="7E7FBFFA" w14:textId="77777777" w:rsidTr="0026770E">
        <w:trPr>
          <w:cantSplit/>
          <w:jc w:val="center"/>
        </w:trPr>
        <w:tc>
          <w:tcPr>
            <w:tcW w:w="504" w:type="dxa"/>
            <w:shd w:val="clear" w:color="auto" w:fill="EAF1F7"/>
            <w:tcMar>
              <w:top w:w="22" w:type="dxa"/>
              <w:left w:w="24" w:type="dxa"/>
              <w:bottom w:w="22" w:type="dxa"/>
              <w:right w:w="24" w:type="dxa"/>
            </w:tcMar>
            <w:vAlign w:val="center"/>
          </w:tcPr>
          <w:p w14:paraId="76279E03" w14:textId="77777777" w:rsidR="004D7A10" w:rsidRPr="007E140B" w:rsidRDefault="004D7A10" w:rsidP="0026770E">
            <w:pPr>
              <w:spacing w:after="0" w:line="240" w:lineRule="auto"/>
              <w:jc w:val="center"/>
              <w:rPr>
                <w:rFonts w:cs="Arial"/>
                <w:color w:val="auto"/>
              </w:rPr>
            </w:pPr>
            <w:r w:rsidRPr="007E140B">
              <w:rPr>
                <w:rFonts w:cs="Arial"/>
                <w:b/>
                <w:color w:val="auto"/>
                <w:sz w:val="15"/>
              </w:rPr>
              <w:t>28</w:t>
            </w:r>
          </w:p>
        </w:tc>
        <w:tc>
          <w:tcPr>
            <w:tcW w:w="1447" w:type="dxa"/>
            <w:shd w:val="clear" w:color="auto" w:fill="EAF1F7"/>
            <w:tcMar>
              <w:top w:w="22" w:type="dxa"/>
              <w:left w:w="24" w:type="dxa"/>
              <w:bottom w:w="22" w:type="dxa"/>
              <w:right w:w="24" w:type="dxa"/>
            </w:tcMar>
          </w:tcPr>
          <w:p w14:paraId="68E5DD1D" w14:textId="77777777" w:rsidR="004D7A10" w:rsidRPr="007E140B" w:rsidRDefault="004D7A10" w:rsidP="0026770E">
            <w:pPr>
              <w:spacing w:after="0" w:line="240" w:lineRule="auto"/>
              <w:rPr>
                <w:rFonts w:cs="Arial"/>
                <w:color w:val="auto"/>
              </w:rPr>
            </w:pPr>
            <w:r w:rsidRPr="007E140B">
              <w:rPr>
                <w:rFonts w:cs="Arial"/>
                <w:b/>
                <w:color w:val="auto"/>
                <w:sz w:val="15"/>
              </w:rPr>
              <w:t>2023 Apparel &amp; Footwear Benchmark Findings Report</w:t>
            </w:r>
          </w:p>
        </w:tc>
        <w:tc>
          <w:tcPr>
            <w:tcW w:w="1049" w:type="dxa"/>
            <w:shd w:val="clear" w:color="auto" w:fill="EAF1F7"/>
            <w:tcMar>
              <w:top w:w="22" w:type="dxa"/>
              <w:left w:w="24" w:type="dxa"/>
              <w:bottom w:w="22" w:type="dxa"/>
              <w:right w:w="24" w:type="dxa"/>
            </w:tcMar>
          </w:tcPr>
          <w:p w14:paraId="55607D79" w14:textId="77777777" w:rsidR="004D7A10" w:rsidRPr="007E140B" w:rsidRDefault="004D7A10" w:rsidP="0026770E">
            <w:pPr>
              <w:spacing w:after="0" w:line="240" w:lineRule="auto"/>
              <w:rPr>
                <w:rFonts w:cs="Arial"/>
                <w:color w:val="auto"/>
              </w:rPr>
            </w:pPr>
            <w:r w:rsidRPr="007E140B">
              <w:rPr>
                <w:rFonts w:cs="Arial"/>
                <w:color w:val="auto"/>
                <w:sz w:val="15"/>
              </w:rPr>
              <w:t>KnowTheChain (benchmark research report)</w:t>
            </w:r>
          </w:p>
        </w:tc>
        <w:tc>
          <w:tcPr>
            <w:tcW w:w="905" w:type="dxa"/>
            <w:shd w:val="clear" w:color="auto" w:fill="EAF1F7"/>
            <w:tcMar>
              <w:top w:w="22" w:type="dxa"/>
              <w:left w:w="24" w:type="dxa"/>
              <w:bottom w:w="22" w:type="dxa"/>
              <w:right w:w="24" w:type="dxa"/>
            </w:tcMar>
          </w:tcPr>
          <w:p w14:paraId="71BA5FEC" w14:textId="77777777" w:rsidR="004D7A10" w:rsidRPr="007E140B" w:rsidRDefault="004D7A10" w:rsidP="0026770E">
            <w:pPr>
              <w:spacing w:after="0" w:line="240" w:lineRule="auto"/>
              <w:rPr>
                <w:rFonts w:cs="Arial"/>
                <w:color w:val="auto"/>
              </w:rPr>
            </w:pPr>
            <w:r w:rsidRPr="007E140B">
              <w:rPr>
                <w:rFonts w:cs="Arial"/>
                <w:color w:val="auto"/>
                <w:sz w:val="15"/>
              </w:rPr>
              <w:t>KnowTheChain</w:t>
            </w:r>
          </w:p>
        </w:tc>
        <w:tc>
          <w:tcPr>
            <w:tcW w:w="648" w:type="dxa"/>
            <w:shd w:val="clear" w:color="auto" w:fill="EAF1F7"/>
            <w:tcMar>
              <w:top w:w="22" w:type="dxa"/>
              <w:left w:w="24" w:type="dxa"/>
              <w:bottom w:w="22" w:type="dxa"/>
              <w:right w:w="24" w:type="dxa"/>
            </w:tcMar>
            <w:vAlign w:val="center"/>
          </w:tcPr>
          <w:p w14:paraId="15FEE031" w14:textId="77777777" w:rsidR="004D7A10" w:rsidRPr="007E140B" w:rsidRDefault="004D7A10" w:rsidP="0026770E">
            <w:pPr>
              <w:spacing w:after="0" w:line="240" w:lineRule="auto"/>
              <w:jc w:val="center"/>
              <w:rPr>
                <w:rFonts w:cs="Arial"/>
                <w:color w:val="auto"/>
              </w:rPr>
            </w:pPr>
            <w:r w:rsidRPr="007E140B">
              <w:rPr>
                <w:rFonts w:cs="Arial"/>
                <w:b/>
                <w:color w:val="auto"/>
                <w:sz w:val="15"/>
              </w:rPr>
              <w:t>2024</w:t>
            </w:r>
          </w:p>
        </w:tc>
        <w:tc>
          <w:tcPr>
            <w:tcW w:w="1230" w:type="dxa"/>
            <w:shd w:val="clear" w:color="auto" w:fill="EAF1F7"/>
            <w:tcMar>
              <w:top w:w="22" w:type="dxa"/>
              <w:left w:w="24" w:type="dxa"/>
              <w:bottom w:w="22" w:type="dxa"/>
              <w:right w:w="24" w:type="dxa"/>
            </w:tcMar>
          </w:tcPr>
          <w:p w14:paraId="6DEB6A3A" w14:textId="77777777" w:rsidR="004D7A10" w:rsidRPr="007E140B" w:rsidRDefault="004D7A10" w:rsidP="0026770E">
            <w:pPr>
              <w:spacing w:after="0" w:line="240" w:lineRule="auto"/>
              <w:rPr>
                <w:rFonts w:cs="Arial"/>
                <w:color w:val="auto"/>
              </w:rPr>
            </w:pPr>
            <w:r w:rsidRPr="007E140B">
              <w:rPr>
                <w:rFonts w:cs="Arial"/>
                <w:color w:val="auto"/>
                <w:sz w:val="15"/>
              </w:rPr>
              <w:t>To benchmark apparel and footwear companies’ publicly disclosed efforts to address forced-labour risks in upstream supply chains.</w:t>
            </w:r>
          </w:p>
        </w:tc>
        <w:tc>
          <w:tcPr>
            <w:tcW w:w="1375" w:type="dxa"/>
            <w:shd w:val="clear" w:color="auto" w:fill="EAF1F7"/>
            <w:tcMar>
              <w:top w:w="22" w:type="dxa"/>
              <w:left w:w="24" w:type="dxa"/>
              <w:bottom w:w="22" w:type="dxa"/>
              <w:right w:w="24" w:type="dxa"/>
            </w:tcMar>
          </w:tcPr>
          <w:p w14:paraId="7B571646" w14:textId="77777777" w:rsidR="004D7A10" w:rsidRPr="007E140B" w:rsidRDefault="004D7A10" w:rsidP="0026770E">
            <w:pPr>
              <w:spacing w:after="0" w:line="240" w:lineRule="auto"/>
              <w:rPr>
                <w:rFonts w:cs="Arial"/>
                <w:color w:val="auto"/>
              </w:rPr>
            </w:pPr>
            <w:r w:rsidRPr="007E140B">
              <w:rPr>
                <w:rFonts w:cs="Arial"/>
                <w:color w:val="auto"/>
                <w:sz w:val="15"/>
              </w:rPr>
              <w:t>Assess policy commitments, due diligence and remedy; compare companies using a transparent methodology grounded in UN Guiding Principles and ILO labour standards; identify sector gaps and good practice.</w:t>
            </w:r>
          </w:p>
        </w:tc>
        <w:tc>
          <w:tcPr>
            <w:tcW w:w="1086" w:type="dxa"/>
            <w:shd w:val="clear" w:color="auto" w:fill="EAF1F7"/>
            <w:tcMar>
              <w:top w:w="22" w:type="dxa"/>
              <w:left w:w="24" w:type="dxa"/>
              <w:bottom w:w="22" w:type="dxa"/>
              <w:right w:w="24" w:type="dxa"/>
            </w:tcMar>
          </w:tcPr>
          <w:p w14:paraId="56FE6826" w14:textId="77777777" w:rsidR="004D7A10" w:rsidRPr="007E140B" w:rsidRDefault="004D7A10" w:rsidP="0026770E">
            <w:pPr>
              <w:spacing w:after="0" w:line="240" w:lineRule="auto"/>
              <w:rPr>
                <w:rFonts w:cs="Arial"/>
                <w:color w:val="auto"/>
              </w:rPr>
            </w:pPr>
            <w:r w:rsidRPr="007E140B">
              <w:rPr>
                <w:rFonts w:cs="Arial"/>
                <w:color w:val="auto"/>
                <w:sz w:val="15"/>
              </w:rPr>
              <w:t>How effectively do major apparel and footwear companies publicly demonstrate systems to prevent and address forced labour in their supply chains?</w:t>
            </w:r>
          </w:p>
        </w:tc>
        <w:tc>
          <w:tcPr>
            <w:tcW w:w="1122" w:type="dxa"/>
            <w:shd w:val="clear" w:color="auto" w:fill="EAF1F7"/>
            <w:tcMar>
              <w:top w:w="22" w:type="dxa"/>
              <w:left w:w="24" w:type="dxa"/>
              <w:bottom w:w="22" w:type="dxa"/>
              <w:right w:w="24" w:type="dxa"/>
            </w:tcMar>
          </w:tcPr>
          <w:p w14:paraId="78EE6938" w14:textId="77777777" w:rsidR="004D7A10" w:rsidRPr="007E140B" w:rsidRDefault="004D7A10" w:rsidP="0026770E">
            <w:pPr>
              <w:spacing w:after="0" w:line="240" w:lineRule="auto"/>
              <w:rPr>
                <w:rFonts w:cs="Arial"/>
                <w:color w:val="auto"/>
              </w:rPr>
            </w:pPr>
            <w:r w:rsidRPr="007E140B">
              <w:rPr>
                <w:rFonts w:cs="Arial"/>
                <w:color w:val="auto"/>
                <w:sz w:val="15"/>
              </w:rPr>
              <w:t>Benchmark analysis of English-language public disclosures against a structured methodology based on UNGPs, ILO core labour standards and related due-diligence frameworks.</w:t>
            </w:r>
          </w:p>
        </w:tc>
        <w:tc>
          <w:tcPr>
            <w:tcW w:w="1556" w:type="dxa"/>
            <w:shd w:val="clear" w:color="auto" w:fill="EAF1F7"/>
            <w:tcMar>
              <w:top w:w="22" w:type="dxa"/>
              <w:left w:w="24" w:type="dxa"/>
              <w:bottom w:w="22" w:type="dxa"/>
              <w:right w:w="24" w:type="dxa"/>
            </w:tcMar>
          </w:tcPr>
          <w:p w14:paraId="6D478D5D" w14:textId="77777777" w:rsidR="004D7A10" w:rsidRPr="007E140B" w:rsidRDefault="004D7A10" w:rsidP="0026770E">
            <w:pPr>
              <w:spacing w:after="0" w:line="240" w:lineRule="auto"/>
              <w:rPr>
                <w:rFonts w:cs="Arial"/>
                <w:color w:val="auto"/>
              </w:rPr>
            </w:pPr>
            <w:r w:rsidRPr="007E140B">
              <w:rPr>
                <w:rFonts w:cs="Arial"/>
                <w:color w:val="auto"/>
                <w:sz w:val="15"/>
              </w:rPr>
              <w:t>The benchmark identifies substantial variation and continuing gaps in forced-labour risk management, worker-centred due diligence and remedy across the sector.</w:t>
            </w:r>
          </w:p>
        </w:tc>
        <w:tc>
          <w:tcPr>
            <w:tcW w:w="1665" w:type="dxa"/>
            <w:shd w:val="clear" w:color="auto" w:fill="EAF1F7"/>
            <w:tcMar>
              <w:top w:w="22" w:type="dxa"/>
              <w:left w:w="24" w:type="dxa"/>
              <w:bottom w:w="22" w:type="dxa"/>
              <w:right w:w="24" w:type="dxa"/>
            </w:tcMar>
          </w:tcPr>
          <w:p w14:paraId="6D072B15" w14:textId="77777777" w:rsidR="004D7A10" w:rsidRPr="007E140B" w:rsidRDefault="004D7A10" w:rsidP="0026770E">
            <w:pPr>
              <w:spacing w:after="0" w:line="240" w:lineRule="auto"/>
              <w:rPr>
                <w:rFonts w:cs="Arial"/>
                <w:color w:val="auto"/>
              </w:rPr>
            </w:pPr>
            <w:r w:rsidRPr="007E140B">
              <w:rPr>
                <w:rFonts w:cs="Arial"/>
                <w:color w:val="auto"/>
                <w:sz w:val="15"/>
              </w:rPr>
              <w:t>KnowTheChain evaluates disclosed supply-chain forced-labour controls and practices, providing independent context for assessing corporate due-diligence systems.</w:t>
            </w:r>
          </w:p>
        </w:tc>
        <w:tc>
          <w:tcPr>
            <w:tcW w:w="1303" w:type="dxa"/>
            <w:shd w:val="clear" w:color="auto" w:fill="EAF1F7"/>
            <w:tcMar>
              <w:top w:w="22" w:type="dxa"/>
              <w:left w:w="24" w:type="dxa"/>
              <w:bottom w:w="22" w:type="dxa"/>
              <w:right w:w="24" w:type="dxa"/>
            </w:tcMar>
          </w:tcPr>
          <w:p w14:paraId="470CC009" w14:textId="77777777" w:rsidR="004D7A10" w:rsidRPr="007E140B" w:rsidRDefault="004D7A10" w:rsidP="0026770E">
            <w:pPr>
              <w:spacing w:after="0" w:line="240" w:lineRule="auto"/>
              <w:rPr>
                <w:rFonts w:cs="Arial"/>
                <w:color w:val="auto"/>
              </w:rPr>
            </w:pPr>
            <w:r w:rsidRPr="007E140B">
              <w:rPr>
                <w:rFonts w:cs="Arial"/>
                <w:color w:val="auto"/>
                <w:sz w:val="15"/>
              </w:rPr>
              <w:t>The dissertation uses this carefully as external forced-labour due-diligence context for Primark/ABF. It is not a child-labour-only benchmark and should not be treated as a standalone verdict on overall reputation.</w:t>
            </w:r>
          </w:p>
        </w:tc>
        <w:tc>
          <w:tcPr>
            <w:tcW w:w="1230" w:type="dxa"/>
            <w:shd w:val="clear" w:color="auto" w:fill="EAF1F7"/>
            <w:tcMar>
              <w:top w:w="22" w:type="dxa"/>
              <w:left w:w="24" w:type="dxa"/>
              <w:bottom w:w="22" w:type="dxa"/>
              <w:right w:w="24" w:type="dxa"/>
            </w:tcMar>
          </w:tcPr>
          <w:p w14:paraId="4F2FF967" w14:textId="77777777" w:rsidR="004D7A10" w:rsidRPr="007E140B" w:rsidRDefault="00867805" w:rsidP="0026770E">
            <w:pPr>
              <w:spacing w:after="0" w:line="240" w:lineRule="auto"/>
              <w:rPr>
                <w:rFonts w:cs="Arial"/>
                <w:color w:val="auto"/>
              </w:rPr>
            </w:pPr>
            <w:hyperlink r:id="rId84">
              <w:r w:rsidR="004D7A10" w:rsidRPr="007E140B">
                <w:rPr>
                  <w:rFonts w:cs="Arial"/>
                  <w:color w:val="auto"/>
                  <w:sz w:val="13"/>
                  <w:szCs w:val="13"/>
                </w:rPr>
                <w:t>https://www.business-humanrights.org/en/from-us/briefings/2023-knowthechain-apparel-footwear-benchmark/</w:t>
              </w:r>
            </w:hyperlink>
          </w:p>
        </w:tc>
      </w:tr>
      <w:tr w:rsidR="007E140B" w:rsidRPr="007E140B" w14:paraId="63CA6086" w14:textId="77777777" w:rsidTr="0026770E">
        <w:trPr>
          <w:cantSplit/>
          <w:jc w:val="center"/>
        </w:trPr>
        <w:tc>
          <w:tcPr>
            <w:tcW w:w="504" w:type="dxa"/>
            <w:shd w:val="clear" w:color="auto" w:fill="F7FAFC"/>
            <w:tcMar>
              <w:top w:w="22" w:type="dxa"/>
              <w:left w:w="24" w:type="dxa"/>
              <w:bottom w:w="22" w:type="dxa"/>
              <w:right w:w="24" w:type="dxa"/>
            </w:tcMar>
            <w:vAlign w:val="center"/>
          </w:tcPr>
          <w:p w14:paraId="05F4D8AE" w14:textId="77777777" w:rsidR="004D7A10" w:rsidRPr="007E140B" w:rsidRDefault="004D7A10" w:rsidP="0026770E">
            <w:pPr>
              <w:spacing w:after="0" w:line="240" w:lineRule="auto"/>
              <w:jc w:val="center"/>
              <w:rPr>
                <w:rFonts w:cs="Arial"/>
                <w:color w:val="auto"/>
              </w:rPr>
            </w:pPr>
            <w:r w:rsidRPr="007E140B">
              <w:rPr>
                <w:rFonts w:cs="Arial"/>
                <w:b/>
                <w:color w:val="auto"/>
                <w:sz w:val="15"/>
              </w:rPr>
              <w:lastRenderedPageBreak/>
              <w:t>29</w:t>
            </w:r>
          </w:p>
        </w:tc>
        <w:tc>
          <w:tcPr>
            <w:tcW w:w="1447" w:type="dxa"/>
            <w:shd w:val="clear" w:color="auto" w:fill="F7FAFC"/>
            <w:tcMar>
              <w:top w:w="22" w:type="dxa"/>
              <w:left w:w="24" w:type="dxa"/>
              <w:bottom w:w="22" w:type="dxa"/>
              <w:right w:w="24" w:type="dxa"/>
            </w:tcMar>
          </w:tcPr>
          <w:p w14:paraId="1D292C42" w14:textId="77777777" w:rsidR="004D7A10" w:rsidRPr="007E140B" w:rsidRDefault="004D7A10" w:rsidP="0026770E">
            <w:pPr>
              <w:spacing w:after="0" w:line="240" w:lineRule="auto"/>
              <w:rPr>
                <w:rFonts w:cs="Arial"/>
                <w:color w:val="auto"/>
              </w:rPr>
            </w:pPr>
            <w:r w:rsidRPr="007E140B">
              <w:rPr>
                <w:rFonts w:cs="Arial"/>
                <w:b/>
                <w:color w:val="auto"/>
                <w:sz w:val="15"/>
              </w:rPr>
              <w:t>Consumers Care About Sustainability—and Back It Up with Their Wallets</w:t>
            </w:r>
          </w:p>
        </w:tc>
        <w:tc>
          <w:tcPr>
            <w:tcW w:w="1049" w:type="dxa"/>
            <w:shd w:val="clear" w:color="auto" w:fill="F7FAFC"/>
            <w:tcMar>
              <w:top w:w="22" w:type="dxa"/>
              <w:left w:w="24" w:type="dxa"/>
              <w:bottom w:w="22" w:type="dxa"/>
              <w:right w:w="24" w:type="dxa"/>
            </w:tcMar>
          </w:tcPr>
          <w:p w14:paraId="4F93976C" w14:textId="77777777" w:rsidR="004D7A10" w:rsidRPr="007E140B" w:rsidRDefault="004D7A10" w:rsidP="0026770E">
            <w:pPr>
              <w:spacing w:after="0" w:line="240" w:lineRule="auto"/>
              <w:rPr>
                <w:rFonts w:cs="Arial"/>
                <w:color w:val="auto"/>
              </w:rPr>
            </w:pPr>
            <w:r w:rsidRPr="007E140B">
              <w:rPr>
                <w:rFonts w:cs="Arial"/>
                <w:color w:val="auto"/>
                <w:sz w:val="15"/>
              </w:rPr>
              <w:t>McKinsey &amp; Company / NielsenIQ (observational consumer study)</w:t>
            </w:r>
          </w:p>
        </w:tc>
        <w:tc>
          <w:tcPr>
            <w:tcW w:w="905" w:type="dxa"/>
            <w:shd w:val="clear" w:color="auto" w:fill="F7FAFC"/>
            <w:tcMar>
              <w:top w:w="22" w:type="dxa"/>
              <w:left w:w="24" w:type="dxa"/>
              <w:bottom w:w="22" w:type="dxa"/>
              <w:right w:w="24" w:type="dxa"/>
            </w:tcMar>
          </w:tcPr>
          <w:p w14:paraId="6C24F3F5" w14:textId="77777777" w:rsidR="004D7A10" w:rsidRPr="007E140B" w:rsidRDefault="004D7A10" w:rsidP="0026770E">
            <w:pPr>
              <w:spacing w:after="0" w:line="240" w:lineRule="auto"/>
              <w:rPr>
                <w:rFonts w:cs="Arial"/>
                <w:color w:val="auto"/>
              </w:rPr>
            </w:pPr>
            <w:r w:rsidRPr="007E140B">
              <w:rPr>
                <w:rFonts w:cs="Arial"/>
                <w:color w:val="auto"/>
                <w:sz w:val="15"/>
              </w:rPr>
              <w:t>Frey, S.; Bar Am, J.; Doshi, V.; Malik, A.; Noble, S.</w:t>
            </w:r>
          </w:p>
        </w:tc>
        <w:tc>
          <w:tcPr>
            <w:tcW w:w="648" w:type="dxa"/>
            <w:shd w:val="clear" w:color="auto" w:fill="F7FAFC"/>
            <w:tcMar>
              <w:top w:w="22" w:type="dxa"/>
              <w:left w:w="24" w:type="dxa"/>
              <w:bottom w:w="22" w:type="dxa"/>
              <w:right w:w="24" w:type="dxa"/>
            </w:tcMar>
            <w:vAlign w:val="center"/>
          </w:tcPr>
          <w:p w14:paraId="60AFE328" w14:textId="77777777" w:rsidR="004D7A10" w:rsidRPr="007E140B" w:rsidRDefault="004D7A10" w:rsidP="0026770E">
            <w:pPr>
              <w:spacing w:after="0" w:line="240" w:lineRule="auto"/>
              <w:jc w:val="center"/>
              <w:rPr>
                <w:rFonts w:cs="Arial"/>
                <w:color w:val="auto"/>
              </w:rPr>
            </w:pPr>
            <w:r w:rsidRPr="007E140B">
              <w:rPr>
                <w:rFonts w:cs="Arial"/>
                <w:b/>
                <w:color w:val="auto"/>
                <w:sz w:val="15"/>
              </w:rPr>
              <w:t>2023</w:t>
            </w:r>
          </w:p>
        </w:tc>
        <w:tc>
          <w:tcPr>
            <w:tcW w:w="1230" w:type="dxa"/>
            <w:shd w:val="clear" w:color="auto" w:fill="F7FAFC"/>
            <w:tcMar>
              <w:top w:w="22" w:type="dxa"/>
              <w:left w:w="24" w:type="dxa"/>
              <w:bottom w:w="22" w:type="dxa"/>
              <w:right w:w="24" w:type="dxa"/>
            </w:tcMar>
          </w:tcPr>
          <w:p w14:paraId="56AA57C3" w14:textId="77777777" w:rsidR="004D7A10" w:rsidRPr="007E140B" w:rsidRDefault="004D7A10" w:rsidP="0026770E">
            <w:pPr>
              <w:spacing w:after="0" w:line="240" w:lineRule="auto"/>
              <w:rPr>
                <w:rFonts w:cs="Arial"/>
                <w:color w:val="auto"/>
              </w:rPr>
            </w:pPr>
            <w:r w:rsidRPr="007E140B">
              <w:rPr>
                <w:rFonts w:cs="Arial"/>
                <w:color w:val="auto"/>
                <w:sz w:val="15"/>
              </w:rPr>
              <w:t>To examine whether actual U.S. consumer spending differs between CPG products with and without environmental/social/ESG-related claims.</w:t>
            </w:r>
          </w:p>
        </w:tc>
        <w:tc>
          <w:tcPr>
            <w:tcW w:w="1375" w:type="dxa"/>
            <w:shd w:val="clear" w:color="auto" w:fill="F7FAFC"/>
            <w:tcMar>
              <w:top w:w="22" w:type="dxa"/>
              <w:left w:w="24" w:type="dxa"/>
              <w:bottom w:w="22" w:type="dxa"/>
              <w:right w:w="24" w:type="dxa"/>
            </w:tcMar>
          </w:tcPr>
          <w:p w14:paraId="5FF5B2B3" w14:textId="77777777" w:rsidR="004D7A10" w:rsidRPr="007E140B" w:rsidRDefault="004D7A10" w:rsidP="0026770E">
            <w:pPr>
              <w:spacing w:after="0" w:line="240" w:lineRule="auto"/>
              <w:rPr>
                <w:rFonts w:cs="Arial"/>
                <w:color w:val="auto"/>
              </w:rPr>
            </w:pPr>
            <w:r w:rsidRPr="007E140B">
              <w:rPr>
                <w:rFonts w:cs="Arial"/>
                <w:color w:val="auto"/>
                <w:sz w:val="15"/>
              </w:rPr>
              <w:t>Compare sales growth for claiming and non-claiming products; examine brand size, price tier, claim type and number of claims; supplement product data with household-panel purchasing behaviour.</w:t>
            </w:r>
          </w:p>
        </w:tc>
        <w:tc>
          <w:tcPr>
            <w:tcW w:w="1086" w:type="dxa"/>
            <w:shd w:val="clear" w:color="auto" w:fill="F7FAFC"/>
            <w:tcMar>
              <w:top w:w="22" w:type="dxa"/>
              <w:left w:w="24" w:type="dxa"/>
              <w:bottom w:w="22" w:type="dxa"/>
              <w:right w:w="24" w:type="dxa"/>
            </w:tcMar>
          </w:tcPr>
          <w:p w14:paraId="6FD55537" w14:textId="77777777" w:rsidR="004D7A10" w:rsidRPr="007E140B" w:rsidRDefault="004D7A10" w:rsidP="0026770E">
            <w:pPr>
              <w:spacing w:after="0" w:line="240" w:lineRule="auto"/>
              <w:rPr>
                <w:rFonts w:cs="Arial"/>
                <w:color w:val="auto"/>
              </w:rPr>
            </w:pPr>
            <w:r w:rsidRPr="007E140B">
              <w:rPr>
                <w:rFonts w:cs="Arial"/>
                <w:color w:val="auto"/>
                <w:sz w:val="15"/>
              </w:rPr>
              <w:t>Are products carrying ESG-related claims associated with stronger actual sales growth, and how does the relationship vary by category, brand and claim characteristics?</w:t>
            </w:r>
          </w:p>
        </w:tc>
        <w:tc>
          <w:tcPr>
            <w:tcW w:w="1122" w:type="dxa"/>
            <w:shd w:val="clear" w:color="auto" w:fill="F7FAFC"/>
            <w:tcMar>
              <w:top w:w="22" w:type="dxa"/>
              <w:left w:w="24" w:type="dxa"/>
              <w:bottom w:w="22" w:type="dxa"/>
              <w:right w:w="24" w:type="dxa"/>
            </w:tcMar>
          </w:tcPr>
          <w:p w14:paraId="6633172A" w14:textId="77777777" w:rsidR="004D7A10" w:rsidRPr="007E140B" w:rsidRDefault="004D7A10" w:rsidP="0026770E">
            <w:pPr>
              <w:spacing w:after="0" w:line="240" w:lineRule="auto"/>
              <w:rPr>
                <w:rFonts w:cs="Arial"/>
                <w:color w:val="auto"/>
              </w:rPr>
            </w:pPr>
            <w:r w:rsidRPr="007E140B">
              <w:rPr>
                <w:rFonts w:cs="Arial"/>
                <w:color w:val="auto"/>
                <w:sz w:val="15"/>
              </w:rPr>
              <w:t>Observational analysis of five years of U.S. sales data (2017–June 2022): 600,000 SKUs, about $400bn annual retail revenue, 44,000 brands and 32 categories, plus a 100,000+ household panel. Controls include brand size, price tier and product age.</w:t>
            </w:r>
          </w:p>
        </w:tc>
        <w:tc>
          <w:tcPr>
            <w:tcW w:w="1556" w:type="dxa"/>
            <w:shd w:val="clear" w:color="auto" w:fill="F7FAFC"/>
            <w:tcMar>
              <w:top w:w="22" w:type="dxa"/>
              <w:left w:w="24" w:type="dxa"/>
              <w:bottom w:w="22" w:type="dxa"/>
              <w:right w:w="24" w:type="dxa"/>
            </w:tcMar>
          </w:tcPr>
          <w:p w14:paraId="510C8D95" w14:textId="77777777" w:rsidR="004D7A10" w:rsidRPr="007E140B" w:rsidRDefault="004D7A10" w:rsidP="0026770E">
            <w:pPr>
              <w:spacing w:after="0" w:line="240" w:lineRule="auto"/>
              <w:rPr>
                <w:rFonts w:cs="Arial"/>
                <w:color w:val="auto"/>
              </w:rPr>
            </w:pPr>
            <w:r w:rsidRPr="007E140B">
              <w:rPr>
                <w:rFonts w:cs="Arial"/>
                <w:color w:val="auto"/>
                <w:sz w:val="15"/>
              </w:rPr>
              <w:t>Products with ESG-related claims averaged 28% cumulative growth versus 20% for products without claims and had about a 1.7 percentage-point CAGR advantage. Effects vary substantially by category and claim type.</w:t>
            </w:r>
          </w:p>
        </w:tc>
        <w:tc>
          <w:tcPr>
            <w:tcW w:w="1665" w:type="dxa"/>
            <w:shd w:val="clear" w:color="auto" w:fill="F7FAFC"/>
            <w:tcMar>
              <w:top w:w="22" w:type="dxa"/>
              <w:left w:w="24" w:type="dxa"/>
              <w:bottom w:w="22" w:type="dxa"/>
              <w:right w:w="24" w:type="dxa"/>
            </w:tcMar>
          </w:tcPr>
          <w:p w14:paraId="69A07979" w14:textId="77777777" w:rsidR="004D7A10" w:rsidRPr="007E140B" w:rsidRDefault="004D7A10" w:rsidP="0026770E">
            <w:pPr>
              <w:spacing w:after="0" w:line="240" w:lineRule="auto"/>
              <w:rPr>
                <w:rFonts w:cs="Arial"/>
                <w:color w:val="auto"/>
              </w:rPr>
            </w:pPr>
            <w:r w:rsidRPr="007E140B">
              <w:rPr>
                <w:rFonts w:cs="Arial"/>
                <w:color w:val="auto"/>
                <w:sz w:val="15"/>
              </w:rPr>
              <w:t>The study finds a broad correlation between ESG-related product claims and stronger sales growth, but explicitly states that it does not establish causality or independently verify the claims.</w:t>
            </w:r>
          </w:p>
        </w:tc>
        <w:tc>
          <w:tcPr>
            <w:tcW w:w="1303" w:type="dxa"/>
            <w:shd w:val="clear" w:color="auto" w:fill="F7FAFC"/>
            <w:tcMar>
              <w:top w:w="22" w:type="dxa"/>
              <w:left w:w="24" w:type="dxa"/>
              <w:bottom w:w="22" w:type="dxa"/>
              <w:right w:w="24" w:type="dxa"/>
            </w:tcMar>
          </w:tcPr>
          <w:p w14:paraId="4C6109D2" w14:textId="77777777" w:rsidR="004D7A10" w:rsidRPr="007E140B" w:rsidRDefault="004D7A10" w:rsidP="0026770E">
            <w:pPr>
              <w:spacing w:after="0" w:line="240" w:lineRule="auto"/>
              <w:rPr>
                <w:rFonts w:cs="Arial"/>
                <w:color w:val="auto"/>
              </w:rPr>
            </w:pPr>
            <w:r w:rsidRPr="007E140B">
              <w:rPr>
                <w:rFonts w:cs="Arial"/>
                <w:color w:val="auto"/>
                <w:sz w:val="15"/>
              </w:rPr>
              <w:t>Highly relevant to the dissertation’s consumer-response discussion. Its limitations are crucial: U.S. context, observational design and unverified claims mean it supports a conditional demand mechanism, not a causal willingness-to-pay rule.</w:t>
            </w:r>
          </w:p>
        </w:tc>
        <w:tc>
          <w:tcPr>
            <w:tcW w:w="1230" w:type="dxa"/>
            <w:shd w:val="clear" w:color="auto" w:fill="F7FAFC"/>
            <w:tcMar>
              <w:top w:w="22" w:type="dxa"/>
              <w:left w:w="24" w:type="dxa"/>
              <w:bottom w:w="22" w:type="dxa"/>
              <w:right w:w="24" w:type="dxa"/>
            </w:tcMar>
          </w:tcPr>
          <w:p w14:paraId="41C2A896" w14:textId="77777777" w:rsidR="004D7A10" w:rsidRPr="007E140B" w:rsidRDefault="00867805" w:rsidP="0026770E">
            <w:pPr>
              <w:spacing w:after="0" w:line="240" w:lineRule="auto"/>
              <w:rPr>
                <w:rFonts w:cs="Arial"/>
                <w:color w:val="auto"/>
              </w:rPr>
            </w:pPr>
            <w:hyperlink r:id="rId85">
              <w:r w:rsidR="004D7A10" w:rsidRPr="007E140B">
                <w:rPr>
                  <w:rFonts w:cs="Arial"/>
                  <w:color w:val="auto"/>
                  <w:sz w:val="13"/>
                  <w:szCs w:val="13"/>
                </w:rPr>
                <w:t>https://www.mckinsey.com/industries/consumer-packaged-goods/our-insights/consumers-care-about-sustainability-and-back-it-up-with-their-wallets</w:t>
              </w:r>
            </w:hyperlink>
          </w:p>
        </w:tc>
      </w:tr>
      <w:tr w:rsidR="007E140B" w:rsidRPr="007E140B" w14:paraId="7696B042" w14:textId="77777777" w:rsidTr="0026770E">
        <w:trPr>
          <w:cantSplit/>
          <w:jc w:val="center"/>
        </w:trPr>
        <w:tc>
          <w:tcPr>
            <w:tcW w:w="504" w:type="dxa"/>
            <w:shd w:val="clear" w:color="auto" w:fill="EAF1F7"/>
            <w:tcMar>
              <w:top w:w="22" w:type="dxa"/>
              <w:left w:w="24" w:type="dxa"/>
              <w:bottom w:w="22" w:type="dxa"/>
              <w:right w:w="24" w:type="dxa"/>
            </w:tcMar>
            <w:vAlign w:val="center"/>
          </w:tcPr>
          <w:p w14:paraId="65E5F34E" w14:textId="77777777" w:rsidR="004D7A10" w:rsidRPr="007E140B" w:rsidRDefault="004D7A10" w:rsidP="0026770E">
            <w:pPr>
              <w:spacing w:after="0" w:line="240" w:lineRule="auto"/>
              <w:jc w:val="center"/>
              <w:rPr>
                <w:rFonts w:cs="Arial"/>
                <w:color w:val="auto"/>
              </w:rPr>
            </w:pPr>
            <w:r w:rsidRPr="007E140B">
              <w:rPr>
                <w:rFonts w:cs="Arial"/>
                <w:b/>
                <w:color w:val="auto"/>
                <w:sz w:val="15"/>
              </w:rPr>
              <w:t>30</w:t>
            </w:r>
          </w:p>
        </w:tc>
        <w:tc>
          <w:tcPr>
            <w:tcW w:w="1447" w:type="dxa"/>
            <w:shd w:val="clear" w:color="auto" w:fill="EAF1F7"/>
            <w:tcMar>
              <w:top w:w="22" w:type="dxa"/>
              <w:left w:w="24" w:type="dxa"/>
              <w:bottom w:w="22" w:type="dxa"/>
              <w:right w:w="24" w:type="dxa"/>
            </w:tcMar>
          </w:tcPr>
          <w:p w14:paraId="41B3F67D" w14:textId="77777777" w:rsidR="004D7A10" w:rsidRPr="007E140B" w:rsidRDefault="004D7A10" w:rsidP="0026770E">
            <w:pPr>
              <w:spacing w:after="0" w:line="240" w:lineRule="auto"/>
              <w:rPr>
                <w:rFonts w:cs="Arial"/>
                <w:color w:val="auto"/>
              </w:rPr>
            </w:pPr>
            <w:r w:rsidRPr="007E140B">
              <w:rPr>
                <w:rFonts w:cs="Arial"/>
                <w:b/>
                <w:color w:val="auto"/>
                <w:sz w:val="15"/>
              </w:rPr>
              <w:t>Voice of the Consumer Survey 2024: Shrinking the Consumer Trust Deficit</w:t>
            </w:r>
          </w:p>
        </w:tc>
        <w:tc>
          <w:tcPr>
            <w:tcW w:w="1049" w:type="dxa"/>
            <w:shd w:val="clear" w:color="auto" w:fill="EAF1F7"/>
            <w:tcMar>
              <w:top w:w="22" w:type="dxa"/>
              <w:left w:w="24" w:type="dxa"/>
              <w:bottom w:w="22" w:type="dxa"/>
              <w:right w:w="24" w:type="dxa"/>
            </w:tcMar>
          </w:tcPr>
          <w:p w14:paraId="3003FC9E" w14:textId="77777777" w:rsidR="004D7A10" w:rsidRPr="007E140B" w:rsidRDefault="004D7A10" w:rsidP="0026770E">
            <w:pPr>
              <w:spacing w:after="0" w:line="240" w:lineRule="auto"/>
              <w:rPr>
                <w:rFonts w:cs="Arial"/>
                <w:color w:val="auto"/>
              </w:rPr>
            </w:pPr>
            <w:r w:rsidRPr="007E140B">
              <w:rPr>
                <w:rFonts w:cs="Arial"/>
                <w:color w:val="auto"/>
                <w:sz w:val="15"/>
              </w:rPr>
              <w:t>PwC (global consumer survey report)</w:t>
            </w:r>
          </w:p>
        </w:tc>
        <w:tc>
          <w:tcPr>
            <w:tcW w:w="905" w:type="dxa"/>
            <w:shd w:val="clear" w:color="auto" w:fill="EAF1F7"/>
            <w:tcMar>
              <w:top w:w="22" w:type="dxa"/>
              <w:left w:w="24" w:type="dxa"/>
              <w:bottom w:w="22" w:type="dxa"/>
              <w:right w:w="24" w:type="dxa"/>
            </w:tcMar>
          </w:tcPr>
          <w:p w14:paraId="23FEFFC2" w14:textId="77777777" w:rsidR="004D7A10" w:rsidRPr="007E140B" w:rsidRDefault="004D7A10" w:rsidP="0026770E">
            <w:pPr>
              <w:spacing w:after="0" w:line="240" w:lineRule="auto"/>
              <w:rPr>
                <w:rFonts w:cs="Arial"/>
                <w:color w:val="auto"/>
              </w:rPr>
            </w:pPr>
            <w:r w:rsidRPr="007E140B">
              <w:rPr>
                <w:rFonts w:cs="Arial"/>
                <w:color w:val="auto"/>
                <w:sz w:val="15"/>
              </w:rPr>
              <w:t>PwC</w:t>
            </w:r>
          </w:p>
        </w:tc>
        <w:tc>
          <w:tcPr>
            <w:tcW w:w="648" w:type="dxa"/>
            <w:shd w:val="clear" w:color="auto" w:fill="EAF1F7"/>
            <w:tcMar>
              <w:top w:w="22" w:type="dxa"/>
              <w:left w:w="24" w:type="dxa"/>
              <w:bottom w:w="22" w:type="dxa"/>
              <w:right w:w="24" w:type="dxa"/>
            </w:tcMar>
            <w:vAlign w:val="center"/>
          </w:tcPr>
          <w:p w14:paraId="08A67E76" w14:textId="77777777" w:rsidR="004D7A10" w:rsidRPr="007E140B" w:rsidRDefault="004D7A10" w:rsidP="0026770E">
            <w:pPr>
              <w:spacing w:after="0" w:line="240" w:lineRule="auto"/>
              <w:jc w:val="center"/>
              <w:rPr>
                <w:rFonts w:cs="Arial"/>
                <w:color w:val="auto"/>
              </w:rPr>
            </w:pPr>
            <w:r w:rsidRPr="007E140B">
              <w:rPr>
                <w:rFonts w:cs="Arial"/>
                <w:b/>
                <w:color w:val="auto"/>
                <w:sz w:val="15"/>
              </w:rPr>
              <w:t>2024</w:t>
            </w:r>
          </w:p>
        </w:tc>
        <w:tc>
          <w:tcPr>
            <w:tcW w:w="1230" w:type="dxa"/>
            <w:shd w:val="clear" w:color="auto" w:fill="EAF1F7"/>
            <w:tcMar>
              <w:top w:w="22" w:type="dxa"/>
              <w:left w:w="24" w:type="dxa"/>
              <w:bottom w:w="22" w:type="dxa"/>
              <w:right w:w="24" w:type="dxa"/>
            </w:tcMar>
          </w:tcPr>
          <w:p w14:paraId="764E2531" w14:textId="77777777" w:rsidR="004D7A10" w:rsidRPr="007E140B" w:rsidRDefault="004D7A10" w:rsidP="0026770E">
            <w:pPr>
              <w:spacing w:after="0" w:line="240" w:lineRule="auto"/>
              <w:rPr>
                <w:rFonts w:cs="Arial"/>
                <w:color w:val="auto"/>
              </w:rPr>
            </w:pPr>
            <w:r w:rsidRPr="007E140B">
              <w:rPr>
                <w:rFonts w:cs="Arial"/>
                <w:color w:val="auto"/>
                <w:sz w:val="15"/>
              </w:rPr>
              <w:t>To understand changing consumer priorities, trust, sustainability preferences, cost pressures and digital purchasing behaviour across global markets.</w:t>
            </w:r>
          </w:p>
        </w:tc>
        <w:tc>
          <w:tcPr>
            <w:tcW w:w="1375" w:type="dxa"/>
            <w:shd w:val="clear" w:color="auto" w:fill="EAF1F7"/>
            <w:tcMar>
              <w:top w:w="22" w:type="dxa"/>
              <w:left w:w="24" w:type="dxa"/>
              <w:bottom w:w="22" w:type="dxa"/>
              <w:right w:w="24" w:type="dxa"/>
            </w:tcMar>
          </w:tcPr>
          <w:p w14:paraId="2EF5CF13" w14:textId="77777777" w:rsidR="004D7A10" w:rsidRPr="007E140B" w:rsidRDefault="004D7A10" w:rsidP="0026770E">
            <w:pPr>
              <w:spacing w:after="0" w:line="240" w:lineRule="auto"/>
              <w:rPr>
                <w:rFonts w:cs="Arial"/>
                <w:color w:val="auto"/>
              </w:rPr>
            </w:pPr>
            <w:r w:rsidRPr="007E140B">
              <w:rPr>
                <w:rFonts w:cs="Arial"/>
                <w:color w:val="auto"/>
                <w:sz w:val="15"/>
              </w:rPr>
              <w:t>Measure perceived cost-of-living pressure; quantify stated willingness to pay for sustainably produced/sourced goods; explore how consumers judge sustainability and trust companies/technology.</w:t>
            </w:r>
          </w:p>
        </w:tc>
        <w:tc>
          <w:tcPr>
            <w:tcW w:w="1086" w:type="dxa"/>
            <w:shd w:val="clear" w:color="auto" w:fill="EAF1F7"/>
            <w:tcMar>
              <w:top w:w="22" w:type="dxa"/>
              <w:left w:w="24" w:type="dxa"/>
              <w:bottom w:w="22" w:type="dxa"/>
              <w:right w:w="24" w:type="dxa"/>
            </w:tcMar>
          </w:tcPr>
          <w:p w14:paraId="2715D290" w14:textId="77777777" w:rsidR="004D7A10" w:rsidRPr="007E140B" w:rsidRDefault="004D7A10" w:rsidP="0026770E">
            <w:pPr>
              <w:spacing w:after="0" w:line="240" w:lineRule="auto"/>
              <w:rPr>
                <w:rFonts w:cs="Arial"/>
                <w:color w:val="auto"/>
              </w:rPr>
            </w:pPr>
            <w:r w:rsidRPr="007E140B">
              <w:rPr>
                <w:rFonts w:cs="Arial"/>
                <w:color w:val="auto"/>
                <w:sz w:val="15"/>
              </w:rPr>
              <w:t>How are sustainability, inflation, trust and digital channels shaping consumers’ stated preferences and purchasing intentions?</w:t>
            </w:r>
          </w:p>
        </w:tc>
        <w:tc>
          <w:tcPr>
            <w:tcW w:w="1122" w:type="dxa"/>
            <w:shd w:val="clear" w:color="auto" w:fill="EAF1F7"/>
            <w:tcMar>
              <w:top w:w="22" w:type="dxa"/>
              <w:left w:w="24" w:type="dxa"/>
              <w:bottom w:w="22" w:type="dxa"/>
              <w:right w:w="24" w:type="dxa"/>
            </w:tcMar>
          </w:tcPr>
          <w:p w14:paraId="0B3B9CCE" w14:textId="77777777" w:rsidR="004D7A10" w:rsidRPr="007E140B" w:rsidRDefault="004D7A10" w:rsidP="0026770E">
            <w:pPr>
              <w:spacing w:after="0" w:line="240" w:lineRule="auto"/>
              <w:rPr>
                <w:rFonts w:cs="Arial"/>
                <w:color w:val="auto"/>
              </w:rPr>
            </w:pPr>
            <w:r w:rsidRPr="007E140B">
              <w:rPr>
                <w:rFonts w:cs="Arial"/>
                <w:color w:val="auto"/>
                <w:sz w:val="15"/>
              </w:rPr>
              <w:t>Global consumer survey of more than 20,000 respondents across 31 countries and territories.</w:t>
            </w:r>
          </w:p>
        </w:tc>
        <w:tc>
          <w:tcPr>
            <w:tcW w:w="1556" w:type="dxa"/>
            <w:shd w:val="clear" w:color="auto" w:fill="EAF1F7"/>
            <w:tcMar>
              <w:top w:w="22" w:type="dxa"/>
              <w:left w:w="24" w:type="dxa"/>
              <w:bottom w:w="22" w:type="dxa"/>
              <w:right w:w="24" w:type="dxa"/>
            </w:tcMar>
          </w:tcPr>
          <w:p w14:paraId="08FB510C" w14:textId="77777777" w:rsidR="004D7A10" w:rsidRPr="007E140B" w:rsidRDefault="004D7A10" w:rsidP="0026770E">
            <w:pPr>
              <w:spacing w:after="0" w:line="240" w:lineRule="auto"/>
              <w:rPr>
                <w:rFonts w:cs="Arial"/>
                <w:color w:val="auto"/>
              </w:rPr>
            </w:pPr>
            <w:r w:rsidRPr="007E140B">
              <w:rPr>
                <w:rFonts w:cs="Arial"/>
                <w:color w:val="auto"/>
                <w:sz w:val="15"/>
              </w:rPr>
              <w:t>Many consumers state willingness to pay more for sustainably produced/sourced goods (average stated premium about 9.7%), while inflation and grocery costs remain major concerns. PwC cautions that stated willingness may not translate into actual spend.</w:t>
            </w:r>
          </w:p>
        </w:tc>
        <w:tc>
          <w:tcPr>
            <w:tcW w:w="1665" w:type="dxa"/>
            <w:shd w:val="clear" w:color="auto" w:fill="EAF1F7"/>
            <w:tcMar>
              <w:top w:w="22" w:type="dxa"/>
              <w:left w:w="24" w:type="dxa"/>
              <w:bottom w:w="22" w:type="dxa"/>
              <w:right w:w="24" w:type="dxa"/>
            </w:tcMar>
          </w:tcPr>
          <w:p w14:paraId="2C60F468" w14:textId="77777777" w:rsidR="004D7A10" w:rsidRPr="007E140B" w:rsidRDefault="004D7A10" w:rsidP="0026770E">
            <w:pPr>
              <w:spacing w:after="0" w:line="240" w:lineRule="auto"/>
              <w:rPr>
                <w:rFonts w:cs="Arial"/>
                <w:color w:val="auto"/>
              </w:rPr>
            </w:pPr>
            <w:r w:rsidRPr="007E140B">
              <w:rPr>
                <w:rFonts w:cs="Arial"/>
                <w:color w:val="auto"/>
                <w:sz w:val="15"/>
              </w:rPr>
              <w:t>The report shows simultaneous sustainability concern and cost pressure, highlighting the gap that can exist between stated preferences and realised purchasing behaviour.</w:t>
            </w:r>
          </w:p>
        </w:tc>
        <w:tc>
          <w:tcPr>
            <w:tcW w:w="1303" w:type="dxa"/>
            <w:shd w:val="clear" w:color="auto" w:fill="EAF1F7"/>
            <w:tcMar>
              <w:top w:w="22" w:type="dxa"/>
              <w:left w:w="24" w:type="dxa"/>
              <w:bottom w:w="22" w:type="dxa"/>
              <w:right w:w="24" w:type="dxa"/>
            </w:tcMar>
          </w:tcPr>
          <w:p w14:paraId="1E8CF25B" w14:textId="77777777" w:rsidR="004D7A10" w:rsidRPr="007E140B" w:rsidRDefault="004D7A10" w:rsidP="0026770E">
            <w:pPr>
              <w:spacing w:after="0" w:line="240" w:lineRule="auto"/>
              <w:rPr>
                <w:rFonts w:cs="Arial"/>
                <w:color w:val="auto"/>
              </w:rPr>
            </w:pPr>
            <w:r w:rsidRPr="007E140B">
              <w:rPr>
                <w:rFonts w:cs="Arial"/>
                <w:color w:val="auto"/>
                <w:sz w:val="15"/>
              </w:rPr>
              <w:t>Supports the dissertation’s affordability and consumer-salience conditions. It is appropriately treated as stated-attitude evidence, not proof that UK consumers actually pay a sustainability premium.</w:t>
            </w:r>
          </w:p>
        </w:tc>
        <w:tc>
          <w:tcPr>
            <w:tcW w:w="1230" w:type="dxa"/>
            <w:shd w:val="clear" w:color="auto" w:fill="EAF1F7"/>
            <w:tcMar>
              <w:top w:w="22" w:type="dxa"/>
              <w:left w:w="24" w:type="dxa"/>
              <w:bottom w:w="22" w:type="dxa"/>
              <w:right w:w="24" w:type="dxa"/>
            </w:tcMar>
          </w:tcPr>
          <w:p w14:paraId="203A45DB" w14:textId="77777777" w:rsidR="004D7A10" w:rsidRPr="007E140B" w:rsidRDefault="00867805" w:rsidP="0026770E">
            <w:pPr>
              <w:spacing w:after="0" w:line="240" w:lineRule="auto"/>
              <w:rPr>
                <w:rFonts w:cs="Arial"/>
                <w:color w:val="auto"/>
              </w:rPr>
            </w:pPr>
            <w:hyperlink r:id="rId86">
              <w:r w:rsidR="004D7A10" w:rsidRPr="007E140B">
                <w:rPr>
                  <w:rFonts w:cs="Arial"/>
                  <w:color w:val="auto"/>
                  <w:sz w:val="13"/>
                  <w:szCs w:val="13"/>
                </w:rPr>
                <w:t>https://www.pwc.com/gx/en/issues/c-suite-insights/voice-of-the-consumer-survey/2024.html</w:t>
              </w:r>
            </w:hyperlink>
          </w:p>
        </w:tc>
      </w:tr>
      <w:tr w:rsidR="007E140B" w:rsidRPr="007E140B" w14:paraId="6C3A750B" w14:textId="77777777" w:rsidTr="0026770E">
        <w:trPr>
          <w:cantSplit/>
          <w:jc w:val="center"/>
        </w:trPr>
        <w:tc>
          <w:tcPr>
            <w:tcW w:w="504" w:type="dxa"/>
            <w:shd w:val="clear" w:color="auto" w:fill="F7FAFC"/>
            <w:tcMar>
              <w:top w:w="22" w:type="dxa"/>
              <w:left w:w="24" w:type="dxa"/>
              <w:bottom w:w="22" w:type="dxa"/>
              <w:right w:w="24" w:type="dxa"/>
            </w:tcMar>
            <w:vAlign w:val="center"/>
          </w:tcPr>
          <w:p w14:paraId="0DF4BBAE" w14:textId="77777777" w:rsidR="004D7A10" w:rsidRPr="007E140B" w:rsidRDefault="004D7A10" w:rsidP="0026770E">
            <w:pPr>
              <w:spacing w:after="0" w:line="240" w:lineRule="auto"/>
              <w:jc w:val="center"/>
              <w:rPr>
                <w:rFonts w:cs="Arial"/>
                <w:color w:val="auto"/>
              </w:rPr>
            </w:pPr>
            <w:r w:rsidRPr="007E140B">
              <w:rPr>
                <w:rFonts w:cs="Arial"/>
                <w:b/>
                <w:color w:val="auto"/>
                <w:sz w:val="15"/>
              </w:rPr>
              <w:t>31</w:t>
            </w:r>
          </w:p>
        </w:tc>
        <w:tc>
          <w:tcPr>
            <w:tcW w:w="1447" w:type="dxa"/>
            <w:shd w:val="clear" w:color="auto" w:fill="F7FAFC"/>
            <w:tcMar>
              <w:top w:w="22" w:type="dxa"/>
              <w:left w:w="24" w:type="dxa"/>
              <w:bottom w:w="22" w:type="dxa"/>
              <w:right w:w="24" w:type="dxa"/>
            </w:tcMar>
          </w:tcPr>
          <w:p w14:paraId="00D0C4AD" w14:textId="77777777" w:rsidR="004D7A10" w:rsidRPr="007E140B" w:rsidRDefault="004D7A10" w:rsidP="0026770E">
            <w:pPr>
              <w:spacing w:after="0" w:line="240" w:lineRule="auto"/>
              <w:rPr>
                <w:rFonts w:cs="Arial"/>
                <w:color w:val="auto"/>
              </w:rPr>
            </w:pPr>
            <w:r w:rsidRPr="007E140B">
              <w:rPr>
                <w:rFonts w:cs="Arial"/>
                <w:b/>
                <w:color w:val="auto"/>
                <w:sz w:val="15"/>
              </w:rPr>
              <w:t>ESG and Financial Performance: Uncovering the Relationship by Aggregating Evidence from 1,000 Plus Studies Published between 2015–2020</w:t>
            </w:r>
          </w:p>
        </w:tc>
        <w:tc>
          <w:tcPr>
            <w:tcW w:w="1049" w:type="dxa"/>
            <w:shd w:val="clear" w:color="auto" w:fill="F7FAFC"/>
            <w:tcMar>
              <w:top w:w="22" w:type="dxa"/>
              <w:left w:w="24" w:type="dxa"/>
              <w:bottom w:w="22" w:type="dxa"/>
              <w:right w:w="24" w:type="dxa"/>
            </w:tcMar>
          </w:tcPr>
          <w:p w14:paraId="6415D8BE" w14:textId="77777777" w:rsidR="004D7A10" w:rsidRPr="007E140B" w:rsidRDefault="004D7A10" w:rsidP="0026770E">
            <w:pPr>
              <w:spacing w:after="0" w:line="240" w:lineRule="auto"/>
              <w:rPr>
                <w:rFonts w:cs="Arial"/>
                <w:color w:val="auto"/>
              </w:rPr>
            </w:pPr>
            <w:r w:rsidRPr="007E140B">
              <w:rPr>
                <w:rFonts w:cs="Arial"/>
                <w:color w:val="auto"/>
                <w:sz w:val="15"/>
              </w:rPr>
              <w:t>NYU Stern Center for Sustainable Business / Rockefeller Asset Management</w:t>
            </w:r>
          </w:p>
        </w:tc>
        <w:tc>
          <w:tcPr>
            <w:tcW w:w="905" w:type="dxa"/>
            <w:shd w:val="clear" w:color="auto" w:fill="F7FAFC"/>
            <w:tcMar>
              <w:top w:w="22" w:type="dxa"/>
              <w:left w:w="24" w:type="dxa"/>
              <w:bottom w:w="22" w:type="dxa"/>
              <w:right w:w="24" w:type="dxa"/>
            </w:tcMar>
          </w:tcPr>
          <w:p w14:paraId="3528DE32" w14:textId="77777777" w:rsidR="004D7A10" w:rsidRPr="007E140B" w:rsidRDefault="004D7A10" w:rsidP="0026770E">
            <w:pPr>
              <w:spacing w:after="0" w:line="240" w:lineRule="auto"/>
              <w:rPr>
                <w:rFonts w:cs="Arial"/>
                <w:color w:val="auto"/>
              </w:rPr>
            </w:pPr>
            <w:r w:rsidRPr="007E140B">
              <w:rPr>
                <w:rFonts w:cs="Arial"/>
                <w:color w:val="auto"/>
                <w:sz w:val="15"/>
              </w:rPr>
              <w:t>Whelan, T.; Atz, U.; Van Holt, T.; Clark, C.</w:t>
            </w:r>
          </w:p>
        </w:tc>
        <w:tc>
          <w:tcPr>
            <w:tcW w:w="648" w:type="dxa"/>
            <w:shd w:val="clear" w:color="auto" w:fill="F7FAFC"/>
            <w:tcMar>
              <w:top w:w="22" w:type="dxa"/>
              <w:left w:w="24" w:type="dxa"/>
              <w:bottom w:w="22" w:type="dxa"/>
              <w:right w:w="24" w:type="dxa"/>
            </w:tcMar>
            <w:vAlign w:val="center"/>
          </w:tcPr>
          <w:p w14:paraId="7BE0FC0D" w14:textId="77777777" w:rsidR="004D7A10" w:rsidRPr="007E140B" w:rsidRDefault="004D7A10" w:rsidP="0026770E">
            <w:pPr>
              <w:spacing w:after="0" w:line="240" w:lineRule="auto"/>
              <w:jc w:val="center"/>
              <w:rPr>
                <w:rFonts w:cs="Arial"/>
                <w:color w:val="auto"/>
              </w:rPr>
            </w:pPr>
            <w:r w:rsidRPr="007E140B">
              <w:rPr>
                <w:rFonts w:cs="Arial"/>
                <w:b/>
                <w:color w:val="auto"/>
                <w:sz w:val="15"/>
              </w:rPr>
              <w:t>2021</w:t>
            </w:r>
          </w:p>
        </w:tc>
        <w:tc>
          <w:tcPr>
            <w:tcW w:w="1230" w:type="dxa"/>
            <w:shd w:val="clear" w:color="auto" w:fill="F7FAFC"/>
            <w:tcMar>
              <w:top w:w="22" w:type="dxa"/>
              <w:left w:w="24" w:type="dxa"/>
              <w:bottom w:w="22" w:type="dxa"/>
              <w:right w:w="24" w:type="dxa"/>
            </w:tcMar>
          </w:tcPr>
          <w:p w14:paraId="01328167" w14:textId="77777777" w:rsidR="004D7A10" w:rsidRPr="007E140B" w:rsidRDefault="004D7A10" w:rsidP="0026770E">
            <w:pPr>
              <w:spacing w:after="0" w:line="240" w:lineRule="auto"/>
              <w:rPr>
                <w:rFonts w:cs="Arial"/>
                <w:color w:val="auto"/>
              </w:rPr>
            </w:pPr>
            <w:r w:rsidRPr="007E140B">
              <w:rPr>
                <w:rFonts w:cs="Arial"/>
                <w:color w:val="auto"/>
                <w:sz w:val="15"/>
              </w:rPr>
              <w:t>To update the evidence base on the relationship between ESG and financial performance by aggregating more than 1,000 studies published from 2015–2020.</w:t>
            </w:r>
          </w:p>
        </w:tc>
        <w:tc>
          <w:tcPr>
            <w:tcW w:w="1375" w:type="dxa"/>
            <w:shd w:val="clear" w:color="auto" w:fill="F7FAFC"/>
            <w:tcMar>
              <w:top w:w="22" w:type="dxa"/>
              <w:left w:w="24" w:type="dxa"/>
              <w:bottom w:w="22" w:type="dxa"/>
              <w:right w:w="24" w:type="dxa"/>
            </w:tcMar>
          </w:tcPr>
          <w:p w14:paraId="099AF781" w14:textId="77777777" w:rsidR="004D7A10" w:rsidRPr="007E140B" w:rsidRDefault="004D7A10" w:rsidP="0026770E">
            <w:pPr>
              <w:spacing w:after="0" w:line="240" w:lineRule="auto"/>
              <w:rPr>
                <w:rFonts w:cs="Arial"/>
                <w:color w:val="auto"/>
              </w:rPr>
            </w:pPr>
            <w:r w:rsidRPr="007E140B">
              <w:rPr>
                <w:rFonts w:cs="Arial"/>
                <w:color w:val="auto"/>
                <w:sz w:val="15"/>
              </w:rPr>
              <w:t>Separate corporate operational studies from investment studies; summarise positive/neutral/mixed/negative findings; identify conditions and themes associated with stronger results.</w:t>
            </w:r>
          </w:p>
        </w:tc>
        <w:tc>
          <w:tcPr>
            <w:tcW w:w="1086" w:type="dxa"/>
            <w:shd w:val="clear" w:color="auto" w:fill="F7FAFC"/>
            <w:tcMar>
              <w:top w:w="22" w:type="dxa"/>
              <w:left w:w="24" w:type="dxa"/>
              <w:bottom w:w="22" w:type="dxa"/>
              <w:right w:w="24" w:type="dxa"/>
            </w:tcMar>
          </w:tcPr>
          <w:p w14:paraId="1915D45A" w14:textId="77777777" w:rsidR="004D7A10" w:rsidRPr="007E140B" w:rsidRDefault="004D7A10" w:rsidP="0026770E">
            <w:pPr>
              <w:spacing w:after="0" w:line="240" w:lineRule="auto"/>
              <w:rPr>
                <w:rFonts w:cs="Arial"/>
                <w:color w:val="auto"/>
              </w:rPr>
            </w:pPr>
            <w:r w:rsidRPr="007E140B">
              <w:rPr>
                <w:rFonts w:cs="Arial"/>
                <w:color w:val="auto"/>
                <w:sz w:val="15"/>
              </w:rPr>
              <w:t>Across the recent empirical literature, how often is ESG associated with positive, neutral or negative financial performance, and what patterns explain the differences?</w:t>
            </w:r>
          </w:p>
        </w:tc>
        <w:tc>
          <w:tcPr>
            <w:tcW w:w="1122" w:type="dxa"/>
            <w:shd w:val="clear" w:color="auto" w:fill="F7FAFC"/>
            <w:tcMar>
              <w:top w:w="22" w:type="dxa"/>
              <w:left w:w="24" w:type="dxa"/>
              <w:bottom w:w="22" w:type="dxa"/>
              <w:right w:w="24" w:type="dxa"/>
            </w:tcMar>
          </w:tcPr>
          <w:p w14:paraId="7580406B" w14:textId="77777777" w:rsidR="004D7A10" w:rsidRPr="007E140B" w:rsidRDefault="004D7A10" w:rsidP="0026770E">
            <w:pPr>
              <w:spacing w:after="0" w:line="240" w:lineRule="auto"/>
              <w:rPr>
                <w:rFonts w:cs="Arial"/>
                <w:color w:val="auto"/>
              </w:rPr>
            </w:pPr>
            <w:r w:rsidRPr="007E140B">
              <w:rPr>
                <w:rFonts w:cs="Arial"/>
                <w:color w:val="auto"/>
                <w:sz w:val="15"/>
              </w:rPr>
              <w:t>Meta-review/aggregation of 1,000+ research papers published between 2015 and 2020, classified by study type and financial-performance outcome.</w:t>
            </w:r>
          </w:p>
        </w:tc>
        <w:tc>
          <w:tcPr>
            <w:tcW w:w="1556" w:type="dxa"/>
            <w:shd w:val="clear" w:color="auto" w:fill="F7FAFC"/>
            <w:tcMar>
              <w:top w:w="22" w:type="dxa"/>
              <w:left w:w="24" w:type="dxa"/>
              <w:bottom w:w="22" w:type="dxa"/>
              <w:right w:w="24" w:type="dxa"/>
            </w:tcMar>
          </w:tcPr>
          <w:p w14:paraId="54344883" w14:textId="77777777" w:rsidR="004D7A10" w:rsidRPr="007E140B" w:rsidRDefault="004D7A10" w:rsidP="0026770E">
            <w:pPr>
              <w:spacing w:after="0" w:line="240" w:lineRule="auto"/>
              <w:rPr>
                <w:rFonts w:cs="Arial"/>
                <w:color w:val="auto"/>
              </w:rPr>
            </w:pPr>
            <w:r w:rsidRPr="007E140B">
              <w:rPr>
                <w:rFonts w:cs="Arial"/>
                <w:color w:val="auto"/>
                <w:sz w:val="15"/>
              </w:rPr>
              <w:t>For corporate studies, 58% report a positive relationship, 13% neutral, 21% mixed and 8% negative; investment studies are more mixed. Overall, positive/neutral results substantially outnumber negative findings, especially for operational/corporate performance and longer horizons.</w:t>
            </w:r>
          </w:p>
        </w:tc>
        <w:tc>
          <w:tcPr>
            <w:tcW w:w="1665" w:type="dxa"/>
            <w:shd w:val="clear" w:color="auto" w:fill="F7FAFC"/>
            <w:tcMar>
              <w:top w:w="22" w:type="dxa"/>
              <w:left w:w="24" w:type="dxa"/>
              <w:bottom w:w="22" w:type="dxa"/>
              <w:right w:w="24" w:type="dxa"/>
            </w:tcMar>
          </w:tcPr>
          <w:p w14:paraId="74CEA094" w14:textId="77777777" w:rsidR="004D7A10" w:rsidRPr="007E140B" w:rsidRDefault="004D7A10" w:rsidP="0026770E">
            <w:pPr>
              <w:spacing w:after="0" w:line="240" w:lineRule="auto"/>
              <w:rPr>
                <w:rFonts w:cs="Arial"/>
                <w:color w:val="auto"/>
              </w:rPr>
            </w:pPr>
            <w:r w:rsidRPr="007E140B">
              <w:rPr>
                <w:rFonts w:cs="Arial"/>
                <w:color w:val="auto"/>
                <w:sz w:val="15"/>
              </w:rPr>
              <w:t>The report concludes that the modern ESG–financial-performance literature is generally supportive but heterogeneous, with stronger evidence in corporate operational studies than in investment portfolios.</w:t>
            </w:r>
          </w:p>
        </w:tc>
        <w:tc>
          <w:tcPr>
            <w:tcW w:w="1303" w:type="dxa"/>
            <w:shd w:val="clear" w:color="auto" w:fill="F7FAFC"/>
            <w:tcMar>
              <w:top w:w="22" w:type="dxa"/>
              <w:left w:w="24" w:type="dxa"/>
              <w:bottom w:w="22" w:type="dxa"/>
              <w:right w:w="24" w:type="dxa"/>
            </w:tcMar>
          </w:tcPr>
          <w:p w14:paraId="35F3498C" w14:textId="77777777" w:rsidR="004D7A10" w:rsidRPr="007E140B" w:rsidRDefault="004D7A10" w:rsidP="0026770E">
            <w:pPr>
              <w:spacing w:after="0" w:line="240" w:lineRule="auto"/>
              <w:rPr>
                <w:rFonts w:cs="Arial"/>
                <w:color w:val="auto"/>
              </w:rPr>
            </w:pPr>
            <w:r w:rsidRPr="007E140B">
              <w:rPr>
                <w:rFonts w:cs="Arial"/>
                <w:color w:val="auto"/>
                <w:sz w:val="15"/>
              </w:rPr>
              <w:t>Useful high-level synthesis for the dissertation’s “business case is often positive but not universal” position. It also supports distinguishing performance from disclosure and avoiding one-to-one causal claims from aggregate evidence.</w:t>
            </w:r>
          </w:p>
        </w:tc>
        <w:tc>
          <w:tcPr>
            <w:tcW w:w="1230" w:type="dxa"/>
            <w:shd w:val="clear" w:color="auto" w:fill="F7FAFC"/>
            <w:tcMar>
              <w:top w:w="22" w:type="dxa"/>
              <w:left w:w="24" w:type="dxa"/>
              <w:bottom w:w="22" w:type="dxa"/>
              <w:right w:w="24" w:type="dxa"/>
            </w:tcMar>
          </w:tcPr>
          <w:p w14:paraId="51595C65" w14:textId="77777777" w:rsidR="004D7A10" w:rsidRPr="007E140B" w:rsidRDefault="00867805" w:rsidP="0026770E">
            <w:pPr>
              <w:spacing w:after="0" w:line="240" w:lineRule="auto"/>
              <w:rPr>
                <w:rFonts w:cs="Arial"/>
                <w:color w:val="auto"/>
              </w:rPr>
            </w:pPr>
            <w:hyperlink r:id="rId87">
              <w:r w:rsidR="004D7A10" w:rsidRPr="007E140B">
                <w:rPr>
                  <w:rFonts w:cs="Arial"/>
                  <w:color w:val="auto"/>
                  <w:sz w:val="13"/>
                  <w:szCs w:val="13"/>
                </w:rPr>
                <w:t>https://www.stern.nyu.edu/sites/default/files/assets/documents/NYU-RAM_ESG-Paper_2021.pdf</w:t>
              </w:r>
            </w:hyperlink>
          </w:p>
        </w:tc>
      </w:tr>
    </w:tbl>
    <w:p w14:paraId="5370D242" w14:textId="77777777" w:rsidR="00F0319C" w:rsidRDefault="00F0319C" w:rsidP="009F43AA">
      <w:pPr>
        <w:sectPr w:rsidR="00F0319C" w:rsidSect="004D7A10">
          <w:headerReference w:type="default" r:id="rId88"/>
          <w:pgSz w:w="15840" w:h="12240" w:orient="landscape"/>
          <w:pgMar w:top="1440" w:right="1440" w:bottom="1440" w:left="1440" w:header="0" w:footer="720" w:gutter="0"/>
          <w:cols w:space="720"/>
          <w:formProt w:val="0"/>
          <w:docGrid w:linePitch="360"/>
        </w:sectPr>
      </w:pPr>
    </w:p>
    <w:p w14:paraId="19A9057C" w14:textId="2A1577F3" w:rsidR="009F43AA" w:rsidRDefault="00F0319C" w:rsidP="00F0319C">
      <w:pPr>
        <w:pStyle w:val="Heading1"/>
      </w:pPr>
      <w:bookmarkStart w:id="161" w:name="_Toc241154086"/>
      <w:r>
        <w:lastRenderedPageBreak/>
        <w:t>Appendix C: Ethic Form</w:t>
      </w:r>
      <w:bookmarkEnd w:id="161"/>
    </w:p>
    <w:p w14:paraId="03BDEE83" w14:textId="77777777" w:rsidR="00F0319C" w:rsidRDefault="00F0319C" w:rsidP="00F0319C">
      <w:pPr>
        <w:tabs>
          <w:tab w:val="left" w:pos="5103"/>
        </w:tabs>
        <w:jc w:val="center"/>
        <w:rPr>
          <w:rFonts w:cs="Arial"/>
          <w:b/>
          <w:bCs/>
          <w:szCs w:val="24"/>
        </w:rPr>
      </w:pPr>
    </w:p>
    <w:p w14:paraId="2873CC7E" w14:textId="77777777" w:rsidR="00F0319C" w:rsidRPr="004C3A0B" w:rsidRDefault="00F0319C" w:rsidP="00F0319C">
      <w:pPr>
        <w:tabs>
          <w:tab w:val="left" w:pos="5103"/>
        </w:tabs>
        <w:jc w:val="center"/>
        <w:rPr>
          <w:rFonts w:cs="Arial"/>
          <w:b/>
          <w:bCs/>
          <w:szCs w:val="24"/>
        </w:rPr>
      </w:pPr>
      <w:r w:rsidRPr="004C3A0B">
        <w:rPr>
          <w:rFonts w:cs="Arial"/>
          <w:b/>
          <w:bCs/>
          <w:szCs w:val="24"/>
        </w:rPr>
        <w:t>APPLICATION FOR ETHICAL APPROVAL</w:t>
      </w:r>
    </w:p>
    <w:p w14:paraId="7D78BA63" w14:textId="77777777" w:rsidR="00F0319C" w:rsidRPr="004C3A0B" w:rsidRDefault="00F0319C" w:rsidP="00F0319C">
      <w:pPr>
        <w:tabs>
          <w:tab w:val="left" w:pos="5103"/>
        </w:tabs>
        <w:ind w:right="282"/>
        <w:jc w:val="center"/>
        <w:rPr>
          <w:rFonts w:cs="Arial"/>
          <w:b/>
          <w:bCs/>
        </w:rPr>
      </w:pPr>
    </w:p>
    <w:p w14:paraId="1B936626" w14:textId="77777777" w:rsidR="00F0319C" w:rsidRPr="004C3A0B" w:rsidRDefault="00F0319C" w:rsidP="00F0319C">
      <w:pPr>
        <w:tabs>
          <w:tab w:val="left" w:pos="5103"/>
        </w:tabs>
        <w:ind w:right="282"/>
        <w:rPr>
          <w:rFonts w:cs="Arial"/>
          <w:b/>
          <w:bCs/>
          <w:sz w:val="22"/>
        </w:rPr>
      </w:pPr>
      <w:r w:rsidRPr="004C3A0B">
        <w:rPr>
          <w:rFonts w:cs="Arial"/>
          <w:b/>
          <w:bCs/>
          <w:sz w:val="22"/>
        </w:rPr>
        <w:t xml:space="preserve">In order for research to result in benefit and minimise risk of harm, it must be conducted ethically. </w:t>
      </w:r>
    </w:p>
    <w:p w14:paraId="00C26ECA" w14:textId="77777777" w:rsidR="00F0319C" w:rsidRPr="004C3A0B" w:rsidRDefault="00F0319C" w:rsidP="00F0319C">
      <w:pPr>
        <w:tabs>
          <w:tab w:val="left" w:pos="5103"/>
        </w:tabs>
        <w:ind w:right="282"/>
        <w:jc w:val="center"/>
        <w:rPr>
          <w:rFonts w:cs="Arial"/>
          <w:b/>
          <w:bCs/>
          <w:sz w:val="16"/>
          <w:szCs w:val="16"/>
        </w:rPr>
      </w:pPr>
    </w:p>
    <w:p w14:paraId="3E20EA97" w14:textId="77777777" w:rsidR="00F0319C" w:rsidRPr="004C3A0B" w:rsidRDefault="00F0319C" w:rsidP="00F0319C">
      <w:pPr>
        <w:tabs>
          <w:tab w:val="left" w:pos="5103"/>
        </w:tabs>
        <w:ind w:right="282"/>
        <w:rPr>
          <w:rFonts w:cs="Arial"/>
          <w:sz w:val="22"/>
        </w:rPr>
      </w:pPr>
      <w:r w:rsidRPr="004C3A0B">
        <w:rPr>
          <w:rFonts w:cs="Arial"/>
          <w:sz w:val="22"/>
        </w:rPr>
        <w:t xml:space="preserve">The University follows the OECD Frascati manual definition of </w:t>
      </w:r>
      <w:r w:rsidRPr="004C3A0B">
        <w:rPr>
          <w:rFonts w:cs="Arial"/>
          <w:b/>
          <w:sz w:val="22"/>
        </w:rPr>
        <w:t>research activity</w:t>
      </w:r>
      <w:r w:rsidRPr="004C3A0B">
        <w:rPr>
          <w:rFonts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D466F8" w14:textId="77777777" w:rsidR="00F0319C" w:rsidRPr="004C3A0B" w:rsidRDefault="00F0319C" w:rsidP="00F0319C">
      <w:pPr>
        <w:tabs>
          <w:tab w:val="left" w:pos="5103"/>
        </w:tabs>
        <w:ind w:right="282"/>
        <w:rPr>
          <w:rFonts w:cs="Arial"/>
          <w:sz w:val="22"/>
        </w:rPr>
      </w:pPr>
    </w:p>
    <w:p w14:paraId="627EFB4D" w14:textId="77777777" w:rsidR="00F0319C" w:rsidRPr="004C3A0B" w:rsidRDefault="00F0319C" w:rsidP="00F0319C">
      <w:pPr>
        <w:tabs>
          <w:tab w:val="left" w:pos="5103"/>
        </w:tabs>
        <w:ind w:right="282"/>
        <w:rPr>
          <w:rFonts w:cs="Arial"/>
          <w:sz w:val="22"/>
        </w:rPr>
      </w:pPr>
      <w:r w:rsidRPr="004C3A0B">
        <w:rPr>
          <w:rFonts w:cs="Arial"/>
          <w:sz w:val="22"/>
        </w:rPr>
        <w:t>The individual undertaking the research activity is known as the “principal researcher”.</w:t>
      </w:r>
    </w:p>
    <w:p w14:paraId="3C7BB68E" w14:textId="77777777" w:rsidR="00F0319C" w:rsidRPr="004C3A0B" w:rsidRDefault="00F0319C" w:rsidP="00F0319C">
      <w:pPr>
        <w:tabs>
          <w:tab w:val="left" w:pos="5103"/>
        </w:tabs>
        <w:ind w:right="282"/>
        <w:rPr>
          <w:rFonts w:cs="Arial"/>
          <w:sz w:val="22"/>
        </w:rPr>
      </w:pPr>
    </w:p>
    <w:p w14:paraId="7117298B" w14:textId="77777777" w:rsidR="00F0319C" w:rsidRDefault="00F0319C" w:rsidP="00F0319C">
      <w:pPr>
        <w:autoSpaceDE w:val="0"/>
        <w:autoSpaceDN w:val="0"/>
        <w:adjustRightInd w:val="0"/>
        <w:rPr>
          <w:rFonts w:cs="Arial"/>
          <w:sz w:val="22"/>
        </w:rPr>
      </w:pPr>
      <w:r w:rsidRPr="004C3A0B">
        <w:rPr>
          <w:rFonts w:cs="Arial"/>
          <w:b/>
          <w:sz w:val="22"/>
        </w:rPr>
        <w:t>This form</w:t>
      </w:r>
      <w:r w:rsidRPr="004C3A0B">
        <w:rPr>
          <w:rFonts w:cs="Arial"/>
          <w:sz w:val="22"/>
        </w:rPr>
        <w:t xml:space="preserve"> </w:t>
      </w:r>
      <w:r w:rsidRPr="004C3A0B">
        <w:rPr>
          <w:rFonts w:cs="Arial"/>
          <w:b/>
          <w:sz w:val="22"/>
        </w:rPr>
        <w:t>must be completed and approved prior to undertaking any research activity.</w:t>
      </w:r>
      <w:r w:rsidRPr="004C3A0B">
        <w:rPr>
          <w:rFonts w:cs="Arial"/>
          <w:sz w:val="22"/>
        </w:rPr>
        <w:t xml:space="preserve"> </w:t>
      </w:r>
    </w:p>
    <w:p w14:paraId="20A1B009" w14:textId="77777777" w:rsidR="00F0319C" w:rsidRPr="004C3A0B" w:rsidRDefault="00F0319C" w:rsidP="00F0319C">
      <w:pPr>
        <w:autoSpaceDE w:val="0"/>
        <w:autoSpaceDN w:val="0"/>
        <w:adjustRightInd w:val="0"/>
        <w:rPr>
          <w:rFonts w:cs="Arial"/>
          <w:sz w:val="22"/>
        </w:rPr>
      </w:pPr>
    </w:p>
    <w:p w14:paraId="75EB0A87" w14:textId="77777777" w:rsidR="00F0319C" w:rsidRPr="004C3A0B" w:rsidRDefault="00F0319C" w:rsidP="00F0319C">
      <w:pPr>
        <w:autoSpaceDE w:val="0"/>
        <w:autoSpaceDN w:val="0"/>
        <w:adjustRightInd w:val="0"/>
        <w:spacing w:after="240"/>
        <w:rPr>
          <w:rFonts w:cs="Arial"/>
          <w:b/>
          <w:sz w:val="22"/>
        </w:rPr>
      </w:pPr>
      <w:r w:rsidRPr="004C3A0B">
        <w:rPr>
          <w:rFonts w:cs="Arial"/>
          <w:b/>
          <w:sz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0319C" w:rsidRPr="004C3A0B" w14:paraId="70651F75" w14:textId="77777777" w:rsidTr="000E4C5B">
        <w:trPr>
          <w:trHeight w:val="439"/>
        </w:trPr>
        <w:tc>
          <w:tcPr>
            <w:tcW w:w="559" w:type="dxa"/>
            <w:shd w:val="clear" w:color="auto" w:fill="F2F2F2" w:themeFill="background1" w:themeFillShade="F2"/>
            <w:vAlign w:val="center"/>
          </w:tcPr>
          <w:p w14:paraId="54FFE543" w14:textId="77777777" w:rsidR="00F0319C" w:rsidRPr="004C3A0B" w:rsidRDefault="00F0319C" w:rsidP="000E4C5B">
            <w:pPr>
              <w:rPr>
                <w:rFonts w:cs="Arial"/>
                <w:sz w:val="22"/>
              </w:rPr>
            </w:pPr>
            <w:r>
              <w:rPr>
                <w:rFonts w:cs="Arial"/>
                <w:sz w:val="22"/>
              </w:rPr>
              <w:t>1</w:t>
            </w:r>
          </w:p>
        </w:tc>
        <w:tc>
          <w:tcPr>
            <w:tcW w:w="3253" w:type="dxa"/>
            <w:shd w:val="clear" w:color="auto" w:fill="F2F2F2" w:themeFill="background1" w:themeFillShade="F2"/>
            <w:vAlign w:val="center"/>
          </w:tcPr>
          <w:p w14:paraId="780B1DDE" w14:textId="77777777" w:rsidR="00F0319C" w:rsidRPr="004C3A0B" w:rsidRDefault="00F0319C" w:rsidP="000E4C5B">
            <w:pPr>
              <w:rPr>
                <w:rFonts w:cs="Arial"/>
                <w:sz w:val="22"/>
              </w:rPr>
            </w:pPr>
            <w:r w:rsidRPr="004C3A0B">
              <w:rPr>
                <w:rFonts w:cs="Arial"/>
                <w:sz w:val="22"/>
              </w:rPr>
              <w:t>Full Name:</w:t>
            </w:r>
          </w:p>
        </w:tc>
        <w:tc>
          <w:tcPr>
            <w:tcW w:w="6636" w:type="dxa"/>
            <w:vAlign w:val="center"/>
          </w:tcPr>
          <w:p w14:paraId="5D85C861" w14:textId="77777777" w:rsidR="00F0319C" w:rsidRPr="004C3A0B" w:rsidRDefault="00F0319C" w:rsidP="000E4C5B">
            <w:pPr>
              <w:rPr>
                <w:rFonts w:cs="Arial"/>
                <w:sz w:val="22"/>
              </w:rPr>
            </w:pPr>
            <w:r w:rsidRPr="007F668B">
              <w:rPr>
                <w:rFonts w:cs="Arial"/>
                <w:sz w:val="22"/>
              </w:rPr>
              <w:t>Resvy Ahmed</w:t>
            </w:r>
          </w:p>
        </w:tc>
      </w:tr>
      <w:tr w:rsidR="00F0319C" w:rsidRPr="004C3A0B" w14:paraId="3E3BEE0C" w14:textId="77777777" w:rsidTr="000E4C5B">
        <w:trPr>
          <w:cantSplit/>
          <w:trHeight w:val="340"/>
        </w:trPr>
        <w:tc>
          <w:tcPr>
            <w:tcW w:w="559" w:type="dxa"/>
            <w:shd w:val="clear" w:color="auto" w:fill="F2F2F2" w:themeFill="background1" w:themeFillShade="F2"/>
            <w:vAlign w:val="center"/>
          </w:tcPr>
          <w:p w14:paraId="7274ACC2" w14:textId="77777777" w:rsidR="00F0319C" w:rsidRPr="004C3A0B" w:rsidRDefault="00F0319C" w:rsidP="000E4C5B">
            <w:pPr>
              <w:rPr>
                <w:rFonts w:cs="Arial"/>
                <w:sz w:val="22"/>
              </w:rPr>
            </w:pPr>
            <w:r>
              <w:rPr>
                <w:rFonts w:cs="Arial"/>
                <w:sz w:val="22"/>
              </w:rPr>
              <w:t>2</w:t>
            </w:r>
          </w:p>
        </w:tc>
        <w:tc>
          <w:tcPr>
            <w:tcW w:w="3253" w:type="dxa"/>
            <w:shd w:val="clear" w:color="auto" w:fill="F2F2F2" w:themeFill="background1" w:themeFillShade="F2"/>
            <w:vAlign w:val="center"/>
          </w:tcPr>
          <w:p w14:paraId="011485FE" w14:textId="77777777" w:rsidR="00F0319C" w:rsidRPr="004C3A0B" w:rsidRDefault="00F0319C" w:rsidP="000E4C5B">
            <w:pPr>
              <w:rPr>
                <w:rFonts w:cs="Arial"/>
                <w:sz w:val="22"/>
              </w:rPr>
            </w:pPr>
            <w:r>
              <w:rPr>
                <w:rFonts w:cs="Arial"/>
                <w:sz w:val="22"/>
              </w:rPr>
              <w:t>Student Number:</w:t>
            </w:r>
          </w:p>
        </w:tc>
        <w:tc>
          <w:tcPr>
            <w:tcW w:w="6636" w:type="dxa"/>
            <w:vAlign w:val="center"/>
          </w:tcPr>
          <w:p w14:paraId="0B6509F7" w14:textId="77777777" w:rsidR="00F0319C" w:rsidRPr="004C3A0B" w:rsidRDefault="00F0319C" w:rsidP="000E4C5B">
            <w:pPr>
              <w:rPr>
                <w:rFonts w:cs="Arial"/>
                <w:sz w:val="22"/>
              </w:rPr>
            </w:pPr>
            <w:r w:rsidRPr="007F668B">
              <w:rPr>
                <w:rFonts w:cs="Arial"/>
                <w:sz w:val="22"/>
              </w:rPr>
              <w:t>2504376</w:t>
            </w:r>
          </w:p>
        </w:tc>
      </w:tr>
      <w:tr w:rsidR="00F0319C" w:rsidRPr="004C3A0B" w14:paraId="378CD44C" w14:textId="77777777" w:rsidTr="000E4C5B">
        <w:trPr>
          <w:trHeight w:val="513"/>
        </w:trPr>
        <w:tc>
          <w:tcPr>
            <w:tcW w:w="559" w:type="dxa"/>
            <w:shd w:val="clear" w:color="auto" w:fill="F2F2F2" w:themeFill="background1" w:themeFillShade="F2"/>
            <w:vAlign w:val="center"/>
          </w:tcPr>
          <w:p w14:paraId="1C2812DF" w14:textId="77777777" w:rsidR="00F0319C" w:rsidRPr="004C3A0B" w:rsidRDefault="00F0319C" w:rsidP="000E4C5B">
            <w:pPr>
              <w:rPr>
                <w:rFonts w:cs="Arial"/>
                <w:sz w:val="22"/>
              </w:rPr>
            </w:pPr>
            <w:r>
              <w:rPr>
                <w:rFonts w:cs="Arial"/>
                <w:sz w:val="22"/>
              </w:rPr>
              <w:t>3</w:t>
            </w:r>
          </w:p>
        </w:tc>
        <w:tc>
          <w:tcPr>
            <w:tcW w:w="3253" w:type="dxa"/>
            <w:shd w:val="clear" w:color="auto" w:fill="F2F2F2" w:themeFill="background1" w:themeFillShade="F2"/>
            <w:vAlign w:val="center"/>
          </w:tcPr>
          <w:p w14:paraId="4868C256" w14:textId="77777777" w:rsidR="00F0319C" w:rsidRPr="004C3A0B" w:rsidRDefault="00F0319C" w:rsidP="000E4C5B">
            <w:pPr>
              <w:rPr>
                <w:rFonts w:cs="Arial"/>
                <w:sz w:val="22"/>
              </w:rPr>
            </w:pPr>
            <w:r>
              <w:rPr>
                <w:rFonts w:cs="Arial"/>
                <w:sz w:val="22"/>
              </w:rPr>
              <w:t>Email address</w:t>
            </w:r>
            <w:r w:rsidRPr="004C3A0B">
              <w:rPr>
                <w:rFonts w:cs="Arial"/>
                <w:sz w:val="22"/>
              </w:rPr>
              <w:t>:</w:t>
            </w:r>
          </w:p>
        </w:tc>
        <w:tc>
          <w:tcPr>
            <w:tcW w:w="6636" w:type="dxa"/>
            <w:vAlign w:val="center"/>
          </w:tcPr>
          <w:p w14:paraId="75F44876" w14:textId="77777777" w:rsidR="00F0319C" w:rsidRPr="004C3A0B" w:rsidRDefault="00F0319C" w:rsidP="000E4C5B">
            <w:pPr>
              <w:rPr>
                <w:rFonts w:cs="Arial"/>
                <w:sz w:val="22"/>
              </w:rPr>
            </w:pPr>
            <w:r w:rsidRPr="007F668B">
              <w:rPr>
                <w:rFonts w:cs="Arial"/>
                <w:sz w:val="22"/>
              </w:rPr>
              <w:t>2504376@student.uwtsd.ac.uk</w:t>
            </w:r>
          </w:p>
        </w:tc>
      </w:tr>
      <w:tr w:rsidR="00F0319C" w:rsidRPr="004C3A0B" w14:paraId="5171A225" w14:textId="77777777" w:rsidTr="000E4C5B">
        <w:trPr>
          <w:trHeight w:val="549"/>
        </w:trPr>
        <w:tc>
          <w:tcPr>
            <w:tcW w:w="559" w:type="dxa"/>
            <w:shd w:val="clear" w:color="auto" w:fill="F2F2F2" w:themeFill="background1" w:themeFillShade="F2"/>
            <w:vAlign w:val="center"/>
          </w:tcPr>
          <w:p w14:paraId="30B94426" w14:textId="77777777" w:rsidR="00F0319C" w:rsidRPr="004C3A0B" w:rsidRDefault="00F0319C" w:rsidP="000E4C5B">
            <w:pPr>
              <w:rPr>
                <w:rFonts w:cs="Arial"/>
                <w:sz w:val="22"/>
              </w:rPr>
            </w:pPr>
            <w:r>
              <w:rPr>
                <w:rFonts w:cs="Arial"/>
                <w:sz w:val="22"/>
              </w:rPr>
              <w:t>4</w:t>
            </w:r>
          </w:p>
        </w:tc>
        <w:tc>
          <w:tcPr>
            <w:tcW w:w="3253" w:type="dxa"/>
            <w:shd w:val="clear" w:color="auto" w:fill="F2F2F2" w:themeFill="background1" w:themeFillShade="F2"/>
            <w:vAlign w:val="center"/>
          </w:tcPr>
          <w:p w14:paraId="4E7825CB" w14:textId="77777777" w:rsidR="00F0319C" w:rsidRPr="004C3A0B" w:rsidRDefault="00F0319C" w:rsidP="000E4C5B">
            <w:pPr>
              <w:rPr>
                <w:rFonts w:cs="Arial"/>
                <w:sz w:val="22"/>
              </w:rPr>
            </w:pPr>
            <w:r w:rsidRPr="004C3A0B">
              <w:rPr>
                <w:rFonts w:cs="Arial"/>
                <w:sz w:val="22"/>
              </w:rPr>
              <w:t>Programme of Study:</w:t>
            </w:r>
          </w:p>
        </w:tc>
        <w:tc>
          <w:tcPr>
            <w:tcW w:w="6636" w:type="dxa"/>
            <w:vAlign w:val="center"/>
          </w:tcPr>
          <w:p w14:paraId="724EBB3A" w14:textId="77777777" w:rsidR="00F0319C" w:rsidRPr="004C3A0B" w:rsidRDefault="00F0319C" w:rsidP="000E4C5B">
            <w:pPr>
              <w:rPr>
                <w:rFonts w:cs="Arial"/>
                <w:sz w:val="22"/>
              </w:rPr>
            </w:pPr>
            <w:r w:rsidRPr="007F668B">
              <w:rPr>
                <w:rFonts w:cs="Arial"/>
                <w:sz w:val="22"/>
              </w:rPr>
              <w:t>Master of Business Administration</w:t>
            </w:r>
          </w:p>
        </w:tc>
      </w:tr>
      <w:tr w:rsidR="00F0319C" w:rsidRPr="004C3A0B" w14:paraId="37095A12" w14:textId="77777777" w:rsidTr="000E4C5B">
        <w:trPr>
          <w:trHeight w:val="557"/>
        </w:trPr>
        <w:tc>
          <w:tcPr>
            <w:tcW w:w="559" w:type="dxa"/>
            <w:shd w:val="clear" w:color="auto" w:fill="F2F2F2" w:themeFill="background1" w:themeFillShade="F2"/>
            <w:vAlign w:val="center"/>
          </w:tcPr>
          <w:p w14:paraId="0F664BDF" w14:textId="77777777" w:rsidR="00F0319C" w:rsidRPr="004C3A0B" w:rsidRDefault="00F0319C" w:rsidP="000E4C5B">
            <w:pPr>
              <w:rPr>
                <w:rFonts w:cs="Arial"/>
                <w:sz w:val="22"/>
              </w:rPr>
            </w:pPr>
            <w:r>
              <w:rPr>
                <w:rFonts w:cs="Arial"/>
                <w:sz w:val="22"/>
              </w:rPr>
              <w:t>5</w:t>
            </w:r>
          </w:p>
        </w:tc>
        <w:tc>
          <w:tcPr>
            <w:tcW w:w="3253" w:type="dxa"/>
            <w:shd w:val="clear" w:color="auto" w:fill="F2F2F2" w:themeFill="background1" w:themeFillShade="F2"/>
            <w:vAlign w:val="center"/>
          </w:tcPr>
          <w:p w14:paraId="62796919" w14:textId="77777777" w:rsidR="00F0319C" w:rsidRPr="004C3A0B" w:rsidRDefault="00F0319C" w:rsidP="000E4C5B">
            <w:pPr>
              <w:rPr>
                <w:rFonts w:cs="Arial"/>
                <w:sz w:val="22"/>
              </w:rPr>
            </w:pPr>
            <w:r w:rsidRPr="004C3A0B">
              <w:rPr>
                <w:rFonts w:cs="Arial"/>
                <w:sz w:val="22"/>
              </w:rPr>
              <w:t>Supervisor:</w:t>
            </w:r>
          </w:p>
        </w:tc>
        <w:tc>
          <w:tcPr>
            <w:tcW w:w="6636" w:type="dxa"/>
            <w:vAlign w:val="center"/>
          </w:tcPr>
          <w:p w14:paraId="66C1E209" w14:textId="77777777" w:rsidR="00F0319C" w:rsidRPr="004C3A0B" w:rsidRDefault="00F0319C" w:rsidP="000E4C5B">
            <w:pPr>
              <w:rPr>
                <w:rFonts w:cs="Arial"/>
                <w:sz w:val="22"/>
              </w:rPr>
            </w:pPr>
            <w:r w:rsidRPr="007F668B">
              <w:rPr>
                <w:rFonts w:cs="Arial"/>
                <w:sz w:val="22"/>
              </w:rPr>
              <w:t>Dr Ghulam Mujtaba</w:t>
            </w:r>
          </w:p>
        </w:tc>
      </w:tr>
    </w:tbl>
    <w:p w14:paraId="7CD14678" w14:textId="77777777" w:rsidR="00F0319C" w:rsidRDefault="00F0319C" w:rsidP="00F0319C">
      <w:pPr>
        <w:autoSpaceDE w:val="0"/>
        <w:autoSpaceDN w:val="0"/>
        <w:adjustRightInd w:val="0"/>
        <w:spacing w:after="240"/>
        <w:rPr>
          <w:rFonts w:cs="Arial"/>
          <w:b/>
          <w:sz w:val="22"/>
        </w:rPr>
      </w:pPr>
    </w:p>
    <w:p w14:paraId="038952F2" w14:textId="77777777" w:rsidR="00F0319C" w:rsidRPr="004C3A0B" w:rsidRDefault="00F0319C" w:rsidP="00F0319C">
      <w:pPr>
        <w:autoSpaceDE w:val="0"/>
        <w:autoSpaceDN w:val="0"/>
        <w:adjustRightInd w:val="0"/>
        <w:spacing w:after="240"/>
        <w:rPr>
          <w:rFonts w:cs="Arial"/>
          <w:b/>
          <w:sz w:val="22"/>
        </w:rPr>
      </w:pPr>
      <w:r w:rsidRPr="004C3A0B">
        <w:rPr>
          <w:rFonts w:cs="Arial"/>
          <w:b/>
          <w:sz w:val="22"/>
        </w:rPr>
        <w:t>SECTION</w:t>
      </w:r>
      <w:r>
        <w:rPr>
          <w:rFonts w:cs="Arial"/>
          <w:b/>
          <w:sz w:val="22"/>
        </w:rPr>
        <w:t xml:space="preserve"> B</w:t>
      </w:r>
      <w:r w:rsidRPr="004C3A0B">
        <w:rPr>
          <w:rFonts w:cs="Arial"/>
          <w:b/>
          <w:sz w:val="22"/>
        </w:rPr>
        <w:t xml:space="preserve">:  </w:t>
      </w:r>
      <w:r>
        <w:rPr>
          <w:rFonts w:cs="Arial"/>
          <w:b/>
          <w:sz w:val="22"/>
        </w:rPr>
        <w:t xml:space="preserve">Internal and </w:t>
      </w:r>
      <w:r w:rsidRPr="004C3A0B">
        <w:rPr>
          <w:rFonts w:cs="Arial"/>
          <w:b/>
          <w:sz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F0319C" w:rsidRPr="004C3A0B" w14:paraId="7448F285" w14:textId="77777777" w:rsidTr="000E4C5B">
        <w:tc>
          <w:tcPr>
            <w:tcW w:w="562" w:type="dxa"/>
            <w:shd w:val="clear" w:color="auto" w:fill="F2F2F2" w:themeFill="background1" w:themeFillShade="F2"/>
          </w:tcPr>
          <w:p w14:paraId="463FD060" w14:textId="77777777" w:rsidR="00F0319C" w:rsidRPr="004C3A0B" w:rsidRDefault="00F0319C" w:rsidP="000E4C5B">
            <w:pPr>
              <w:autoSpaceDE w:val="0"/>
              <w:autoSpaceDN w:val="0"/>
              <w:adjustRightInd w:val="0"/>
              <w:rPr>
                <w:rFonts w:cs="Arial"/>
                <w:sz w:val="22"/>
                <w:szCs w:val="22"/>
              </w:rPr>
            </w:pPr>
          </w:p>
        </w:tc>
        <w:tc>
          <w:tcPr>
            <w:tcW w:w="9918" w:type="dxa"/>
            <w:gridSpan w:val="2"/>
            <w:shd w:val="clear" w:color="auto" w:fill="F2F2F2" w:themeFill="background1" w:themeFillShade="F2"/>
          </w:tcPr>
          <w:p w14:paraId="1929D123"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 xml:space="preserve">Please list the core ethical guidance documents that have been referred to during the completion of this form (including any discipline-specific codes of research ethics, </w:t>
            </w:r>
            <w:r>
              <w:rPr>
                <w:rFonts w:cs="Arial"/>
                <w:sz w:val="22"/>
                <w:szCs w:val="22"/>
              </w:rPr>
              <w:t xml:space="preserve">location-specific codes of research ethics, </w:t>
            </w:r>
            <w:r w:rsidRPr="004C3A0B">
              <w:rPr>
                <w:rFonts w:cs="Arial"/>
                <w:sz w:val="22"/>
                <w:szCs w:val="22"/>
              </w:rPr>
              <w:t>and also any specific ethical guidance relating to the proposed methodology).  Please tick to confirm that your research proposal adheres to these codes and guidelines.</w:t>
            </w:r>
            <w:r>
              <w:rPr>
                <w:rFonts w:cs="Arial"/>
                <w:sz w:val="22"/>
                <w:szCs w:val="22"/>
              </w:rPr>
              <w:t xml:space="preserve"> You may add rows to this table if needed.</w:t>
            </w:r>
          </w:p>
        </w:tc>
      </w:tr>
      <w:tr w:rsidR="00F0319C" w:rsidRPr="004C3A0B" w14:paraId="265849E8" w14:textId="77777777" w:rsidTr="000E4C5B">
        <w:trPr>
          <w:trHeight w:val="355"/>
        </w:trPr>
        <w:tc>
          <w:tcPr>
            <w:tcW w:w="562" w:type="dxa"/>
            <w:vAlign w:val="center"/>
          </w:tcPr>
          <w:p w14:paraId="2D8CCB1C" w14:textId="77777777" w:rsidR="00F0319C" w:rsidRPr="002132F9" w:rsidRDefault="00F0319C" w:rsidP="000E4C5B">
            <w:pPr>
              <w:autoSpaceDE w:val="0"/>
              <w:autoSpaceDN w:val="0"/>
              <w:adjustRightInd w:val="0"/>
              <w:rPr>
                <w:rFonts w:cs="Arial"/>
                <w:sz w:val="22"/>
                <w:szCs w:val="22"/>
              </w:rPr>
            </w:pPr>
            <w:r w:rsidRPr="002132F9">
              <w:rPr>
                <w:rFonts w:cs="Arial"/>
                <w:sz w:val="22"/>
                <w:szCs w:val="22"/>
              </w:rPr>
              <w:t>1</w:t>
            </w:r>
          </w:p>
        </w:tc>
        <w:tc>
          <w:tcPr>
            <w:tcW w:w="8784" w:type="dxa"/>
            <w:vAlign w:val="center"/>
          </w:tcPr>
          <w:p w14:paraId="0D58AF24" w14:textId="77777777" w:rsidR="00F0319C" w:rsidRPr="003F6F7B" w:rsidRDefault="00867805" w:rsidP="000E4C5B">
            <w:pPr>
              <w:autoSpaceDE w:val="0"/>
              <w:autoSpaceDN w:val="0"/>
              <w:adjustRightInd w:val="0"/>
              <w:rPr>
                <w:rFonts w:cs="Arial"/>
                <w:b/>
                <w:bCs/>
                <w:sz w:val="22"/>
                <w:szCs w:val="22"/>
              </w:rPr>
            </w:pPr>
            <w:hyperlink r:id="rId89" w:history="1">
              <w:r w:rsidR="00F0319C" w:rsidRPr="005704BE">
                <w:rPr>
                  <w:rStyle w:val="Hyperlink"/>
                  <w:rFonts w:cs="Arial"/>
                  <w:b/>
                  <w:bCs/>
                  <w:color w:val="auto"/>
                  <w:sz w:val="22"/>
                  <w:szCs w:val="22"/>
                </w:rPr>
                <w:t>UWTSD Research Ethi</w:t>
              </w:r>
              <w:r w:rsidR="00F0319C">
                <w:rPr>
                  <w:rStyle w:val="Hyperlink"/>
                  <w:rFonts w:cs="Arial"/>
                  <w:b/>
                  <w:bCs/>
                  <w:color w:val="auto"/>
                  <w:sz w:val="22"/>
                  <w:szCs w:val="22"/>
                </w:rPr>
                <w:t>cs &amp; Integrity Code of Practice</w:t>
              </w:r>
            </w:hyperlink>
          </w:p>
        </w:tc>
        <w:sdt>
          <w:sdtPr>
            <w:rPr>
              <w:rFonts w:cs="Arial"/>
              <w:b/>
              <w:bCs/>
              <w:sz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1E43B3E0" w14:textId="77777777" w:rsidR="00F0319C" w:rsidRPr="00DD0929" w:rsidRDefault="00F0319C" w:rsidP="000E4C5B">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r>
      <w:tr w:rsidR="00F0319C" w:rsidRPr="004C3A0B" w14:paraId="20D91215" w14:textId="77777777" w:rsidTr="000E4C5B">
        <w:trPr>
          <w:trHeight w:val="417"/>
        </w:trPr>
        <w:tc>
          <w:tcPr>
            <w:tcW w:w="562" w:type="dxa"/>
            <w:vAlign w:val="center"/>
          </w:tcPr>
          <w:p w14:paraId="2417FF3B" w14:textId="77777777" w:rsidR="00F0319C" w:rsidRPr="002132F9" w:rsidRDefault="00F0319C" w:rsidP="000E4C5B">
            <w:pPr>
              <w:autoSpaceDE w:val="0"/>
              <w:autoSpaceDN w:val="0"/>
              <w:adjustRightInd w:val="0"/>
              <w:rPr>
                <w:rFonts w:cs="Arial"/>
                <w:sz w:val="22"/>
                <w:szCs w:val="22"/>
              </w:rPr>
            </w:pPr>
            <w:r w:rsidRPr="002132F9">
              <w:rPr>
                <w:rFonts w:cs="Arial"/>
                <w:sz w:val="22"/>
                <w:szCs w:val="22"/>
              </w:rPr>
              <w:t>2</w:t>
            </w:r>
          </w:p>
        </w:tc>
        <w:tc>
          <w:tcPr>
            <w:tcW w:w="8784" w:type="dxa"/>
            <w:vAlign w:val="center"/>
          </w:tcPr>
          <w:p w14:paraId="47A74BE1" w14:textId="77777777" w:rsidR="00F0319C" w:rsidRPr="006C1FDD" w:rsidRDefault="00F0319C" w:rsidP="000E4C5B">
            <w:pPr>
              <w:autoSpaceDE w:val="0"/>
              <w:autoSpaceDN w:val="0"/>
              <w:adjustRightInd w:val="0"/>
              <w:rPr>
                <w:rFonts w:cs="Arial"/>
                <w:b/>
                <w:bCs/>
                <w:color w:val="FF0000"/>
                <w:sz w:val="22"/>
                <w:szCs w:val="22"/>
              </w:rPr>
            </w:pPr>
            <w:r w:rsidRPr="006C1FDD">
              <w:rPr>
                <w:rFonts w:cs="Arial"/>
                <w:b/>
                <w:bCs/>
                <w:sz w:val="22"/>
                <w:szCs w:val="22"/>
              </w:rPr>
              <w:t>UWTSD Research Data Management Policy</w:t>
            </w:r>
          </w:p>
        </w:tc>
        <w:tc>
          <w:tcPr>
            <w:tcW w:w="1134" w:type="dxa"/>
            <w:shd w:val="clear" w:color="auto" w:fill="BFBFBF" w:themeFill="background1" w:themeFillShade="BF"/>
            <w:vAlign w:val="center"/>
          </w:tcPr>
          <w:sdt>
            <w:sdtPr>
              <w:rPr>
                <w:rFonts w:cs="Arial"/>
                <w:b/>
                <w:bCs/>
                <w:sz w:val="22"/>
              </w:rPr>
              <w:id w:val="-2040961117"/>
              <w14:checkbox>
                <w14:checked w14:val="1"/>
                <w14:checkedState w14:val="2612" w14:font="MS Gothic"/>
                <w14:uncheckedState w14:val="2610" w14:font="MS Gothic"/>
              </w14:checkbox>
            </w:sdtPr>
            <w:sdtEndPr/>
            <w:sdtContent>
              <w:p w14:paraId="7816E195" w14:textId="77777777" w:rsidR="00F0319C" w:rsidRPr="004C3A0B" w:rsidRDefault="00F0319C" w:rsidP="000E4C5B">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r w:rsidR="00F0319C" w:rsidRPr="004C3A0B" w14:paraId="5A3961FC" w14:textId="77777777" w:rsidTr="000E4C5B">
        <w:trPr>
          <w:trHeight w:val="409"/>
        </w:trPr>
        <w:tc>
          <w:tcPr>
            <w:tcW w:w="562" w:type="dxa"/>
            <w:vAlign w:val="center"/>
          </w:tcPr>
          <w:p w14:paraId="42977A55" w14:textId="77777777" w:rsidR="00F0319C" w:rsidRPr="002132F9" w:rsidRDefault="00F0319C" w:rsidP="000E4C5B">
            <w:pPr>
              <w:autoSpaceDE w:val="0"/>
              <w:autoSpaceDN w:val="0"/>
              <w:adjustRightInd w:val="0"/>
              <w:rPr>
                <w:rFonts w:cs="Arial"/>
                <w:sz w:val="22"/>
                <w:szCs w:val="22"/>
              </w:rPr>
            </w:pPr>
            <w:r w:rsidRPr="002132F9">
              <w:rPr>
                <w:rFonts w:cs="Arial"/>
                <w:sz w:val="22"/>
                <w:szCs w:val="22"/>
              </w:rPr>
              <w:t>3</w:t>
            </w:r>
          </w:p>
        </w:tc>
        <w:tc>
          <w:tcPr>
            <w:tcW w:w="8784" w:type="dxa"/>
            <w:vAlign w:val="center"/>
          </w:tcPr>
          <w:p w14:paraId="483CEC64" w14:textId="77777777" w:rsidR="00F0319C" w:rsidRPr="001B41AD" w:rsidRDefault="00F0319C" w:rsidP="000E4C5B">
            <w:pPr>
              <w:autoSpaceDE w:val="0"/>
              <w:autoSpaceDN w:val="0"/>
              <w:adjustRightInd w:val="0"/>
              <w:rPr>
                <w:rFonts w:cs="Arial"/>
                <w:b/>
                <w:bCs/>
                <w:iCs/>
                <w:sz w:val="22"/>
                <w:szCs w:val="22"/>
              </w:rPr>
            </w:pPr>
          </w:p>
        </w:tc>
        <w:tc>
          <w:tcPr>
            <w:tcW w:w="1134" w:type="dxa"/>
            <w:shd w:val="clear" w:color="auto" w:fill="BFBFBF" w:themeFill="background1" w:themeFillShade="BF"/>
            <w:vAlign w:val="center"/>
          </w:tcPr>
          <w:sdt>
            <w:sdtPr>
              <w:rPr>
                <w:rFonts w:cs="Arial"/>
                <w:b/>
                <w:bCs/>
                <w:sz w:val="22"/>
              </w:rPr>
              <w:id w:val="-2087453121"/>
              <w14:checkbox>
                <w14:checked w14:val="0"/>
                <w14:checkedState w14:val="2612" w14:font="MS Gothic"/>
                <w14:uncheckedState w14:val="2610" w14:font="MS Gothic"/>
              </w14:checkbox>
            </w:sdtPr>
            <w:sdtEndPr/>
            <w:sdtContent>
              <w:p w14:paraId="6445862D" w14:textId="77777777" w:rsidR="00F0319C" w:rsidRPr="004C3A0B" w:rsidRDefault="00F0319C" w:rsidP="000E4C5B">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r w:rsidR="00F0319C" w:rsidRPr="004C3A0B" w14:paraId="4D6C09C8" w14:textId="77777777" w:rsidTr="000E4C5B">
        <w:trPr>
          <w:trHeight w:val="409"/>
        </w:trPr>
        <w:tc>
          <w:tcPr>
            <w:tcW w:w="562" w:type="dxa"/>
            <w:vAlign w:val="center"/>
          </w:tcPr>
          <w:p w14:paraId="6670E121" w14:textId="77777777" w:rsidR="00F0319C" w:rsidRPr="002132F9" w:rsidRDefault="00F0319C" w:rsidP="000E4C5B">
            <w:pPr>
              <w:autoSpaceDE w:val="0"/>
              <w:autoSpaceDN w:val="0"/>
              <w:adjustRightInd w:val="0"/>
              <w:rPr>
                <w:rFonts w:cs="Arial"/>
                <w:sz w:val="22"/>
                <w:szCs w:val="22"/>
              </w:rPr>
            </w:pPr>
            <w:r>
              <w:rPr>
                <w:rFonts w:cs="Arial"/>
                <w:sz w:val="22"/>
                <w:szCs w:val="22"/>
              </w:rPr>
              <w:t>4</w:t>
            </w:r>
          </w:p>
        </w:tc>
        <w:tc>
          <w:tcPr>
            <w:tcW w:w="8784" w:type="dxa"/>
            <w:vAlign w:val="center"/>
          </w:tcPr>
          <w:p w14:paraId="13798E00" w14:textId="77777777" w:rsidR="00F0319C" w:rsidRPr="004C3A0B" w:rsidRDefault="00F0319C" w:rsidP="000E4C5B">
            <w:pPr>
              <w:autoSpaceDE w:val="0"/>
              <w:autoSpaceDN w:val="0"/>
              <w:adjustRightInd w:val="0"/>
              <w:rPr>
                <w:rFonts w:cs="Arial"/>
                <w:b/>
                <w:bCs/>
                <w:i/>
                <w:sz w:val="22"/>
                <w:szCs w:val="22"/>
              </w:rPr>
            </w:pPr>
          </w:p>
        </w:tc>
        <w:tc>
          <w:tcPr>
            <w:tcW w:w="1134" w:type="dxa"/>
            <w:shd w:val="clear" w:color="auto" w:fill="BFBFBF" w:themeFill="background1" w:themeFillShade="BF"/>
            <w:vAlign w:val="center"/>
          </w:tcPr>
          <w:sdt>
            <w:sdtPr>
              <w:rPr>
                <w:rFonts w:cs="Arial"/>
                <w:b/>
                <w:bCs/>
                <w:sz w:val="22"/>
              </w:rPr>
              <w:id w:val="-1002195764"/>
              <w14:checkbox>
                <w14:checked w14:val="0"/>
                <w14:checkedState w14:val="2612" w14:font="MS Gothic"/>
                <w14:uncheckedState w14:val="2610" w14:font="MS Gothic"/>
              </w14:checkbox>
            </w:sdtPr>
            <w:sdtEndPr/>
            <w:sdtContent>
              <w:p w14:paraId="394955C4" w14:textId="77777777" w:rsidR="00F0319C" w:rsidRDefault="00F0319C" w:rsidP="000E4C5B">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bl>
    <w:p w14:paraId="44C025BB" w14:textId="77777777" w:rsidR="00F0319C" w:rsidRDefault="00F0319C" w:rsidP="00F0319C">
      <w:pPr>
        <w:autoSpaceDE w:val="0"/>
        <w:autoSpaceDN w:val="0"/>
        <w:adjustRightInd w:val="0"/>
        <w:spacing w:after="240"/>
        <w:rPr>
          <w:rFonts w:cs="Arial"/>
          <w:b/>
          <w:sz w:val="22"/>
        </w:rPr>
      </w:pPr>
    </w:p>
    <w:p w14:paraId="1A745C3D" w14:textId="77777777" w:rsidR="00F0319C" w:rsidRPr="004C3A0B" w:rsidRDefault="00F0319C" w:rsidP="00F0319C">
      <w:pPr>
        <w:autoSpaceDE w:val="0"/>
        <w:autoSpaceDN w:val="0"/>
        <w:adjustRightInd w:val="0"/>
        <w:spacing w:after="240"/>
        <w:rPr>
          <w:rFonts w:cs="Arial"/>
          <w:b/>
          <w:sz w:val="22"/>
        </w:rPr>
      </w:pPr>
      <w:r w:rsidRPr="004C3A0B">
        <w:rPr>
          <w:rFonts w:cs="Arial"/>
          <w:b/>
          <w:sz w:val="22"/>
        </w:rPr>
        <w:t xml:space="preserve">SECTION </w:t>
      </w:r>
      <w:r>
        <w:rPr>
          <w:rFonts w:cs="Arial"/>
          <w:b/>
          <w:sz w:val="22"/>
        </w:rPr>
        <w:t>C</w:t>
      </w:r>
      <w:r w:rsidRPr="004C3A0B">
        <w:rPr>
          <w:rFonts w:cs="Arial"/>
          <w:b/>
          <w:sz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45"/>
        <w:gridCol w:w="1445"/>
        <w:gridCol w:w="2932"/>
        <w:gridCol w:w="1521"/>
        <w:gridCol w:w="3043"/>
      </w:tblGrid>
      <w:tr w:rsidR="00F0319C" w:rsidRPr="004C3A0B" w14:paraId="07B0618C" w14:textId="77777777" w:rsidTr="000E4C5B">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0359D0" w14:textId="77777777" w:rsidR="00F0319C" w:rsidRPr="00D66471" w:rsidRDefault="00F0319C" w:rsidP="000E4C5B">
            <w:pPr>
              <w:rPr>
                <w:rFonts w:cs="Arial"/>
                <w:sz w:val="22"/>
              </w:rPr>
            </w:pPr>
            <w:r w:rsidRPr="00D66471">
              <w:rPr>
                <w:rFonts w:cs="Arial"/>
                <w:sz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996F9C" w14:textId="77777777" w:rsidR="00F0319C" w:rsidRPr="004C3A0B" w:rsidRDefault="00F0319C" w:rsidP="000E4C5B">
            <w:pPr>
              <w:rPr>
                <w:rFonts w:cs="Arial"/>
                <w:sz w:val="22"/>
              </w:rPr>
            </w:pPr>
            <w:r w:rsidRPr="004C3A0B">
              <w:rPr>
                <w:rFonts w:cs="Arial"/>
                <w:sz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D5B6EA5" w14:textId="77777777" w:rsidR="00F0319C" w:rsidRPr="004C3A0B" w:rsidRDefault="00F0319C" w:rsidP="000E4C5B">
            <w:pPr>
              <w:rPr>
                <w:rFonts w:cs="Arial"/>
                <w:sz w:val="22"/>
              </w:rPr>
            </w:pPr>
            <w:r w:rsidRPr="00302075">
              <w:rPr>
                <w:rFonts w:cs="Arial"/>
                <w:sz w:val="22"/>
              </w:rPr>
              <w:t>Evaluating the Impact of Environmental, Social and Governance (ESG) Strategy on Corporate Reputation and Long-Term Competitive Advantage: A Secondary Study of the UK Consumer Goods Industry</w:t>
            </w:r>
          </w:p>
        </w:tc>
      </w:tr>
      <w:tr w:rsidR="00F0319C" w:rsidRPr="004C3A0B" w14:paraId="2269A994" w14:textId="77777777" w:rsidTr="000E4C5B">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9AF4C7" w14:textId="77777777" w:rsidR="00F0319C" w:rsidRPr="00D66471" w:rsidRDefault="00F0319C" w:rsidP="000E4C5B">
            <w:pPr>
              <w:rPr>
                <w:rFonts w:cs="Arial"/>
                <w:sz w:val="22"/>
              </w:rPr>
            </w:pPr>
            <w:r w:rsidRPr="00D66471">
              <w:rPr>
                <w:rFonts w:cs="Arial"/>
                <w:sz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AD439F" w14:textId="77777777" w:rsidR="00F0319C" w:rsidRPr="00D839CD" w:rsidRDefault="00F0319C" w:rsidP="000E4C5B">
            <w:pPr>
              <w:rPr>
                <w:rFonts w:cs="Arial"/>
                <w:sz w:val="22"/>
              </w:rPr>
            </w:pPr>
            <w:r w:rsidRPr="00D839CD">
              <w:rPr>
                <w:rFonts w:cs="Arial"/>
                <w:sz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6D07EF9E" w14:textId="77777777" w:rsidR="00F0319C" w:rsidRPr="00D839CD" w:rsidRDefault="00F0319C" w:rsidP="000E4C5B">
            <w:pPr>
              <w:rPr>
                <w:rFonts w:cs="Arial"/>
                <w:sz w:val="22"/>
              </w:rPr>
            </w:pPr>
            <w:r w:rsidRPr="00C95E04">
              <w:rPr>
                <w:rFonts w:cs="Arial"/>
                <w:sz w:val="22"/>
              </w:rPr>
              <w:t>25</w:t>
            </w:r>
            <w:r w:rsidRPr="00C95E04">
              <w:rPr>
                <w:rFonts w:cs="Arial"/>
                <w:sz w:val="22"/>
                <w:vertAlign w:val="superscript"/>
              </w:rPr>
              <w:t>th</w:t>
            </w:r>
            <w:r w:rsidRPr="00C95E04">
              <w:rPr>
                <w:rFonts w:cs="Arial"/>
                <w:sz w:val="22"/>
              </w:rPr>
              <w:t xml:space="preserve"> June</w:t>
            </w:r>
            <w:r>
              <w:rPr>
                <w:rFonts w:cs="Arial"/>
                <w:sz w:val="22"/>
              </w:rPr>
              <w:t>,</w:t>
            </w:r>
            <w:r w:rsidRPr="00C95E04">
              <w:rPr>
                <w:rFonts w:cs="Arial"/>
                <w:sz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807DD4" w14:textId="77777777" w:rsidR="00F0319C" w:rsidRPr="00D839CD" w:rsidRDefault="00F0319C" w:rsidP="000E4C5B">
            <w:pPr>
              <w:rPr>
                <w:rFonts w:cs="Arial"/>
                <w:sz w:val="22"/>
              </w:rPr>
            </w:pPr>
            <w:r w:rsidRPr="00D839CD">
              <w:rPr>
                <w:rFonts w:cs="Arial"/>
                <w:sz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30680A8E" w14:textId="77777777" w:rsidR="00F0319C" w:rsidRPr="004C3A0B" w:rsidRDefault="00F0319C" w:rsidP="000E4C5B">
            <w:pPr>
              <w:rPr>
                <w:rFonts w:cs="Arial"/>
                <w:sz w:val="22"/>
              </w:rPr>
            </w:pPr>
            <w:r w:rsidRPr="00C95E04">
              <w:rPr>
                <w:rFonts w:cs="Arial"/>
                <w:sz w:val="22"/>
              </w:rPr>
              <w:t>20</w:t>
            </w:r>
            <w:r w:rsidRPr="00C95E04">
              <w:rPr>
                <w:rFonts w:cs="Arial"/>
                <w:sz w:val="22"/>
                <w:vertAlign w:val="superscript"/>
              </w:rPr>
              <w:t>th</w:t>
            </w:r>
            <w:r w:rsidRPr="00C95E04">
              <w:rPr>
                <w:rFonts w:cs="Arial"/>
                <w:sz w:val="22"/>
              </w:rPr>
              <w:t xml:space="preserve"> September</w:t>
            </w:r>
            <w:r>
              <w:rPr>
                <w:rFonts w:cs="Arial"/>
                <w:sz w:val="22"/>
              </w:rPr>
              <w:t>,</w:t>
            </w:r>
            <w:r w:rsidRPr="00C95E04">
              <w:rPr>
                <w:rFonts w:cs="Arial"/>
                <w:sz w:val="22"/>
              </w:rPr>
              <w:t xml:space="preserve"> 2026</w:t>
            </w:r>
          </w:p>
        </w:tc>
      </w:tr>
      <w:tr w:rsidR="00F0319C" w:rsidRPr="004C3A0B" w14:paraId="628BD2D9" w14:textId="77777777" w:rsidTr="000E4C5B">
        <w:trPr>
          <w:trHeight w:val="454"/>
        </w:trPr>
        <w:tc>
          <w:tcPr>
            <w:tcW w:w="237" w:type="pct"/>
            <w:tcBorders>
              <w:top w:val="single" w:sz="4" w:space="0" w:color="auto"/>
            </w:tcBorders>
            <w:shd w:val="clear" w:color="auto" w:fill="F2F2F2" w:themeFill="background1" w:themeFillShade="F2"/>
            <w:vAlign w:val="center"/>
          </w:tcPr>
          <w:p w14:paraId="4A9B4AE3" w14:textId="77777777" w:rsidR="00F0319C" w:rsidRPr="002132F9" w:rsidRDefault="00F0319C" w:rsidP="000E4C5B">
            <w:pPr>
              <w:spacing w:before="120"/>
              <w:rPr>
                <w:rFonts w:cs="Arial"/>
                <w:sz w:val="22"/>
              </w:rPr>
            </w:pPr>
          </w:p>
        </w:tc>
        <w:tc>
          <w:tcPr>
            <w:tcW w:w="4763" w:type="pct"/>
            <w:gridSpan w:val="4"/>
            <w:tcBorders>
              <w:top w:val="single" w:sz="4" w:space="0" w:color="auto"/>
            </w:tcBorders>
            <w:shd w:val="clear" w:color="auto" w:fill="F2F2F2" w:themeFill="background1" w:themeFillShade="F2"/>
            <w:vAlign w:val="center"/>
          </w:tcPr>
          <w:p w14:paraId="4294C22D" w14:textId="77777777" w:rsidR="00F0319C" w:rsidRDefault="00F0319C" w:rsidP="000E4C5B">
            <w:pPr>
              <w:spacing w:before="120"/>
              <w:rPr>
                <w:rFonts w:cs="Arial"/>
                <w:b/>
                <w:sz w:val="22"/>
              </w:rPr>
            </w:pPr>
            <w:r>
              <w:rPr>
                <w:rFonts w:cs="Arial"/>
                <w:b/>
                <w:sz w:val="22"/>
              </w:rPr>
              <w:t>Introduction to the Research (maximum 300 words in each section)</w:t>
            </w:r>
          </w:p>
          <w:p w14:paraId="5FEA1EC6" w14:textId="77777777" w:rsidR="00F0319C" w:rsidRPr="009D2E0B" w:rsidRDefault="00F0319C" w:rsidP="000E4C5B">
            <w:pPr>
              <w:spacing w:before="120"/>
              <w:rPr>
                <w:rFonts w:cs="Arial"/>
                <w:b/>
                <w:sz w:val="22"/>
              </w:rPr>
            </w:pPr>
            <w:r w:rsidRPr="009D2E0B">
              <w:rPr>
                <w:rFonts w:cs="Arial"/>
                <w:b/>
                <w:sz w:val="22"/>
              </w:rPr>
              <w:t xml:space="preserve">Ensure that you write for a </w:t>
            </w:r>
            <w:r w:rsidRPr="009D2E0B">
              <w:rPr>
                <w:rFonts w:cs="Arial"/>
                <w:b/>
                <w:sz w:val="22"/>
                <w:u w:val="single"/>
              </w:rPr>
              <w:t>Non-Specialist Audience</w:t>
            </w:r>
            <w:r w:rsidRPr="009D2E0B">
              <w:rPr>
                <w:rFonts w:cs="Arial"/>
                <w:b/>
                <w:sz w:val="22"/>
              </w:rPr>
              <w:t xml:space="preserve"> </w:t>
            </w:r>
            <w:r>
              <w:rPr>
                <w:rFonts w:cs="Arial"/>
                <w:b/>
                <w:sz w:val="22"/>
              </w:rPr>
              <w:t>when outlining your response to the three points below:</w:t>
            </w:r>
          </w:p>
          <w:p w14:paraId="33AB7762" w14:textId="77777777" w:rsidR="00F0319C" w:rsidRPr="006C1FDD" w:rsidRDefault="00F0319C" w:rsidP="00F0319C">
            <w:pPr>
              <w:pStyle w:val="ListParagraph"/>
              <w:numPr>
                <w:ilvl w:val="0"/>
                <w:numId w:val="29"/>
              </w:numPr>
              <w:suppressAutoHyphens w:val="0"/>
              <w:spacing w:after="0" w:line="240" w:lineRule="auto"/>
              <w:contextualSpacing w:val="0"/>
              <w:jc w:val="left"/>
              <w:rPr>
                <w:rFonts w:cs="Arial"/>
                <w:i/>
              </w:rPr>
            </w:pPr>
            <w:r w:rsidRPr="006C1FDD">
              <w:rPr>
                <w:rFonts w:cs="Arial"/>
                <w:i/>
              </w:rPr>
              <w:t>Purpose of Research Activity</w:t>
            </w:r>
          </w:p>
          <w:p w14:paraId="540FC231" w14:textId="77777777" w:rsidR="00F0319C" w:rsidRPr="006C1FDD" w:rsidRDefault="00F0319C" w:rsidP="00F0319C">
            <w:pPr>
              <w:pStyle w:val="ListParagraph"/>
              <w:numPr>
                <w:ilvl w:val="0"/>
                <w:numId w:val="29"/>
              </w:numPr>
              <w:suppressAutoHyphens w:val="0"/>
              <w:spacing w:after="0" w:line="240" w:lineRule="auto"/>
              <w:contextualSpacing w:val="0"/>
              <w:jc w:val="left"/>
              <w:rPr>
                <w:rFonts w:cs="Arial"/>
                <w:i/>
              </w:rPr>
            </w:pPr>
            <w:r w:rsidRPr="006C1FDD">
              <w:rPr>
                <w:rFonts w:cs="Arial"/>
                <w:i/>
              </w:rPr>
              <w:t>Proposed Research Question</w:t>
            </w:r>
          </w:p>
          <w:p w14:paraId="7B99B899" w14:textId="77777777" w:rsidR="00F0319C" w:rsidRPr="009D2E0B" w:rsidRDefault="00F0319C" w:rsidP="00F0319C">
            <w:pPr>
              <w:pStyle w:val="ListParagraph"/>
              <w:numPr>
                <w:ilvl w:val="0"/>
                <w:numId w:val="29"/>
              </w:numPr>
              <w:suppressAutoHyphens w:val="0"/>
              <w:spacing w:after="0" w:line="240" w:lineRule="auto"/>
              <w:contextualSpacing w:val="0"/>
              <w:jc w:val="left"/>
              <w:rPr>
                <w:rFonts w:cs="Arial"/>
                <w:i/>
              </w:rPr>
            </w:pPr>
            <w:r w:rsidRPr="009D2E0B">
              <w:rPr>
                <w:rFonts w:cs="Arial"/>
                <w:i/>
              </w:rPr>
              <w:t>Aims of Research Activity</w:t>
            </w:r>
          </w:p>
          <w:p w14:paraId="534BCDE0" w14:textId="77777777" w:rsidR="00F0319C" w:rsidRPr="009D2E0B" w:rsidRDefault="00F0319C" w:rsidP="00F0319C">
            <w:pPr>
              <w:pStyle w:val="ListParagraph"/>
              <w:numPr>
                <w:ilvl w:val="0"/>
                <w:numId w:val="29"/>
              </w:numPr>
              <w:suppressAutoHyphens w:val="0"/>
              <w:spacing w:after="0" w:line="240" w:lineRule="auto"/>
              <w:ind w:left="714" w:hanging="357"/>
              <w:contextualSpacing w:val="0"/>
              <w:jc w:val="left"/>
              <w:rPr>
                <w:rFonts w:cs="Arial"/>
                <w:i/>
              </w:rPr>
            </w:pPr>
            <w:r w:rsidRPr="009D2E0B">
              <w:rPr>
                <w:rFonts w:cs="Arial"/>
                <w:i/>
              </w:rPr>
              <w:t>Objectives of Research Activity</w:t>
            </w:r>
          </w:p>
          <w:p w14:paraId="1E25F3CD" w14:textId="77777777" w:rsidR="00F0319C" w:rsidRDefault="00F0319C" w:rsidP="000E4C5B">
            <w:pPr>
              <w:rPr>
                <w:rFonts w:cs="Arial"/>
                <w:sz w:val="22"/>
              </w:rPr>
            </w:pPr>
            <w:r>
              <w:rPr>
                <w:rFonts w:cs="Arial"/>
                <w:sz w:val="22"/>
              </w:rPr>
              <w:t>Demonstrate,</w:t>
            </w:r>
            <w:r w:rsidRPr="004C3A0B">
              <w:rPr>
                <w:rFonts w:cs="Arial"/>
                <w:sz w:val="22"/>
              </w:rPr>
              <w:t xml:space="preserve"> briefly</w:t>
            </w:r>
            <w:r>
              <w:rPr>
                <w:rFonts w:cs="Arial"/>
                <w:sz w:val="22"/>
              </w:rPr>
              <w:t>,</w:t>
            </w:r>
            <w:r w:rsidRPr="004C3A0B">
              <w:rPr>
                <w:rFonts w:cs="Arial"/>
                <w:sz w:val="22"/>
              </w:rPr>
              <w:t xml:space="preserve"> how </w:t>
            </w:r>
            <w:r w:rsidRPr="009D2E0B">
              <w:rPr>
                <w:rFonts w:cs="Arial"/>
                <w:b/>
                <w:sz w:val="22"/>
                <w:u w:val="single"/>
              </w:rPr>
              <w:t>Existing Research</w:t>
            </w:r>
            <w:r w:rsidRPr="004C3A0B">
              <w:rPr>
                <w:rFonts w:cs="Arial"/>
                <w:sz w:val="22"/>
              </w:rPr>
              <w:t xml:space="preserve"> has informed the proposed activity and explain</w:t>
            </w:r>
          </w:p>
          <w:p w14:paraId="3106C8C1" w14:textId="77777777" w:rsidR="00F0319C" w:rsidRPr="009D2E0B" w:rsidRDefault="00F0319C" w:rsidP="00F0319C">
            <w:pPr>
              <w:pStyle w:val="ListParagraph"/>
              <w:numPr>
                <w:ilvl w:val="0"/>
                <w:numId w:val="29"/>
              </w:numPr>
              <w:suppressAutoHyphens w:val="0"/>
              <w:spacing w:after="0" w:line="240" w:lineRule="auto"/>
              <w:contextualSpacing w:val="0"/>
              <w:jc w:val="left"/>
              <w:rPr>
                <w:rFonts w:cs="Arial"/>
                <w:i/>
              </w:rPr>
            </w:pPr>
            <w:r w:rsidRPr="009D2E0B">
              <w:rPr>
                <w:rFonts w:cs="Arial"/>
                <w:i/>
              </w:rPr>
              <w:t xml:space="preserve">What the research activity will add to the body of knowledge </w:t>
            </w:r>
          </w:p>
          <w:p w14:paraId="6C506050" w14:textId="77777777" w:rsidR="00F0319C" w:rsidRPr="009D2E0B" w:rsidRDefault="00F0319C" w:rsidP="00F0319C">
            <w:pPr>
              <w:pStyle w:val="ListParagraph"/>
              <w:numPr>
                <w:ilvl w:val="0"/>
                <w:numId w:val="29"/>
              </w:numPr>
              <w:suppressAutoHyphens w:val="0"/>
              <w:spacing w:after="0" w:line="240" w:lineRule="auto"/>
              <w:contextualSpacing w:val="0"/>
              <w:jc w:val="left"/>
              <w:rPr>
                <w:rFonts w:cs="Arial"/>
              </w:rPr>
            </w:pPr>
            <w:r w:rsidRPr="009D2E0B">
              <w:rPr>
                <w:rFonts w:cs="Arial"/>
                <w:i/>
              </w:rPr>
              <w:t xml:space="preserve">How it addresses an area of importance. </w:t>
            </w:r>
          </w:p>
        </w:tc>
      </w:tr>
      <w:tr w:rsidR="00F0319C" w:rsidRPr="004C3A0B" w:rsidDel="002A152D" w14:paraId="4543B4F2" w14:textId="77777777" w:rsidTr="000E4C5B">
        <w:trPr>
          <w:trHeight w:val="454"/>
        </w:trPr>
        <w:tc>
          <w:tcPr>
            <w:tcW w:w="237" w:type="pct"/>
            <w:vAlign w:val="center"/>
          </w:tcPr>
          <w:p w14:paraId="2924BD5A" w14:textId="77777777" w:rsidR="00F0319C" w:rsidRPr="002132F9" w:rsidRDefault="00F0319C" w:rsidP="000E4C5B">
            <w:pPr>
              <w:autoSpaceDE w:val="0"/>
              <w:autoSpaceDN w:val="0"/>
              <w:adjustRightInd w:val="0"/>
              <w:rPr>
                <w:rFonts w:cs="Arial"/>
                <w:sz w:val="22"/>
              </w:rPr>
            </w:pPr>
            <w:r>
              <w:rPr>
                <w:rFonts w:cs="Arial"/>
                <w:sz w:val="22"/>
              </w:rPr>
              <w:t>3</w:t>
            </w:r>
          </w:p>
        </w:tc>
        <w:tc>
          <w:tcPr>
            <w:tcW w:w="4763" w:type="pct"/>
            <w:gridSpan w:val="4"/>
            <w:vAlign w:val="center"/>
          </w:tcPr>
          <w:p w14:paraId="0180FC77" w14:textId="77777777" w:rsidR="00F0319C" w:rsidRPr="009D2E0B" w:rsidRDefault="00F0319C" w:rsidP="000E4C5B">
            <w:pPr>
              <w:autoSpaceDE w:val="0"/>
              <w:autoSpaceDN w:val="0"/>
              <w:adjustRightInd w:val="0"/>
              <w:rPr>
                <w:rFonts w:cs="Arial"/>
                <w:b/>
                <w:bCs/>
                <w:sz w:val="22"/>
              </w:rPr>
            </w:pPr>
            <w:r w:rsidRPr="009D2E0B">
              <w:rPr>
                <w:rFonts w:cs="Arial"/>
                <w:b/>
                <w:bCs/>
                <w:sz w:val="22"/>
              </w:rPr>
              <w:t>Purpose of Research Activity</w:t>
            </w:r>
          </w:p>
          <w:p w14:paraId="4C6221BE" w14:textId="77777777" w:rsidR="00F0319C" w:rsidRPr="00C95E04" w:rsidRDefault="00F0319C" w:rsidP="000E4C5B">
            <w:pPr>
              <w:rPr>
                <w:rFonts w:cs="Arial"/>
              </w:rPr>
            </w:pPr>
          </w:p>
          <w:p w14:paraId="6BB55EEC" w14:textId="77777777" w:rsidR="00F0319C" w:rsidRDefault="00F0319C" w:rsidP="000E4C5B">
            <w:pPr>
              <w:rPr>
                <w:rFonts w:cs="Arial"/>
              </w:rPr>
            </w:pPr>
            <w:r w:rsidRPr="00532EDC">
              <w:rPr>
                <w:rFonts w:cs="Arial"/>
              </w:rPr>
              <w:t>The purpose of this research activity is to critically evaluate how Environmental, Social and Governance (ESG) strategy influences corporate reputation and contributes to long-term competitive advantage within the UK consumer goods industry through a secondary analysis of documentary evidence. The study aims to synthesise recent academic literature and analyse publicly available corporate reports, sustainability disclosures, governance statements and industry publications from selected UK-listed consumer goods companies between 2020 and 2025. It seeks to identify the mechanisms through which ESG initiatives shape stakeholder trust, organisational legitimacy, innovation, operational efficiency and competitive positioning. The research also examines how factors such as materiality, transparency, greenwashing risk, regulatory developments and consumer affordability affect the effectiveness of ESG strategies. By integrating Stakeholder Theory, the Resource-Based View, Legitimacy Theory and Critical Realism, the study intends to provide evidence-based insights for managers, policymakers and academics, demonstrating how credible and strategically embedded ESG practices can support sustainable organisational performance and long-term business success</w:t>
            </w:r>
            <w:r w:rsidRPr="00C95E04">
              <w:rPr>
                <w:rFonts w:cs="Arial"/>
              </w:rPr>
              <w:t>.</w:t>
            </w:r>
          </w:p>
          <w:p w14:paraId="2807746E" w14:textId="77777777" w:rsidR="00F0319C" w:rsidRDefault="00F0319C" w:rsidP="000E4C5B">
            <w:pPr>
              <w:rPr>
                <w:rFonts w:cs="Arial"/>
              </w:rPr>
            </w:pPr>
          </w:p>
          <w:p w14:paraId="410A5AA1" w14:textId="77777777" w:rsidR="00F0319C" w:rsidRPr="002A152D" w:rsidDel="00425DA7" w:rsidRDefault="00F0319C" w:rsidP="000E4C5B">
            <w:pPr>
              <w:rPr>
                <w:rFonts w:cs="Arial"/>
              </w:rPr>
            </w:pPr>
          </w:p>
        </w:tc>
      </w:tr>
      <w:tr w:rsidR="00F0319C" w:rsidRPr="006C1FDD" w:rsidDel="002A152D" w14:paraId="73D317AC" w14:textId="77777777" w:rsidTr="000E4C5B">
        <w:trPr>
          <w:trHeight w:val="454"/>
        </w:trPr>
        <w:tc>
          <w:tcPr>
            <w:tcW w:w="237" w:type="pct"/>
            <w:vAlign w:val="center"/>
          </w:tcPr>
          <w:p w14:paraId="51817550" w14:textId="77777777" w:rsidR="00F0319C" w:rsidRPr="002132F9" w:rsidRDefault="00F0319C" w:rsidP="000E4C5B">
            <w:pPr>
              <w:autoSpaceDE w:val="0"/>
              <w:autoSpaceDN w:val="0"/>
              <w:adjustRightInd w:val="0"/>
              <w:rPr>
                <w:rFonts w:cs="Arial"/>
                <w:sz w:val="22"/>
              </w:rPr>
            </w:pPr>
            <w:r>
              <w:rPr>
                <w:rFonts w:cs="Arial"/>
                <w:sz w:val="22"/>
              </w:rPr>
              <w:lastRenderedPageBreak/>
              <w:t>4</w:t>
            </w:r>
          </w:p>
        </w:tc>
        <w:tc>
          <w:tcPr>
            <w:tcW w:w="4763" w:type="pct"/>
            <w:gridSpan w:val="4"/>
            <w:vAlign w:val="center"/>
          </w:tcPr>
          <w:p w14:paraId="6E7E7040" w14:textId="77777777" w:rsidR="00F0319C" w:rsidRPr="006C1FDD" w:rsidRDefault="00F0319C" w:rsidP="000E4C5B">
            <w:pPr>
              <w:autoSpaceDE w:val="0"/>
              <w:autoSpaceDN w:val="0"/>
              <w:adjustRightInd w:val="0"/>
              <w:rPr>
                <w:rFonts w:cs="Arial"/>
                <w:b/>
                <w:bCs/>
                <w:sz w:val="22"/>
              </w:rPr>
            </w:pPr>
            <w:r w:rsidRPr="006C1FDD">
              <w:rPr>
                <w:rFonts w:cs="Arial"/>
                <w:b/>
                <w:bCs/>
                <w:sz w:val="22"/>
              </w:rPr>
              <w:t>Research Question</w:t>
            </w:r>
          </w:p>
          <w:p w14:paraId="03A54090" w14:textId="77777777" w:rsidR="00F0319C" w:rsidRPr="006C1FDD" w:rsidRDefault="00F0319C" w:rsidP="000E4C5B">
            <w:pPr>
              <w:rPr>
                <w:rFonts w:cs="Arial"/>
              </w:rPr>
            </w:pPr>
          </w:p>
          <w:p w14:paraId="75AA8AC8" w14:textId="77777777" w:rsidR="00F0319C" w:rsidRPr="00532EDC" w:rsidRDefault="00F0319C" w:rsidP="00F0319C">
            <w:pPr>
              <w:pStyle w:val="ListParagraph"/>
              <w:numPr>
                <w:ilvl w:val="0"/>
                <w:numId w:val="31"/>
              </w:numPr>
              <w:suppressAutoHyphens w:val="0"/>
              <w:spacing w:after="0" w:line="276" w:lineRule="auto"/>
              <w:jc w:val="left"/>
              <w:rPr>
                <w:rFonts w:cs="Arial"/>
              </w:rPr>
            </w:pPr>
            <w:r w:rsidRPr="00532EDC">
              <w:rPr>
                <w:rFonts w:cs="Arial"/>
              </w:rPr>
              <w:t>How do the selected UK consumer goods companies conceptualise, govern and implement their ESG strategy?</w:t>
            </w:r>
          </w:p>
          <w:p w14:paraId="2A9B1CE2" w14:textId="77777777" w:rsidR="00F0319C" w:rsidRPr="00532EDC" w:rsidRDefault="00F0319C" w:rsidP="00F0319C">
            <w:pPr>
              <w:pStyle w:val="ListParagraph"/>
              <w:numPr>
                <w:ilvl w:val="0"/>
                <w:numId w:val="31"/>
              </w:numPr>
              <w:suppressAutoHyphens w:val="0"/>
              <w:spacing w:after="0" w:line="276" w:lineRule="auto"/>
              <w:jc w:val="left"/>
              <w:rPr>
                <w:rFonts w:cs="Arial"/>
              </w:rPr>
            </w:pPr>
            <w:r w:rsidRPr="00532EDC">
              <w:rPr>
                <w:rFonts w:cs="Arial"/>
              </w:rPr>
              <w:t>How can ESG strategy impact corporate reputation with key stakeholders?</w:t>
            </w:r>
          </w:p>
          <w:p w14:paraId="1BAFD841" w14:textId="77777777" w:rsidR="00F0319C" w:rsidRPr="00532EDC" w:rsidRDefault="00F0319C" w:rsidP="00F0319C">
            <w:pPr>
              <w:pStyle w:val="ListParagraph"/>
              <w:numPr>
                <w:ilvl w:val="0"/>
                <w:numId w:val="31"/>
              </w:numPr>
              <w:suppressAutoHyphens w:val="0"/>
              <w:spacing w:after="0" w:line="276" w:lineRule="auto"/>
              <w:jc w:val="left"/>
              <w:rPr>
                <w:rFonts w:cs="Arial"/>
              </w:rPr>
            </w:pPr>
            <w:r w:rsidRPr="00532EDC">
              <w:rPr>
                <w:rFonts w:cs="Arial"/>
              </w:rPr>
              <w:t>How well are indicators of long-term competitive advantage correlated with a stronger reputational position?</w:t>
            </w:r>
          </w:p>
          <w:p w14:paraId="4407FA66" w14:textId="77777777" w:rsidR="00F0319C" w:rsidRPr="00CD05E9" w:rsidRDefault="00F0319C" w:rsidP="00F0319C">
            <w:pPr>
              <w:pStyle w:val="ListParagraph"/>
              <w:numPr>
                <w:ilvl w:val="0"/>
                <w:numId w:val="31"/>
              </w:numPr>
              <w:suppressAutoHyphens w:val="0"/>
              <w:spacing w:after="0" w:line="276" w:lineRule="auto"/>
              <w:jc w:val="left"/>
              <w:rPr>
                <w:rFonts w:cs="Arial"/>
              </w:rPr>
            </w:pPr>
            <w:r w:rsidRPr="00532EDC">
              <w:rPr>
                <w:rFonts w:cs="Arial"/>
              </w:rPr>
              <w:t>What conditions, such as materiality, assurance, greenwashing risk, regulation, portfolio composition and affordability enhance or detract from these relationships</w:t>
            </w:r>
            <w:r w:rsidRPr="00CD05E9">
              <w:rPr>
                <w:rFonts w:cs="Arial"/>
              </w:rPr>
              <w:t>?</w:t>
            </w:r>
          </w:p>
          <w:p w14:paraId="011DEB28" w14:textId="77777777" w:rsidR="00F0319C" w:rsidRPr="006C1FDD" w:rsidRDefault="00F0319C" w:rsidP="000E4C5B">
            <w:pPr>
              <w:autoSpaceDE w:val="0"/>
              <w:autoSpaceDN w:val="0"/>
              <w:adjustRightInd w:val="0"/>
              <w:rPr>
                <w:rFonts w:cs="Arial"/>
                <w:b/>
                <w:bCs/>
                <w:sz w:val="22"/>
              </w:rPr>
            </w:pPr>
          </w:p>
        </w:tc>
      </w:tr>
      <w:tr w:rsidR="00F0319C" w:rsidRPr="004C3A0B" w14:paraId="34E48588" w14:textId="77777777" w:rsidTr="000E4C5B">
        <w:trPr>
          <w:trHeight w:val="454"/>
        </w:trPr>
        <w:tc>
          <w:tcPr>
            <w:tcW w:w="237" w:type="pct"/>
            <w:vAlign w:val="center"/>
          </w:tcPr>
          <w:p w14:paraId="04401FE5" w14:textId="77777777" w:rsidR="00F0319C" w:rsidRPr="002132F9" w:rsidRDefault="00F0319C" w:rsidP="000E4C5B">
            <w:pPr>
              <w:autoSpaceDE w:val="0"/>
              <w:autoSpaceDN w:val="0"/>
              <w:adjustRightInd w:val="0"/>
              <w:rPr>
                <w:rFonts w:cs="Arial"/>
                <w:sz w:val="22"/>
              </w:rPr>
            </w:pPr>
            <w:r>
              <w:rPr>
                <w:rFonts w:cs="Arial"/>
                <w:sz w:val="22"/>
              </w:rPr>
              <w:lastRenderedPageBreak/>
              <w:t>5</w:t>
            </w:r>
          </w:p>
        </w:tc>
        <w:tc>
          <w:tcPr>
            <w:tcW w:w="4763" w:type="pct"/>
            <w:gridSpan w:val="4"/>
            <w:vAlign w:val="center"/>
          </w:tcPr>
          <w:p w14:paraId="2B143D54" w14:textId="77777777" w:rsidR="00F0319C" w:rsidRPr="009D2E0B" w:rsidRDefault="00F0319C" w:rsidP="000E4C5B">
            <w:pPr>
              <w:autoSpaceDE w:val="0"/>
              <w:autoSpaceDN w:val="0"/>
              <w:adjustRightInd w:val="0"/>
              <w:rPr>
                <w:rFonts w:cs="Arial"/>
                <w:b/>
                <w:bCs/>
                <w:sz w:val="22"/>
              </w:rPr>
            </w:pPr>
            <w:r w:rsidRPr="009D2E0B">
              <w:rPr>
                <w:rFonts w:cs="Arial"/>
                <w:b/>
                <w:bCs/>
                <w:sz w:val="22"/>
              </w:rPr>
              <w:t>Aims of Research Activity</w:t>
            </w:r>
          </w:p>
          <w:p w14:paraId="42818EA4" w14:textId="77777777" w:rsidR="00F0319C" w:rsidRDefault="00F0319C" w:rsidP="000E4C5B">
            <w:pPr>
              <w:rPr>
                <w:rFonts w:cs="Arial"/>
              </w:rPr>
            </w:pPr>
          </w:p>
          <w:p w14:paraId="7F49FC38" w14:textId="77777777" w:rsidR="00F0319C" w:rsidRDefault="00F0319C" w:rsidP="000E4C5B">
            <w:pPr>
              <w:rPr>
                <w:rFonts w:cs="Arial"/>
                <w:sz w:val="22"/>
              </w:rPr>
            </w:pPr>
            <w:r w:rsidRPr="00532EDC">
              <w:rPr>
                <w:rFonts w:cs="Arial"/>
                <w:sz w:val="22"/>
              </w:rPr>
              <w:t>The aim of the research is to critically analyse the impact of ESG strategy on corporate reputation and its role in achieving long-term competitive advantage in the UK consumer goods sector by comparing Unilever, Reckitt, Diageo and ABF via secondary analysis</w:t>
            </w:r>
            <w:r w:rsidRPr="00CD05E9">
              <w:rPr>
                <w:rFonts w:cs="Arial"/>
                <w:sz w:val="22"/>
              </w:rPr>
              <w:t>.</w:t>
            </w:r>
          </w:p>
          <w:p w14:paraId="545DFDF5" w14:textId="77777777" w:rsidR="00F0319C" w:rsidRPr="00CD05E9" w:rsidRDefault="00F0319C" w:rsidP="000E4C5B">
            <w:pPr>
              <w:rPr>
                <w:rFonts w:cs="Arial"/>
                <w:sz w:val="22"/>
              </w:rPr>
            </w:pPr>
          </w:p>
        </w:tc>
      </w:tr>
      <w:tr w:rsidR="00F0319C" w:rsidRPr="004C3A0B" w14:paraId="40DF84AE" w14:textId="77777777" w:rsidTr="000E4C5B">
        <w:trPr>
          <w:trHeight w:val="454"/>
        </w:trPr>
        <w:tc>
          <w:tcPr>
            <w:tcW w:w="237" w:type="pct"/>
            <w:vAlign w:val="center"/>
          </w:tcPr>
          <w:p w14:paraId="3DE390F7" w14:textId="77777777" w:rsidR="00F0319C" w:rsidRPr="002132F9" w:rsidRDefault="00F0319C" w:rsidP="000E4C5B">
            <w:pPr>
              <w:autoSpaceDE w:val="0"/>
              <w:autoSpaceDN w:val="0"/>
              <w:adjustRightInd w:val="0"/>
              <w:rPr>
                <w:rFonts w:cs="Arial"/>
                <w:sz w:val="22"/>
              </w:rPr>
            </w:pPr>
            <w:r>
              <w:rPr>
                <w:rFonts w:cs="Arial"/>
                <w:sz w:val="22"/>
              </w:rPr>
              <w:t>6</w:t>
            </w:r>
          </w:p>
        </w:tc>
        <w:tc>
          <w:tcPr>
            <w:tcW w:w="4763" w:type="pct"/>
            <w:gridSpan w:val="4"/>
            <w:vAlign w:val="center"/>
          </w:tcPr>
          <w:p w14:paraId="5E3D3669" w14:textId="77777777" w:rsidR="00F0319C" w:rsidRPr="009D2E0B" w:rsidRDefault="00F0319C" w:rsidP="000E4C5B">
            <w:pPr>
              <w:autoSpaceDE w:val="0"/>
              <w:autoSpaceDN w:val="0"/>
              <w:adjustRightInd w:val="0"/>
              <w:rPr>
                <w:rFonts w:cs="Arial"/>
                <w:b/>
                <w:bCs/>
                <w:sz w:val="22"/>
              </w:rPr>
            </w:pPr>
            <w:r w:rsidRPr="009D2E0B">
              <w:rPr>
                <w:rFonts w:cs="Arial"/>
                <w:b/>
                <w:bCs/>
                <w:sz w:val="22"/>
              </w:rPr>
              <w:t>Objectives of Research Activity</w:t>
            </w:r>
          </w:p>
          <w:p w14:paraId="6D5D3C73" w14:textId="77777777" w:rsidR="00F0319C" w:rsidRDefault="00F0319C" w:rsidP="000E4C5B">
            <w:pPr>
              <w:rPr>
                <w:rFonts w:cs="Arial"/>
              </w:rPr>
            </w:pPr>
          </w:p>
          <w:p w14:paraId="2CE4ED9B" w14:textId="77777777" w:rsidR="00F0319C" w:rsidRPr="00520531" w:rsidRDefault="00F0319C" w:rsidP="00F0319C">
            <w:pPr>
              <w:pStyle w:val="ListParagraph"/>
              <w:numPr>
                <w:ilvl w:val="0"/>
                <w:numId w:val="35"/>
              </w:numPr>
              <w:suppressAutoHyphens w:val="0"/>
              <w:spacing w:after="0" w:line="276" w:lineRule="auto"/>
              <w:jc w:val="left"/>
              <w:rPr>
                <w:rFonts w:cs="Arial"/>
              </w:rPr>
            </w:pPr>
            <w:r w:rsidRPr="00520531">
              <w:rPr>
                <w:rFonts w:cs="Arial"/>
              </w:rPr>
              <w:t>To critically synthesize the latest theoretical and empirical research around the linkages between ESG strategy, corporate reputation and competitive advantage.</w:t>
            </w:r>
          </w:p>
          <w:p w14:paraId="657C2773" w14:textId="77777777" w:rsidR="00F0319C" w:rsidRPr="00520531" w:rsidRDefault="00F0319C" w:rsidP="00F0319C">
            <w:pPr>
              <w:pStyle w:val="ListParagraph"/>
              <w:numPr>
                <w:ilvl w:val="0"/>
                <w:numId w:val="35"/>
              </w:numPr>
              <w:suppressAutoHyphens w:val="0"/>
              <w:spacing w:after="0" w:line="276" w:lineRule="auto"/>
              <w:jc w:val="left"/>
              <w:rPr>
                <w:rFonts w:cs="Arial"/>
              </w:rPr>
            </w:pPr>
            <w:r w:rsidRPr="00520531">
              <w:rPr>
                <w:rFonts w:cs="Arial"/>
              </w:rPr>
              <w:t>To benchmark the substance of the ESG approaches, the credibility and strategic integration of these approaches in the four case companies.</w:t>
            </w:r>
          </w:p>
          <w:p w14:paraId="6702664E" w14:textId="77777777" w:rsidR="00F0319C" w:rsidRPr="00520531" w:rsidRDefault="00F0319C" w:rsidP="00F0319C">
            <w:pPr>
              <w:pStyle w:val="ListParagraph"/>
              <w:numPr>
                <w:ilvl w:val="0"/>
                <w:numId w:val="35"/>
              </w:numPr>
              <w:suppressAutoHyphens w:val="0"/>
              <w:spacing w:after="0" w:line="276" w:lineRule="auto"/>
              <w:jc w:val="left"/>
              <w:rPr>
                <w:rFonts w:cs="Arial"/>
              </w:rPr>
            </w:pPr>
            <w:r w:rsidRPr="00520531">
              <w:rPr>
                <w:rFonts w:cs="Arial"/>
              </w:rPr>
              <w:t>To assess how ESG can erode and/or bolster reputation and long-term benefit, such as trust, innovation, efficiency and resilience.</w:t>
            </w:r>
          </w:p>
          <w:p w14:paraId="621B9E05" w14:textId="77777777" w:rsidR="00F0319C" w:rsidRDefault="00F0319C" w:rsidP="00F0319C">
            <w:pPr>
              <w:pStyle w:val="ListParagraph"/>
              <w:numPr>
                <w:ilvl w:val="0"/>
                <w:numId w:val="35"/>
              </w:numPr>
              <w:suppressAutoHyphens w:val="0"/>
              <w:spacing w:after="0" w:line="276" w:lineRule="auto"/>
              <w:jc w:val="left"/>
              <w:rPr>
                <w:rFonts w:cs="Arial"/>
              </w:rPr>
            </w:pPr>
            <w:r w:rsidRPr="00520531">
              <w:rPr>
                <w:rFonts w:cs="Arial"/>
              </w:rPr>
              <w:t>To provide consumer goods managers with evidence based, forward-looking and material, credible and competitively relevant ESG strategy</w:t>
            </w:r>
            <w:r>
              <w:rPr>
                <w:rFonts w:cs="Arial"/>
              </w:rPr>
              <w:t>.</w:t>
            </w:r>
          </w:p>
          <w:p w14:paraId="5889FDEE" w14:textId="77777777" w:rsidR="00F0319C" w:rsidRPr="00CD05E9" w:rsidRDefault="00F0319C" w:rsidP="000E4C5B">
            <w:pPr>
              <w:ind w:left="360"/>
              <w:rPr>
                <w:rFonts w:cs="Arial"/>
              </w:rPr>
            </w:pPr>
          </w:p>
        </w:tc>
      </w:tr>
      <w:tr w:rsidR="00F0319C" w:rsidRPr="004C3A0B" w14:paraId="17DD00B1" w14:textId="77777777" w:rsidTr="000E4C5B">
        <w:trPr>
          <w:trHeight w:val="454"/>
        </w:trPr>
        <w:tc>
          <w:tcPr>
            <w:tcW w:w="237" w:type="pct"/>
            <w:shd w:val="clear" w:color="auto" w:fill="F2F2F2" w:themeFill="background1" w:themeFillShade="F2"/>
            <w:vAlign w:val="center"/>
          </w:tcPr>
          <w:p w14:paraId="59F1CC4B" w14:textId="77777777" w:rsidR="00F0319C" w:rsidRPr="002132F9" w:rsidRDefault="00F0319C" w:rsidP="000E4C5B">
            <w:pPr>
              <w:spacing w:before="120"/>
              <w:rPr>
                <w:rFonts w:cs="Arial"/>
                <w:sz w:val="22"/>
              </w:rPr>
            </w:pPr>
          </w:p>
        </w:tc>
        <w:tc>
          <w:tcPr>
            <w:tcW w:w="4763" w:type="pct"/>
            <w:gridSpan w:val="4"/>
            <w:shd w:val="clear" w:color="auto" w:fill="F2F2F2" w:themeFill="background1" w:themeFillShade="F2"/>
            <w:vAlign w:val="center"/>
          </w:tcPr>
          <w:p w14:paraId="2C374538" w14:textId="77777777" w:rsidR="00F0319C" w:rsidRPr="004C3A0B" w:rsidRDefault="00F0319C" w:rsidP="000E4C5B">
            <w:pPr>
              <w:spacing w:before="120"/>
              <w:rPr>
                <w:rFonts w:cs="Arial"/>
                <w:b/>
                <w:sz w:val="22"/>
              </w:rPr>
            </w:pPr>
            <w:r>
              <w:rPr>
                <w:rFonts w:cs="Arial"/>
                <w:b/>
                <w:sz w:val="22"/>
              </w:rPr>
              <w:t xml:space="preserve">Proposed data collection </w:t>
            </w:r>
            <w:r w:rsidRPr="004C3A0B">
              <w:rPr>
                <w:rFonts w:cs="Arial"/>
                <w:b/>
                <w:sz w:val="22"/>
              </w:rPr>
              <w:t>methods</w:t>
            </w:r>
            <w:r>
              <w:rPr>
                <w:rFonts w:cs="Arial"/>
                <w:b/>
                <w:sz w:val="22"/>
              </w:rPr>
              <w:t xml:space="preserve"> (maximum 600 words)</w:t>
            </w:r>
          </w:p>
          <w:p w14:paraId="5F67455E" w14:textId="77777777" w:rsidR="00F0319C" w:rsidRPr="004C3A0B" w:rsidRDefault="00F0319C" w:rsidP="000E4C5B">
            <w:pPr>
              <w:rPr>
                <w:rFonts w:cs="Arial"/>
                <w:sz w:val="22"/>
              </w:rPr>
            </w:pPr>
            <w:r w:rsidRPr="004C3A0B">
              <w:rPr>
                <w:rFonts w:cs="Arial"/>
                <w:sz w:val="22"/>
              </w:rPr>
              <w:t xml:space="preserve">Provide a brief summary of all the methods that </w:t>
            </w:r>
            <w:r w:rsidRPr="00B770E6">
              <w:rPr>
                <w:rFonts w:cs="Arial"/>
                <w:bCs/>
                <w:sz w:val="22"/>
              </w:rPr>
              <w:t>may</w:t>
            </w:r>
            <w:r w:rsidRPr="004C3A0B">
              <w:rPr>
                <w:rFonts w:cs="Arial"/>
                <w:sz w:val="22"/>
              </w:rPr>
              <w:t xml:space="preserve"> be used in the research activity</w:t>
            </w:r>
            <w:r>
              <w:rPr>
                <w:rFonts w:cs="Arial"/>
                <w:sz w:val="22"/>
              </w:rPr>
              <w:t xml:space="preserve"> to collect data</w:t>
            </w:r>
            <w:r w:rsidRPr="004C3A0B">
              <w:rPr>
                <w:rFonts w:cs="Arial"/>
                <w:sz w:val="22"/>
              </w:rPr>
              <w:t>, making it clear what specific techniques may be used. If methods other than those listed in this section are deemed appropriate later, additional ethical approval for those methods wi</w:t>
            </w:r>
            <w:r>
              <w:rPr>
                <w:rFonts w:cs="Arial"/>
                <w:sz w:val="22"/>
              </w:rPr>
              <w:t>ll be needed. You do not need to justify the methods here but should instead describe how you intend to collect the data necessary for you to complete your project.</w:t>
            </w:r>
          </w:p>
        </w:tc>
      </w:tr>
      <w:tr w:rsidR="00F0319C" w:rsidRPr="004C3A0B" w14:paraId="1BCDD650" w14:textId="77777777" w:rsidTr="000E4C5B">
        <w:trPr>
          <w:trHeight w:val="454"/>
        </w:trPr>
        <w:tc>
          <w:tcPr>
            <w:tcW w:w="237" w:type="pct"/>
            <w:vAlign w:val="center"/>
          </w:tcPr>
          <w:p w14:paraId="14703C1A" w14:textId="77777777" w:rsidR="00F0319C" w:rsidRPr="00D66471" w:rsidRDefault="00F0319C" w:rsidP="000E4C5B">
            <w:pPr>
              <w:rPr>
                <w:rFonts w:cs="Arial"/>
                <w:sz w:val="22"/>
              </w:rPr>
            </w:pPr>
            <w:r>
              <w:rPr>
                <w:rFonts w:cs="Arial"/>
                <w:sz w:val="22"/>
              </w:rPr>
              <w:t>7</w:t>
            </w:r>
          </w:p>
        </w:tc>
        <w:tc>
          <w:tcPr>
            <w:tcW w:w="4763" w:type="pct"/>
            <w:gridSpan w:val="4"/>
            <w:vAlign w:val="center"/>
          </w:tcPr>
          <w:p w14:paraId="30BE74F5" w14:textId="77777777" w:rsidR="00F0319C" w:rsidRPr="00520531" w:rsidRDefault="00F0319C" w:rsidP="000E4C5B">
            <w:pPr>
              <w:rPr>
                <w:rFonts w:cs="Arial"/>
                <w:szCs w:val="24"/>
              </w:rPr>
            </w:pPr>
            <w:r w:rsidRPr="00520531">
              <w:rPr>
                <w:rFonts w:cs="Arial"/>
                <w:szCs w:val="24"/>
              </w:rPr>
              <w:t xml:space="preserve">This research will adopt a secondary data collection method, as it aims to evaluate the impact of Environmental, Social and Governance (ESG) strategy on corporate reputation and long-term competitive advantage within the UK consumer goods </w:t>
            </w:r>
            <w:r w:rsidRPr="00520531">
              <w:rPr>
                <w:rFonts w:cs="Arial"/>
                <w:szCs w:val="24"/>
              </w:rPr>
              <w:lastRenderedPageBreak/>
              <w:t>industry without collecting primary data from participants. The study will rely exclusively on publicly available documentary sources, enabling a comprehensive and evidence-based analysis of ESG practices across selected UK-listed consumer goods companies.</w:t>
            </w:r>
          </w:p>
          <w:p w14:paraId="1599A7BC" w14:textId="77777777" w:rsidR="00F0319C" w:rsidRPr="00520531" w:rsidRDefault="00F0319C" w:rsidP="000E4C5B">
            <w:pPr>
              <w:rPr>
                <w:rFonts w:cs="Arial"/>
                <w:szCs w:val="24"/>
              </w:rPr>
            </w:pPr>
            <w:r w:rsidRPr="00520531">
              <w:rPr>
                <w:rFonts w:cs="Arial"/>
                <w:szCs w:val="24"/>
              </w:rPr>
              <w:t>The principal sources of data will include annual reports, sustainability reports, ESG reports, integrated reports, corporate governance reports, ESG data books, investor presentations and official company websites published by selected organisations, namely Unilever PLC, Reckitt PLC, Diageo PLC and Associated British Foods PLC, covering the period 2020–2025. These documents provide detailed information on ESG strategies, sustainability targets, governance structures, environmental and social initiatives, organisational performance and long-term strategic priorities.</w:t>
            </w:r>
          </w:p>
          <w:p w14:paraId="42C48AC6" w14:textId="77777777" w:rsidR="00F0319C" w:rsidRPr="00520531" w:rsidRDefault="00F0319C" w:rsidP="000E4C5B">
            <w:pPr>
              <w:rPr>
                <w:rFonts w:cs="Arial"/>
                <w:szCs w:val="24"/>
              </w:rPr>
            </w:pPr>
            <w:r w:rsidRPr="00520531">
              <w:rPr>
                <w:rFonts w:cs="Arial"/>
                <w:szCs w:val="24"/>
              </w:rPr>
              <w:t>Academic literature will be collected from recognised scholarly databases, including Scopus, Web of Science, Business Source Complete, ABI/INFORM and Google Scholar. The search will focus primarily on peer-reviewed journal articles published between 2020 and 2026, although seminal theoretical works such as Freeman (1984), Barney (1991) and Suchman (1995) will also be included where necessary to establish the theoretical foundation. Search terms will include combinations of keywords such as ESG strategy, corporate reputation, competitive advantage, stakeholder theory, legitimacy theory, consumer goods industry, sustainability, greenwashing and UK ESG.</w:t>
            </w:r>
          </w:p>
          <w:p w14:paraId="090C9F9B" w14:textId="77777777" w:rsidR="00F0319C" w:rsidRPr="00520531" w:rsidRDefault="00F0319C" w:rsidP="000E4C5B">
            <w:pPr>
              <w:rPr>
                <w:rFonts w:cs="Arial"/>
                <w:szCs w:val="24"/>
              </w:rPr>
            </w:pPr>
            <w:r w:rsidRPr="00520531">
              <w:rPr>
                <w:rFonts w:cs="Arial"/>
                <w:szCs w:val="24"/>
              </w:rPr>
              <w:t xml:space="preserve">In addition to corporate and academic sources, the study will collect evidence from government publications, regulatory guidance and internationally recognised reporting frameworks, including documents issued by the Competition and Markets Authority (CMA), Financial Reporting Council (FRC), Department for Business and Trade (DBT), Global Reporting Initiative (GRI), Sustainability Accounting Standards Board (SASB), International Sustainability Standards Board (ISSB) and the Task Force on Climate-related Financial Disclosures (TCFD). Reputable industry reports from organisations such as Deloitte, PwC and McKinsey &amp; Company will also be </w:t>
            </w:r>
            <w:r w:rsidRPr="00520531">
              <w:rPr>
                <w:rFonts w:cs="Arial"/>
                <w:szCs w:val="24"/>
              </w:rPr>
              <w:lastRenderedPageBreak/>
              <w:t>reviewed to provide contextual insights into consumer behaviour, ESG trends and industry developments.</w:t>
            </w:r>
          </w:p>
          <w:p w14:paraId="4453B056" w14:textId="77777777" w:rsidR="00F0319C" w:rsidRPr="00520531" w:rsidRDefault="00F0319C" w:rsidP="000E4C5B">
            <w:pPr>
              <w:rPr>
                <w:rFonts w:cs="Arial"/>
                <w:szCs w:val="24"/>
              </w:rPr>
            </w:pPr>
            <w:r w:rsidRPr="00520531">
              <w:rPr>
                <w:rFonts w:cs="Arial"/>
                <w:szCs w:val="24"/>
              </w:rPr>
              <w:t>Relevant literature will be identified using predefined inclusion and exclusion criteria. Preference will be given to English-language, peer-reviewed and credible sources that examine relationships among ESG strategy, corporate reputation and competitive advantage. Duplicate, outdated or non-scholarly materials will be excluded unless they represent foundational theoretical contributions.</w:t>
            </w:r>
          </w:p>
          <w:p w14:paraId="59A0A177" w14:textId="77777777" w:rsidR="00F0319C" w:rsidRDefault="00F0319C" w:rsidP="000E4C5B">
            <w:pPr>
              <w:rPr>
                <w:rFonts w:cs="Arial"/>
                <w:szCs w:val="24"/>
              </w:rPr>
            </w:pPr>
            <w:r w:rsidRPr="00520531">
              <w:rPr>
                <w:rFonts w:cs="Arial"/>
                <w:szCs w:val="24"/>
              </w:rPr>
              <w:t>To enhance the credibility and trustworthiness of the research, data triangulation will be employed by comparing information from corporate reports, academic publications, regulatory documents and independent industry reports. This approach will reduce reliance on a single source of evidence and provide a balanced understanding of how ESG strategy contributes to corporate reputation and long-term competitive advantage in the UK consumer goods industry</w:t>
            </w:r>
            <w:r>
              <w:rPr>
                <w:rFonts w:cs="Arial"/>
                <w:szCs w:val="24"/>
              </w:rPr>
              <w:t>.</w:t>
            </w:r>
          </w:p>
          <w:p w14:paraId="025F445A" w14:textId="77777777" w:rsidR="00F0319C" w:rsidRPr="004C3A0B" w:rsidRDefault="00F0319C" w:rsidP="000E4C5B">
            <w:pPr>
              <w:rPr>
                <w:rFonts w:cs="Arial"/>
                <w:b/>
                <w:sz w:val="22"/>
              </w:rPr>
            </w:pPr>
          </w:p>
        </w:tc>
      </w:tr>
    </w:tbl>
    <w:p w14:paraId="42A37596" w14:textId="77777777" w:rsidR="00F0319C" w:rsidRDefault="00F0319C" w:rsidP="00F0319C"/>
    <w:p w14:paraId="13E2C0A7" w14:textId="77777777" w:rsidR="00F0319C" w:rsidRPr="004C3A0B" w:rsidRDefault="00F0319C" w:rsidP="00F0319C">
      <w:pPr>
        <w:spacing w:after="240"/>
        <w:rPr>
          <w:rFonts w:cs="Arial"/>
          <w:b/>
          <w:sz w:val="22"/>
        </w:rPr>
      </w:pPr>
      <w:r>
        <w:rPr>
          <w:rFonts w:cs="Arial"/>
          <w:b/>
          <w:sz w:val="22"/>
        </w:rPr>
        <w:t>SECTION D</w:t>
      </w:r>
      <w:r w:rsidRPr="004C3A0B">
        <w:rPr>
          <w:rFonts w:cs="Arial"/>
          <w:b/>
          <w:sz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0319C" w:rsidRPr="004C3A0B" w14:paraId="4FD22869" w14:textId="77777777" w:rsidTr="000E4C5B">
        <w:trPr>
          <w:trHeight w:val="558"/>
        </w:trPr>
        <w:tc>
          <w:tcPr>
            <w:tcW w:w="562" w:type="dxa"/>
            <w:shd w:val="clear" w:color="auto" w:fill="F2F2F2" w:themeFill="background1" w:themeFillShade="F2"/>
            <w:vAlign w:val="center"/>
          </w:tcPr>
          <w:p w14:paraId="7D05933E" w14:textId="77777777" w:rsidR="00F0319C" w:rsidRPr="004C3A0B" w:rsidRDefault="00F0319C" w:rsidP="000E4C5B">
            <w:pPr>
              <w:autoSpaceDE w:val="0"/>
              <w:autoSpaceDN w:val="0"/>
              <w:adjustRightInd w:val="0"/>
              <w:rPr>
                <w:rFonts w:cs="Arial"/>
                <w:b/>
                <w:sz w:val="22"/>
                <w:szCs w:val="22"/>
              </w:rPr>
            </w:pPr>
          </w:p>
        </w:tc>
        <w:tc>
          <w:tcPr>
            <w:tcW w:w="8227" w:type="dxa"/>
            <w:shd w:val="clear" w:color="auto" w:fill="F2F2F2" w:themeFill="background1" w:themeFillShade="F2"/>
            <w:vAlign w:val="center"/>
          </w:tcPr>
          <w:p w14:paraId="59EEA3CA" w14:textId="77777777" w:rsidR="00F0319C" w:rsidRPr="004C3A0B" w:rsidRDefault="00F0319C" w:rsidP="000E4C5B">
            <w:pPr>
              <w:autoSpaceDE w:val="0"/>
              <w:autoSpaceDN w:val="0"/>
              <w:adjustRightInd w:val="0"/>
              <w:rPr>
                <w:rFonts w:cs="Arial"/>
                <w:b/>
                <w:sz w:val="22"/>
                <w:szCs w:val="22"/>
              </w:rPr>
            </w:pPr>
            <w:r w:rsidRPr="004C3A0B">
              <w:rPr>
                <w:rFonts w:cs="Arial"/>
                <w:b/>
                <w:sz w:val="22"/>
                <w:szCs w:val="22"/>
              </w:rPr>
              <w:t>Will the research activity include:</w:t>
            </w:r>
          </w:p>
        </w:tc>
        <w:tc>
          <w:tcPr>
            <w:tcW w:w="846" w:type="dxa"/>
            <w:shd w:val="clear" w:color="auto" w:fill="F2F2F2" w:themeFill="background1" w:themeFillShade="F2"/>
            <w:vAlign w:val="center"/>
          </w:tcPr>
          <w:p w14:paraId="330E565F" w14:textId="77777777" w:rsidR="00F0319C" w:rsidRPr="004C3A0B" w:rsidRDefault="00F0319C" w:rsidP="000E4C5B">
            <w:pPr>
              <w:autoSpaceDE w:val="0"/>
              <w:autoSpaceDN w:val="0"/>
              <w:adjustRightInd w:val="0"/>
              <w:jc w:val="center"/>
              <w:rPr>
                <w:rFonts w:cs="Arial"/>
                <w:b/>
                <w:bCs/>
                <w:sz w:val="22"/>
                <w:szCs w:val="22"/>
              </w:rPr>
            </w:pPr>
            <w:r w:rsidRPr="004C3A0B">
              <w:rPr>
                <w:rFonts w:cs="Arial"/>
                <w:b/>
                <w:bCs/>
                <w:sz w:val="22"/>
                <w:szCs w:val="22"/>
              </w:rPr>
              <w:t>YES</w:t>
            </w:r>
          </w:p>
        </w:tc>
        <w:tc>
          <w:tcPr>
            <w:tcW w:w="816" w:type="dxa"/>
            <w:shd w:val="clear" w:color="auto" w:fill="F2F2F2" w:themeFill="background1" w:themeFillShade="F2"/>
            <w:vAlign w:val="center"/>
          </w:tcPr>
          <w:p w14:paraId="48145A1F" w14:textId="77777777" w:rsidR="00F0319C" w:rsidRPr="004C3A0B" w:rsidRDefault="00F0319C" w:rsidP="000E4C5B">
            <w:pPr>
              <w:autoSpaceDE w:val="0"/>
              <w:autoSpaceDN w:val="0"/>
              <w:adjustRightInd w:val="0"/>
              <w:jc w:val="center"/>
              <w:rPr>
                <w:rFonts w:cs="Arial"/>
                <w:b/>
                <w:bCs/>
                <w:sz w:val="22"/>
                <w:szCs w:val="22"/>
              </w:rPr>
            </w:pPr>
            <w:r w:rsidRPr="004C3A0B">
              <w:rPr>
                <w:rFonts w:cs="Arial"/>
                <w:b/>
                <w:bCs/>
                <w:sz w:val="22"/>
                <w:szCs w:val="22"/>
              </w:rPr>
              <w:t>NO</w:t>
            </w:r>
          </w:p>
        </w:tc>
      </w:tr>
      <w:tr w:rsidR="00F0319C" w:rsidRPr="004C3A0B" w14:paraId="4A5830ED" w14:textId="77777777" w:rsidTr="000E4C5B">
        <w:trPr>
          <w:trHeight w:val="439"/>
        </w:trPr>
        <w:tc>
          <w:tcPr>
            <w:tcW w:w="562" w:type="dxa"/>
            <w:shd w:val="clear" w:color="auto" w:fill="F2F2F2" w:themeFill="background1" w:themeFillShade="F2"/>
            <w:vAlign w:val="center"/>
          </w:tcPr>
          <w:p w14:paraId="4C65131E" w14:textId="77777777" w:rsidR="00F0319C" w:rsidRPr="004C3A0B" w:rsidRDefault="00F0319C" w:rsidP="000E4C5B">
            <w:pPr>
              <w:autoSpaceDE w:val="0"/>
              <w:autoSpaceDN w:val="0"/>
              <w:adjustRightInd w:val="0"/>
              <w:rPr>
                <w:rFonts w:cs="Arial"/>
                <w:sz w:val="22"/>
                <w:szCs w:val="22"/>
              </w:rPr>
            </w:pPr>
            <w:r>
              <w:rPr>
                <w:rFonts w:cs="Arial"/>
                <w:sz w:val="22"/>
                <w:szCs w:val="22"/>
              </w:rPr>
              <w:t>1</w:t>
            </w:r>
          </w:p>
        </w:tc>
        <w:tc>
          <w:tcPr>
            <w:tcW w:w="8227" w:type="dxa"/>
            <w:shd w:val="clear" w:color="auto" w:fill="F2F2F2" w:themeFill="background1" w:themeFillShade="F2"/>
            <w:vAlign w:val="center"/>
          </w:tcPr>
          <w:p w14:paraId="5C9B50F8"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Use of a questionnaire or similar research instrument?</w:t>
            </w:r>
          </w:p>
        </w:tc>
        <w:tc>
          <w:tcPr>
            <w:tcW w:w="846" w:type="dxa"/>
            <w:shd w:val="clear" w:color="auto" w:fill="BFBFBF" w:themeFill="background1" w:themeFillShade="BF"/>
            <w:vAlign w:val="center"/>
          </w:tcPr>
          <w:sdt>
            <w:sdtPr>
              <w:rPr>
                <w:rFonts w:cs="Arial"/>
                <w:b/>
                <w:bCs/>
                <w:sz w:val="22"/>
              </w:rPr>
              <w:id w:val="1843739070"/>
              <w14:checkbox>
                <w14:checked w14:val="0"/>
                <w14:checkedState w14:val="2612" w14:font="MS Gothic"/>
                <w14:uncheckedState w14:val="2610" w14:font="MS Gothic"/>
              </w14:checkbox>
            </w:sdtPr>
            <w:sdtEndPr/>
            <w:sdtContent>
              <w:p w14:paraId="4D7E2996"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rPr>
              <w:id w:val="-474143939"/>
              <w14:checkbox>
                <w14:checked w14:val="1"/>
                <w14:checkedState w14:val="2612" w14:font="MS Gothic"/>
                <w14:uncheckedState w14:val="2610" w14:font="MS Gothic"/>
              </w14:checkbox>
            </w:sdtPr>
            <w:sdtEndPr/>
            <w:sdtContent>
              <w:p w14:paraId="7C0E441E"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25E55666" w14:textId="77777777" w:rsidTr="000E4C5B">
        <w:trPr>
          <w:trHeight w:val="439"/>
        </w:trPr>
        <w:tc>
          <w:tcPr>
            <w:tcW w:w="562" w:type="dxa"/>
            <w:shd w:val="clear" w:color="auto" w:fill="F2F2F2" w:themeFill="background1" w:themeFillShade="F2"/>
            <w:vAlign w:val="center"/>
          </w:tcPr>
          <w:p w14:paraId="3459E205" w14:textId="77777777" w:rsidR="00F0319C" w:rsidRPr="004C3A0B" w:rsidRDefault="00F0319C" w:rsidP="000E4C5B">
            <w:pPr>
              <w:autoSpaceDE w:val="0"/>
              <w:autoSpaceDN w:val="0"/>
              <w:adjustRightInd w:val="0"/>
              <w:rPr>
                <w:rFonts w:cs="Arial"/>
                <w:sz w:val="22"/>
                <w:szCs w:val="22"/>
              </w:rPr>
            </w:pPr>
            <w:r>
              <w:rPr>
                <w:rFonts w:cs="Arial"/>
                <w:sz w:val="22"/>
                <w:szCs w:val="22"/>
              </w:rPr>
              <w:t>2</w:t>
            </w:r>
          </w:p>
        </w:tc>
        <w:tc>
          <w:tcPr>
            <w:tcW w:w="8227" w:type="dxa"/>
            <w:shd w:val="clear" w:color="auto" w:fill="F2F2F2" w:themeFill="background1" w:themeFillShade="F2"/>
            <w:vAlign w:val="center"/>
          </w:tcPr>
          <w:p w14:paraId="77409F32"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Use of interviews?</w:t>
            </w:r>
          </w:p>
        </w:tc>
        <w:tc>
          <w:tcPr>
            <w:tcW w:w="846" w:type="dxa"/>
            <w:shd w:val="clear" w:color="auto" w:fill="BFBFBF" w:themeFill="background1" w:themeFillShade="BF"/>
            <w:vAlign w:val="center"/>
          </w:tcPr>
          <w:sdt>
            <w:sdtPr>
              <w:rPr>
                <w:rFonts w:cs="Arial"/>
                <w:b/>
                <w:bCs/>
                <w:sz w:val="22"/>
              </w:rPr>
              <w:id w:val="-800765487"/>
              <w14:checkbox>
                <w14:checked w14:val="0"/>
                <w14:checkedState w14:val="2612" w14:font="MS Gothic"/>
                <w14:uncheckedState w14:val="2610" w14:font="MS Gothic"/>
              </w14:checkbox>
            </w:sdtPr>
            <w:sdtEndPr/>
            <w:sdtContent>
              <w:p w14:paraId="05284903"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rPr>
              <w:id w:val="749926786"/>
              <w14:checkbox>
                <w14:checked w14:val="1"/>
                <w14:checkedState w14:val="2612" w14:font="MS Gothic"/>
                <w14:uncheckedState w14:val="2610" w14:font="MS Gothic"/>
              </w14:checkbox>
            </w:sdtPr>
            <w:sdtEndPr/>
            <w:sdtContent>
              <w:p w14:paraId="7585B7B3"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52BD326D" w14:textId="77777777" w:rsidTr="000E4C5B">
        <w:trPr>
          <w:trHeight w:val="439"/>
        </w:trPr>
        <w:tc>
          <w:tcPr>
            <w:tcW w:w="562" w:type="dxa"/>
            <w:shd w:val="clear" w:color="auto" w:fill="F2F2F2" w:themeFill="background1" w:themeFillShade="F2"/>
            <w:vAlign w:val="center"/>
          </w:tcPr>
          <w:p w14:paraId="6A305102" w14:textId="77777777" w:rsidR="00F0319C" w:rsidRDefault="00F0319C" w:rsidP="000E4C5B">
            <w:pPr>
              <w:autoSpaceDE w:val="0"/>
              <w:autoSpaceDN w:val="0"/>
              <w:adjustRightInd w:val="0"/>
              <w:rPr>
                <w:rFonts w:cs="Arial"/>
                <w:sz w:val="22"/>
                <w:szCs w:val="22"/>
              </w:rPr>
            </w:pPr>
            <w:r>
              <w:rPr>
                <w:rFonts w:cs="Arial"/>
                <w:sz w:val="22"/>
                <w:szCs w:val="22"/>
              </w:rPr>
              <w:t>3</w:t>
            </w:r>
          </w:p>
        </w:tc>
        <w:tc>
          <w:tcPr>
            <w:tcW w:w="8227" w:type="dxa"/>
            <w:shd w:val="clear" w:color="auto" w:fill="F2F2F2" w:themeFill="background1" w:themeFillShade="F2"/>
            <w:vAlign w:val="center"/>
          </w:tcPr>
          <w:p w14:paraId="5AA09E47"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 xml:space="preserve">Use of </w:t>
            </w:r>
            <w:r>
              <w:rPr>
                <w:rFonts w:cs="Arial"/>
                <w:sz w:val="22"/>
                <w:szCs w:val="22"/>
              </w:rPr>
              <w:t>focus groups</w:t>
            </w:r>
            <w:r w:rsidRPr="004C3A0B">
              <w:rPr>
                <w:rFonts w:cs="Arial"/>
                <w:sz w:val="22"/>
                <w:szCs w:val="22"/>
              </w:rPr>
              <w:t>?</w:t>
            </w:r>
          </w:p>
        </w:tc>
        <w:tc>
          <w:tcPr>
            <w:tcW w:w="846" w:type="dxa"/>
            <w:shd w:val="clear" w:color="auto" w:fill="BFBFBF" w:themeFill="background1" w:themeFillShade="BF"/>
            <w:vAlign w:val="center"/>
          </w:tcPr>
          <w:sdt>
            <w:sdtPr>
              <w:rPr>
                <w:rFonts w:cs="Arial"/>
                <w:b/>
                <w:bCs/>
                <w:sz w:val="22"/>
              </w:rPr>
              <w:id w:val="-507049709"/>
              <w14:checkbox>
                <w14:checked w14:val="0"/>
                <w14:checkedState w14:val="2612" w14:font="MS Gothic"/>
                <w14:uncheckedState w14:val="2610" w14:font="MS Gothic"/>
              </w14:checkbox>
            </w:sdtPr>
            <w:sdtEndPr/>
            <w:sdtContent>
              <w:p w14:paraId="5EE500DA" w14:textId="77777777" w:rsidR="00F0319C" w:rsidRDefault="00F0319C" w:rsidP="000E4C5B">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rPr>
              <w:id w:val="1238368725"/>
              <w14:checkbox>
                <w14:checked w14:val="1"/>
                <w14:checkedState w14:val="2612" w14:font="MS Gothic"/>
                <w14:uncheckedState w14:val="2610" w14:font="MS Gothic"/>
              </w14:checkbox>
            </w:sdtPr>
            <w:sdtEndPr/>
            <w:sdtContent>
              <w:p w14:paraId="125E9D17" w14:textId="77777777" w:rsidR="00F0319C" w:rsidRDefault="00F0319C" w:rsidP="000E4C5B">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r w:rsidR="00F0319C" w:rsidRPr="004C3A0B" w14:paraId="61D747C7" w14:textId="77777777" w:rsidTr="000E4C5B">
        <w:trPr>
          <w:trHeight w:val="403"/>
        </w:trPr>
        <w:tc>
          <w:tcPr>
            <w:tcW w:w="562" w:type="dxa"/>
            <w:shd w:val="clear" w:color="auto" w:fill="F2F2F2" w:themeFill="background1" w:themeFillShade="F2"/>
            <w:vAlign w:val="center"/>
          </w:tcPr>
          <w:p w14:paraId="3F446CD8" w14:textId="77777777" w:rsidR="00F0319C" w:rsidRPr="004C3A0B" w:rsidRDefault="00F0319C" w:rsidP="000E4C5B">
            <w:pPr>
              <w:autoSpaceDE w:val="0"/>
              <w:autoSpaceDN w:val="0"/>
              <w:adjustRightInd w:val="0"/>
              <w:rPr>
                <w:rFonts w:cs="Arial"/>
                <w:sz w:val="22"/>
                <w:szCs w:val="22"/>
              </w:rPr>
            </w:pPr>
            <w:r>
              <w:rPr>
                <w:rFonts w:cs="Arial"/>
                <w:sz w:val="22"/>
                <w:szCs w:val="22"/>
              </w:rPr>
              <w:t>4</w:t>
            </w:r>
          </w:p>
        </w:tc>
        <w:tc>
          <w:tcPr>
            <w:tcW w:w="8227" w:type="dxa"/>
            <w:shd w:val="clear" w:color="auto" w:fill="F2F2F2" w:themeFill="background1" w:themeFillShade="F2"/>
            <w:vAlign w:val="center"/>
          </w:tcPr>
          <w:p w14:paraId="3F106DDD"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 xml:space="preserve">Use of </w:t>
            </w:r>
            <w:r>
              <w:rPr>
                <w:rFonts w:cs="Arial"/>
                <w:sz w:val="22"/>
                <w:szCs w:val="22"/>
              </w:rPr>
              <w:t xml:space="preserve">participant </w:t>
            </w:r>
            <w:r w:rsidRPr="004C3A0B">
              <w:rPr>
                <w:rFonts w:cs="Arial"/>
                <w:sz w:val="22"/>
                <w:szCs w:val="22"/>
              </w:rPr>
              <w:t xml:space="preserve">diaries? </w:t>
            </w:r>
          </w:p>
        </w:tc>
        <w:tc>
          <w:tcPr>
            <w:tcW w:w="846" w:type="dxa"/>
            <w:shd w:val="clear" w:color="auto" w:fill="BFBFBF" w:themeFill="background1" w:themeFillShade="BF"/>
            <w:vAlign w:val="center"/>
          </w:tcPr>
          <w:sdt>
            <w:sdtPr>
              <w:rPr>
                <w:rFonts w:cs="Arial"/>
                <w:b/>
                <w:bCs/>
                <w:sz w:val="22"/>
              </w:rPr>
              <w:id w:val="319468663"/>
              <w14:checkbox>
                <w14:checked w14:val="0"/>
                <w14:checkedState w14:val="2612" w14:font="MS Gothic"/>
                <w14:uncheckedState w14:val="2610" w14:font="MS Gothic"/>
              </w14:checkbox>
            </w:sdtPr>
            <w:sdtEndPr/>
            <w:sdtContent>
              <w:p w14:paraId="7453977D"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rPr>
              <w:id w:val="900483589"/>
              <w14:checkbox>
                <w14:checked w14:val="1"/>
                <w14:checkedState w14:val="2612" w14:font="MS Gothic"/>
                <w14:uncheckedState w14:val="2610" w14:font="MS Gothic"/>
              </w14:checkbox>
            </w:sdtPr>
            <w:sdtEndPr/>
            <w:sdtContent>
              <w:p w14:paraId="45E79F4E"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132EA267" w14:textId="77777777" w:rsidTr="000E4C5B">
        <w:trPr>
          <w:trHeight w:val="403"/>
        </w:trPr>
        <w:tc>
          <w:tcPr>
            <w:tcW w:w="562" w:type="dxa"/>
            <w:shd w:val="clear" w:color="auto" w:fill="F2F2F2" w:themeFill="background1" w:themeFillShade="F2"/>
            <w:vAlign w:val="center"/>
          </w:tcPr>
          <w:p w14:paraId="1AE99255" w14:textId="77777777" w:rsidR="00F0319C" w:rsidRDefault="00F0319C" w:rsidP="000E4C5B">
            <w:pPr>
              <w:autoSpaceDE w:val="0"/>
              <w:autoSpaceDN w:val="0"/>
              <w:adjustRightInd w:val="0"/>
              <w:rPr>
                <w:rFonts w:cs="Arial"/>
                <w:sz w:val="22"/>
                <w:szCs w:val="22"/>
              </w:rPr>
            </w:pPr>
            <w:r>
              <w:rPr>
                <w:rFonts w:cs="Arial"/>
                <w:sz w:val="22"/>
                <w:szCs w:val="22"/>
              </w:rPr>
              <w:t>5</w:t>
            </w:r>
          </w:p>
        </w:tc>
        <w:tc>
          <w:tcPr>
            <w:tcW w:w="8227" w:type="dxa"/>
            <w:shd w:val="clear" w:color="auto" w:fill="F2F2F2" w:themeFill="background1" w:themeFillShade="F2"/>
            <w:vAlign w:val="center"/>
          </w:tcPr>
          <w:p w14:paraId="0D9F9615"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Use of video or audio recording?</w:t>
            </w:r>
          </w:p>
        </w:tc>
        <w:tc>
          <w:tcPr>
            <w:tcW w:w="846" w:type="dxa"/>
            <w:shd w:val="clear" w:color="auto" w:fill="BFBFBF" w:themeFill="background1" w:themeFillShade="BF"/>
            <w:vAlign w:val="center"/>
          </w:tcPr>
          <w:sdt>
            <w:sdtPr>
              <w:rPr>
                <w:rFonts w:cs="Arial"/>
                <w:b/>
                <w:bCs/>
                <w:sz w:val="22"/>
              </w:rPr>
              <w:id w:val="-494723296"/>
              <w14:checkbox>
                <w14:checked w14:val="0"/>
                <w14:checkedState w14:val="2612" w14:font="MS Gothic"/>
                <w14:uncheckedState w14:val="2610" w14:font="MS Gothic"/>
              </w14:checkbox>
            </w:sdtPr>
            <w:sdtEndPr/>
            <w:sdtContent>
              <w:p w14:paraId="3E4D56E1" w14:textId="77777777" w:rsidR="00F0319C" w:rsidRDefault="00F0319C" w:rsidP="000E4C5B">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rPr>
              <w:id w:val="1672298898"/>
              <w14:checkbox>
                <w14:checked w14:val="1"/>
                <w14:checkedState w14:val="2612" w14:font="MS Gothic"/>
                <w14:uncheckedState w14:val="2610" w14:font="MS Gothic"/>
              </w14:checkbox>
            </w:sdtPr>
            <w:sdtEndPr/>
            <w:sdtContent>
              <w:p w14:paraId="380AD8DF" w14:textId="77777777" w:rsidR="00F0319C" w:rsidRDefault="00F0319C" w:rsidP="000E4C5B">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r w:rsidR="00F0319C" w:rsidRPr="004C3A0B" w14:paraId="537AAC5A" w14:textId="77777777" w:rsidTr="000E4C5B">
        <w:trPr>
          <w:trHeight w:val="403"/>
        </w:trPr>
        <w:tc>
          <w:tcPr>
            <w:tcW w:w="562" w:type="dxa"/>
            <w:shd w:val="clear" w:color="auto" w:fill="F2F2F2" w:themeFill="background1" w:themeFillShade="F2"/>
            <w:vAlign w:val="center"/>
          </w:tcPr>
          <w:p w14:paraId="7F191684" w14:textId="77777777" w:rsidR="00F0319C" w:rsidRPr="004C3A0B" w:rsidRDefault="00F0319C" w:rsidP="000E4C5B">
            <w:pPr>
              <w:autoSpaceDE w:val="0"/>
              <w:autoSpaceDN w:val="0"/>
              <w:adjustRightInd w:val="0"/>
              <w:rPr>
                <w:rFonts w:cs="Arial"/>
                <w:sz w:val="22"/>
                <w:szCs w:val="22"/>
              </w:rPr>
            </w:pPr>
            <w:r>
              <w:rPr>
                <w:rFonts w:cs="Arial"/>
                <w:sz w:val="22"/>
                <w:szCs w:val="22"/>
              </w:rPr>
              <w:t>6</w:t>
            </w:r>
          </w:p>
        </w:tc>
        <w:tc>
          <w:tcPr>
            <w:tcW w:w="8227" w:type="dxa"/>
            <w:shd w:val="clear" w:color="auto" w:fill="F2F2F2" w:themeFill="background1" w:themeFillShade="F2"/>
            <w:vAlign w:val="center"/>
          </w:tcPr>
          <w:p w14:paraId="0081C2A3" w14:textId="77777777" w:rsidR="00F0319C" w:rsidRPr="004C3A0B" w:rsidRDefault="00F0319C" w:rsidP="000E4C5B">
            <w:pPr>
              <w:autoSpaceDE w:val="0"/>
              <w:autoSpaceDN w:val="0"/>
              <w:adjustRightInd w:val="0"/>
              <w:rPr>
                <w:rFonts w:cs="Arial"/>
                <w:sz w:val="22"/>
                <w:szCs w:val="22"/>
              </w:rPr>
            </w:pPr>
            <w:r>
              <w:rPr>
                <w:rFonts w:cs="Arial"/>
                <w:sz w:val="22"/>
                <w:szCs w:val="22"/>
              </w:rPr>
              <w:t>Use of computer-generated log files?</w:t>
            </w:r>
          </w:p>
        </w:tc>
        <w:tc>
          <w:tcPr>
            <w:tcW w:w="846" w:type="dxa"/>
            <w:shd w:val="clear" w:color="auto" w:fill="BFBFBF" w:themeFill="background1" w:themeFillShade="BF"/>
            <w:vAlign w:val="center"/>
          </w:tcPr>
          <w:sdt>
            <w:sdtPr>
              <w:rPr>
                <w:rFonts w:cs="Arial"/>
                <w:b/>
                <w:bCs/>
                <w:sz w:val="22"/>
              </w:rPr>
              <w:id w:val="282394886"/>
              <w14:checkbox>
                <w14:checked w14:val="0"/>
                <w14:checkedState w14:val="2612" w14:font="MS Gothic"/>
                <w14:uncheckedState w14:val="2610" w14:font="MS Gothic"/>
              </w14:checkbox>
            </w:sdtPr>
            <w:sdtEndPr/>
            <w:sdtContent>
              <w:p w14:paraId="0D14A449"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rPr>
              <w:id w:val="-1338917432"/>
              <w14:checkbox>
                <w14:checked w14:val="1"/>
                <w14:checkedState w14:val="2612" w14:font="MS Gothic"/>
                <w14:uncheckedState w14:val="2610" w14:font="MS Gothic"/>
              </w14:checkbox>
            </w:sdtPr>
            <w:sdtEndPr/>
            <w:sdtContent>
              <w:p w14:paraId="6BEF396B"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74F65446" w14:textId="77777777" w:rsidTr="000E4C5B">
        <w:trPr>
          <w:trHeight w:val="439"/>
        </w:trPr>
        <w:tc>
          <w:tcPr>
            <w:tcW w:w="562" w:type="dxa"/>
            <w:shd w:val="clear" w:color="auto" w:fill="F2F2F2" w:themeFill="background1" w:themeFillShade="F2"/>
            <w:vAlign w:val="center"/>
          </w:tcPr>
          <w:p w14:paraId="2432DF46" w14:textId="77777777" w:rsidR="00F0319C" w:rsidRPr="004C3A0B" w:rsidRDefault="00F0319C" w:rsidP="000E4C5B">
            <w:pPr>
              <w:autoSpaceDE w:val="0"/>
              <w:autoSpaceDN w:val="0"/>
              <w:adjustRightInd w:val="0"/>
              <w:rPr>
                <w:rFonts w:cs="Arial"/>
                <w:sz w:val="22"/>
                <w:szCs w:val="22"/>
              </w:rPr>
            </w:pPr>
            <w:r>
              <w:rPr>
                <w:rFonts w:cs="Arial"/>
                <w:sz w:val="22"/>
                <w:szCs w:val="22"/>
              </w:rPr>
              <w:t>7</w:t>
            </w:r>
          </w:p>
        </w:tc>
        <w:tc>
          <w:tcPr>
            <w:tcW w:w="8227" w:type="dxa"/>
            <w:shd w:val="clear" w:color="auto" w:fill="F2F2F2" w:themeFill="background1" w:themeFillShade="F2"/>
            <w:vAlign w:val="center"/>
          </w:tcPr>
          <w:p w14:paraId="4EAC4D75"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Participant observation with their knowledge?</w:t>
            </w:r>
          </w:p>
        </w:tc>
        <w:tc>
          <w:tcPr>
            <w:tcW w:w="846" w:type="dxa"/>
            <w:shd w:val="clear" w:color="auto" w:fill="BFBFBF" w:themeFill="background1" w:themeFillShade="BF"/>
            <w:vAlign w:val="center"/>
          </w:tcPr>
          <w:sdt>
            <w:sdtPr>
              <w:rPr>
                <w:rFonts w:cs="Arial"/>
                <w:b/>
                <w:bCs/>
                <w:sz w:val="22"/>
              </w:rPr>
              <w:id w:val="-1942599491"/>
              <w14:checkbox>
                <w14:checked w14:val="0"/>
                <w14:checkedState w14:val="2612" w14:font="MS Gothic"/>
                <w14:uncheckedState w14:val="2610" w14:font="MS Gothic"/>
              </w14:checkbox>
            </w:sdtPr>
            <w:sdtEndPr/>
            <w:sdtContent>
              <w:p w14:paraId="432450DA"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rPr>
              <w:id w:val="626286741"/>
              <w14:checkbox>
                <w14:checked w14:val="1"/>
                <w14:checkedState w14:val="2612" w14:font="MS Gothic"/>
                <w14:uncheckedState w14:val="2610" w14:font="MS Gothic"/>
              </w14:checkbox>
            </w:sdtPr>
            <w:sdtEndPr/>
            <w:sdtContent>
              <w:p w14:paraId="633EA2BF"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4B894264" w14:textId="77777777" w:rsidTr="000E4C5B">
        <w:trPr>
          <w:trHeight w:val="403"/>
        </w:trPr>
        <w:tc>
          <w:tcPr>
            <w:tcW w:w="562" w:type="dxa"/>
            <w:shd w:val="clear" w:color="auto" w:fill="F2F2F2" w:themeFill="background1" w:themeFillShade="F2"/>
            <w:vAlign w:val="center"/>
          </w:tcPr>
          <w:p w14:paraId="290BE7EF" w14:textId="77777777" w:rsidR="00F0319C" w:rsidRPr="004C3A0B" w:rsidRDefault="00F0319C" w:rsidP="000E4C5B">
            <w:pPr>
              <w:autoSpaceDE w:val="0"/>
              <w:autoSpaceDN w:val="0"/>
              <w:adjustRightInd w:val="0"/>
              <w:rPr>
                <w:rFonts w:cs="Arial"/>
                <w:sz w:val="22"/>
                <w:szCs w:val="22"/>
              </w:rPr>
            </w:pPr>
            <w:r>
              <w:rPr>
                <w:rFonts w:cs="Arial"/>
                <w:sz w:val="22"/>
                <w:szCs w:val="22"/>
              </w:rPr>
              <w:t>8</w:t>
            </w:r>
          </w:p>
        </w:tc>
        <w:tc>
          <w:tcPr>
            <w:tcW w:w="8227" w:type="dxa"/>
            <w:shd w:val="clear" w:color="auto" w:fill="F2F2F2" w:themeFill="background1" w:themeFillShade="F2"/>
            <w:vAlign w:val="center"/>
          </w:tcPr>
          <w:p w14:paraId="48CD81E2"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Participant observation without their knowledge?</w:t>
            </w:r>
          </w:p>
        </w:tc>
        <w:tc>
          <w:tcPr>
            <w:tcW w:w="846" w:type="dxa"/>
            <w:shd w:val="clear" w:color="auto" w:fill="BFBFBF" w:themeFill="background1" w:themeFillShade="BF"/>
            <w:vAlign w:val="center"/>
          </w:tcPr>
          <w:sdt>
            <w:sdtPr>
              <w:rPr>
                <w:rFonts w:cs="Arial"/>
                <w:b/>
                <w:bCs/>
                <w:sz w:val="22"/>
              </w:rPr>
              <w:id w:val="-387187341"/>
              <w14:checkbox>
                <w14:checked w14:val="0"/>
                <w14:checkedState w14:val="2612" w14:font="MS Gothic"/>
                <w14:uncheckedState w14:val="2610" w14:font="MS Gothic"/>
              </w14:checkbox>
            </w:sdtPr>
            <w:sdtEndPr/>
            <w:sdtContent>
              <w:p w14:paraId="0EFC8E93"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rPr>
              <w:id w:val="-1580675213"/>
              <w14:checkbox>
                <w14:checked w14:val="1"/>
                <w14:checkedState w14:val="2612" w14:font="MS Gothic"/>
                <w14:uncheckedState w14:val="2610" w14:font="MS Gothic"/>
              </w14:checkbox>
            </w:sdtPr>
            <w:sdtEndPr/>
            <w:sdtContent>
              <w:p w14:paraId="09F65E38"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087A0D5E" w14:textId="77777777" w:rsidTr="000E4C5B">
        <w:trPr>
          <w:trHeight w:val="439"/>
        </w:trPr>
        <w:tc>
          <w:tcPr>
            <w:tcW w:w="562" w:type="dxa"/>
            <w:shd w:val="clear" w:color="auto" w:fill="F2F2F2" w:themeFill="background1" w:themeFillShade="F2"/>
            <w:vAlign w:val="center"/>
          </w:tcPr>
          <w:p w14:paraId="6BC4CB12" w14:textId="77777777" w:rsidR="00F0319C" w:rsidRPr="004C3A0B" w:rsidRDefault="00F0319C" w:rsidP="000E4C5B">
            <w:pPr>
              <w:autoSpaceDE w:val="0"/>
              <w:autoSpaceDN w:val="0"/>
              <w:adjustRightInd w:val="0"/>
              <w:rPr>
                <w:rFonts w:cs="Arial"/>
                <w:sz w:val="22"/>
                <w:szCs w:val="22"/>
              </w:rPr>
            </w:pPr>
            <w:r>
              <w:rPr>
                <w:rFonts w:cs="Arial"/>
                <w:sz w:val="22"/>
                <w:szCs w:val="22"/>
              </w:rPr>
              <w:lastRenderedPageBreak/>
              <w:t>9</w:t>
            </w:r>
          </w:p>
        </w:tc>
        <w:tc>
          <w:tcPr>
            <w:tcW w:w="8227" w:type="dxa"/>
            <w:shd w:val="clear" w:color="auto" w:fill="F2F2F2" w:themeFill="background1" w:themeFillShade="F2"/>
            <w:vAlign w:val="center"/>
          </w:tcPr>
          <w:p w14:paraId="77AF5C16"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cs="Arial"/>
                <w:b/>
                <w:bCs/>
                <w:sz w:val="22"/>
              </w:rPr>
              <w:id w:val="-1397120567"/>
              <w14:checkbox>
                <w14:checked w14:val="0"/>
                <w14:checkedState w14:val="2612" w14:font="MS Gothic"/>
                <w14:uncheckedState w14:val="2610" w14:font="MS Gothic"/>
              </w14:checkbox>
            </w:sdtPr>
            <w:sdtEndPr/>
            <w:sdtContent>
              <w:p w14:paraId="1D6C9D39"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rPr>
              <w:id w:val="587048268"/>
              <w14:checkbox>
                <w14:checked w14:val="1"/>
                <w14:checkedState w14:val="2612" w14:font="MS Gothic"/>
                <w14:uncheckedState w14:val="2610" w14:font="MS Gothic"/>
              </w14:checkbox>
            </w:sdtPr>
            <w:sdtEndPr/>
            <w:sdtContent>
              <w:p w14:paraId="6AD85677"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65FDFA15" w14:textId="77777777" w:rsidTr="000E4C5B">
        <w:trPr>
          <w:trHeight w:val="403"/>
        </w:trPr>
        <w:tc>
          <w:tcPr>
            <w:tcW w:w="562" w:type="dxa"/>
            <w:shd w:val="clear" w:color="auto" w:fill="F2F2F2" w:themeFill="background1" w:themeFillShade="F2"/>
            <w:vAlign w:val="center"/>
          </w:tcPr>
          <w:p w14:paraId="4D5F859F" w14:textId="77777777" w:rsidR="00F0319C" w:rsidRPr="004C3A0B" w:rsidRDefault="00F0319C" w:rsidP="000E4C5B">
            <w:pPr>
              <w:autoSpaceDE w:val="0"/>
              <w:autoSpaceDN w:val="0"/>
              <w:adjustRightInd w:val="0"/>
              <w:rPr>
                <w:rFonts w:cs="Arial"/>
                <w:sz w:val="22"/>
                <w:szCs w:val="22"/>
              </w:rPr>
            </w:pPr>
            <w:r>
              <w:rPr>
                <w:rFonts w:cs="Arial"/>
                <w:sz w:val="22"/>
                <w:szCs w:val="22"/>
              </w:rPr>
              <w:t>10</w:t>
            </w:r>
          </w:p>
        </w:tc>
        <w:tc>
          <w:tcPr>
            <w:tcW w:w="8227" w:type="dxa"/>
            <w:shd w:val="clear" w:color="auto" w:fill="F2F2F2" w:themeFill="background1" w:themeFillShade="F2"/>
            <w:vAlign w:val="center"/>
          </w:tcPr>
          <w:p w14:paraId="6496009F"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cs="Arial"/>
                <w:b/>
                <w:bCs/>
                <w:sz w:val="22"/>
              </w:rPr>
              <w:id w:val="-723911514"/>
              <w14:checkbox>
                <w14:checked w14:val="0"/>
                <w14:checkedState w14:val="2612" w14:font="MS Gothic"/>
                <w14:uncheckedState w14:val="2610" w14:font="MS Gothic"/>
              </w14:checkbox>
            </w:sdtPr>
            <w:sdtEndPr/>
            <w:sdtContent>
              <w:p w14:paraId="69A2C820"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rPr>
              <w:id w:val="655270249"/>
              <w14:checkbox>
                <w14:checked w14:val="1"/>
                <w14:checkedState w14:val="2612" w14:font="MS Gothic"/>
                <w14:uncheckedState w14:val="2610" w14:font="MS Gothic"/>
              </w14:checkbox>
            </w:sdtPr>
            <w:sdtEndPr/>
            <w:sdtContent>
              <w:p w14:paraId="24E450D6"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7A880FD0" w14:textId="77777777" w:rsidTr="000E4C5B">
        <w:trPr>
          <w:trHeight w:val="403"/>
        </w:trPr>
        <w:tc>
          <w:tcPr>
            <w:tcW w:w="562" w:type="dxa"/>
            <w:shd w:val="clear" w:color="auto" w:fill="F2F2F2" w:themeFill="background1" w:themeFillShade="F2"/>
            <w:vAlign w:val="center"/>
          </w:tcPr>
          <w:p w14:paraId="5B6FD763" w14:textId="77777777" w:rsidR="00F0319C" w:rsidRPr="004C3A0B" w:rsidRDefault="00F0319C" w:rsidP="000E4C5B">
            <w:pPr>
              <w:autoSpaceDE w:val="0"/>
              <w:autoSpaceDN w:val="0"/>
              <w:adjustRightInd w:val="0"/>
              <w:rPr>
                <w:rFonts w:cs="Arial"/>
                <w:sz w:val="22"/>
                <w:szCs w:val="22"/>
              </w:rPr>
            </w:pPr>
            <w:r>
              <w:rPr>
                <w:rFonts w:cs="Arial"/>
                <w:sz w:val="22"/>
                <w:szCs w:val="22"/>
              </w:rPr>
              <w:t>11</w:t>
            </w:r>
          </w:p>
        </w:tc>
        <w:tc>
          <w:tcPr>
            <w:tcW w:w="8227" w:type="dxa"/>
            <w:shd w:val="clear" w:color="auto" w:fill="F2F2F2" w:themeFill="background1" w:themeFillShade="F2"/>
            <w:vAlign w:val="center"/>
          </w:tcPr>
          <w:p w14:paraId="6CA6D00C"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cs="Arial"/>
                <w:b/>
                <w:bCs/>
                <w:sz w:val="22"/>
              </w:rPr>
              <w:id w:val="1994977168"/>
              <w14:checkbox>
                <w14:checked w14:val="0"/>
                <w14:checkedState w14:val="2612" w14:font="MS Gothic"/>
                <w14:uncheckedState w14:val="2610" w14:font="MS Gothic"/>
              </w14:checkbox>
            </w:sdtPr>
            <w:sdtEndPr/>
            <w:sdtContent>
              <w:p w14:paraId="56884974"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rPr>
              <w:id w:val="-2119442801"/>
              <w14:checkbox>
                <w14:checked w14:val="1"/>
                <w14:checkedState w14:val="2612" w14:font="MS Gothic"/>
                <w14:uncheckedState w14:val="2610" w14:font="MS Gothic"/>
              </w14:checkbox>
            </w:sdtPr>
            <w:sdtEndPr/>
            <w:sdtContent>
              <w:p w14:paraId="4576D2F6"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F0319C" w:rsidRPr="004C3A0B" w14:paraId="1E5F461B" w14:textId="77777777" w:rsidTr="000E4C5B">
        <w:trPr>
          <w:trHeight w:val="403"/>
        </w:trPr>
        <w:tc>
          <w:tcPr>
            <w:tcW w:w="562" w:type="dxa"/>
            <w:shd w:val="clear" w:color="auto" w:fill="F2F2F2" w:themeFill="background1" w:themeFillShade="F2"/>
            <w:vAlign w:val="center"/>
          </w:tcPr>
          <w:p w14:paraId="50D3A6B5" w14:textId="77777777" w:rsidR="00F0319C" w:rsidRPr="004C3A0B" w:rsidRDefault="00F0319C" w:rsidP="000E4C5B">
            <w:pPr>
              <w:autoSpaceDE w:val="0"/>
              <w:autoSpaceDN w:val="0"/>
              <w:adjustRightInd w:val="0"/>
              <w:rPr>
                <w:rFonts w:cs="Arial"/>
                <w:sz w:val="22"/>
                <w:szCs w:val="22"/>
              </w:rPr>
            </w:pPr>
            <w:r>
              <w:rPr>
                <w:rFonts w:cs="Arial"/>
                <w:sz w:val="22"/>
                <w:szCs w:val="22"/>
              </w:rPr>
              <w:t>12</w:t>
            </w:r>
          </w:p>
        </w:tc>
        <w:tc>
          <w:tcPr>
            <w:tcW w:w="8227" w:type="dxa"/>
            <w:shd w:val="clear" w:color="auto" w:fill="F2F2F2" w:themeFill="background1" w:themeFillShade="F2"/>
            <w:vAlign w:val="center"/>
          </w:tcPr>
          <w:p w14:paraId="62AF493D"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Investigation of participants involved in illegal activities?</w:t>
            </w:r>
          </w:p>
        </w:tc>
        <w:tc>
          <w:tcPr>
            <w:tcW w:w="846" w:type="dxa"/>
            <w:shd w:val="clear" w:color="auto" w:fill="BFBFBF" w:themeFill="background1" w:themeFillShade="BF"/>
            <w:vAlign w:val="center"/>
          </w:tcPr>
          <w:sdt>
            <w:sdtPr>
              <w:rPr>
                <w:rFonts w:cs="Arial"/>
                <w:b/>
                <w:bCs/>
                <w:sz w:val="22"/>
              </w:rPr>
              <w:id w:val="-570350383"/>
              <w14:checkbox>
                <w14:checked w14:val="0"/>
                <w14:checkedState w14:val="2612" w14:font="MS Gothic"/>
                <w14:uncheckedState w14:val="2610" w14:font="MS Gothic"/>
              </w14:checkbox>
            </w:sdtPr>
            <w:sdtEndPr/>
            <w:sdtContent>
              <w:p w14:paraId="7999A10B"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rPr>
              <w:id w:val="-904758639"/>
              <w14:checkbox>
                <w14:checked w14:val="1"/>
                <w14:checkedState w14:val="2612" w14:font="MS Gothic"/>
                <w14:uncheckedState w14:val="2610" w14:font="MS Gothic"/>
              </w14:checkbox>
            </w:sdtPr>
            <w:sdtEndPr/>
            <w:sdtContent>
              <w:p w14:paraId="15C414D1"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F0319C" w:rsidRPr="004C3A0B" w14:paraId="0EE90D7B" w14:textId="77777777" w:rsidTr="000E4C5B">
        <w:trPr>
          <w:trHeight w:val="403"/>
        </w:trPr>
        <w:tc>
          <w:tcPr>
            <w:tcW w:w="562" w:type="dxa"/>
            <w:shd w:val="clear" w:color="auto" w:fill="F2F2F2" w:themeFill="background1" w:themeFillShade="F2"/>
            <w:vAlign w:val="center"/>
          </w:tcPr>
          <w:p w14:paraId="48114BC8" w14:textId="77777777" w:rsidR="00F0319C" w:rsidRPr="004C3A0B" w:rsidRDefault="00F0319C" w:rsidP="000E4C5B">
            <w:pPr>
              <w:autoSpaceDE w:val="0"/>
              <w:autoSpaceDN w:val="0"/>
              <w:adjustRightInd w:val="0"/>
              <w:rPr>
                <w:rFonts w:cs="Arial"/>
                <w:sz w:val="22"/>
                <w:szCs w:val="22"/>
              </w:rPr>
            </w:pPr>
            <w:r>
              <w:rPr>
                <w:rFonts w:cs="Arial"/>
                <w:sz w:val="22"/>
                <w:szCs w:val="22"/>
              </w:rPr>
              <w:t>13</w:t>
            </w:r>
          </w:p>
        </w:tc>
        <w:tc>
          <w:tcPr>
            <w:tcW w:w="8227" w:type="dxa"/>
            <w:shd w:val="clear" w:color="auto" w:fill="F2F2F2" w:themeFill="background1" w:themeFillShade="F2"/>
            <w:vAlign w:val="center"/>
          </w:tcPr>
          <w:p w14:paraId="5A95068E"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Use of procedures that involve deception?</w:t>
            </w:r>
          </w:p>
        </w:tc>
        <w:tc>
          <w:tcPr>
            <w:tcW w:w="846" w:type="dxa"/>
            <w:shd w:val="clear" w:color="auto" w:fill="BFBFBF" w:themeFill="background1" w:themeFillShade="BF"/>
            <w:vAlign w:val="center"/>
          </w:tcPr>
          <w:sdt>
            <w:sdtPr>
              <w:rPr>
                <w:rFonts w:cs="Arial"/>
                <w:b/>
                <w:bCs/>
                <w:sz w:val="22"/>
              </w:rPr>
              <w:id w:val="362719355"/>
              <w14:checkbox>
                <w14:checked w14:val="0"/>
                <w14:checkedState w14:val="2612" w14:font="MS Gothic"/>
                <w14:uncheckedState w14:val="2610" w14:font="MS Gothic"/>
              </w14:checkbox>
            </w:sdtPr>
            <w:sdtEndPr/>
            <w:sdtContent>
              <w:p w14:paraId="222959B1"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rPr>
              <w:id w:val="1074700241"/>
              <w14:checkbox>
                <w14:checked w14:val="1"/>
                <w14:checkedState w14:val="2612" w14:font="MS Gothic"/>
                <w14:uncheckedState w14:val="2610" w14:font="MS Gothic"/>
              </w14:checkbox>
            </w:sdtPr>
            <w:sdtEndPr/>
            <w:sdtContent>
              <w:p w14:paraId="2762A88E"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F0319C" w:rsidRPr="004C3A0B" w14:paraId="3DB9DED0" w14:textId="77777777" w:rsidTr="000E4C5B">
        <w:trPr>
          <w:trHeight w:val="403"/>
        </w:trPr>
        <w:tc>
          <w:tcPr>
            <w:tcW w:w="562" w:type="dxa"/>
            <w:shd w:val="clear" w:color="auto" w:fill="F2F2F2" w:themeFill="background1" w:themeFillShade="F2"/>
            <w:vAlign w:val="center"/>
          </w:tcPr>
          <w:p w14:paraId="1DB6DC83" w14:textId="77777777" w:rsidR="00F0319C" w:rsidRPr="004C3A0B" w:rsidRDefault="00F0319C" w:rsidP="000E4C5B">
            <w:pPr>
              <w:autoSpaceDE w:val="0"/>
              <w:autoSpaceDN w:val="0"/>
              <w:adjustRightInd w:val="0"/>
              <w:rPr>
                <w:rFonts w:cs="Arial"/>
                <w:sz w:val="22"/>
                <w:szCs w:val="22"/>
              </w:rPr>
            </w:pPr>
            <w:r>
              <w:rPr>
                <w:rFonts w:cs="Arial"/>
                <w:sz w:val="22"/>
                <w:szCs w:val="22"/>
              </w:rPr>
              <w:t>14</w:t>
            </w:r>
          </w:p>
        </w:tc>
        <w:tc>
          <w:tcPr>
            <w:tcW w:w="8227" w:type="dxa"/>
            <w:shd w:val="clear" w:color="auto" w:fill="F2F2F2" w:themeFill="background1" w:themeFillShade="F2"/>
            <w:vAlign w:val="center"/>
          </w:tcPr>
          <w:p w14:paraId="0B36433E"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Administration of any substance, agent or placebo?</w:t>
            </w:r>
          </w:p>
        </w:tc>
        <w:tc>
          <w:tcPr>
            <w:tcW w:w="846" w:type="dxa"/>
            <w:shd w:val="clear" w:color="auto" w:fill="BFBFBF" w:themeFill="background1" w:themeFillShade="BF"/>
            <w:vAlign w:val="center"/>
          </w:tcPr>
          <w:sdt>
            <w:sdtPr>
              <w:rPr>
                <w:rFonts w:cs="Arial"/>
                <w:b/>
                <w:bCs/>
                <w:sz w:val="22"/>
              </w:rPr>
              <w:id w:val="-1924798936"/>
              <w14:checkbox>
                <w14:checked w14:val="0"/>
                <w14:checkedState w14:val="2612" w14:font="MS Gothic"/>
                <w14:uncheckedState w14:val="2610" w14:font="MS Gothic"/>
              </w14:checkbox>
            </w:sdtPr>
            <w:sdtEndPr/>
            <w:sdtContent>
              <w:p w14:paraId="3BBE5719"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rPr>
              <w:id w:val="-624625241"/>
              <w14:checkbox>
                <w14:checked w14:val="1"/>
                <w14:checkedState w14:val="2612" w14:font="MS Gothic"/>
                <w14:uncheckedState w14:val="2610" w14:font="MS Gothic"/>
              </w14:checkbox>
            </w:sdtPr>
            <w:sdtEndPr/>
            <w:sdtContent>
              <w:p w14:paraId="10202F0E"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F0319C" w:rsidRPr="004C3A0B" w14:paraId="327F1041" w14:textId="77777777" w:rsidTr="000E4C5B">
        <w:trPr>
          <w:trHeight w:val="403"/>
        </w:trPr>
        <w:tc>
          <w:tcPr>
            <w:tcW w:w="562" w:type="dxa"/>
            <w:shd w:val="clear" w:color="auto" w:fill="F2F2F2" w:themeFill="background1" w:themeFillShade="F2"/>
            <w:vAlign w:val="center"/>
          </w:tcPr>
          <w:p w14:paraId="1EA5AA48" w14:textId="77777777" w:rsidR="00F0319C" w:rsidRPr="004C3A0B" w:rsidRDefault="00F0319C" w:rsidP="000E4C5B">
            <w:pPr>
              <w:autoSpaceDE w:val="0"/>
              <w:autoSpaceDN w:val="0"/>
              <w:adjustRightInd w:val="0"/>
              <w:rPr>
                <w:rFonts w:cs="Arial"/>
                <w:sz w:val="22"/>
                <w:szCs w:val="22"/>
              </w:rPr>
            </w:pPr>
            <w:r>
              <w:rPr>
                <w:rFonts w:cs="Arial"/>
                <w:sz w:val="22"/>
                <w:szCs w:val="22"/>
              </w:rPr>
              <w:t>15</w:t>
            </w:r>
          </w:p>
        </w:tc>
        <w:tc>
          <w:tcPr>
            <w:tcW w:w="8227" w:type="dxa"/>
            <w:shd w:val="clear" w:color="auto" w:fill="F2F2F2" w:themeFill="background1" w:themeFillShade="F2"/>
            <w:vAlign w:val="center"/>
          </w:tcPr>
          <w:p w14:paraId="54824207"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Working with live vertebrate animals?</w:t>
            </w:r>
          </w:p>
        </w:tc>
        <w:tc>
          <w:tcPr>
            <w:tcW w:w="846" w:type="dxa"/>
            <w:shd w:val="clear" w:color="auto" w:fill="BFBFBF" w:themeFill="background1" w:themeFillShade="BF"/>
            <w:vAlign w:val="center"/>
          </w:tcPr>
          <w:sdt>
            <w:sdtPr>
              <w:rPr>
                <w:rFonts w:cs="Arial"/>
                <w:b/>
                <w:bCs/>
                <w:sz w:val="22"/>
              </w:rPr>
              <w:id w:val="300428637"/>
              <w14:checkbox>
                <w14:checked w14:val="0"/>
                <w14:checkedState w14:val="2612" w14:font="MS Gothic"/>
                <w14:uncheckedState w14:val="2610" w14:font="MS Gothic"/>
              </w14:checkbox>
            </w:sdtPr>
            <w:sdtEndPr/>
            <w:sdtContent>
              <w:p w14:paraId="242BF763"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rPr>
              <w:id w:val="-1236861983"/>
              <w14:checkbox>
                <w14:checked w14:val="1"/>
                <w14:checkedState w14:val="2612" w14:font="MS Gothic"/>
                <w14:uncheckedState w14:val="2610" w14:font="MS Gothic"/>
              </w14:checkbox>
            </w:sdtPr>
            <w:sdtEndPr/>
            <w:sdtContent>
              <w:p w14:paraId="45BE5992"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F0319C" w:rsidRPr="004C3A0B" w14:paraId="429432D6" w14:textId="77777777" w:rsidTr="000E4C5B">
        <w:trPr>
          <w:trHeight w:val="403"/>
        </w:trPr>
        <w:tc>
          <w:tcPr>
            <w:tcW w:w="562" w:type="dxa"/>
            <w:shd w:val="clear" w:color="auto" w:fill="F2F2F2" w:themeFill="background1" w:themeFillShade="F2"/>
            <w:vAlign w:val="center"/>
          </w:tcPr>
          <w:p w14:paraId="4F9F5BC3" w14:textId="77777777" w:rsidR="00F0319C" w:rsidRDefault="00F0319C" w:rsidP="000E4C5B">
            <w:pPr>
              <w:autoSpaceDE w:val="0"/>
              <w:autoSpaceDN w:val="0"/>
              <w:adjustRightInd w:val="0"/>
              <w:rPr>
                <w:rFonts w:cs="Arial"/>
                <w:sz w:val="22"/>
                <w:szCs w:val="22"/>
              </w:rPr>
            </w:pPr>
            <w:r>
              <w:rPr>
                <w:rFonts w:cs="Arial"/>
                <w:sz w:val="22"/>
                <w:szCs w:val="22"/>
              </w:rPr>
              <w:t>16</w:t>
            </w:r>
          </w:p>
        </w:tc>
        <w:tc>
          <w:tcPr>
            <w:tcW w:w="8227" w:type="dxa"/>
            <w:shd w:val="clear" w:color="auto" w:fill="F2F2F2" w:themeFill="background1" w:themeFillShade="F2"/>
            <w:vAlign w:val="center"/>
          </w:tcPr>
          <w:p w14:paraId="2F9032FD" w14:textId="77777777" w:rsidR="00F0319C" w:rsidRPr="004C3A0B" w:rsidRDefault="00F0319C" w:rsidP="000E4C5B">
            <w:pPr>
              <w:autoSpaceDE w:val="0"/>
              <w:autoSpaceDN w:val="0"/>
              <w:adjustRightInd w:val="0"/>
              <w:rPr>
                <w:rFonts w:cs="Arial"/>
                <w:sz w:val="22"/>
                <w:szCs w:val="22"/>
              </w:rPr>
            </w:pPr>
            <w:r>
              <w:rPr>
                <w:rFonts w:cs="Arial"/>
                <w:sz w:val="22"/>
                <w:szCs w:val="22"/>
              </w:rPr>
              <w:t>Procedures that may have a negative impact on the environment?</w:t>
            </w:r>
          </w:p>
        </w:tc>
        <w:tc>
          <w:tcPr>
            <w:tcW w:w="846" w:type="dxa"/>
            <w:shd w:val="clear" w:color="auto" w:fill="BFBFBF" w:themeFill="background1" w:themeFillShade="BF"/>
            <w:vAlign w:val="center"/>
          </w:tcPr>
          <w:sdt>
            <w:sdtPr>
              <w:rPr>
                <w:rFonts w:cs="Arial"/>
                <w:b/>
                <w:bCs/>
                <w:sz w:val="22"/>
              </w:rPr>
              <w:id w:val="1647247395"/>
              <w14:checkbox>
                <w14:checked w14:val="0"/>
                <w14:checkedState w14:val="2612" w14:font="MS Gothic"/>
                <w14:uncheckedState w14:val="2610" w14:font="MS Gothic"/>
              </w14:checkbox>
            </w:sdtPr>
            <w:sdtEndPr/>
            <w:sdtContent>
              <w:p w14:paraId="4A00E402" w14:textId="77777777" w:rsidR="00F0319C" w:rsidRDefault="00F0319C" w:rsidP="000E4C5B">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rPr>
              <w:id w:val="-1995170133"/>
              <w14:checkbox>
                <w14:checked w14:val="1"/>
                <w14:checkedState w14:val="2612" w14:font="MS Gothic"/>
                <w14:uncheckedState w14:val="2610" w14:font="MS Gothic"/>
              </w14:checkbox>
            </w:sdtPr>
            <w:sdtEndPr/>
            <w:sdtContent>
              <w:p w14:paraId="1F38013D" w14:textId="77777777" w:rsidR="00F0319C" w:rsidRDefault="00F0319C" w:rsidP="000E4C5B">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r w:rsidR="00F0319C" w:rsidRPr="006C1FDD" w14:paraId="376C1E27" w14:textId="77777777" w:rsidTr="000E4C5B">
        <w:trPr>
          <w:trHeight w:val="403"/>
        </w:trPr>
        <w:tc>
          <w:tcPr>
            <w:tcW w:w="562" w:type="dxa"/>
            <w:shd w:val="clear" w:color="auto" w:fill="F2F2F2" w:themeFill="background1" w:themeFillShade="F2"/>
            <w:vAlign w:val="center"/>
          </w:tcPr>
          <w:p w14:paraId="4A6F25FD" w14:textId="77777777" w:rsidR="00F0319C" w:rsidRPr="006C1FDD" w:rsidRDefault="00F0319C" w:rsidP="000E4C5B">
            <w:pPr>
              <w:autoSpaceDE w:val="0"/>
              <w:autoSpaceDN w:val="0"/>
              <w:adjustRightInd w:val="0"/>
              <w:rPr>
                <w:rFonts w:cs="Arial"/>
                <w:sz w:val="22"/>
                <w:szCs w:val="22"/>
              </w:rPr>
            </w:pPr>
            <w:r>
              <w:rPr>
                <w:rFonts w:cs="Arial"/>
                <w:sz w:val="22"/>
                <w:szCs w:val="22"/>
              </w:rPr>
              <w:t>17</w:t>
            </w:r>
          </w:p>
        </w:tc>
        <w:tc>
          <w:tcPr>
            <w:tcW w:w="8227" w:type="dxa"/>
            <w:shd w:val="clear" w:color="auto" w:fill="F2F2F2" w:themeFill="background1" w:themeFillShade="F2"/>
            <w:vAlign w:val="center"/>
          </w:tcPr>
          <w:p w14:paraId="25114A7B" w14:textId="77777777" w:rsidR="00F0319C" w:rsidRPr="006C1FDD" w:rsidRDefault="00F0319C" w:rsidP="000E4C5B">
            <w:pPr>
              <w:autoSpaceDE w:val="0"/>
              <w:autoSpaceDN w:val="0"/>
              <w:adjustRightInd w:val="0"/>
              <w:rPr>
                <w:rFonts w:cs="Arial"/>
                <w:sz w:val="22"/>
                <w:szCs w:val="22"/>
              </w:rPr>
            </w:pPr>
            <w:r w:rsidRPr="006C1FDD">
              <w:rPr>
                <w:rFonts w:cs="Arial"/>
                <w:sz w:val="22"/>
                <w:szCs w:val="22"/>
              </w:rPr>
              <w:t xml:space="preserve">Other primary data </w:t>
            </w:r>
            <w:r>
              <w:rPr>
                <w:rFonts w:cs="Arial"/>
                <w:sz w:val="22"/>
                <w:szCs w:val="22"/>
              </w:rPr>
              <w:t xml:space="preserve">collection methods. </w:t>
            </w:r>
            <w:r w:rsidRPr="006C1FDD">
              <w:rPr>
                <w:rFonts w:cs="Arial"/>
                <w:sz w:val="22"/>
                <w:szCs w:val="22"/>
              </w:rPr>
              <w:t xml:space="preserve">Please indicate the type of data collection method(s) </w:t>
            </w:r>
            <w:r>
              <w:rPr>
                <w:rFonts w:cs="Arial"/>
                <w:sz w:val="22"/>
                <w:szCs w:val="22"/>
              </w:rPr>
              <w:t>below.</w:t>
            </w:r>
          </w:p>
        </w:tc>
        <w:tc>
          <w:tcPr>
            <w:tcW w:w="846" w:type="dxa"/>
            <w:vMerge w:val="restart"/>
            <w:shd w:val="clear" w:color="auto" w:fill="BFBFBF" w:themeFill="background1" w:themeFillShade="BF"/>
            <w:vAlign w:val="center"/>
          </w:tcPr>
          <w:sdt>
            <w:sdtPr>
              <w:rPr>
                <w:rFonts w:cs="Arial"/>
                <w:b/>
                <w:bCs/>
                <w:sz w:val="22"/>
              </w:rPr>
              <w:id w:val="2049023668"/>
              <w14:checkbox>
                <w14:checked w14:val="0"/>
                <w14:checkedState w14:val="2612" w14:font="MS Gothic"/>
                <w14:uncheckedState w14:val="2610" w14:font="MS Gothic"/>
              </w14:checkbox>
            </w:sdtPr>
            <w:sdtEndPr/>
            <w:sdtContent>
              <w:p w14:paraId="236315EB" w14:textId="77777777" w:rsidR="00F0319C" w:rsidRPr="006C1FDD" w:rsidRDefault="00F0319C" w:rsidP="000E4C5B">
                <w:pPr>
                  <w:autoSpaceDE w:val="0"/>
                  <w:autoSpaceDN w:val="0"/>
                  <w:adjustRightInd w:val="0"/>
                  <w:jc w:val="center"/>
                  <w:rPr>
                    <w:rFonts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cs="Arial"/>
                <w:b/>
                <w:bCs/>
                <w:sz w:val="22"/>
              </w:rPr>
              <w:id w:val="1900947946"/>
              <w14:checkbox>
                <w14:checked w14:val="1"/>
                <w14:checkedState w14:val="2612" w14:font="MS Gothic"/>
                <w14:uncheckedState w14:val="2610" w14:font="MS Gothic"/>
              </w14:checkbox>
            </w:sdtPr>
            <w:sdtEndPr/>
            <w:sdtContent>
              <w:p w14:paraId="2B4CABEB" w14:textId="77777777" w:rsidR="00F0319C" w:rsidRPr="006C1FDD" w:rsidRDefault="00F0319C" w:rsidP="000E4C5B">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r w:rsidR="00F0319C" w:rsidRPr="006C1FDD" w14:paraId="30251D44" w14:textId="77777777" w:rsidTr="000E4C5B">
        <w:trPr>
          <w:trHeight w:val="403"/>
        </w:trPr>
        <w:tc>
          <w:tcPr>
            <w:tcW w:w="562" w:type="dxa"/>
            <w:vAlign w:val="center"/>
          </w:tcPr>
          <w:p w14:paraId="49CD9875" w14:textId="77777777" w:rsidR="00F0319C" w:rsidRPr="006C1FDD" w:rsidRDefault="00F0319C" w:rsidP="000E4C5B">
            <w:pPr>
              <w:autoSpaceDE w:val="0"/>
              <w:autoSpaceDN w:val="0"/>
              <w:adjustRightInd w:val="0"/>
              <w:rPr>
                <w:rFonts w:cs="Arial"/>
                <w:sz w:val="22"/>
                <w:szCs w:val="22"/>
              </w:rPr>
            </w:pPr>
          </w:p>
        </w:tc>
        <w:tc>
          <w:tcPr>
            <w:tcW w:w="8227" w:type="dxa"/>
            <w:vAlign w:val="center"/>
          </w:tcPr>
          <w:p w14:paraId="6F5E959F" w14:textId="77777777" w:rsidR="00F0319C" w:rsidRPr="006C1FDD" w:rsidRDefault="00F0319C" w:rsidP="000E4C5B">
            <w:pPr>
              <w:autoSpaceDE w:val="0"/>
              <w:autoSpaceDN w:val="0"/>
              <w:adjustRightInd w:val="0"/>
              <w:rPr>
                <w:rFonts w:cs="Arial"/>
                <w:sz w:val="22"/>
                <w:szCs w:val="22"/>
              </w:rPr>
            </w:pPr>
            <w:r w:rsidRPr="006C1FDD">
              <w:rPr>
                <w:rFonts w:cs="Arial"/>
                <w:sz w:val="22"/>
                <w:szCs w:val="22"/>
              </w:rPr>
              <w:t>D</w:t>
            </w:r>
            <w:r>
              <w:rPr>
                <w:rFonts w:cs="Arial"/>
                <w:sz w:val="22"/>
                <w:szCs w:val="22"/>
              </w:rPr>
              <w:t>etails of any other primary d</w:t>
            </w:r>
            <w:r w:rsidRPr="006C1FDD">
              <w:rPr>
                <w:rFonts w:cs="Arial"/>
                <w:sz w:val="22"/>
                <w:szCs w:val="22"/>
              </w:rPr>
              <w:t>ata collection method:</w:t>
            </w:r>
          </w:p>
          <w:p w14:paraId="1A9EDBCA" w14:textId="77777777" w:rsidR="00F0319C" w:rsidRPr="006C1FDD" w:rsidRDefault="00F0319C" w:rsidP="000E4C5B">
            <w:pPr>
              <w:rPr>
                <w:rFonts w:cs="Arial"/>
              </w:rPr>
            </w:pPr>
          </w:p>
          <w:p w14:paraId="5B62A4EE" w14:textId="77777777" w:rsidR="00F0319C" w:rsidRPr="006C1FDD" w:rsidRDefault="00F0319C" w:rsidP="000E4C5B">
            <w:pPr>
              <w:rPr>
                <w:rFonts w:cs="Arial"/>
              </w:rPr>
            </w:pPr>
          </w:p>
          <w:p w14:paraId="725E226A" w14:textId="77777777" w:rsidR="00F0319C" w:rsidRPr="006C1FDD" w:rsidRDefault="00F0319C" w:rsidP="000E4C5B">
            <w:pPr>
              <w:rPr>
                <w:rFonts w:cs="Arial"/>
                <w:sz w:val="22"/>
                <w:szCs w:val="22"/>
              </w:rPr>
            </w:pPr>
          </w:p>
          <w:p w14:paraId="205B2230" w14:textId="77777777" w:rsidR="00F0319C" w:rsidRPr="006C1FDD" w:rsidRDefault="00F0319C" w:rsidP="000E4C5B">
            <w:pPr>
              <w:autoSpaceDE w:val="0"/>
              <w:autoSpaceDN w:val="0"/>
              <w:adjustRightInd w:val="0"/>
              <w:rPr>
                <w:rFonts w:cs="Arial"/>
                <w:sz w:val="22"/>
                <w:szCs w:val="22"/>
              </w:rPr>
            </w:pPr>
            <w:r w:rsidRPr="006C1FDD">
              <w:rPr>
                <w:rFonts w:cs="Arial"/>
                <w:sz w:val="18"/>
                <w:szCs w:val="18"/>
              </w:rPr>
              <w:t>(this box should expand as you type)</w:t>
            </w:r>
          </w:p>
        </w:tc>
        <w:tc>
          <w:tcPr>
            <w:tcW w:w="846" w:type="dxa"/>
            <w:vMerge/>
            <w:shd w:val="clear" w:color="auto" w:fill="BFBFBF" w:themeFill="background1" w:themeFillShade="BF"/>
            <w:vAlign w:val="center"/>
          </w:tcPr>
          <w:p w14:paraId="633B51A5" w14:textId="77777777" w:rsidR="00F0319C" w:rsidRPr="006C1FDD" w:rsidRDefault="00F0319C" w:rsidP="000E4C5B">
            <w:pPr>
              <w:autoSpaceDE w:val="0"/>
              <w:autoSpaceDN w:val="0"/>
              <w:adjustRightInd w:val="0"/>
              <w:jc w:val="center"/>
              <w:rPr>
                <w:rFonts w:cs="Arial"/>
                <w:b/>
                <w:bCs/>
                <w:sz w:val="22"/>
                <w:szCs w:val="22"/>
              </w:rPr>
            </w:pPr>
          </w:p>
        </w:tc>
        <w:tc>
          <w:tcPr>
            <w:tcW w:w="816" w:type="dxa"/>
            <w:vMerge/>
            <w:shd w:val="clear" w:color="auto" w:fill="BFBFBF" w:themeFill="background1" w:themeFillShade="BF"/>
            <w:vAlign w:val="center"/>
          </w:tcPr>
          <w:p w14:paraId="75B80858" w14:textId="77777777" w:rsidR="00F0319C" w:rsidRPr="006C1FDD" w:rsidRDefault="00F0319C" w:rsidP="000E4C5B">
            <w:pPr>
              <w:autoSpaceDE w:val="0"/>
              <w:autoSpaceDN w:val="0"/>
              <w:adjustRightInd w:val="0"/>
              <w:jc w:val="center"/>
              <w:rPr>
                <w:rFonts w:cs="Arial"/>
                <w:b/>
                <w:bCs/>
                <w:sz w:val="22"/>
                <w:szCs w:val="22"/>
              </w:rPr>
            </w:pPr>
          </w:p>
        </w:tc>
      </w:tr>
    </w:tbl>
    <w:p w14:paraId="1AE098F1" w14:textId="77777777" w:rsidR="00F0319C" w:rsidRDefault="00F0319C" w:rsidP="00F0319C">
      <w:pPr>
        <w:rPr>
          <w:rFonts w:cs="Arial"/>
          <w:bCs/>
          <w:iCs/>
          <w:sz w:val="22"/>
        </w:rPr>
      </w:pPr>
    </w:p>
    <w:p w14:paraId="355803DC" w14:textId="77777777" w:rsidR="00F0319C" w:rsidRPr="003D0884" w:rsidRDefault="00F0319C" w:rsidP="00F0319C">
      <w:pPr>
        <w:rPr>
          <w:rFonts w:cs="Arial"/>
          <w:bCs/>
          <w:iCs/>
          <w:sz w:val="22"/>
        </w:rPr>
      </w:pPr>
      <w:r w:rsidRPr="003D0884">
        <w:rPr>
          <w:rFonts w:cs="Arial"/>
          <w:bCs/>
          <w:iCs/>
          <w:sz w:val="22"/>
        </w:rPr>
        <w:t xml:space="preserve">If </w:t>
      </w:r>
      <w:r>
        <w:rPr>
          <w:rFonts w:cs="Arial"/>
          <w:bCs/>
          <w:iCs/>
          <w:sz w:val="22"/>
        </w:rPr>
        <w:t>you have ticked NO to every question</w:t>
      </w:r>
      <w:r w:rsidRPr="003D0884">
        <w:rPr>
          <w:rFonts w:cs="Arial"/>
          <w:bCs/>
          <w:iCs/>
          <w:sz w:val="22"/>
        </w:rPr>
        <w:t xml:space="preserve"> then the research activity is (ethically) low risk and </w:t>
      </w:r>
      <w:r>
        <w:rPr>
          <w:rFonts w:cs="Arial"/>
          <w:bCs/>
          <w:iCs/>
          <w:sz w:val="22"/>
        </w:rPr>
        <w:t xml:space="preserve">you may skip section </w:t>
      </w:r>
      <w:r w:rsidRPr="003D0884">
        <w:rPr>
          <w:rFonts w:cs="Arial"/>
          <w:bCs/>
          <w:iCs/>
          <w:sz w:val="22"/>
        </w:rPr>
        <w:t xml:space="preserve">E and continue to section </w:t>
      </w:r>
      <w:r>
        <w:rPr>
          <w:rFonts w:cs="Arial"/>
          <w:bCs/>
          <w:iCs/>
          <w:sz w:val="22"/>
        </w:rPr>
        <w:t>F</w:t>
      </w:r>
      <w:r w:rsidRPr="003D0884">
        <w:rPr>
          <w:rFonts w:cs="Arial"/>
          <w:bCs/>
          <w:iCs/>
          <w:sz w:val="22"/>
        </w:rPr>
        <w:t>.</w:t>
      </w:r>
    </w:p>
    <w:p w14:paraId="0C98CC24" w14:textId="77777777" w:rsidR="00F0319C" w:rsidRPr="004C3A0B" w:rsidRDefault="00F0319C" w:rsidP="00F0319C">
      <w:pPr>
        <w:rPr>
          <w:rFonts w:cs="Arial"/>
          <w:bCs/>
          <w:iCs/>
          <w:sz w:val="22"/>
        </w:rPr>
      </w:pPr>
    </w:p>
    <w:p w14:paraId="5CDC43EA" w14:textId="77777777" w:rsidR="00F0319C" w:rsidRDefault="00F0319C" w:rsidP="00F0319C">
      <w:pPr>
        <w:rPr>
          <w:rFonts w:cs="Arial"/>
          <w:bCs/>
          <w:iCs/>
          <w:sz w:val="22"/>
        </w:rPr>
      </w:pPr>
      <w:r w:rsidRPr="004C3A0B">
        <w:rPr>
          <w:rFonts w:cs="Arial"/>
          <w:bCs/>
          <w:iCs/>
          <w:sz w:val="22"/>
        </w:rPr>
        <w:t xml:space="preserve">If YES to any question, then no research activity should be undertaken until full ethical approval has been obtained. </w:t>
      </w:r>
    </w:p>
    <w:p w14:paraId="092642C0" w14:textId="77777777" w:rsidR="00F0319C" w:rsidRPr="004C3A0B" w:rsidRDefault="00F0319C" w:rsidP="00F0319C">
      <w:pPr>
        <w:rPr>
          <w:rFonts w:cs="Arial"/>
          <w:bCs/>
          <w:iCs/>
          <w:sz w:val="22"/>
        </w:rPr>
      </w:pPr>
    </w:p>
    <w:p w14:paraId="1BDB71F4" w14:textId="77777777" w:rsidR="00F0319C" w:rsidRPr="00354F34" w:rsidRDefault="00F0319C" w:rsidP="00F0319C">
      <w:pPr>
        <w:autoSpaceDE w:val="0"/>
        <w:autoSpaceDN w:val="0"/>
        <w:adjustRightInd w:val="0"/>
        <w:spacing w:after="240"/>
        <w:rPr>
          <w:rFonts w:cs="Arial"/>
          <w:b/>
          <w:sz w:val="22"/>
        </w:rPr>
      </w:pPr>
      <w:r w:rsidRPr="00354F34">
        <w:rPr>
          <w:rFonts w:cs="Arial"/>
          <w:b/>
          <w:sz w:val="22"/>
        </w:rPr>
        <w:t xml:space="preserve">SECTION </w:t>
      </w:r>
      <w:r>
        <w:rPr>
          <w:rFonts w:cs="Arial"/>
          <w:b/>
          <w:sz w:val="22"/>
        </w:rPr>
        <w:t>E</w:t>
      </w:r>
      <w:r w:rsidRPr="00354F34">
        <w:rPr>
          <w:rFonts w:cs="Arial"/>
          <w:b/>
          <w:sz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F0319C" w:rsidRPr="004C3A0B" w14:paraId="2E8A54BE" w14:textId="77777777" w:rsidTr="000E4C5B">
        <w:tc>
          <w:tcPr>
            <w:tcW w:w="562" w:type="dxa"/>
            <w:shd w:val="clear" w:color="auto" w:fill="F2F2F2" w:themeFill="background1" w:themeFillShade="F2"/>
            <w:vAlign w:val="center"/>
          </w:tcPr>
          <w:p w14:paraId="4CAF6BF1" w14:textId="77777777" w:rsidR="00F0319C" w:rsidRPr="004C3A0B" w:rsidRDefault="00F0319C" w:rsidP="000E4C5B">
            <w:pPr>
              <w:autoSpaceDE w:val="0"/>
              <w:autoSpaceDN w:val="0"/>
              <w:adjustRightInd w:val="0"/>
              <w:jc w:val="center"/>
              <w:rPr>
                <w:rFonts w:cs="Arial"/>
                <w:b/>
                <w:sz w:val="22"/>
                <w:szCs w:val="22"/>
              </w:rPr>
            </w:pPr>
          </w:p>
        </w:tc>
        <w:tc>
          <w:tcPr>
            <w:tcW w:w="8217" w:type="dxa"/>
            <w:shd w:val="clear" w:color="auto" w:fill="F2F2F2" w:themeFill="background1" w:themeFillShade="F2"/>
          </w:tcPr>
          <w:p w14:paraId="00CCCF47" w14:textId="77777777" w:rsidR="00F0319C" w:rsidRPr="004C3A0B" w:rsidRDefault="00F0319C" w:rsidP="000E4C5B">
            <w:pPr>
              <w:autoSpaceDE w:val="0"/>
              <w:autoSpaceDN w:val="0"/>
              <w:adjustRightInd w:val="0"/>
              <w:rPr>
                <w:rFonts w:cs="Arial"/>
                <w:b/>
                <w:sz w:val="22"/>
                <w:szCs w:val="22"/>
              </w:rPr>
            </w:pPr>
            <w:r w:rsidRPr="004C3A0B">
              <w:rPr>
                <w:rFonts w:cs="Arial"/>
                <w:b/>
                <w:sz w:val="22"/>
                <w:szCs w:val="22"/>
              </w:rPr>
              <w:t>Who are the intended participants:</w:t>
            </w:r>
          </w:p>
        </w:tc>
        <w:tc>
          <w:tcPr>
            <w:tcW w:w="850" w:type="dxa"/>
            <w:shd w:val="clear" w:color="auto" w:fill="F2F2F2" w:themeFill="background1" w:themeFillShade="F2"/>
          </w:tcPr>
          <w:p w14:paraId="4C387849" w14:textId="77777777" w:rsidR="00F0319C" w:rsidRPr="004C3A0B" w:rsidRDefault="00F0319C" w:rsidP="000E4C5B">
            <w:pPr>
              <w:autoSpaceDE w:val="0"/>
              <w:autoSpaceDN w:val="0"/>
              <w:adjustRightInd w:val="0"/>
              <w:jc w:val="center"/>
              <w:rPr>
                <w:rFonts w:cs="Arial"/>
                <w:b/>
                <w:bCs/>
                <w:sz w:val="22"/>
                <w:szCs w:val="22"/>
              </w:rPr>
            </w:pPr>
          </w:p>
          <w:p w14:paraId="2D6B69C7" w14:textId="77777777" w:rsidR="00F0319C" w:rsidRPr="004C3A0B" w:rsidRDefault="00F0319C" w:rsidP="000E4C5B">
            <w:pPr>
              <w:autoSpaceDE w:val="0"/>
              <w:autoSpaceDN w:val="0"/>
              <w:adjustRightInd w:val="0"/>
              <w:jc w:val="center"/>
              <w:rPr>
                <w:rFonts w:cs="Arial"/>
                <w:b/>
                <w:bCs/>
                <w:sz w:val="22"/>
                <w:szCs w:val="22"/>
              </w:rPr>
            </w:pPr>
            <w:r w:rsidRPr="004C3A0B">
              <w:rPr>
                <w:rFonts w:cs="Arial"/>
                <w:b/>
                <w:bCs/>
                <w:sz w:val="22"/>
                <w:szCs w:val="22"/>
              </w:rPr>
              <w:lastRenderedPageBreak/>
              <w:t>YES</w:t>
            </w:r>
          </w:p>
        </w:tc>
        <w:tc>
          <w:tcPr>
            <w:tcW w:w="822" w:type="dxa"/>
            <w:shd w:val="clear" w:color="auto" w:fill="F2F2F2" w:themeFill="background1" w:themeFillShade="F2"/>
          </w:tcPr>
          <w:p w14:paraId="0CC5D3C2" w14:textId="77777777" w:rsidR="00F0319C" w:rsidRPr="004C3A0B" w:rsidRDefault="00F0319C" w:rsidP="000E4C5B">
            <w:pPr>
              <w:autoSpaceDE w:val="0"/>
              <w:autoSpaceDN w:val="0"/>
              <w:adjustRightInd w:val="0"/>
              <w:jc w:val="center"/>
              <w:rPr>
                <w:rFonts w:cs="Arial"/>
                <w:b/>
                <w:bCs/>
                <w:sz w:val="22"/>
                <w:szCs w:val="22"/>
              </w:rPr>
            </w:pPr>
          </w:p>
          <w:p w14:paraId="1C597280" w14:textId="77777777" w:rsidR="00F0319C" w:rsidRPr="004C3A0B" w:rsidRDefault="00F0319C" w:rsidP="000E4C5B">
            <w:pPr>
              <w:autoSpaceDE w:val="0"/>
              <w:autoSpaceDN w:val="0"/>
              <w:adjustRightInd w:val="0"/>
              <w:jc w:val="center"/>
              <w:rPr>
                <w:rFonts w:cs="Arial"/>
                <w:b/>
                <w:bCs/>
                <w:sz w:val="22"/>
                <w:szCs w:val="22"/>
              </w:rPr>
            </w:pPr>
            <w:r w:rsidRPr="004C3A0B">
              <w:rPr>
                <w:rFonts w:cs="Arial"/>
                <w:b/>
                <w:bCs/>
                <w:sz w:val="22"/>
                <w:szCs w:val="22"/>
              </w:rPr>
              <w:lastRenderedPageBreak/>
              <w:t>NO</w:t>
            </w:r>
          </w:p>
        </w:tc>
      </w:tr>
      <w:tr w:rsidR="00F0319C" w:rsidRPr="004C3A0B" w14:paraId="37DB5760" w14:textId="77777777" w:rsidTr="000E4C5B">
        <w:trPr>
          <w:trHeight w:val="439"/>
        </w:trPr>
        <w:tc>
          <w:tcPr>
            <w:tcW w:w="562" w:type="dxa"/>
            <w:shd w:val="clear" w:color="auto" w:fill="F2F2F2" w:themeFill="background1" w:themeFillShade="F2"/>
            <w:vAlign w:val="center"/>
          </w:tcPr>
          <w:p w14:paraId="0BE1D85D" w14:textId="77777777" w:rsidR="00F0319C" w:rsidRPr="004C3A0B" w:rsidRDefault="00F0319C" w:rsidP="000E4C5B">
            <w:pPr>
              <w:autoSpaceDE w:val="0"/>
              <w:autoSpaceDN w:val="0"/>
              <w:adjustRightInd w:val="0"/>
              <w:jc w:val="center"/>
              <w:rPr>
                <w:rFonts w:cs="Arial"/>
                <w:sz w:val="22"/>
                <w:szCs w:val="22"/>
              </w:rPr>
            </w:pPr>
            <w:r>
              <w:rPr>
                <w:rFonts w:cs="Arial"/>
                <w:sz w:val="22"/>
                <w:szCs w:val="22"/>
              </w:rPr>
              <w:lastRenderedPageBreak/>
              <w:t>1</w:t>
            </w:r>
          </w:p>
        </w:tc>
        <w:tc>
          <w:tcPr>
            <w:tcW w:w="8217" w:type="dxa"/>
            <w:shd w:val="clear" w:color="auto" w:fill="F2F2F2" w:themeFill="background1" w:themeFillShade="F2"/>
            <w:vAlign w:val="center"/>
          </w:tcPr>
          <w:p w14:paraId="72362B5E"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Students or staff at the University?</w:t>
            </w:r>
          </w:p>
        </w:tc>
        <w:tc>
          <w:tcPr>
            <w:tcW w:w="850" w:type="dxa"/>
            <w:shd w:val="clear" w:color="auto" w:fill="BFBFBF" w:themeFill="background1" w:themeFillShade="BF"/>
            <w:vAlign w:val="center"/>
          </w:tcPr>
          <w:sdt>
            <w:sdtPr>
              <w:rPr>
                <w:rFonts w:cs="Arial"/>
                <w:b/>
                <w:bCs/>
                <w:sz w:val="22"/>
              </w:rPr>
              <w:id w:val="-227763996"/>
              <w14:checkbox>
                <w14:checked w14:val="0"/>
                <w14:checkedState w14:val="2612" w14:font="MS Gothic"/>
                <w14:uncheckedState w14:val="2610" w14:font="MS Gothic"/>
              </w14:checkbox>
            </w:sdtPr>
            <w:sdtEndPr/>
            <w:sdtContent>
              <w:p w14:paraId="232AAF35"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rPr>
              <w:id w:val="-947306252"/>
              <w14:checkbox>
                <w14:checked w14:val="1"/>
                <w14:checkedState w14:val="2612" w14:font="MS Gothic"/>
                <w14:uncheckedState w14:val="2610" w14:font="MS Gothic"/>
              </w14:checkbox>
            </w:sdtPr>
            <w:sdtEndPr/>
            <w:sdtContent>
              <w:p w14:paraId="37905A0C"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4E040408" w14:textId="77777777" w:rsidTr="000E4C5B">
        <w:trPr>
          <w:trHeight w:val="403"/>
        </w:trPr>
        <w:tc>
          <w:tcPr>
            <w:tcW w:w="562" w:type="dxa"/>
            <w:shd w:val="clear" w:color="auto" w:fill="F2F2F2" w:themeFill="background1" w:themeFillShade="F2"/>
            <w:vAlign w:val="center"/>
          </w:tcPr>
          <w:p w14:paraId="74B3CF9E" w14:textId="77777777" w:rsidR="00F0319C" w:rsidRPr="004C3A0B" w:rsidRDefault="00F0319C" w:rsidP="000E4C5B">
            <w:pPr>
              <w:autoSpaceDE w:val="0"/>
              <w:autoSpaceDN w:val="0"/>
              <w:adjustRightInd w:val="0"/>
              <w:jc w:val="center"/>
              <w:rPr>
                <w:rFonts w:cs="Arial"/>
                <w:sz w:val="22"/>
                <w:szCs w:val="22"/>
              </w:rPr>
            </w:pPr>
            <w:r>
              <w:rPr>
                <w:rFonts w:cs="Arial"/>
                <w:sz w:val="22"/>
                <w:szCs w:val="22"/>
              </w:rPr>
              <w:t>2</w:t>
            </w:r>
          </w:p>
        </w:tc>
        <w:tc>
          <w:tcPr>
            <w:tcW w:w="8217" w:type="dxa"/>
            <w:shd w:val="clear" w:color="auto" w:fill="F2F2F2" w:themeFill="background1" w:themeFillShade="F2"/>
            <w:vAlign w:val="center"/>
          </w:tcPr>
          <w:p w14:paraId="3130E71F"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Adults (over the age of 18 and competent to give consent)?</w:t>
            </w:r>
          </w:p>
        </w:tc>
        <w:tc>
          <w:tcPr>
            <w:tcW w:w="850" w:type="dxa"/>
            <w:shd w:val="clear" w:color="auto" w:fill="BFBFBF" w:themeFill="background1" w:themeFillShade="BF"/>
            <w:vAlign w:val="center"/>
          </w:tcPr>
          <w:sdt>
            <w:sdtPr>
              <w:rPr>
                <w:rFonts w:cs="Arial"/>
                <w:b/>
                <w:bCs/>
                <w:sz w:val="22"/>
              </w:rPr>
              <w:id w:val="-1780247199"/>
              <w14:checkbox>
                <w14:checked w14:val="0"/>
                <w14:checkedState w14:val="2612" w14:font="MS Gothic"/>
                <w14:uncheckedState w14:val="2610" w14:font="MS Gothic"/>
              </w14:checkbox>
            </w:sdtPr>
            <w:sdtEndPr/>
            <w:sdtContent>
              <w:p w14:paraId="3C1F5A84"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rPr>
              <w:id w:val="666435130"/>
              <w14:checkbox>
                <w14:checked w14:val="1"/>
                <w14:checkedState w14:val="2612" w14:font="MS Gothic"/>
                <w14:uncheckedState w14:val="2610" w14:font="MS Gothic"/>
              </w14:checkbox>
            </w:sdtPr>
            <w:sdtEndPr/>
            <w:sdtContent>
              <w:p w14:paraId="19E05405"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3485679C" w14:textId="77777777" w:rsidTr="000E4C5B">
        <w:trPr>
          <w:trHeight w:val="439"/>
        </w:trPr>
        <w:tc>
          <w:tcPr>
            <w:tcW w:w="562" w:type="dxa"/>
            <w:shd w:val="clear" w:color="auto" w:fill="F2F2F2" w:themeFill="background1" w:themeFillShade="F2"/>
            <w:vAlign w:val="center"/>
          </w:tcPr>
          <w:p w14:paraId="0B1B73F0" w14:textId="77777777" w:rsidR="00F0319C" w:rsidRPr="004C3A0B" w:rsidRDefault="00F0319C" w:rsidP="000E4C5B">
            <w:pPr>
              <w:autoSpaceDE w:val="0"/>
              <w:autoSpaceDN w:val="0"/>
              <w:adjustRightInd w:val="0"/>
              <w:jc w:val="center"/>
              <w:rPr>
                <w:rFonts w:cs="Arial"/>
                <w:sz w:val="22"/>
                <w:szCs w:val="22"/>
              </w:rPr>
            </w:pPr>
            <w:r>
              <w:rPr>
                <w:rFonts w:cs="Arial"/>
                <w:sz w:val="22"/>
                <w:szCs w:val="22"/>
              </w:rPr>
              <w:t>3</w:t>
            </w:r>
          </w:p>
        </w:tc>
        <w:tc>
          <w:tcPr>
            <w:tcW w:w="8217" w:type="dxa"/>
            <w:shd w:val="clear" w:color="auto" w:fill="F2F2F2" w:themeFill="background1" w:themeFillShade="F2"/>
            <w:vAlign w:val="center"/>
          </w:tcPr>
          <w:p w14:paraId="373B672D"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Vulnerable adults?</w:t>
            </w:r>
          </w:p>
        </w:tc>
        <w:tc>
          <w:tcPr>
            <w:tcW w:w="850" w:type="dxa"/>
            <w:shd w:val="clear" w:color="auto" w:fill="BFBFBF" w:themeFill="background1" w:themeFillShade="BF"/>
            <w:vAlign w:val="center"/>
          </w:tcPr>
          <w:sdt>
            <w:sdtPr>
              <w:rPr>
                <w:rFonts w:cs="Arial"/>
                <w:b/>
                <w:bCs/>
                <w:sz w:val="22"/>
              </w:rPr>
              <w:id w:val="555978563"/>
              <w14:checkbox>
                <w14:checked w14:val="0"/>
                <w14:checkedState w14:val="2612" w14:font="MS Gothic"/>
                <w14:uncheckedState w14:val="2610" w14:font="MS Gothic"/>
              </w14:checkbox>
            </w:sdtPr>
            <w:sdtEndPr/>
            <w:sdtContent>
              <w:p w14:paraId="7CF1EA88"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rPr>
              <w:id w:val="-435668532"/>
              <w14:checkbox>
                <w14:checked w14:val="1"/>
                <w14:checkedState w14:val="2612" w14:font="MS Gothic"/>
                <w14:uncheckedState w14:val="2610" w14:font="MS Gothic"/>
              </w14:checkbox>
            </w:sdtPr>
            <w:sdtEndPr/>
            <w:sdtContent>
              <w:p w14:paraId="67BF64A8"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504DB170" w14:textId="77777777" w:rsidTr="000E4C5B">
        <w:trPr>
          <w:trHeight w:val="403"/>
        </w:trPr>
        <w:tc>
          <w:tcPr>
            <w:tcW w:w="562" w:type="dxa"/>
            <w:shd w:val="clear" w:color="auto" w:fill="F2F2F2" w:themeFill="background1" w:themeFillShade="F2"/>
            <w:vAlign w:val="center"/>
          </w:tcPr>
          <w:p w14:paraId="7CE498B2" w14:textId="77777777" w:rsidR="00F0319C" w:rsidRPr="004C3A0B" w:rsidRDefault="00F0319C" w:rsidP="000E4C5B">
            <w:pPr>
              <w:autoSpaceDE w:val="0"/>
              <w:autoSpaceDN w:val="0"/>
              <w:adjustRightInd w:val="0"/>
              <w:jc w:val="center"/>
              <w:rPr>
                <w:rFonts w:cs="Arial"/>
                <w:sz w:val="22"/>
                <w:szCs w:val="22"/>
              </w:rPr>
            </w:pPr>
            <w:r>
              <w:rPr>
                <w:rFonts w:cs="Arial"/>
                <w:sz w:val="22"/>
                <w:szCs w:val="22"/>
              </w:rPr>
              <w:t>4</w:t>
            </w:r>
          </w:p>
        </w:tc>
        <w:tc>
          <w:tcPr>
            <w:tcW w:w="8217" w:type="dxa"/>
            <w:shd w:val="clear" w:color="auto" w:fill="F2F2F2" w:themeFill="background1" w:themeFillShade="F2"/>
            <w:vAlign w:val="center"/>
          </w:tcPr>
          <w:p w14:paraId="68C2DA60"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 xml:space="preserve">Children </w:t>
            </w:r>
            <w:r>
              <w:rPr>
                <w:rFonts w:cs="Arial"/>
                <w:sz w:val="22"/>
                <w:szCs w:val="22"/>
              </w:rPr>
              <w:t xml:space="preserve">and Young People </w:t>
            </w:r>
            <w:r w:rsidRPr="004C3A0B">
              <w:rPr>
                <w:rFonts w:cs="Arial"/>
                <w:sz w:val="22"/>
                <w:szCs w:val="22"/>
              </w:rPr>
              <w:t xml:space="preserve">under </w:t>
            </w:r>
            <w:r>
              <w:rPr>
                <w:rFonts w:cs="Arial"/>
                <w:sz w:val="22"/>
                <w:szCs w:val="22"/>
              </w:rPr>
              <w:t>the age of 1</w:t>
            </w:r>
            <w:r w:rsidRPr="004C3A0B">
              <w:rPr>
                <w:rFonts w:cs="Arial"/>
                <w:sz w:val="22"/>
                <w:szCs w:val="22"/>
              </w:rPr>
              <w:t>8?</w:t>
            </w:r>
            <w:r>
              <w:rPr>
                <w:rFonts w:cs="Arial"/>
                <w:sz w:val="22"/>
                <w:szCs w:val="22"/>
              </w:rPr>
              <w:t xml:space="preserve"> </w:t>
            </w:r>
            <w:r w:rsidRPr="00D839CD">
              <w:rPr>
                <w:rFonts w:cs="Arial"/>
                <w:sz w:val="22"/>
                <w:szCs w:val="22"/>
              </w:rPr>
              <w:t>(Consent from Parent, Carer or Guardian will be required)</w:t>
            </w:r>
          </w:p>
        </w:tc>
        <w:tc>
          <w:tcPr>
            <w:tcW w:w="850" w:type="dxa"/>
            <w:shd w:val="clear" w:color="auto" w:fill="BFBFBF" w:themeFill="background1" w:themeFillShade="BF"/>
            <w:vAlign w:val="center"/>
          </w:tcPr>
          <w:sdt>
            <w:sdtPr>
              <w:rPr>
                <w:rFonts w:cs="Arial"/>
                <w:b/>
                <w:bCs/>
                <w:sz w:val="22"/>
              </w:rPr>
              <w:id w:val="-375472827"/>
              <w14:checkbox>
                <w14:checked w14:val="0"/>
                <w14:checkedState w14:val="2612" w14:font="MS Gothic"/>
                <w14:uncheckedState w14:val="2610" w14:font="MS Gothic"/>
              </w14:checkbox>
            </w:sdtPr>
            <w:sdtEndPr/>
            <w:sdtContent>
              <w:p w14:paraId="16407C81"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rPr>
              <w:id w:val="1887361462"/>
              <w14:checkbox>
                <w14:checked w14:val="1"/>
                <w14:checkedState w14:val="2612" w14:font="MS Gothic"/>
                <w14:uncheckedState w14:val="2610" w14:font="MS Gothic"/>
              </w14:checkbox>
            </w:sdtPr>
            <w:sdtEndPr/>
            <w:sdtContent>
              <w:p w14:paraId="42F51C5B"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2D280545" w14:textId="77777777" w:rsidTr="000E4C5B">
        <w:trPr>
          <w:trHeight w:val="403"/>
        </w:trPr>
        <w:tc>
          <w:tcPr>
            <w:tcW w:w="562" w:type="dxa"/>
            <w:shd w:val="clear" w:color="auto" w:fill="F2F2F2" w:themeFill="background1" w:themeFillShade="F2"/>
            <w:vAlign w:val="center"/>
          </w:tcPr>
          <w:p w14:paraId="4F9D027C" w14:textId="77777777" w:rsidR="00F0319C" w:rsidRPr="004C3A0B" w:rsidRDefault="00F0319C" w:rsidP="000E4C5B">
            <w:pPr>
              <w:autoSpaceDE w:val="0"/>
              <w:autoSpaceDN w:val="0"/>
              <w:adjustRightInd w:val="0"/>
              <w:jc w:val="center"/>
              <w:rPr>
                <w:rFonts w:cs="Arial"/>
                <w:sz w:val="22"/>
                <w:szCs w:val="22"/>
              </w:rPr>
            </w:pPr>
            <w:r>
              <w:rPr>
                <w:rFonts w:cs="Arial"/>
                <w:sz w:val="22"/>
                <w:szCs w:val="22"/>
              </w:rPr>
              <w:t>5</w:t>
            </w:r>
          </w:p>
        </w:tc>
        <w:tc>
          <w:tcPr>
            <w:tcW w:w="8217" w:type="dxa"/>
            <w:shd w:val="clear" w:color="auto" w:fill="F2F2F2" w:themeFill="background1" w:themeFillShade="F2"/>
            <w:vAlign w:val="center"/>
          </w:tcPr>
          <w:p w14:paraId="55751EFF"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Prisoners?</w:t>
            </w:r>
          </w:p>
        </w:tc>
        <w:tc>
          <w:tcPr>
            <w:tcW w:w="850" w:type="dxa"/>
            <w:shd w:val="clear" w:color="auto" w:fill="BFBFBF" w:themeFill="background1" w:themeFillShade="BF"/>
            <w:vAlign w:val="center"/>
          </w:tcPr>
          <w:sdt>
            <w:sdtPr>
              <w:rPr>
                <w:rFonts w:cs="Arial"/>
                <w:b/>
                <w:bCs/>
                <w:sz w:val="22"/>
              </w:rPr>
              <w:id w:val="1692793907"/>
              <w14:checkbox>
                <w14:checked w14:val="0"/>
                <w14:checkedState w14:val="2612" w14:font="MS Gothic"/>
                <w14:uncheckedState w14:val="2610" w14:font="MS Gothic"/>
              </w14:checkbox>
            </w:sdtPr>
            <w:sdtEndPr/>
            <w:sdtContent>
              <w:p w14:paraId="0932EF36"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rPr>
              <w:id w:val="326411418"/>
              <w14:checkbox>
                <w14:checked w14:val="1"/>
                <w14:checkedState w14:val="2612" w14:font="MS Gothic"/>
                <w14:uncheckedState w14:val="2610" w14:font="MS Gothic"/>
              </w14:checkbox>
            </w:sdtPr>
            <w:sdtEndPr/>
            <w:sdtContent>
              <w:p w14:paraId="020FA48A"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0E081E04" w14:textId="77777777" w:rsidTr="000E4C5B">
        <w:trPr>
          <w:trHeight w:val="439"/>
        </w:trPr>
        <w:tc>
          <w:tcPr>
            <w:tcW w:w="562" w:type="dxa"/>
            <w:shd w:val="clear" w:color="auto" w:fill="F2F2F2" w:themeFill="background1" w:themeFillShade="F2"/>
            <w:vAlign w:val="center"/>
          </w:tcPr>
          <w:p w14:paraId="735EF850" w14:textId="77777777" w:rsidR="00F0319C" w:rsidRPr="004C3A0B" w:rsidRDefault="00F0319C" w:rsidP="000E4C5B">
            <w:pPr>
              <w:autoSpaceDE w:val="0"/>
              <w:autoSpaceDN w:val="0"/>
              <w:adjustRightInd w:val="0"/>
              <w:jc w:val="center"/>
              <w:rPr>
                <w:rFonts w:cs="Arial"/>
                <w:sz w:val="22"/>
                <w:szCs w:val="22"/>
              </w:rPr>
            </w:pPr>
            <w:r>
              <w:rPr>
                <w:rFonts w:cs="Arial"/>
                <w:sz w:val="22"/>
                <w:szCs w:val="22"/>
              </w:rPr>
              <w:t>6</w:t>
            </w:r>
          </w:p>
        </w:tc>
        <w:tc>
          <w:tcPr>
            <w:tcW w:w="8217" w:type="dxa"/>
            <w:shd w:val="clear" w:color="auto" w:fill="F2F2F2" w:themeFill="background1" w:themeFillShade="F2"/>
            <w:vAlign w:val="center"/>
          </w:tcPr>
          <w:p w14:paraId="1D691A83"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Young offenders?</w:t>
            </w:r>
          </w:p>
        </w:tc>
        <w:tc>
          <w:tcPr>
            <w:tcW w:w="850" w:type="dxa"/>
            <w:shd w:val="clear" w:color="auto" w:fill="BFBFBF" w:themeFill="background1" w:themeFillShade="BF"/>
            <w:vAlign w:val="center"/>
          </w:tcPr>
          <w:sdt>
            <w:sdtPr>
              <w:rPr>
                <w:rFonts w:cs="Arial"/>
                <w:b/>
                <w:bCs/>
                <w:sz w:val="22"/>
              </w:rPr>
              <w:id w:val="1255410168"/>
              <w14:checkbox>
                <w14:checked w14:val="0"/>
                <w14:checkedState w14:val="2612" w14:font="MS Gothic"/>
                <w14:uncheckedState w14:val="2610" w14:font="MS Gothic"/>
              </w14:checkbox>
            </w:sdtPr>
            <w:sdtEndPr/>
            <w:sdtContent>
              <w:p w14:paraId="642ADA65"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rPr>
              <w:id w:val="-1236000582"/>
              <w14:checkbox>
                <w14:checked w14:val="1"/>
                <w14:checkedState w14:val="2612" w14:font="MS Gothic"/>
                <w14:uncheckedState w14:val="2610" w14:font="MS Gothic"/>
              </w14:checkbox>
            </w:sdtPr>
            <w:sdtEndPr/>
            <w:sdtContent>
              <w:p w14:paraId="5B09477B"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2C2D06F6" w14:textId="77777777" w:rsidTr="000E4C5B">
        <w:trPr>
          <w:trHeight w:val="403"/>
        </w:trPr>
        <w:tc>
          <w:tcPr>
            <w:tcW w:w="562" w:type="dxa"/>
            <w:shd w:val="clear" w:color="auto" w:fill="F2F2F2" w:themeFill="background1" w:themeFillShade="F2"/>
            <w:vAlign w:val="center"/>
          </w:tcPr>
          <w:p w14:paraId="68743B3E" w14:textId="77777777" w:rsidR="00F0319C" w:rsidRPr="004C3A0B" w:rsidRDefault="00F0319C" w:rsidP="000E4C5B">
            <w:pPr>
              <w:autoSpaceDE w:val="0"/>
              <w:autoSpaceDN w:val="0"/>
              <w:adjustRightInd w:val="0"/>
              <w:jc w:val="center"/>
              <w:rPr>
                <w:rFonts w:cs="Arial"/>
                <w:sz w:val="22"/>
                <w:szCs w:val="22"/>
              </w:rPr>
            </w:pPr>
            <w:r>
              <w:rPr>
                <w:rFonts w:cs="Arial"/>
                <w:sz w:val="22"/>
                <w:szCs w:val="22"/>
              </w:rPr>
              <w:t>7</w:t>
            </w:r>
          </w:p>
        </w:tc>
        <w:tc>
          <w:tcPr>
            <w:tcW w:w="8217" w:type="dxa"/>
            <w:shd w:val="clear" w:color="auto" w:fill="F2F2F2" w:themeFill="background1" w:themeFillShade="F2"/>
            <w:vAlign w:val="center"/>
          </w:tcPr>
          <w:p w14:paraId="4E11B7C7"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cs="Arial"/>
                <w:b/>
                <w:bCs/>
                <w:sz w:val="22"/>
              </w:rPr>
              <w:id w:val="-1016453075"/>
              <w14:checkbox>
                <w14:checked w14:val="0"/>
                <w14:checkedState w14:val="2612" w14:font="MS Gothic"/>
                <w14:uncheckedState w14:val="2610" w14:font="MS Gothic"/>
              </w14:checkbox>
            </w:sdtPr>
            <w:sdtEndPr/>
            <w:sdtContent>
              <w:p w14:paraId="18C4299B"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rPr>
              <w:id w:val="1673070048"/>
              <w14:checkbox>
                <w14:checked w14:val="1"/>
                <w14:checkedState w14:val="2612" w14:font="MS Gothic"/>
                <w14:uncheckedState w14:val="2610" w14:font="MS Gothic"/>
              </w14:checkbox>
            </w:sdtPr>
            <w:sdtEndPr/>
            <w:sdtContent>
              <w:p w14:paraId="387CF0C2"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F0319C" w:rsidRPr="004C3A0B" w14:paraId="1A202BA9" w14:textId="77777777" w:rsidTr="000E4C5B">
        <w:trPr>
          <w:trHeight w:val="403"/>
        </w:trPr>
        <w:tc>
          <w:tcPr>
            <w:tcW w:w="562" w:type="dxa"/>
            <w:shd w:val="clear" w:color="auto" w:fill="F2F2F2" w:themeFill="background1" w:themeFillShade="F2"/>
            <w:vAlign w:val="center"/>
          </w:tcPr>
          <w:p w14:paraId="5670E5F4" w14:textId="77777777" w:rsidR="00F0319C" w:rsidRPr="004C3A0B" w:rsidRDefault="00F0319C" w:rsidP="000E4C5B">
            <w:pPr>
              <w:autoSpaceDE w:val="0"/>
              <w:autoSpaceDN w:val="0"/>
              <w:adjustRightInd w:val="0"/>
              <w:jc w:val="center"/>
              <w:rPr>
                <w:rFonts w:cs="Arial"/>
                <w:sz w:val="22"/>
                <w:szCs w:val="22"/>
              </w:rPr>
            </w:pPr>
            <w:r>
              <w:rPr>
                <w:rFonts w:cs="Arial"/>
                <w:sz w:val="22"/>
                <w:szCs w:val="22"/>
              </w:rPr>
              <w:t>8</w:t>
            </w:r>
          </w:p>
        </w:tc>
        <w:tc>
          <w:tcPr>
            <w:tcW w:w="8217" w:type="dxa"/>
            <w:shd w:val="clear" w:color="auto" w:fill="F2F2F2" w:themeFill="background1" w:themeFillShade="F2"/>
            <w:vAlign w:val="center"/>
          </w:tcPr>
          <w:p w14:paraId="4432B2A2"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People engaged in illegal activities?</w:t>
            </w:r>
          </w:p>
        </w:tc>
        <w:tc>
          <w:tcPr>
            <w:tcW w:w="850" w:type="dxa"/>
            <w:shd w:val="clear" w:color="auto" w:fill="BFBFBF" w:themeFill="background1" w:themeFillShade="BF"/>
            <w:vAlign w:val="center"/>
          </w:tcPr>
          <w:sdt>
            <w:sdtPr>
              <w:rPr>
                <w:rFonts w:cs="Arial"/>
                <w:b/>
                <w:bCs/>
                <w:sz w:val="22"/>
              </w:rPr>
              <w:id w:val="-1519850840"/>
              <w14:checkbox>
                <w14:checked w14:val="0"/>
                <w14:checkedState w14:val="2612" w14:font="MS Gothic"/>
                <w14:uncheckedState w14:val="2610" w14:font="MS Gothic"/>
              </w14:checkbox>
            </w:sdtPr>
            <w:sdtEndPr/>
            <w:sdtContent>
              <w:p w14:paraId="67FBC764"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rPr>
              <w:id w:val="1072859745"/>
              <w14:checkbox>
                <w14:checked w14:val="1"/>
                <w14:checkedState w14:val="2612" w14:font="MS Gothic"/>
                <w14:uncheckedState w14:val="2610" w14:font="MS Gothic"/>
              </w14:checkbox>
            </w:sdtPr>
            <w:sdtEndPr/>
            <w:sdtContent>
              <w:p w14:paraId="411D3FAA"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F0319C" w:rsidRPr="004C3A0B" w14:paraId="5988EA6B" w14:textId="77777777" w:rsidTr="000E4C5B">
        <w:trPr>
          <w:trHeight w:val="403"/>
        </w:trPr>
        <w:tc>
          <w:tcPr>
            <w:tcW w:w="562" w:type="dxa"/>
            <w:shd w:val="clear" w:color="auto" w:fill="F2F2F2" w:themeFill="background1" w:themeFillShade="F2"/>
            <w:vAlign w:val="center"/>
          </w:tcPr>
          <w:p w14:paraId="5F37B022" w14:textId="77777777" w:rsidR="00F0319C" w:rsidRPr="004C3A0B" w:rsidRDefault="00F0319C" w:rsidP="000E4C5B">
            <w:pPr>
              <w:autoSpaceDE w:val="0"/>
              <w:autoSpaceDN w:val="0"/>
              <w:adjustRightInd w:val="0"/>
              <w:jc w:val="center"/>
              <w:rPr>
                <w:rFonts w:cs="Arial"/>
                <w:sz w:val="22"/>
                <w:szCs w:val="22"/>
              </w:rPr>
            </w:pPr>
            <w:r>
              <w:rPr>
                <w:rFonts w:cs="Arial"/>
                <w:sz w:val="22"/>
                <w:szCs w:val="22"/>
              </w:rPr>
              <w:t>9</w:t>
            </w:r>
          </w:p>
        </w:tc>
        <w:tc>
          <w:tcPr>
            <w:tcW w:w="8217" w:type="dxa"/>
            <w:shd w:val="clear" w:color="auto" w:fill="F2F2F2" w:themeFill="background1" w:themeFillShade="F2"/>
            <w:vAlign w:val="center"/>
          </w:tcPr>
          <w:p w14:paraId="766CFBF7"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Others</w:t>
            </w:r>
            <w:r>
              <w:rPr>
                <w:rFonts w:cs="Arial"/>
                <w:sz w:val="22"/>
                <w:szCs w:val="22"/>
              </w:rPr>
              <w:t>. Please indicate the participants below, and specifically any group who may be unable to give consent.</w:t>
            </w:r>
          </w:p>
          <w:p w14:paraId="4E0B16FC" w14:textId="77777777" w:rsidR="00F0319C" w:rsidRPr="004C3A0B" w:rsidRDefault="00F0319C" w:rsidP="000E4C5B">
            <w:pPr>
              <w:autoSpaceDE w:val="0"/>
              <w:autoSpaceDN w:val="0"/>
              <w:adjustRightInd w:val="0"/>
              <w:rPr>
                <w:rFonts w:cs="Arial"/>
                <w:sz w:val="22"/>
                <w:szCs w:val="22"/>
              </w:rPr>
            </w:pPr>
          </w:p>
        </w:tc>
        <w:tc>
          <w:tcPr>
            <w:tcW w:w="850" w:type="dxa"/>
            <w:vMerge w:val="restart"/>
            <w:shd w:val="clear" w:color="auto" w:fill="BFBFBF" w:themeFill="background1" w:themeFillShade="BF"/>
            <w:vAlign w:val="center"/>
          </w:tcPr>
          <w:sdt>
            <w:sdtPr>
              <w:rPr>
                <w:rFonts w:cs="Arial"/>
                <w:b/>
                <w:bCs/>
                <w:sz w:val="22"/>
              </w:rPr>
              <w:id w:val="-1984918035"/>
              <w14:checkbox>
                <w14:checked w14:val="0"/>
                <w14:checkedState w14:val="2612" w14:font="MS Gothic"/>
                <w14:uncheckedState w14:val="2610" w14:font="MS Gothic"/>
              </w14:checkbox>
            </w:sdtPr>
            <w:sdtEndPr/>
            <w:sdtContent>
              <w:p w14:paraId="1A7D9CE3"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cs="Arial"/>
                <w:b/>
                <w:bCs/>
                <w:sz w:val="22"/>
              </w:rPr>
              <w:id w:val="-1870052561"/>
              <w14:checkbox>
                <w14:checked w14:val="1"/>
                <w14:checkedState w14:val="2612" w14:font="MS Gothic"/>
                <w14:uncheckedState w14:val="2610" w14:font="MS Gothic"/>
              </w14:checkbox>
            </w:sdtPr>
            <w:sdtEndPr/>
            <w:sdtContent>
              <w:p w14:paraId="5FF8740C"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F0319C" w:rsidRPr="004C3A0B" w14:paraId="54D8368C" w14:textId="77777777" w:rsidTr="000E4C5B">
        <w:trPr>
          <w:trHeight w:val="403"/>
        </w:trPr>
        <w:tc>
          <w:tcPr>
            <w:tcW w:w="562" w:type="dxa"/>
            <w:vAlign w:val="center"/>
          </w:tcPr>
          <w:p w14:paraId="7495E096" w14:textId="77777777" w:rsidR="00F0319C" w:rsidRPr="006C1FDD" w:rsidRDefault="00F0319C" w:rsidP="000E4C5B">
            <w:pPr>
              <w:autoSpaceDE w:val="0"/>
              <w:autoSpaceDN w:val="0"/>
              <w:adjustRightInd w:val="0"/>
              <w:jc w:val="center"/>
              <w:rPr>
                <w:rFonts w:cs="Arial"/>
                <w:sz w:val="22"/>
                <w:szCs w:val="22"/>
              </w:rPr>
            </w:pPr>
          </w:p>
        </w:tc>
        <w:tc>
          <w:tcPr>
            <w:tcW w:w="8217" w:type="dxa"/>
            <w:vAlign w:val="center"/>
          </w:tcPr>
          <w:p w14:paraId="34D5D2E7" w14:textId="77777777" w:rsidR="00F0319C" w:rsidRPr="006C1FDD" w:rsidRDefault="00F0319C" w:rsidP="000E4C5B">
            <w:pPr>
              <w:autoSpaceDE w:val="0"/>
              <w:autoSpaceDN w:val="0"/>
              <w:adjustRightInd w:val="0"/>
              <w:rPr>
                <w:rFonts w:cs="Arial"/>
                <w:sz w:val="22"/>
                <w:szCs w:val="22"/>
              </w:rPr>
            </w:pPr>
            <w:r>
              <w:rPr>
                <w:rFonts w:cs="Arial"/>
                <w:sz w:val="22"/>
                <w:szCs w:val="22"/>
              </w:rPr>
              <w:t>Details of any other participant groups:</w:t>
            </w:r>
          </w:p>
          <w:p w14:paraId="0A08BDDD" w14:textId="77777777" w:rsidR="00F0319C" w:rsidRDefault="00F0319C" w:rsidP="000E4C5B">
            <w:pPr>
              <w:rPr>
                <w:rFonts w:cs="Arial"/>
              </w:rPr>
            </w:pPr>
            <w:r w:rsidRPr="00AA34BD">
              <w:rPr>
                <w:rFonts w:cs="Arial"/>
                <w:color w:val="00B050"/>
                <w:sz w:val="22"/>
              </w:rPr>
              <w:t>Complete this only if your participants cannot give consent. This includes animals</w:t>
            </w:r>
          </w:p>
          <w:p w14:paraId="0C6887E0" w14:textId="77777777" w:rsidR="00F0319C" w:rsidRDefault="00F0319C" w:rsidP="000E4C5B">
            <w:pPr>
              <w:rPr>
                <w:rFonts w:cs="Arial"/>
              </w:rPr>
            </w:pPr>
          </w:p>
          <w:p w14:paraId="213165E2" w14:textId="77777777" w:rsidR="00F0319C" w:rsidRPr="004C3A0B" w:rsidRDefault="00F0319C" w:rsidP="000E4C5B">
            <w:pPr>
              <w:autoSpaceDE w:val="0"/>
              <w:autoSpaceDN w:val="0"/>
              <w:adjustRightInd w:val="0"/>
              <w:rPr>
                <w:rFonts w:cs="Arial"/>
                <w:sz w:val="22"/>
                <w:szCs w:val="22"/>
              </w:rPr>
            </w:pPr>
            <w:r w:rsidRPr="004C3A0B">
              <w:rPr>
                <w:rFonts w:cs="Arial"/>
                <w:color w:val="808080"/>
                <w:sz w:val="18"/>
                <w:szCs w:val="18"/>
              </w:rPr>
              <w:t>(this box should expand as you type)</w:t>
            </w:r>
          </w:p>
        </w:tc>
        <w:tc>
          <w:tcPr>
            <w:tcW w:w="850" w:type="dxa"/>
            <w:vMerge/>
            <w:shd w:val="clear" w:color="auto" w:fill="BFBFBF" w:themeFill="background1" w:themeFillShade="BF"/>
            <w:vAlign w:val="center"/>
          </w:tcPr>
          <w:p w14:paraId="7F1E49D8" w14:textId="77777777" w:rsidR="00F0319C" w:rsidRDefault="00F0319C" w:rsidP="000E4C5B">
            <w:pPr>
              <w:autoSpaceDE w:val="0"/>
              <w:autoSpaceDN w:val="0"/>
              <w:adjustRightInd w:val="0"/>
              <w:jc w:val="center"/>
              <w:rPr>
                <w:rFonts w:cs="Arial"/>
                <w:b/>
                <w:bCs/>
                <w:sz w:val="22"/>
                <w:szCs w:val="22"/>
              </w:rPr>
            </w:pPr>
          </w:p>
        </w:tc>
        <w:tc>
          <w:tcPr>
            <w:tcW w:w="822" w:type="dxa"/>
            <w:vMerge/>
            <w:shd w:val="clear" w:color="auto" w:fill="BFBFBF" w:themeFill="background1" w:themeFillShade="BF"/>
            <w:vAlign w:val="center"/>
          </w:tcPr>
          <w:p w14:paraId="4803CCE5" w14:textId="77777777" w:rsidR="00F0319C" w:rsidRDefault="00F0319C" w:rsidP="000E4C5B">
            <w:pPr>
              <w:autoSpaceDE w:val="0"/>
              <w:autoSpaceDN w:val="0"/>
              <w:adjustRightInd w:val="0"/>
              <w:jc w:val="center"/>
              <w:rPr>
                <w:rFonts w:cs="Arial"/>
                <w:b/>
                <w:bCs/>
                <w:sz w:val="22"/>
                <w:szCs w:val="22"/>
              </w:rPr>
            </w:pPr>
          </w:p>
        </w:tc>
      </w:tr>
    </w:tbl>
    <w:p w14:paraId="05B16C09" w14:textId="77777777" w:rsidR="00F0319C" w:rsidRPr="00D71982" w:rsidRDefault="00F0319C" w:rsidP="00F0319C">
      <w:pPr>
        <w:rPr>
          <w:rFonts w:cs="Arial"/>
          <w:bCs/>
          <w:szCs w:val="24"/>
        </w:rPr>
      </w:pPr>
    </w:p>
    <w:tbl>
      <w:tblPr>
        <w:tblStyle w:val="TableGrid"/>
        <w:tblW w:w="10451" w:type="dxa"/>
        <w:tblLook w:val="04A0" w:firstRow="1" w:lastRow="0" w:firstColumn="1" w:lastColumn="0" w:noHBand="0" w:noVBand="1"/>
      </w:tblPr>
      <w:tblGrid>
        <w:gridCol w:w="562"/>
        <w:gridCol w:w="3256"/>
        <w:gridCol w:w="6633"/>
      </w:tblGrid>
      <w:tr w:rsidR="00F0319C" w:rsidRPr="004C3A0B" w14:paraId="554E2EFD" w14:textId="77777777" w:rsidTr="000E4C5B">
        <w:trPr>
          <w:trHeight w:val="403"/>
        </w:trPr>
        <w:tc>
          <w:tcPr>
            <w:tcW w:w="562" w:type="dxa"/>
            <w:tcBorders>
              <w:bottom w:val="single" w:sz="4" w:space="0" w:color="auto"/>
            </w:tcBorders>
            <w:shd w:val="clear" w:color="auto" w:fill="F2F2F2" w:themeFill="background1" w:themeFillShade="F2"/>
          </w:tcPr>
          <w:p w14:paraId="028A3A37" w14:textId="77777777" w:rsidR="00F0319C" w:rsidRPr="002132F9" w:rsidRDefault="00F0319C" w:rsidP="000E4C5B">
            <w:pPr>
              <w:rPr>
                <w:rFonts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BE7F227" w14:textId="77777777" w:rsidR="00F0319C" w:rsidRPr="004C3A0B" w:rsidRDefault="00F0319C" w:rsidP="000E4C5B">
            <w:pPr>
              <w:rPr>
                <w:rFonts w:cs="Arial"/>
                <w:b/>
                <w:sz w:val="22"/>
                <w:szCs w:val="22"/>
              </w:rPr>
            </w:pPr>
            <w:r w:rsidRPr="004C3A0B">
              <w:rPr>
                <w:rFonts w:cs="Arial"/>
                <w:b/>
                <w:sz w:val="22"/>
                <w:szCs w:val="22"/>
              </w:rPr>
              <w:t>Participant numbers and source</w:t>
            </w:r>
          </w:p>
          <w:p w14:paraId="5C416F0D"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 xml:space="preserve">Provide an estimate of the expected number of participants. How will you identify participants and how will they be recruited? </w:t>
            </w:r>
          </w:p>
        </w:tc>
      </w:tr>
      <w:tr w:rsidR="00F0319C" w:rsidRPr="004C3A0B" w14:paraId="3A72E677" w14:textId="77777777" w:rsidTr="000E4C5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6D7255" w14:textId="77777777" w:rsidR="00F0319C" w:rsidRDefault="00F0319C" w:rsidP="000E4C5B">
            <w:pPr>
              <w:jc w:val="center"/>
              <w:rPr>
                <w:rFonts w:cs="Arial"/>
                <w:sz w:val="22"/>
                <w:szCs w:val="22"/>
              </w:rPr>
            </w:pPr>
            <w:r>
              <w:rPr>
                <w:rFonts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C7F93B" w14:textId="77777777" w:rsidR="00F0319C" w:rsidRPr="004C3A0B" w:rsidRDefault="00F0319C" w:rsidP="000E4C5B">
            <w:pPr>
              <w:rPr>
                <w:rFonts w:cs="Arial"/>
                <w:sz w:val="22"/>
                <w:szCs w:val="22"/>
              </w:rPr>
            </w:pPr>
            <w:r>
              <w:rPr>
                <w:rFonts w:cs="Arial"/>
                <w:sz w:val="22"/>
                <w:szCs w:val="22"/>
              </w:rPr>
              <w:t>How many participants are expected?</w:t>
            </w:r>
          </w:p>
          <w:p w14:paraId="7AB0F172" w14:textId="77777777" w:rsidR="00F0319C" w:rsidRPr="004C3A0B" w:rsidRDefault="00F0319C" w:rsidP="000E4C5B">
            <w:pPr>
              <w:rPr>
                <w:rFonts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12B9846" w14:textId="77777777" w:rsidR="00F0319C" w:rsidRDefault="00F0319C" w:rsidP="000E4C5B">
            <w:pPr>
              <w:rPr>
                <w:rFonts w:cs="Arial"/>
                <w:sz w:val="22"/>
                <w:szCs w:val="22"/>
              </w:rPr>
            </w:pPr>
            <w:r w:rsidRPr="00E320C7">
              <w:rPr>
                <w:rFonts w:cs="Arial"/>
                <w:sz w:val="22"/>
                <w:szCs w:val="22"/>
              </w:rPr>
              <w:t>N/A Secondary Research</w:t>
            </w:r>
          </w:p>
          <w:p w14:paraId="307DAAFE" w14:textId="77777777" w:rsidR="00F0319C" w:rsidRPr="004C3A0B" w:rsidRDefault="00F0319C" w:rsidP="000E4C5B">
            <w:pPr>
              <w:rPr>
                <w:rFonts w:cs="Arial"/>
                <w:sz w:val="22"/>
                <w:szCs w:val="22"/>
              </w:rPr>
            </w:pPr>
          </w:p>
          <w:p w14:paraId="6015ABF6" w14:textId="77777777" w:rsidR="00F0319C" w:rsidRPr="004C3A0B" w:rsidRDefault="00F0319C" w:rsidP="000E4C5B">
            <w:pPr>
              <w:rPr>
                <w:rFonts w:cs="Arial"/>
                <w:b/>
                <w:sz w:val="22"/>
                <w:szCs w:val="22"/>
              </w:rPr>
            </w:pPr>
            <w:r w:rsidRPr="003257BD">
              <w:rPr>
                <w:rFonts w:cs="Arial"/>
                <w:i/>
                <w:color w:val="808080"/>
                <w:sz w:val="18"/>
                <w:szCs w:val="18"/>
              </w:rPr>
              <w:t>(this box should expand as you type)</w:t>
            </w:r>
          </w:p>
        </w:tc>
      </w:tr>
      <w:tr w:rsidR="00F0319C" w:rsidRPr="004C3A0B" w14:paraId="1F2BFDE3" w14:textId="77777777" w:rsidTr="000E4C5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0044DC" w14:textId="77777777" w:rsidR="00F0319C" w:rsidRDefault="00F0319C" w:rsidP="000E4C5B">
            <w:pPr>
              <w:jc w:val="center"/>
              <w:rPr>
                <w:rFonts w:cs="Arial"/>
                <w:sz w:val="22"/>
                <w:szCs w:val="22"/>
              </w:rPr>
            </w:pPr>
            <w:r>
              <w:rPr>
                <w:rFonts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5E9FC3" w14:textId="77777777" w:rsidR="00F0319C" w:rsidRDefault="00F0319C" w:rsidP="000E4C5B">
            <w:pPr>
              <w:rPr>
                <w:rFonts w:cs="Arial"/>
                <w:sz w:val="22"/>
                <w:szCs w:val="22"/>
              </w:rPr>
            </w:pPr>
            <w:r>
              <w:rPr>
                <w:rFonts w:cs="Arial"/>
                <w:sz w:val="22"/>
                <w:szCs w:val="22"/>
              </w:rPr>
              <w:t>Who will the participants be?</w:t>
            </w:r>
          </w:p>
          <w:p w14:paraId="0723CEA4" w14:textId="77777777" w:rsidR="00F0319C" w:rsidRDefault="00F0319C" w:rsidP="000E4C5B">
            <w:pPr>
              <w:rPr>
                <w:rFonts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3BB120B" w14:textId="77777777" w:rsidR="00F0319C" w:rsidRDefault="00F0319C" w:rsidP="000E4C5B">
            <w:pPr>
              <w:rPr>
                <w:rFonts w:cs="Arial"/>
                <w:sz w:val="22"/>
                <w:szCs w:val="22"/>
              </w:rPr>
            </w:pPr>
          </w:p>
          <w:p w14:paraId="3AAFE6C5" w14:textId="77777777" w:rsidR="00F0319C" w:rsidRDefault="00F0319C" w:rsidP="000E4C5B">
            <w:pPr>
              <w:rPr>
                <w:rFonts w:cs="Arial"/>
                <w:sz w:val="22"/>
                <w:szCs w:val="22"/>
              </w:rPr>
            </w:pPr>
            <w:r w:rsidRPr="00E320C7">
              <w:rPr>
                <w:rFonts w:cs="Arial"/>
                <w:sz w:val="22"/>
                <w:szCs w:val="22"/>
              </w:rPr>
              <w:lastRenderedPageBreak/>
              <w:t>N/A Secondary Research</w:t>
            </w:r>
          </w:p>
          <w:p w14:paraId="0934E4F1" w14:textId="77777777" w:rsidR="00F0319C" w:rsidRPr="004C3A0B" w:rsidRDefault="00F0319C" w:rsidP="000E4C5B">
            <w:pPr>
              <w:rPr>
                <w:rFonts w:cs="Arial"/>
                <w:sz w:val="22"/>
                <w:szCs w:val="22"/>
              </w:rPr>
            </w:pPr>
          </w:p>
          <w:p w14:paraId="4D3FAF11" w14:textId="77777777" w:rsidR="00F0319C" w:rsidRPr="003257BD" w:rsidRDefault="00F0319C" w:rsidP="000E4C5B">
            <w:pPr>
              <w:rPr>
                <w:rFonts w:cs="Arial"/>
                <w:i/>
                <w:color w:val="808080"/>
                <w:sz w:val="18"/>
                <w:szCs w:val="18"/>
              </w:rPr>
            </w:pPr>
            <w:r w:rsidRPr="003257BD">
              <w:rPr>
                <w:rFonts w:cs="Arial"/>
                <w:i/>
                <w:color w:val="808080"/>
                <w:sz w:val="18"/>
                <w:szCs w:val="18"/>
              </w:rPr>
              <w:t>(this box should expand as you type)</w:t>
            </w:r>
          </w:p>
        </w:tc>
      </w:tr>
      <w:tr w:rsidR="00F0319C" w:rsidRPr="004C3A0B" w14:paraId="3CA34D58" w14:textId="77777777" w:rsidTr="000E4C5B">
        <w:trPr>
          <w:trHeight w:val="403"/>
        </w:trPr>
        <w:tc>
          <w:tcPr>
            <w:tcW w:w="562" w:type="dxa"/>
            <w:tcBorders>
              <w:top w:val="single" w:sz="4" w:space="0" w:color="auto"/>
            </w:tcBorders>
            <w:shd w:val="clear" w:color="auto" w:fill="F2F2F2" w:themeFill="background1" w:themeFillShade="F2"/>
            <w:vAlign w:val="center"/>
          </w:tcPr>
          <w:p w14:paraId="75B7B7B7" w14:textId="77777777" w:rsidR="00F0319C" w:rsidRDefault="00F0319C" w:rsidP="000E4C5B">
            <w:pPr>
              <w:jc w:val="center"/>
              <w:rPr>
                <w:rFonts w:cs="Arial"/>
                <w:sz w:val="22"/>
                <w:szCs w:val="22"/>
              </w:rPr>
            </w:pPr>
            <w:r>
              <w:rPr>
                <w:rFonts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240FE7E9" w14:textId="77777777" w:rsidR="00F0319C" w:rsidRDefault="00F0319C" w:rsidP="000E4C5B">
            <w:pPr>
              <w:rPr>
                <w:rFonts w:cs="Arial"/>
                <w:sz w:val="22"/>
                <w:szCs w:val="22"/>
              </w:rPr>
            </w:pPr>
            <w:r>
              <w:rPr>
                <w:rFonts w:cs="Arial"/>
                <w:sz w:val="22"/>
                <w:szCs w:val="22"/>
              </w:rPr>
              <w:t>How will you identify the participants?</w:t>
            </w:r>
          </w:p>
        </w:tc>
        <w:tc>
          <w:tcPr>
            <w:tcW w:w="6633" w:type="dxa"/>
            <w:tcBorders>
              <w:top w:val="single" w:sz="4" w:space="0" w:color="auto"/>
            </w:tcBorders>
            <w:vAlign w:val="center"/>
          </w:tcPr>
          <w:p w14:paraId="11409603" w14:textId="77777777" w:rsidR="00F0319C" w:rsidRDefault="00F0319C" w:rsidP="000E4C5B">
            <w:pPr>
              <w:rPr>
                <w:rFonts w:cs="Arial"/>
                <w:sz w:val="22"/>
                <w:szCs w:val="22"/>
              </w:rPr>
            </w:pPr>
          </w:p>
          <w:p w14:paraId="75C7A5B0" w14:textId="77777777" w:rsidR="00F0319C" w:rsidRDefault="00F0319C" w:rsidP="000E4C5B">
            <w:pPr>
              <w:rPr>
                <w:rFonts w:cs="Arial"/>
                <w:sz w:val="22"/>
                <w:szCs w:val="22"/>
              </w:rPr>
            </w:pPr>
            <w:r w:rsidRPr="00E320C7">
              <w:rPr>
                <w:rFonts w:cs="Arial"/>
                <w:sz w:val="22"/>
                <w:szCs w:val="22"/>
              </w:rPr>
              <w:t>N/A Secondary Research</w:t>
            </w:r>
          </w:p>
          <w:p w14:paraId="072C3E69" w14:textId="77777777" w:rsidR="00F0319C" w:rsidRPr="004C3A0B" w:rsidRDefault="00F0319C" w:rsidP="000E4C5B">
            <w:pPr>
              <w:rPr>
                <w:rFonts w:cs="Arial"/>
                <w:sz w:val="22"/>
                <w:szCs w:val="22"/>
              </w:rPr>
            </w:pPr>
          </w:p>
          <w:p w14:paraId="47630428" w14:textId="77777777" w:rsidR="00F0319C" w:rsidRPr="004C3A0B" w:rsidRDefault="00F0319C" w:rsidP="000E4C5B">
            <w:pPr>
              <w:rPr>
                <w:rFonts w:cs="Arial"/>
                <w:color w:val="808080"/>
                <w:sz w:val="18"/>
                <w:szCs w:val="18"/>
              </w:rPr>
            </w:pPr>
            <w:r w:rsidRPr="003257BD">
              <w:rPr>
                <w:rFonts w:cs="Arial"/>
                <w:i/>
                <w:color w:val="808080"/>
                <w:sz w:val="18"/>
                <w:szCs w:val="18"/>
              </w:rPr>
              <w:t>(this box should expand as you type)</w:t>
            </w:r>
          </w:p>
        </w:tc>
      </w:tr>
    </w:tbl>
    <w:p w14:paraId="5FDB0880" w14:textId="77777777" w:rsidR="00F0319C" w:rsidRPr="00D71982" w:rsidRDefault="00F0319C" w:rsidP="00F0319C">
      <w:pPr>
        <w:rPr>
          <w:rFonts w:cs="Arial"/>
          <w:bCs/>
          <w:szCs w:val="24"/>
        </w:rPr>
      </w:pPr>
    </w:p>
    <w:p w14:paraId="70E2070A" w14:textId="77777777" w:rsidR="00F0319C" w:rsidRDefault="00F0319C" w:rsidP="00F0319C"/>
    <w:tbl>
      <w:tblPr>
        <w:tblStyle w:val="TableGrid"/>
        <w:tblW w:w="10485" w:type="dxa"/>
        <w:tblLook w:val="04A0" w:firstRow="1" w:lastRow="0" w:firstColumn="1" w:lastColumn="0" w:noHBand="0" w:noVBand="1"/>
      </w:tblPr>
      <w:tblGrid>
        <w:gridCol w:w="562"/>
        <w:gridCol w:w="7088"/>
        <w:gridCol w:w="992"/>
        <w:gridCol w:w="851"/>
        <w:gridCol w:w="992"/>
      </w:tblGrid>
      <w:tr w:rsidR="00F0319C" w:rsidRPr="004C3A0B" w14:paraId="7736EFE7" w14:textId="77777777" w:rsidTr="000E4C5B">
        <w:tc>
          <w:tcPr>
            <w:tcW w:w="562" w:type="dxa"/>
            <w:shd w:val="clear" w:color="auto" w:fill="F2F2F2" w:themeFill="background1" w:themeFillShade="F2"/>
            <w:vAlign w:val="center"/>
          </w:tcPr>
          <w:p w14:paraId="2A350418" w14:textId="77777777" w:rsidR="00F0319C" w:rsidRPr="002132F9" w:rsidRDefault="00F0319C" w:rsidP="000E4C5B">
            <w:pPr>
              <w:autoSpaceDE w:val="0"/>
              <w:autoSpaceDN w:val="0"/>
              <w:adjustRightInd w:val="0"/>
              <w:jc w:val="center"/>
              <w:rPr>
                <w:rFonts w:cs="Arial"/>
                <w:bCs/>
                <w:sz w:val="22"/>
                <w:szCs w:val="22"/>
              </w:rPr>
            </w:pPr>
          </w:p>
        </w:tc>
        <w:tc>
          <w:tcPr>
            <w:tcW w:w="7088" w:type="dxa"/>
            <w:shd w:val="clear" w:color="auto" w:fill="F2F2F2" w:themeFill="background1" w:themeFillShade="F2"/>
          </w:tcPr>
          <w:p w14:paraId="4EEAD121" w14:textId="77777777" w:rsidR="00F0319C" w:rsidRPr="004C3A0B" w:rsidRDefault="00F0319C" w:rsidP="000E4C5B">
            <w:pPr>
              <w:autoSpaceDE w:val="0"/>
              <w:autoSpaceDN w:val="0"/>
              <w:adjustRightInd w:val="0"/>
              <w:rPr>
                <w:rFonts w:cs="Arial"/>
                <w:b/>
                <w:sz w:val="22"/>
                <w:szCs w:val="22"/>
              </w:rPr>
            </w:pPr>
            <w:r w:rsidRPr="004C3A0B">
              <w:rPr>
                <w:rFonts w:cs="Arial"/>
                <w:b/>
                <w:sz w:val="22"/>
                <w:szCs w:val="22"/>
              </w:rPr>
              <w:t>Information for participants:</w:t>
            </w:r>
          </w:p>
        </w:tc>
        <w:tc>
          <w:tcPr>
            <w:tcW w:w="992" w:type="dxa"/>
            <w:shd w:val="clear" w:color="auto" w:fill="F2F2F2" w:themeFill="background1" w:themeFillShade="F2"/>
            <w:vAlign w:val="bottom"/>
          </w:tcPr>
          <w:p w14:paraId="2165B29C" w14:textId="77777777" w:rsidR="00F0319C" w:rsidRPr="004C3A0B" w:rsidRDefault="00F0319C" w:rsidP="000E4C5B">
            <w:pPr>
              <w:autoSpaceDE w:val="0"/>
              <w:autoSpaceDN w:val="0"/>
              <w:adjustRightInd w:val="0"/>
              <w:jc w:val="center"/>
              <w:rPr>
                <w:rFonts w:cs="Arial"/>
                <w:b/>
                <w:bCs/>
                <w:sz w:val="16"/>
                <w:szCs w:val="16"/>
              </w:rPr>
            </w:pPr>
          </w:p>
          <w:p w14:paraId="5581D96C" w14:textId="77777777" w:rsidR="00F0319C" w:rsidRPr="004C3A0B" w:rsidRDefault="00F0319C" w:rsidP="000E4C5B">
            <w:pPr>
              <w:autoSpaceDE w:val="0"/>
              <w:autoSpaceDN w:val="0"/>
              <w:adjustRightInd w:val="0"/>
              <w:jc w:val="center"/>
              <w:rPr>
                <w:rFonts w:cs="Arial"/>
                <w:b/>
                <w:bCs/>
                <w:sz w:val="22"/>
                <w:szCs w:val="22"/>
              </w:rPr>
            </w:pPr>
            <w:r w:rsidRPr="004C3A0B">
              <w:rPr>
                <w:rFonts w:cs="Arial"/>
                <w:b/>
                <w:bCs/>
                <w:sz w:val="22"/>
                <w:szCs w:val="22"/>
              </w:rPr>
              <w:t>YES</w:t>
            </w:r>
          </w:p>
        </w:tc>
        <w:tc>
          <w:tcPr>
            <w:tcW w:w="851" w:type="dxa"/>
            <w:shd w:val="clear" w:color="auto" w:fill="F2F2F2" w:themeFill="background1" w:themeFillShade="F2"/>
            <w:vAlign w:val="bottom"/>
          </w:tcPr>
          <w:p w14:paraId="717EDA66" w14:textId="77777777" w:rsidR="00F0319C" w:rsidRPr="004C3A0B" w:rsidRDefault="00F0319C" w:rsidP="000E4C5B">
            <w:pPr>
              <w:autoSpaceDE w:val="0"/>
              <w:autoSpaceDN w:val="0"/>
              <w:adjustRightInd w:val="0"/>
              <w:jc w:val="center"/>
              <w:rPr>
                <w:rFonts w:cs="Arial"/>
                <w:b/>
                <w:bCs/>
                <w:sz w:val="22"/>
                <w:szCs w:val="22"/>
              </w:rPr>
            </w:pPr>
            <w:r w:rsidRPr="004C3A0B">
              <w:rPr>
                <w:rFonts w:cs="Arial"/>
                <w:b/>
                <w:bCs/>
                <w:sz w:val="22"/>
                <w:szCs w:val="22"/>
              </w:rPr>
              <w:t>NO</w:t>
            </w:r>
          </w:p>
        </w:tc>
        <w:tc>
          <w:tcPr>
            <w:tcW w:w="992" w:type="dxa"/>
            <w:shd w:val="clear" w:color="auto" w:fill="F2F2F2" w:themeFill="background1" w:themeFillShade="F2"/>
          </w:tcPr>
          <w:p w14:paraId="2A8D76EA" w14:textId="77777777" w:rsidR="00F0319C" w:rsidRPr="004C3A0B" w:rsidRDefault="00F0319C" w:rsidP="000E4C5B">
            <w:pPr>
              <w:autoSpaceDE w:val="0"/>
              <w:autoSpaceDN w:val="0"/>
              <w:adjustRightInd w:val="0"/>
              <w:jc w:val="center"/>
              <w:rPr>
                <w:rFonts w:cs="Arial"/>
                <w:b/>
                <w:bCs/>
                <w:sz w:val="16"/>
                <w:szCs w:val="16"/>
              </w:rPr>
            </w:pPr>
          </w:p>
          <w:p w14:paraId="1017AC3A" w14:textId="77777777" w:rsidR="00F0319C" w:rsidRPr="004C3A0B" w:rsidRDefault="00F0319C" w:rsidP="000E4C5B">
            <w:pPr>
              <w:autoSpaceDE w:val="0"/>
              <w:autoSpaceDN w:val="0"/>
              <w:adjustRightInd w:val="0"/>
              <w:jc w:val="center"/>
              <w:rPr>
                <w:rFonts w:cs="Arial"/>
                <w:b/>
                <w:bCs/>
                <w:sz w:val="22"/>
                <w:szCs w:val="22"/>
              </w:rPr>
            </w:pPr>
            <w:r w:rsidRPr="004C3A0B">
              <w:rPr>
                <w:rFonts w:cs="Arial"/>
                <w:b/>
                <w:bCs/>
                <w:sz w:val="22"/>
                <w:szCs w:val="22"/>
              </w:rPr>
              <w:t>N/A</w:t>
            </w:r>
          </w:p>
        </w:tc>
      </w:tr>
      <w:tr w:rsidR="00F0319C" w:rsidRPr="004C3A0B" w14:paraId="359B6CF3" w14:textId="77777777" w:rsidTr="000E4C5B">
        <w:trPr>
          <w:trHeight w:val="439"/>
        </w:trPr>
        <w:tc>
          <w:tcPr>
            <w:tcW w:w="562" w:type="dxa"/>
            <w:shd w:val="clear" w:color="auto" w:fill="F2F2F2" w:themeFill="background1" w:themeFillShade="F2"/>
            <w:vAlign w:val="center"/>
          </w:tcPr>
          <w:p w14:paraId="119E7206" w14:textId="77777777" w:rsidR="00F0319C" w:rsidRPr="004C3A0B" w:rsidRDefault="00F0319C" w:rsidP="000E4C5B">
            <w:pPr>
              <w:autoSpaceDE w:val="0"/>
              <w:autoSpaceDN w:val="0"/>
              <w:adjustRightInd w:val="0"/>
              <w:jc w:val="center"/>
              <w:rPr>
                <w:rFonts w:cs="Arial"/>
                <w:sz w:val="22"/>
                <w:szCs w:val="22"/>
              </w:rPr>
            </w:pPr>
            <w:r>
              <w:rPr>
                <w:rFonts w:cs="Arial"/>
                <w:sz w:val="22"/>
                <w:szCs w:val="22"/>
              </w:rPr>
              <w:t>13</w:t>
            </w:r>
          </w:p>
        </w:tc>
        <w:tc>
          <w:tcPr>
            <w:tcW w:w="7088" w:type="dxa"/>
            <w:shd w:val="clear" w:color="auto" w:fill="F2F2F2" w:themeFill="background1" w:themeFillShade="F2"/>
            <w:vAlign w:val="center"/>
          </w:tcPr>
          <w:p w14:paraId="06890276"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 xml:space="preserve">Will you describe the main </w:t>
            </w:r>
            <w:r w:rsidRPr="005D6613">
              <w:rPr>
                <w:rFonts w:cs="Arial"/>
                <w:sz w:val="22"/>
                <w:szCs w:val="22"/>
              </w:rPr>
              <w:t xml:space="preserve">research </w:t>
            </w:r>
            <w:r w:rsidRPr="004C3A0B">
              <w:rPr>
                <w:rFonts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cs="Arial"/>
                <w:b/>
                <w:bCs/>
                <w:sz w:val="22"/>
              </w:rPr>
              <w:id w:val="638854427"/>
              <w14:checkbox>
                <w14:checked w14:val="0"/>
                <w14:checkedState w14:val="2612" w14:font="MS Gothic"/>
                <w14:uncheckedState w14:val="2610" w14:font="MS Gothic"/>
              </w14:checkbox>
            </w:sdtPr>
            <w:sdtEndPr/>
            <w:sdtContent>
              <w:p w14:paraId="513017C6"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rPr>
              <w:id w:val="1838415725"/>
              <w14:checkbox>
                <w14:checked w14:val="0"/>
                <w14:checkedState w14:val="2612" w14:font="MS Gothic"/>
                <w14:uncheckedState w14:val="2610" w14:font="MS Gothic"/>
              </w14:checkbox>
            </w:sdtPr>
            <w:sdtEndPr/>
            <w:sdtContent>
              <w:p w14:paraId="3D0CD588"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rPr>
              <w:id w:val="2018272357"/>
              <w14:checkbox>
                <w14:checked w14:val="1"/>
                <w14:checkedState w14:val="2612" w14:font="MS Gothic"/>
                <w14:uncheckedState w14:val="2610" w14:font="MS Gothic"/>
              </w14:checkbox>
            </w:sdtPr>
            <w:sdtEndPr/>
            <w:sdtContent>
              <w:p w14:paraId="30688AA3"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69D8B2A4" w14:textId="77777777" w:rsidTr="000E4C5B">
        <w:trPr>
          <w:trHeight w:val="403"/>
        </w:trPr>
        <w:tc>
          <w:tcPr>
            <w:tcW w:w="562" w:type="dxa"/>
            <w:shd w:val="clear" w:color="auto" w:fill="F2F2F2" w:themeFill="background1" w:themeFillShade="F2"/>
            <w:vAlign w:val="center"/>
          </w:tcPr>
          <w:p w14:paraId="26AF8909" w14:textId="77777777" w:rsidR="00F0319C" w:rsidRPr="004C3A0B" w:rsidRDefault="00F0319C" w:rsidP="000E4C5B">
            <w:pPr>
              <w:autoSpaceDE w:val="0"/>
              <w:autoSpaceDN w:val="0"/>
              <w:adjustRightInd w:val="0"/>
              <w:jc w:val="center"/>
              <w:rPr>
                <w:rFonts w:cs="Arial"/>
                <w:sz w:val="22"/>
                <w:szCs w:val="22"/>
              </w:rPr>
            </w:pPr>
            <w:r>
              <w:rPr>
                <w:rFonts w:cs="Arial"/>
                <w:sz w:val="22"/>
                <w:szCs w:val="22"/>
              </w:rPr>
              <w:t>14</w:t>
            </w:r>
          </w:p>
        </w:tc>
        <w:tc>
          <w:tcPr>
            <w:tcW w:w="7088" w:type="dxa"/>
            <w:shd w:val="clear" w:color="auto" w:fill="F2F2F2" w:themeFill="background1" w:themeFillShade="F2"/>
            <w:vAlign w:val="center"/>
          </w:tcPr>
          <w:p w14:paraId="3728E12E"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Will you tell participants that their participation is voluntary?</w:t>
            </w:r>
          </w:p>
        </w:tc>
        <w:tc>
          <w:tcPr>
            <w:tcW w:w="992" w:type="dxa"/>
            <w:shd w:val="clear" w:color="auto" w:fill="BFBFBF" w:themeFill="background1" w:themeFillShade="BF"/>
            <w:vAlign w:val="center"/>
          </w:tcPr>
          <w:sdt>
            <w:sdtPr>
              <w:rPr>
                <w:rFonts w:cs="Arial"/>
                <w:b/>
                <w:bCs/>
                <w:sz w:val="22"/>
              </w:rPr>
              <w:id w:val="1917978816"/>
              <w14:checkbox>
                <w14:checked w14:val="0"/>
                <w14:checkedState w14:val="2612" w14:font="MS Gothic"/>
                <w14:uncheckedState w14:val="2610" w14:font="MS Gothic"/>
              </w14:checkbox>
            </w:sdtPr>
            <w:sdtEndPr/>
            <w:sdtContent>
              <w:p w14:paraId="3653836B"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rPr>
              <w:id w:val="266745090"/>
              <w14:checkbox>
                <w14:checked w14:val="0"/>
                <w14:checkedState w14:val="2612" w14:font="MS Gothic"/>
                <w14:uncheckedState w14:val="2610" w14:font="MS Gothic"/>
              </w14:checkbox>
            </w:sdtPr>
            <w:sdtEndPr/>
            <w:sdtContent>
              <w:p w14:paraId="3CE57451"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rPr>
              <w:id w:val="1964613576"/>
              <w14:checkbox>
                <w14:checked w14:val="1"/>
                <w14:checkedState w14:val="2612" w14:font="MS Gothic"/>
                <w14:uncheckedState w14:val="2610" w14:font="MS Gothic"/>
              </w14:checkbox>
            </w:sdtPr>
            <w:sdtEndPr/>
            <w:sdtContent>
              <w:p w14:paraId="49AC161A"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35C01239" w14:textId="77777777" w:rsidTr="000E4C5B">
        <w:trPr>
          <w:trHeight w:val="439"/>
        </w:trPr>
        <w:tc>
          <w:tcPr>
            <w:tcW w:w="562" w:type="dxa"/>
            <w:shd w:val="clear" w:color="auto" w:fill="F2F2F2" w:themeFill="background1" w:themeFillShade="F2"/>
            <w:vAlign w:val="center"/>
          </w:tcPr>
          <w:p w14:paraId="394A3D8E" w14:textId="77777777" w:rsidR="00F0319C" w:rsidRPr="004C3A0B" w:rsidRDefault="00F0319C" w:rsidP="000E4C5B">
            <w:pPr>
              <w:autoSpaceDE w:val="0"/>
              <w:autoSpaceDN w:val="0"/>
              <w:adjustRightInd w:val="0"/>
              <w:jc w:val="center"/>
              <w:rPr>
                <w:rFonts w:cs="Arial"/>
                <w:sz w:val="22"/>
                <w:szCs w:val="22"/>
              </w:rPr>
            </w:pPr>
            <w:r>
              <w:rPr>
                <w:rFonts w:cs="Arial"/>
                <w:sz w:val="22"/>
                <w:szCs w:val="22"/>
              </w:rPr>
              <w:t>15</w:t>
            </w:r>
          </w:p>
        </w:tc>
        <w:tc>
          <w:tcPr>
            <w:tcW w:w="7088" w:type="dxa"/>
            <w:shd w:val="clear" w:color="auto" w:fill="F2F2F2" w:themeFill="background1" w:themeFillShade="F2"/>
            <w:vAlign w:val="center"/>
          </w:tcPr>
          <w:p w14:paraId="702853B7"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Will you obtain written consent for participation?</w:t>
            </w:r>
          </w:p>
        </w:tc>
        <w:tc>
          <w:tcPr>
            <w:tcW w:w="992" w:type="dxa"/>
            <w:shd w:val="clear" w:color="auto" w:fill="BFBFBF" w:themeFill="background1" w:themeFillShade="BF"/>
            <w:vAlign w:val="center"/>
          </w:tcPr>
          <w:sdt>
            <w:sdtPr>
              <w:rPr>
                <w:rFonts w:cs="Arial"/>
                <w:b/>
                <w:bCs/>
                <w:sz w:val="22"/>
              </w:rPr>
              <w:id w:val="173071009"/>
              <w14:checkbox>
                <w14:checked w14:val="0"/>
                <w14:checkedState w14:val="2612" w14:font="MS Gothic"/>
                <w14:uncheckedState w14:val="2610" w14:font="MS Gothic"/>
              </w14:checkbox>
            </w:sdtPr>
            <w:sdtEndPr/>
            <w:sdtContent>
              <w:p w14:paraId="5620793B"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rPr>
              <w:id w:val="1777214799"/>
              <w14:checkbox>
                <w14:checked w14:val="0"/>
                <w14:checkedState w14:val="2612" w14:font="MS Gothic"/>
                <w14:uncheckedState w14:val="2610" w14:font="MS Gothic"/>
              </w14:checkbox>
            </w:sdtPr>
            <w:sdtEndPr/>
            <w:sdtContent>
              <w:p w14:paraId="36D7C00D"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rPr>
              <w:id w:val="-2046200750"/>
              <w14:checkbox>
                <w14:checked w14:val="1"/>
                <w14:checkedState w14:val="2612" w14:font="MS Gothic"/>
                <w14:uncheckedState w14:val="2610" w14:font="MS Gothic"/>
              </w14:checkbox>
            </w:sdtPr>
            <w:sdtEndPr/>
            <w:sdtContent>
              <w:p w14:paraId="0DEF709E"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652030E6" w14:textId="77777777" w:rsidTr="000E4C5B">
        <w:trPr>
          <w:trHeight w:val="403"/>
        </w:trPr>
        <w:tc>
          <w:tcPr>
            <w:tcW w:w="562" w:type="dxa"/>
            <w:shd w:val="clear" w:color="auto" w:fill="F2F2F2" w:themeFill="background1" w:themeFillShade="F2"/>
            <w:vAlign w:val="center"/>
          </w:tcPr>
          <w:p w14:paraId="2487F0B9" w14:textId="77777777" w:rsidR="00F0319C" w:rsidRPr="004C3A0B" w:rsidRDefault="00F0319C" w:rsidP="000E4C5B">
            <w:pPr>
              <w:autoSpaceDE w:val="0"/>
              <w:autoSpaceDN w:val="0"/>
              <w:adjustRightInd w:val="0"/>
              <w:jc w:val="center"/>
              <w:rPr>
                <w:rFonts w:cs="Arial"/>
                <w:sz w:val="22"/>
                <w:szCs w:val="22"/>
              </w:rPr>
            </w:pPr>
            <w:r>
              <w:rPr>
                <w:rFonts w:cs="Arial"/>
                <w:sz w:val="22"/>
                <w:szCs w:val="22"/>
              </w:rPr>
              <w:t>16</w:t>
            </w:r>
          </w:p>
        </w:tc>
        <w:tc>
          <w:tcPr>
            <w:tcW w:w="7088" w:type="dxa"/>
            <w:shd w:val="clear" w:color="auto" w:fill="F2F2F2" w:themeFill="background1" w:themeFillShade="F2"/>
            <w:vAlign w:val="center"/>
          </w:tcPr>
          <w:p w14:paraId="0E2A9EC9"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cs="Arial"/>
                <w:b/>
                <w:bCs/>
                <w:sz w:val="22"/>
              </w:rPr>
              <w:id w:val="1907947677"/>
              <w14:checkbox>
                <w14:checked w14:val="0"/>
                <w14:checkedState w14:val="2612" w14:font="MS Gothic"/>
                <w14:uncheckedState w14:val="2610" w14:font="MS Gothic"/>
              </w14:checkbox>
            </w:sdtPr>
            <w:sdtEndPr/>
            <w:sdtContent>
              <w:p w14:paraId="141A33A1"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rPr>
              <w:id w:val="-1997954874"/>
              <w14:checkbox>
                <w14:checked w14:val="0"/>
                <w14:checkedState w14:val="2612" w14:font="MS Gothic"/>
                <w14:uncheckedState w14:val="2610" w14:font="MS Gothic"/>
              </w14:checkbox>
            </w:sdtPr>
            <w:sdtEndPr/>
            <w:sdtContent>
              <w:p w14:paraId="4C3B5A37"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rPr>
              <w:id w:val="833887313"/>
              <w14:checkbox>
                <w14:checked w14:val="1"/>
                <w14:checkedState w14:val="2612" w14:font="MS Gothic"/>
                <w14:uncheckedState w14:val="2610" w14:font="MS Gothic"/>
              </w14:checkbox>
            </w:sdtPr>
            <w:sdtEndPr/>
            <w:sdtContent>
              <w:p w14:paraId="1C00C8B3"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095D67CA" w14:textId="77777777" w:rsidTr="000E4C5B">
        <w:trPr>
          <w:trHeight w:val="439"/>
        </w:trPr>
        <w:tc>
          <w:tcPr>
            <w:tcW w:w="562" w:type="dxa"/>
            <w:shd w:val="clear" w:color="auto" w:fill="F2F2F2" w:themeFill="background1" w:themeFillShade="F2"/>
            <w:vAlign w:val="center"/>
          </w:tcPr>
          <w:p w14:paraId="1F00D866" w14:textId="77777777" w:rsidR="00F0319C" w:rsidRPr="004C3A0B" w:rsidRDefault="00F0319C" w:rsidP="000E4C5B">
            <w:pPr>
              <w:autoSpaceDE w:val="0"/>
              <w:autoSpaceDN w:val="0"/>
              <w:adjustRightInd w:val="0"/>
              <w:jc w:val="center"/>
              <w:rPr>
                <w:rFonts w:cs="Arial"/>
                <w:sz w:val="22"/>
                <w:szCs w:val="22"/>
              </w:rPr>
            </w:pPr>
            <w:r>
              <w:rPr>
                <w:rFonts w:cs="Arial"/>
                <w:sz w:val="22"/>
                <w:szCs w:val="22"/>
              </w:rPr>
              <w:t>17</w:t>
            </w:r>
          </w:p>
        </w:tc>
        <w:tc>
          <w:tcPr>
            <w:tcW w:w="7088" w:type="dxa"/>
            <w:shd w:val="clear" w:color="auto" w:fill="F2F2F2" w:themeFill="background1" w:themeFillShade="F2"/>
            <w:vAlign w:val="center"/>
          </w:tcPr>
          <w:p w14:paraId="7E7A89A8"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cs="Arial"/>
                <w:b/>
                <w:bCs/>
                <w:sz w:val="22"/>
              </w:rPr>
              <w:id w:val="-65498961"/>
              <w14:checkbox>
                <w14:checked w14:val="0"/>
                <w14:checkedState w14:val="2612" w14:font="MS Gothic"/>
                <w14:uncheckedState w14:val="2610" w14:font="MS Gothic"/>
              </w14:checkbox>
            </w:sdtPr>
            <w:sdtEndPr/>
            <w:sdtContent>
              <w:p w14:paraId="3DFFF29C"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rPr>
              <w:id w:val="-327907113"/>
              <w14:checkbox>
                <w14:checked w14:val="0"/>
                <w14:checkedState w14:val="2612" w14:font="MS Gothic"/>
                <w14:uncheckedState w14:val="2610" w14:font="MS Gothic"/>
              </w14:checkbox>
            </w:sdtPr>
            <w:sdtEndPr/>
            <w:sdtContent>
              <w:p w14:paraId="1F0B18D3"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rPr>
              <w:id w:val="-843242132"/>
              <w14:checkbox>
                <w14:checked w14:val="1"/>
                <w14:checkedState w14:val="2612" w14:font="MS Gothic"/>
                <w14:uncheckedState w14:val="2610" w14:font="MS Gothic"/>
              </w14:checkbox>
            </w:sdtPr>
            <w:sdtEndPr/>
            <w:sdtContent>
              <w:p w14:paraId="07C41B71"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10CA3A5A" w14:textId="77777777" w:rsidTr="000E4C5B">
        <w:trPr>
          <w:trHeight w:val="403"/>
        </w:trPr>
        <w:tc>
          <w:tcPr>
            <w:tcW w:w="562" w:type="dxa"/>
            <w:shd w:val="clear" w:color="auto" w:fill="F2F2F2" w:themeFill="background1" w:themeFillShade="F2"/>
            <w:vAlign w:val="center"/>
          </w:tcPr>
          <w:p w14:paraId="5F636A87" w14:textId="77777777" w:rsidR="00F0319C" w:rsidRPr="004C3A0B" w:rsidRDefault="00F0319C" w:rsidP="000E4C5B">
            <w:pPr>
              <w:autoSpaceDE w:val="0"/>
              <w:autoSpaceDN w:val="0"/>
              <w:adjustRightInd w:val="0"/>
              <w:jc w:val="center"/>
              <w:rPr>
                <w:rFonts w:cs="Arial"/>
                <w:sz w:val="22"/>
                <w:szCs w:val="22"/>
              </w:rPr>
            </w:pPr>
            <w:r>
              <w:rPr>
                <w:rFonts w:cs="Arial"/>
                <w:sz w:val="22"/>
                <w:szCs w:val="22"/>
              </w:rPr>
              <w:t>18</w:t>
            </w:r>
          </w:p>
        </w:tc>
        <w:tc>
          <w:tcPr>
            <w:tcW w:w="7088" w:type="dxa"/>
            <w:shd w:val="clear" w:color="auto" w:fill="F2F2F2" w:themeFill="background1" w:themeFillShade="F2"/>
            <w:vAlign w:val="center"/>
          </w:tcPr>
          <w:p w14:paraId="03FA9516"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cs="Arial"/>
                <w:b/>
                <w:bCs/>
                <w:sz w:val="22"/>
              </w:rPr>
              <w:id w:val="-1689744163"/>
              <w14:checkbox>
                <w14:checked w14:val="0"/>
                <w14:checkedState w14:val="2612" w14:font="MS Gothic"/>
                <w14:uncheckedState w14:val="2610" w14:font="MS Gothic"/>
              </w14:checkbox>
            </w:sdtPr>
            <w:sdtEndPr/>
            <w:sdtContent>
              <w:p w14:paraId="3F3630E1"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rPr>
              <w:id w:val="-1160307203"/>
              <w14:checkbox>
                <w14:checked w14:val="0"/>
                <w14:checkedState w14:val="2612" w14:font="MS Gothic"/>
                <w14:uncheckedState w14:val="2610" w14:font="MS Gothic"/>
              </w14:checkbox>
            </w:sdtPr>
            <w:sdtEndPr/>
            <w:sdtContent>
              <w:p w14:paraId="1CFDF0F2"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rPr>
              <w:id w:val="-270004211"/>
              <w14:checkbox>
                <w14:checked w14:val="1"/>
                <w14:checkedState w14:val="2612" w14:font="MS Gothic"/>
                <w14:uncheckedState w14:val="2610" w14:font="MS Gothic"/>
              </w14:checkbox>
            </w:sdtPr>
            <w:sdtEndPr/>
            <w:sdtContent>
              <w:p w14:paraId="55113926"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53035B62" w14:textId="77777777" w:rsidTr="000E4C5B">
        <w:trPr>
          <w:trHeight w:val="439"/>
        </w:trPr>
        <w:tc>
          <w:tcPr>
            <w:tcW w:w="562" w:type="dxa"/>
            <w:shd w:val="clear" w:color="auto" w:fill="F2F2F2" w:themeFill="background1" w:themeFillShade="F2"/>
            <w:vAlign w:val="center"/>
          </w:tcPr>
          <w:p w14:paraId="392D567A" w14:textId="77777777" w:rsidR="00F0319C" w:rsidRPr="004C3A0B" w:rsidRDefault="00F0319C" w:rsidP="000E4C5B">
            <w:pPr>
              <w:autoSpaceDE w:val="0"/>
              <w:autoSpaceDN w:val="0"/>
              <w:adjustRightInd w:val="0"/>
              <w:jc w:val="center"/>
              <w:rPr>
                <w:rFonts w:cs="Arial"/>
                <w:sz w:val="22"/>
                <w:szCs w:val="22"/>
              </w:rPr>
            </w:pPr>
            <w:r>
              <w:rPr>
                <w:rFonts w:cs="Arial"/>
                <w:sz w:val="22"/>
                <w:szCs w:val="22"/>
              </w:rPr>
              <w:t>19</w:t>
            </w:r>
          </w:p>
        </w:tc>
        <w:tc>
          <w:tcPr>
            <w:tcW w:w="7088" w:type="dxa"/>
            <w:shd w:val="clear" w:color="auto" w:fill="F2F2F2" w:themeFill="background1" w:themeFillShade="F2"/>
            <w:vAlign w:val="center"/>
          </w:tcPr>
          <w:p w14:paraId="1B5B609D"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cs="Arial"/>
                <w:b/>
                <w:bCs/>
                <w:sz w:val="22"/>
              </w:rPr>
              <w:id w:val="-120004605"/>
              <w14:checkbox>
                <w14:checked w14:val="0"/>
                <w14:checkedState w14:val="2612" w14:font="MS Gothic"/>
                <w14:uncheckedState w14:val="2610" w14:font="MS Gothic"/>
              </w14:checkbox>
            </w:sdtPr>
            <w:sdtEndPr/>
            <w:sdtContent>
              <w:p w14:paraId="1B9615CB"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rPr>
              <w:id w:val="-502748247"/>
              <w14:checkbox>
                <w14:checked w14:val="0"/>
                <w14:checkedState w14:val="2612" w14:font="MS Gothic"/>
                <w14:uncheckedState w14:val="2610" w14:font="MS Gothic"/>
              </w14:checkbox>
            </w:sdtPr>
            <w:sdtEndPr/>
            <w:sdtContent>
              <w:p w14:paraId="67CECD68"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rPr>
              <w:id w:val="196125454"/>
              <w14:checkbox>
                <w14:checked w14:val="1"/>
                <w14:checkedState w14:val="2612" w14:font="MS Gothic"/>
                <w14:uncheckedState w14:val="2610" w14:font="MS Gothic"/>
              </w14:checkbox>
            </w:sdtPr>
            <w:sdtEndPr/>
            <w:sdtContent>
              <w:p w14:paraId="03AB059F"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23F0BCB1" w14:textId="77777777" w:rsidTr="000E4C5B">
        <w:trPr>
          <w:trHeight w:val="403"/>
        </w:trPr>
        <w:tc>
          <w:tcPr>
            <w:tcW w:w="562" w:type="dxa"/>
            <w:shd w:val="clear" w:color="auto" w:fill="F2F2F2" w:themeFill="background1" w:themeFillShade="F2"/>
            <w:vAlign w:val="center"/>
          </w:tcPr>
          <w:p w14:paraId="42D5A867" w14:textId="77777777" w:rsidR="00F0319C" w:rsidRPr="004C3A0B" w:rsidRDefault="00F0319C" w:rsidP="000E4C5B">
            <w:pPr>
              <w:autoSpaceDE w:val="0"/>
              <w:autoSpaceDN w:val="0"/>
              <w:adjustRightInd w:val="0"/>
              <w:jc w:val="center"/>
              <w:rPr>
                <w:rFonts w:cs="Arial"/>
                <w:sz w:val="22"/>
                <w:szCs w:val="22"/>
              </w:rPr>
            </w:pPr>
            <w:r>
              <w:rPr>
                <w:rFonts w:cs="Arial"/>
                <w:sz w:val="22"/>
                <w:szCs w:val="22"/>
              </w:rPr>
              <w:t>20</w:t>
            </w:r>
          </w:p>
        </w:tc>
        <w:tc>
          <w:tcPr>
            <w:tcW w:w="7088" w:type="dxa"/>
            <w:shd w:val="clear" w:color="auto" w:fill="F2F2F2" w:themeFill="background1" w:themeFillShade="F2"/>
            <w:vAlign w:val="center"/>
          </w:tcPr>
          <w:p w14:paraId="19AA3D2E"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cs="Arial"/>
                <w:b/>
                <w:bCs/>
                <w:sz w:val="22"/>
              </w:rPr>
              <w:id w:val="96221617"/>
              <w14:checkbox>
                <w14:checked w14:val="0"/>
                <w14:checkedState w14:val="2612" w14:font="MS Gothic"/>
                <w14:uncheckedState w14:val="2610" w14:font="MS Gothic"/>
              </w14:checkbox>
            </w:sdtPr>
            <w:sdtEndPr/>
            <w:sdtContent>
              <w:p w14:paraId="32F9C54F"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rPr>
              <w:id w:val="-715357891"/>
              <w14:checkbox>
                <w14:checked w14:val="0"/>
                <w14:checkedState w14:val="2612" w14:font="MS Gothic"/>
                <w14:uncheckedState w14:val="2610" w14:font="MS Gothic"/>
              </w14:checkbox>
            </w:sdtPr>
            <w:sdtEndPr/>
            <w:sdtContent>
              <w:p w14:paraId="331338FF"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rPr>
              <w:id w:val="-861819308"/>
              <w14:checkbox>
                <w14:checked w14:val="1"/>
                <w14:checkedState w14:val="2612" w14:font="MS Gothic"/>
                <w14:uncheckedState w14:val="2610" w14:font="MS Gothic"/>
              </w14:checkbox>
            </w:sdtPr>
            <w:sdtEndPr/>
            <w:sdtContent>
              <w:p w14:paraId="037E6B8D"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720F1742" w14:textId="77777777" w:rsidTr="000E4C5B">
        <w:trPr>
          <w:trHeight w:val="439"/>
        </w:trPr>
        <w:tc>
          <w:tcPr>
            <w:tcW w:w="562" w:type="dxa"/>
            <w:shd w:val="clear" w:color="auto" w:fill="F2F2F2" w:themeFill="background1" w:themeFillShade="F2"/>
            <w:vAlign w:val="center"/>
          </w:tcPr>
          <w:p w14:paraId="65839C2E" w14:textId="77777777" w:rsidR="00F0319C" w:rsidRPr="004C3A0B" w:rsidRDefault="00F0319C" w:rsidP="000E4C5B">
            <w:pPr>
              <w:autoSpaceDE w:val="0"/>
              <w:autoSpaceDN w:val="0"/>
              <w:adjustRightInd w:val="0"/>
              <w:jc w:val="center"/>
              <w:rPr>
                <w:rFonts w:cs="Arial"/>
                <w:sz w:val="22"/>
                <w:szCs w:val="22"/>
              </w:rPr>
            </w:pPr>
            <w:r>
              <w:rPr>
                <w:rFonts w:cs="Arial"/>
                <w:sz w:val="22"/>
                <w:szCs w:val="22"/>
              </w:rPr>
              <w:t>21</w:t>
            </w:r>
          </w:p>
        </w:tc>
        <w:tc>
          <w:tcPr>
            <w:tcW w:w="7088" w:type="dxa"/>
            <w:shd w:val="clear" w:color="auto" w:fill="F2F2F2" w:themeFill="background1" w:themeFillShade="F2"/>
            <w:vAlign w:val="center"/>
          </w:tcPr>
          <w:p w14:paraId="050B6E4D"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cs="Arial"/>
                <w:b/>
                <w:bCs/>
                <w:sz w:val="22"/>
              </w:rPr>
              <w:id w:val="1507015635"/>
              <w14:checkbox>
                <w14:checked w14:val="0"/>
                <w14:checkedState w14:val="2612" w14:font="MS Gothic"/>
                <w14:uncheckedState w14:val="2610" w14:font="MS Gothic"/>
              </w14:checkbox>
            </w:sdtPr>
            <w:sdtEndPr/>
            <w:sdtContent>
              <w:p w14:paraId="22932E6E"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rPr>
              <w:id w:val="282701375"/>
              <w14:checkbox>
                <w14:checked w14:val="0"/>
                <w14:checkedState w14:val="2612" w14:font="MS Gothic"/>
                <w14:uncheckedState w14:val="2610" w14:font="MS Gothic"/>
              </w14:checkbox>
            </w:sdtPr>
            <w:sdtEndPr/>
            <w:sdtContent>
              <w:p w14:paraId="0368FD1E"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rPr>
              <w:id w:val="-1075428902"/>
              <w14:checkbox>
                <w14:checked w14:val="1"/>
                <w14:checkedState w14:val="2612" w14:font="MS Gothic"/>
                <w14:uncheckedState w14:val="2610" w14:font="MS Gothic"/>
              </w14:checkbox>
            </w:sdtPr>
            <w:sdtEndPr/>
            <w:sdtContent>
              <w:p w14:paraId="6DC3227D"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3C9A7DE4" w14:textId="77777777" w:rsidTr="000E4C5B">
        <w:trPr>
          <w:trHeight w:val="403"/>
        </w:trPr>
        <w:tc>
          <w:tcPr>
            <w:tcW w:w="562" w:type="dxa"/>
            <w:tcBorders>
              <w:bottom w:val="single" w:sz="4" w:space="0" w:color="auto"/>
            </w:tcBorders>
            <w:shd w:val="clear" w:color="auto" w:fill="F2F2F2" w:themeFill="background1" w:themeFillShade="F2"/>
            <w:vAlign w:val="center"/>
          </w:tcPr>
          <w:p w14:paraId="47FC36F0" w14:textId="77777777" w:rsidR="00F0319C" w:rsidRPr="004C3A0B" w:rsidRDefault="00F0319C" w:rsidP="000E4C5B">
            <w:pPr>
              <w:autoSpaceDE w:val="0"/>
              <w:autoSpaceDN w:val="0"/>
              <w:adjustRightInd w:val="0"/>
              <w:jc w:val="center"/>
              <w:rPr>
                <w:rFonts w:cs="Arial"/>
                <w:sz w:val="22"/>
                <w:szCs w:val="22"/>
              </w:rPr>
            </w:pPr>
            <w:r>
              <w:rPr>
                <w:rFonts w:cs="Arial"/>
                <w:sz w:val="22"/>
                <w:szCs w:val="22"/>
              </w:rPr>
              <w:lastRenderedPageBreak/>
              <w:t>22</w:t>
            </w:r>
          </w:p>
        </w:tc>
        <w:tc>
          <w:tcPr>
            <w:tcW w:w="9923" w:type="dxa"/>
            <w:gridSpan w:val="4"/>
            <w:tcBorders>
              <w:bottom w:val="single" w:sz="4" w:space="0" w:color="auto"/>
            </w:tcBorders>
            <w:shd w:val="clear" w:color="auto" w:fill="F2F2F2" w:themeFill="background1" w:themeFillShade="F2"/>
            <w:vAlign w:val="center"/>
          </w:tcPr>
          <w:p w14:paraId="31D467AF"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If NO</w:t>
            </w:r>
            <w:r w:rsidRPr="004C3A0B">
              <w:rPr>
                <w:rFonts w:cs="Arial"/>
                <w:b/>
                <w:bCs/>
                <w:sz w:val="22"/>
                <w:szCs w:val="22"/>
              </w:rPr>
              <w:t xml:space="preserve"> </w:t>
            </w:r>
            <w:r w:rsidRPr="004C3A0B">
              <w:rPr>
                <w:rFonts w:cs="Arial"/>
                <w:sz w:val="22"/>
                <w:szCs w:val="22"/>
              </w:rPr>
              <w:t xml:space="preserve">to any of above questions, please give an explanation </w:t>
            </w:r>
          </w:p>
        </w:tc>
      </w:tr>
      <w:tr w:rsidR="00F0319C" w:rsidRPr="004C3A0B" w14:paraId="487900CB" w14:textId="77777777" w:rsidTr="000E4C5B">
        <w:trPr>
          <w:trHeight w:val="403"/>
        </w:trPr>
        <w:tc>
          <w:tcPr>
            <w:tcW w:w="562" w:type="dxa"/>
            <w:vAlign w:val="center"/>
          </w:tcPr>
          <w:p w14:paraId="0DDC5B17" w14:textId="77777777" w:rsidR="00F0319C" w:rsidRDefault="00F0319C" w:rsidP="000E4C5B">
            <w:pPr>
              <w:jc w:val="center"/>
              <w:rPr>
                <w:rFonts w:cs="Arial"/>
                <w:sz w:val="22"/>
                <w:szCs w:val="22"/>
              </w:rPr>
            </w:pPr>
          </w:p>
        </w:tc>
        <w:tc>
          <w:tcPr>
            <w:tcW w:w="9923" w:type="dxa"/>
            <w:gridSpan w:val="4"/>
            <w:vAlign w:val="center"/>
          </w:tcPr>
          <w:p w14:paraId="599F2ADD" w14:textId="77777777" w:rsidR="00F0319C" w:rsidRPr="00AA34BD" w:rsidRDefault="00F0319C" w:rsidP="000E4C5B">
            <w:pPr>
              <w:rPr>
                <w:rFonts w:cs="Arial"/>
                <w:color w:val="00B050"/>
                <w:szCs w:val="22"/>
              </w:rPr>
            </w:pPr>
            <w:r w:rsidRPr="00AA34BD">
              <w:rPr>
                <w:rFonts w:cs="Arial"/>
                <w:color w:val="00B050"/>
                <w:sz w:val="22"/>
              </w:rPr>
              <w:t>You should be able to tick YES for all of these</w:t>
            </w:r>
            <w:r>
              <w:rPr>
                <w:rFonts w:cs="Arial"/>
                <w:color w:val="00B050"/>
                <w:sz w:val="22"/>
              </w:rPr>
              <w:t xml:space="preserve"> questions</w:t>
            </w:r>
            <w:r w:rsidRPr="00AA34BD">
              <w:rPr>
                <w:rFonts w:cs="Arial"/>
                <w:color w:val="00B050"/>
                <w:sz w:val="22"/>
              </w:rPr>
              <w:t xml:space="preserve">. If not, then explain why not </w:t>
            </w:r>
            <w:r>
              <w:rPr>
                <w:rFonts w:cs="Arial"/>
                <w:color w:val="00B050"/>
                <w:sz w:val="22"/>
              </w:rPr>
              <w:t>in this box.</w:t>
            </w:r>
          </w:p>
          <w:p w14:paraId="4A3C5240" w14:textId="77777777" w:rsidR="00F0319C" w:rsidRPr="004C3A0B" w:rsidRDefault="00F0319C" w:rsidP="000E4C5B">
            <w:pPr>
              <w:rPr>
                <w:rFonts w:cs="Arial"/>
                <w:sz w:val="22"/>
                <w:szCs w:val="22"/>
              </w:rPr>
            </w:pPr>
          </w:p>
          <w:p w14:paraId="072C45A8" w14:textId="77777777" w:rsidR="00F0319C" w:rsidRPr="004C3A0B" w:rsidRDefault="00F0319C" w:rsidP="000E4C5B">
            <w:pPr>
              <w:autoSpaceDE w:val="0"/>
              <w:autoSpaceDN w:val="0"/>
              <w:adjustRightInd w:val="0"/>
              <w:rPr>
                <w:rFonts w:cs="Arial"/>
              </w:rPr>
            </w:pPr>
            <w:r w:rsidRPr="003257BD">
              <w:rPr>
                <w:rFonts w:cs="Arial"/>
                <w:i/>
                <w:color w:val="808080"/>
                <w:sz w:val="18"/>
                <w:szCs w:val="18"/>
              </w:rPr>
              <w:t>(this box should expand as you type)</w:t>
            </w:r>
          </w:p>
        </w:tc>
      </w:tr>
    </w:tbl>
    <w:p w14:paraId="65203F84" w14:textId="77777777" w:rsidR="00F0319C" w:rsidRPr="004C3A0B" w:rsidRDefault="00F0319C" w:rsidP="00F0319C"/>
    <w:tbl>
      <w:tblPr>
        <w:tblStyle w:val="TableGrid"/>
        <w:tblW w:w="10485" w:type="dxa"/>
        <w:tblLook w:val="04A0" w:firstRow="1" w:lastRow="0" w:firstColumn="1" w:lastColumn="0" w:noHBand="0" w:noVBand="1"/>
      </w:tblPr>
      <w:tblGrid>
        <w:gridCol w:w="562"/>
        <w:gridCol w:w="7088"/>
        <w:gridCol w:w="992"/>
        <w:gridCol w:w="851"/>
        <w:gridCol w:w="992"/>
      </w:tblGrid>
      <w:tr w:rsidR="00F0319C" w:rsidRPr="004C3A0B" w14:paraId="67CE6223" w14:textId="77777777" w:rsidTr="000E4C5B">
        <w:tc>
          <w:tcPr>
            <w:tcW w:w="562" w:type="dxa"/>
            <w:shd w:val="clear" w:color="auto" w:fill="F2F2F2" w:themeFill="background1" w:themeFillShade="F2"/>
          </w:tcPr>
          <w:p w14:paraId="213187A4" w14:textId="77777777" w:rsidR="00F0319C" w:rsidRPr="002132F9" w:rsidRDefault="00F0319C" w:rsidP="000E4C5B">
            <w:pPr>
              <w:autoSpaceDE w:val="0"/>
              <w:autoSpaceDN w:val="0"/>
              <w:adjustRightInd w:val="0"/>
              <w:rPr>
                <w:rFonts w:cs="Arial"/>
                <w:bCs/>
                <w:sz w:val="22"/>
                <w:szCs w:val="22"/>
              </w:rPr>
            </w:pPr>
          </w:p>
        </w:tc>
        <w:tc>
          <w:tcPr>
            <w:tcW w:w="7088" w:type="dxa"/>
            <w:shd w:val="clear" w:color="auto" w:fill="F2F2F2" w:themeFill="background1" w:themeFillShade="F2"/>
            <w:vAlign w:val="center"/>
          </w:tcPr>
          <w:p w14:paraId="042D6C82" w14:textId="77777777" w:rsidR="00F0319C" w:rsidRPr="004C3A0B" w:rsidRDefault="00F0319C" w:rsidP="000E4C5B">
            <w:pPr>
              <w:autoSpaceDE w:val="0"/>
              <w:autoSpaceDN w:val="0"/>
              <w:adjustRightInd w:val="0"/>
              <w:rPr>
                <w:rFonts w:cs="Arial"/>
                <w:b/>
                <w:sz w:val="22"/>
                <w:szCs w:val="22"/>
              </w:rPr>
            </w:pPr>
            <w:r w:rsidRPr="004C3A0B">
              <w:rPr>
                <w:rFonts w:cs="Arial"/>
                <w:b/>
                <w:sz w:val="22"/>
                <w:szCs w:val="22"/>
              </w:rPr>
              <w:t>Information for participants:</w:t>
            </w:r>
          </w:p>
        </w:tc>
        <w:tc>
          <w:tcPr>
            <w:tcW w:w="992" w:type="dxa"/>
            <w:shd w:val="clear" w:color="auto" w:fill="F2F2F2" w:themeFill="background1" w:themeFillShade="F2"/>
            <w:vAlign w:val="bottom"/>
          </w:tcPr>
          <w:p w14:paraId="5DA8671B" w14:textId="77777777" w:rsidR="00F0319C" w:rsidRPr="004C3A0B" w:rsidRDefault="00F0319C" w:rsidP="000E4C5B">
            <w:pPr>
              <w:autoSpaceDE w:val="0"/>
              <w:autoSpaceDN w:val="0"/>
              <w:adjustRightInd w:val="0"/>
              <w:jc w:val="center"/>
              <w:rPr>
                <w:rFonts w:cs="Arial"/>
                <w:b/>
                <w:bCs/>
                <w:sz w:val="16"/>
                <w:szCs w:val="16"/>
              </w:rPr>
            </w:pPr>
          </w:p>
          <w:p w14:paraId="20885346" w14:textId="77777777" w:rsidR="00F0319C" w:rsidRPr="004C3A0B" w:rsidRDefault="00F0319C" w:rsidP="000E4C5B">
            <w:pPr>
              <w:autoSpaceDE w:val="0"/>
              <w:autoSpaceDN w:val="0"/>
              <w:adjustRightInd w:val="0"/>
              <w:jc w:val="center"/>
              <w:rPr>
                <w:rFonts w:cs="Arial"/>
                <w:b/>
                <w:bCs/>
                <w:sz w:val="22"/>
                <w:szCs w:val="22"/>
              </w:rPr>
            </w:pPr>
            <w:r w:rsidRPr="004C3A0B">
              <w:rPr>
                <w:rFonts w:cs="Arial"/>
                <w:b/>
                <w:bCs/>
                <w:sz w:val="22"/>
                <w:szCs w:val="22"/>
              </w:rPr>
              <w:t>YES</w:t>
            </w:r>
          </w:p>
        </w:tc>
        <w:tc>
          <w:tcPr>
            <w:tcW w:w="851" w:type="dxa"/>
            <w:shd w:val="clear" w:color="auto" w:fill="F2F2F2" w:themeFill="background1" w:themeFillShade="F2"/>
            <w:vAlign w:val="bottom"/>
          </w:tcPr>
          <w:p w14:paraId="28EF5D74" w14:textId="77777777" w:rsidR="00F0319C" w:rsidRPr="004C3A0B" w:rsidRDefault="00F0319C" w:rsidP="000E4C5B">
            <w:pPr>
              <w:autoSpaceDE w:val="0"/>
              <w:autoSpaceDN w:val="0"/>
              <w:adjustRightInd w:val="0"/>
              <w:jc w:val="center"/>
              <w:rPr>
                <w:rFonts w:cs="Arial"/>
                <w:b/>
                <w:bCs/>
                <w:sz w:val="22"/>
                <w:szCs w:val="22"/>
              </w:rPr>
            </w:pPr>
            <w:r w:rsidRPr="004C3A0B">
              <w:rPr>
                <w:rFonts w:cs="Arial"/>
                <w:b/>
                <w:bCs/>
                <w:sz w:val="22"/>
                <w:szCs w:val="22"/>
              </w:rPr>
              <w:t>NO</w:t>
            </w:r>
          </w:p>
        </w:tc>
        <w:tc>
          <w:tcPr>
            <w:tcW w:w="992" w:type="dxa"/>
            <w:shd w:val="clear" w:color="auto" w:fill="F2F2F2" w:themeFill="background1" w:themeFillShade="F2"/>
            <w:vAlign w:val="bottom"/>
          </w:tcPr>
          <w:p w14:paraId="01E0E763" w14:textId="77777777" w:rsidR="00F0319C" w:rsidRPr="004C3A0B" w:rsidRDefault="00F0319C" w:rsidP="000E4C5B">
            <w:pPr>
              <w:autoSpaceDE w:val="0"/>
              <w:autoSpaceDN w:val="0"/>
              <w:adjustRightInd w:val="0"/>
              <w:jc w:val="center"/>
              <w:rPr>
                <w:rFonts w:cs="Arial"/>
                <w:b/>
                <w:bCs/>
                <w:sz w:val="16"/>
                <w:szCs w:val="16"/>
              </w:rPr>
            </w:pPr>
          </w:p>
          <w:p w14:paraId="2C1975F1" w14:textId="77777777" w:rsidR="00F0319C" w:rsidRPr="004C3A0B" w:rsidRDefault="00F0319C" w:rsidP="000E4C5B">
            <w:pPr>
              <w:autoSpaceDE w:val="0"/>
              <w:autoSpaceDN w:val="0"/>
              <w:adjustRightInd w:val="0"/>
              <w:jc w:val="center"/>
              <w:rPr>
                <w:rFonts w:cs="Arial"/>
                <w:b/>
                <w:bCs/>
                <w:sz w:val="22"/>
                <w:szCs w:val="22"/>
              </w:rPr>
            </w:pPr>
            <w:r w:rsidRPr="004C3A0B">
              <w:rPr>
                <w:rFonts w:cs="Arial"/>
                <w:b/>
                <w:bCs/>
                <w:sz w:val="22"/>
                <w:szCs w:val="22"/>
              </w:rPr>
              <w:t>N/A</w:t>
            </w:r>
          </w:p>
        </w:tc>
      </w:tr>
      <w:tr w:rsidR="00F0319C" w:rsidRPr="004C3A0B" w14:paraId="579DB415" w14:textId="77777777" w:rsidTr="000E4C5B">
        <w:trPr>
          <w:trHeight w:val="439"/>
        </w:trPr>
        <w:tc>
          <w:tcPr>
            <w:tcW w:w="562" w:type="dxa"/>
            <w:shd w:val="clear" w:color="auto" w:fill="F2F2F2" w:themeFill="background1" w:themeFillShade="F2"/>
            <w:vAlign w:val="center"/>
          </w:tcPr>
          <w:p w14:paraId="7397C369" w14:textId="77777777" w:rsidR="00F0319C" w:rsidRPr="004C3A0B" w:rsidRDefault="00F0319C" w:rsidP="000E4C5B">
            <w:pPr>
              <w:autoSpaceDE w:val="0"/>
              <w:autoSpaceDN w:val="0"/>
              <w:adjustRightInd w:val="0"/>
              <w:jc w:val="center"/>
              <w:rPr>
                <w:rFonts w:cs="Arial"/>
                <w:sz w:val="22"/>
                <w:szCs w:val="22"/>
              </w:rPr>
            </w:pPr>
            <w:r>
              <w:rPr>
                <w:rFonts w:cs="Arial"/>
                <w:sz w:val="22"/>
                <w:szCs w:val="22"/>
              </w:rPr>
              <w:t>24</w:t>
            </w:r>
          </w:p>
        </w:tc>
        <w:tc>
          <w:tcPr>
            <w:tcW w:w="7088" w:type="dxa"/>
            <w:shd w:val="clear" w:color="auto" w:fill="F2F2F2" w:themeFill="background1" w:themeFillShade="F2"/>
            <w:vAlign w:val="center"/>
          </w:tcPr>
          <w:p w14:paraId="20308629"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Will participants be paid?</w:t>
            </w:r>
          </w:p>
        </w:tc>
        <w:tc>
          <w:tcPr>
            <w:tcW w:w="992" w:type="dxa"/>
            <w:shd w:val="clear" w:color="auto" w:fill="BFBFBF" w:themeFill="background1" w:themeFillShade="BF"/>
            <w:vAlign w:val="center"/>
          </w:tcPr>
          <w:sdt>
            <w:sdtPr>
              <w:rPr>
                <w:rFonts w:cs="Arial"/>
                <w:b/>
                <w:bCs/>
                <w:sz w:val="22"/>
              </w:rPr>
              <w:id w:val="51043762"/>
              <w14:checkbox>
                <w14:checked w14:val="0"/>
                <w14:checkedState w14:val="2612" w14:font="MS Gothic"/>
                <w14:uncheckedState w14:val="2610" w14:font="MS Gothic"/>
              </w14:checkbox>
            </w:sdtPr>
            <w:sdtEndPr/>
            <w:sdtContent>
              <w:p w14:paraId="0097A5D8"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rPr>
              <w:id w:val="-256140063"/>
              <w14:checkbox>
                <w14:checked w14:val="0"/>
                <w14:checkedState w14:val="2612" w14:font="MS Gothic"/>
                <w14:uncheckedState w14:val="2610" w14:font="MS Gothic"/>
              </w14:checkbox>
            </w:sdtPr>
            <w:sdtEndPr/>
            <w:sdtContent>
              <w:p w14:paraId="54C205DE"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rPr>
              <w:id w:val="634219724"/>
              <w14:checkbox>
                <w14:checked w14:val="1"/>
                <w14:checkedState w14:val="2612" w14:font="MS Gothic"/>
                <w14:uncheckedState w14:val="2610" w14:font="MS Gothic"/>
              </w14:checkbox>
            </w:sdtPr>
            <w:sdtEndPr/>
            <w:sdtContent>
              <w:p w14:paraId="3267EA8B"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083AA85F" w14:textId="77777777" w:rsidTr="000E4C5B">
        <w:trPr>
          <w:trHeight w:val="403"/>
        </w:trPr>
        <w:tc>
          <w:tcPr>
            <w:tcW w:w="562" w:type="dxa"/>
            <w:shd w:val="clear" w:color="auto" w:fill="F2F2F2" w:themeFill="background1" w:themeFillShade="F2"/>
            <w:vAlign w:val="center"/>
          </w:tcPr>
          <w:p w14:paraId="58125E72" w14:textId="77777777" w:rsidR="00F0319C" w:rsidRPr="004C3A0B" w:rsidRDefault="00F0319C" w:rsidP="000E4C5B">
            <w:pPr>
              <w:autoSpaceDE w:val="0"/>
              <w:autoSpaceDN w:val="0"/>
              <w:adjustRightInd w:val="0"/>
              <w:jc w:val="center"/>
              <w:rPr>
                <w:rFonts w:cs="Arial"/>
                <w:sz w:val="22"/>
                <w:szCs w:val="22"/>
              </w:rPr>
            </w:pPr>
            <w:r>
              <w:rPr>
                <w:rFonts w:cs="Arial"/>
                <w:sz w:val="22"/>
                <w:szCs w:val="22"/>
              </w:rPr>
              <w:t>25</w:t>
            </w:r>
          </w:p>
        </w:tc>
        <w:tc>
          <w:tcPr>
            <w:tcW w:w="7088" w:type="dxa"/>
            <w:shd w:val="clear" w:color="auto" w:fill="F2F2F2" w:themeFill="background1" w:themeFillShade="F2"/>
            <w:vAlign w:val="center"/>
          </w:tcPr>
          <w:p w14:paraId="53BE2CEE"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cs="Arial"/>
                <w:b/>
                <w:bCs/>
                <w:sz w:val="22"/>
              </w:rPr>
              <w:id w:val="-1438982454"/>
              <w14:checkbox>
                <w14:checked w14:val="0"/>
                <w14:checkedState w14:val="2612" w14:font="MS Gothic"/>
                <w14:uncheckedState w14:val="2610" w14:font="MS Gothic"/>
              </w14:checkbox>
            </w:sdtPr>
            <w:sdtEndPr/>
            <w:sdtContent>
              <w:p w14:paraId="41CE876B"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rPr>
              <w:id w:val="2089267095"/>
              <w14:checkbox>
                <w14:checked w14:val="0"/>
                <w14:checkedState w14:val="2612" w14:font="MS Gothic"/>
                <w14:uncheckedState w14:val="2610" w14:font="MS Gothic"/>
              </w14:checkbox>
            </w:sdtPr>
            <w:sdtEndPr/>
            <w:sdtContent>
              <w:p w14:paraId="2B2DEF5C"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rPr>
              <w:id w:val="425468845"/>
              <w14:checkbox>
                <w14:checked w14:val="1"/>
                <w14:checkedState w14:val="2612" w14:font="MS Gothic"/>
                <w14:uncheckedState w14:val="2610" w14:font="MS Gothic"/>
              </w14:checkbox>
            </w:sdtPr>
            <w:sdtEndPr/>
            <w:sdtContent>
              <w:p w14:paraId="1C446DF2"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1CC09371" w14:textId="77777777" w:rsidTr="000E4C5B">
        <w:trPr>
          <w:trHeight w:val="439"/>
        </w:trPr>
        <w:tc>
          <w:tcPr>
            <w:tcW w:w="562" w:type="dxa"/>
            <w:shd w:val="clear" w:color="auto" w:fill="F2F2F2" w:themeFill="background1" w:themeFillShade="F2"/>
            <w:vAlign w:val="center"/>
          </w:tcPr>
          <w:p w14:paraId="4D59F49D" w14:textId="77777777" w:rsidR="00F0319C" w:rsidRPr="004C3A0B" w:rsidRDefault="00F0319C" w:rsidP="000E4C5B">
            <w:pPr>
              <w:autoSpaceDE w:val="0"/>
              <w:autoSpaceDN w:val="0"/>
              <w:adjustRightInd w:val="0"/>
              <w:jc w:val="center"/>
              <w:rPr>
                <w:rFonts w:cs="Arial"/>
                <w:sz w:val="22"/>
                <w:szCs w:val="22"/>
              </w:rPr>
            </w:pPr>
            <w:r>
              <w:rPr>
                <w:rFonts w:cs="Arial"/>
                <w:sz w:val="22"/>
                <w:szCs w:val="22"/>
              </w:rPr>
              <w:t>26</w:t>
            </w:r>
          </w:p>
        </w:tc>
        <w:tc>
          <w:tcPr>
            <w:tcW w:w="7088" w:type="dxa"/>
            <w:shd w:val="clear" w:color="auto" w:fill="F2F2F2" w:themeFill="background1" w:themeFillShade="F2"/>
            <w:vAlign w:val="center"/>
          </w:tcPr>
          <w:p w14:paraId="0F0A1C68"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cs="Arial"/>
                <w:b/>
                <w:bCs/>
                <w:sz w:val="22"/>
              </w:rPr>
              <w:id w:val="-225606969"/>
              <w14:checkbox>
                <w14:checked w14:val="0"/>
                <w14:checkedState w14:val="2612" w14:font="MS Gothic"/>
                <w14:uncheckedState w14:val="2610" w14:font="MS Gothic"/>
              </w14:checkbox>
            </w:sdtPr>
            <w:sdtEndPr/>
            <w:sdtContent>
              <w:p w14:paraId="11F06E71"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rPr>
              <w:id w:val="-1565337314"/>
              <w14:checkbox>
                <w14:checked w14:val="0"/>
                <w14:checkedState w14:val="2612" w14:font="MS Gothic"/>
                <w14:uncheckedState w14:val="2610" w14:font="MS Gothic"/>
              </w14:checkbox>
            </w:sdtPr>
            <w:sdtEndPr/>
            <w:sdtContent>
              <w:p w14:paraId="4FC9A26B"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rPr>
              <w:id w:val="-133575194"/>
              <w14:checkbox>
                <w14:checked w14:val="1"/>
                <w14:checkedState w14:val="2612" w14:font="MS Gothic"/>
                <w14:uncheckedState w14:val="2610" w14:font="MS Gothic"/>
              </w14:checkbox>
            </w:sdtPr>
            <w:sdtEndPr/>
            <w:sdtContent>
              <w:p w14:paraId="0568B3A6"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245B16A4" w14:textId="77777777" w:rsidTr="000E4C5B">
        <w:trPr>
          <w:trHeight w:val="403"/>
        </w:trPr>
        <w:tc>
          <w:tcPr>
            <w:tcW w:w="562" w:type="dxa"/>
            <w:shd w:val="clear" w:color="auto" w:fill="F2F2F2" w:themeFill="background1" w:themeFillShade="F2"/>
            <w:vAlign w:val="center"/>
          </w:tcPr>
          <w:p w14:paraId="22E50901" w14:textId="77777777" w:rsidR="00F0319C" w:rsidRPr="004C3A0B" w:rsidRDefault="00F0319C" w:rsidP="000E4C5B">
            <w:pPr>
              <w:autoSpaceDE w:val="0"/>
              <w:autoSpaceDN w:val="0"/>
              <w:adjustRightInd w:val="0"/>
              <w:jc w:val="center"/>
              <w:rPr>
                <w:rFonts w:cs="Arial"/>
                <w:sz w:val="22"/>
                <w:szCs w:val="22"/>
              </w:rPr>
            </w:pPr>
            <w:r>
              <w:rPr>
                <w:rFonts w:cs="Arial"/>
                <w:sz w:val="22"/>
                <w:szCs w:val="22"/>
              </w:rPr>
              <w:t>27</w:t>
            </w:r>
          </w:p>
        </w:tc>
        <w:tc>
          <w:tcPr>
            <w:tcW w:w="7088" w:type="dxa"/>
            <w:shd w:val="clear" w:color="auto" w:fill="F2F2F2" w:themeFill="background1" w:themeFillShade="F2"/>
            <w:vAlign w:val="center"/>
          </w:tcPr>
          <w:p w14:paraId="4797329F"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cs="Arial"/>
                <w:b/>
                <w:bCs/>
                <w:sz w:val="22"/>
              </w:rPr>
              <w:id w:val="-873932248"/>
              <w14:checkbox>
                <w14:checked w14:val="0"/>
                <w14:checkedState w14:val="2612" w14:font="MS Gothic"/>
                <w14:uncheckedState w14:val="2610" w14:font="MS Gothic"/>
              </w14:checkbox>
            </w:sdtPr>
            <w:sdtEndPr/>
            <w:sdtContent>
              <w:p w14:paraId="0E7DCDA3"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rPr>
              <w:id w:val="-1867361740"/>
              <w14:checkbox>
                <w14:checked w14:val="0"/>
                <w14:checkedState w14:val="2612" w14:font="MS Gothic"/>
                <w14:uncheckedState w14:val="2610" w14:font="MS Gothic"/>
              </w14:checkbox>
            </w:sdtPr>
            <w:sdtEndPr/>
            <w:sdtContent>
              <w:p w14:paraId="0B46B1D2"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rPr>
              <w:id w:val="214328365"/>
              <w14:checkbox>
                <w14:checked w14:val="1"/>
                <w14:checkedState w14:val="2612" w14:font="MS Gothic"/>
                <w14:uncheckedState w14:val="2610" w14:font="MS Gothic"/>
              </w14:checkbox>
            </w:sdtPr>
            <w:sdtEndPr/>
            <w:sdtContent>
              <w:p w14:paraId="32208355"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1E8461BF" w14:textId="77777777" w:rsidTr="000E4C5B">
        <w:trPr>
          <w:trHeight w:val="403"/>
        </w:trPr>
        <w:tc>
          <w:tcPr>
            <w:tcW w:w="562" w:type="dxa"/>
            <w:shd w:val="clear" w:color="auto" w:fill="F2F2F2" w:themeFill="background1" w:themeFillShade="F2"/>
            <w:vAlign w:val="center"/>
          </w:tcPr>
          <w:p w14:paraId="55806559" w14:textId="77777777" w:rsidR="00F0319C" w:rsidRPr="004C3A0B" w:rsidRDefault="00F0319C" w:rsidP="000E4C5B">
            <w:pPr>
              <w:autoSpaceDE w:val="0"/>
              <w:autoSpaceDN w:val="0"/>
              <w:adjustRightInd w:val="0"/>
              <w:jc w:val="center"/>
              <w:rPr>
                <w:rFonts w:cs="Arial"/>
                <w:sz w:val="22"/>
                <w:szCs w:val="22"/>
              </w:rPr>
            </w:pPr>
            <w:r>
              <w:rPr>
                <w:rFonts w:cs="Arial"/>
                <w:sz w:val="22"/>
                <w:szCs w:val="22"/>
              </w:rPr>
              <w:t>28</w:t>
            </w:r>
          </w:p>
        </w:tc>
        <w:tc>
          <w:tcPr>
            <w:tcW w:w="9923" w:type="dxa"/>
            <w:gridSpan w:val="4"/>
            <w:shd w:val="clear" w:color="auto" w:fill="F2F2F2" w:themeFill="background1" w:themeFillShade="F2"/>
            <w:vAlign w:val="center"/>
          </w:tcPr>
          <w:p w14:paraId="39BCE405"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p>
        </w:tc>
      </w:tr>
      <w:tr w:rsidR="00F0319C" w:rsidRPr="004C3A0B" w14:paraId="17294B6A" w14:textId="77777777" w:rsidTr="000E4C5B">
        <w:trPr>
          <w:trHeight w:val="403"/>
        </w:trPr>
        <w:tc>
          <w:tcPr>
            <w:tcW w:w="562" w:type="dxa"/>
            <w:vAlign w:val="center"/>
          </w:tcPr>
          <w:p w14:paraId="57A68C44" w14:textId="77777777" w:rsidR="00F0319C" w:rsidRDefault="00F0319C" w:rsidP="000E4C5B">
            <w:pPr>
              <w:jc w:val="center"/>
              <w:rPr>
                <w:rFonts w:cs="Arial"/>
                <w:sz w:val="22"/>
                <w:szCs w:val="22"/>
              </w:rPr>
            </w:pPr>
          </w:p>
        </w:tc>
        <w:tc>
          <w:tcPr>
            <w:tcW w:w="9923" w:type="dxa"/>
            <w:gridSpan w:val="4"/>
            <w:vAlign w:val="center"/>
          </w:tcPr>
          <w:p w14:paraId="2B5FE92B" w14:textId="77777777" w:rsidR="00F0319C" w:rsidRPr="00AA34BD" w:rsidRDefault="00F0319C" w:rsidP="000E4C5B">
            <w:pPr>
              <w:rPr>
                <w:rFonts w:cs="Arial"/>
                <w:color w:val="00B050"/>
                <w:szCs w:val="22"/>
              </w:rPr>
            </w:pPr>
            <w:r w:rsidRPr="00AA34BD">
              <w:rPr>
                <w:rFonts w:cs="Arial"/>
                <w:color w:val="00B050"/>
                <w:sz w:val="22"/>
              </w:rPr>
              <w:t xml:space="preserve">You should be able to tick </w:t>
            </w:r>
            <w:r>
              <w:rPr>
                <w:rFonts w:cs="Arial"/>
                <w:color w:val="00B050"/>
                <w:sz w:val="22"/>
              </w:rPr>
              <w:t>NO for most</w:t>
            </w:r>
            <w:r w:rsidRPr="00AA34BD">
              <w:rPr>
                <w:rFonts w:cs="Arial"/>
                <w:color w:val="00B050"/>
                <w:sz w:val="22"/>
              </w:rPr>
              <w:t xml:space="preserve"> of these</w:t>
            </w:r>
            <w:r>
              <w:rPr>
                <w:rFonts w:cs="Arial"/>
                <w:color w:val="00B050"/>
                <w:sz w:val="22"/>
              </w:rPr>
              <w:t xml:space="preserve"> questions</w:t>
            </w:r>
            <w:r w:rsidRPr="00AA34BD">
              <w:rPr>
                <w:rFonts w:cs="Arial"/>
                <w:color w:val="00B050"/>
                <w:sz w:val="22"/>
              </w:rPr>
              <w:t>.</w:t>
            </w:r>
            <w:r>
              <w:rPr>
                <w:rFonts w:cs="Arial"/>
                <w:color w:val="00B050"/>
                <w:sz w:val="22"/>
              </w:rPr>
              <w:t xml:space="preserve"> For any cases that you have ticked YES then provide details in this box.</w:t>
            </w:r>
            <w:r w:rsidRPr="00AA34BD">
              <w:rPr>
                <w:rFonts w:cs="Arial"/>
                <w:color w:val="00B050"/>
                <w:sz w:val="22"/>
              </w:rPr>
              <w:t xml:space="preserve"> If </w:t>
            </w:r>
            <w:r>
              <w:rPr>
                <w:rFonts w:cs="Arial"/>
                <w:color w:val="00B050"/>
                <w:sz w:val="22"/>
              </w:rPr>
              <w:t>you are using cameras/voice recorders to record interviews, then please state that</w:t>
            </w:r>
            <w:r w:rsidRPr="00AA34BD">
              <w:rPr>
                <w:rFonts w:cs="Arial"/>
                <w:color w:val="00B050"/>
                <w:sz w:val="22"/>
              </w:rPr>
              <w:t xml:space="preserve"> </w:t>
            </w:r>
            <w:r>
              <w:rPr>
                <w:rFonts w:cs="Arial"/>
                <w:color w:val="00B050"/>
                <w:sz w:val="22"/>
              </w:rPr>
              <w:t>in this box.</w:t>
            </w:r>
          </w:p>
          <w:p w14:paraId="1980CFA5" w14:textId="77777777" w:rsidR="00F0319C" w:rsidRPr="004C3A0B" w:rsidRDefault="00F0319C" w:rsidP="000E4C5B">
            <w:pPr>
              <w:rPr>
                <w:rFonts w:cs="Arial"/>
                <w:sz w:val="22"/>
                <w:szCs w:val="22"/>
              </w:rPr>
            </w:pPr>
          </w:p>
          <w:p w14:paraId="7DAAA92E" w14:textId="77777777" w:rsidR="00F0319C" w:rsidRPr="004C3A0B" w:rsidRDefault="00F0319C" w:rsidP="000E4C5B">
            <w:pPr>
              <w:autoSpaceDE w:val="0"/>
              <w:autoSpaceDN w:val="0"/>
              <w:adjustRightInd w:val="0"/>
              <w:rPr>
                <w:rFonts w:cs="Arial"/>
              </w:rPr>
            </w:pPr>
            <w:r w:rsidRPr="003257BD">
              <w:rPr>
                <w:rFonts w:cs="Arial"/>
                <w:i/>
                <w:color w:val="808080"/>
                <w:sz w:val="18"/>
                <w:szCs w:val="18"/>
              </w:rPr>
              <w:t>(this box should expand as you type)</w:t>
            </w:r>
          </w:p>
        </w:tc>
      </w:tr>
    </w:tbl>
    <w:p w14:paraId="263EE52C" w14:textId="77777777" w:rsidR="00F0319C" w:rsidRPr="00354F34" w:rsidRDefault="00F0319C" w:rsidP="00F0319C">
      <w:pPr>
        <w:autoSpaceDE w:val="0"/>
        <w:autoSpaceDN w:val="0"/>
        <w:adjustRightInd w:val="0"/>
        <w:spacing w:after="240"/>
        <w:rPr>
          <w:rFonts w:cs="Arial"/>
          <w:b/>
          <w:sz w:val="22"/>
        </w:rPr>
      </w:pPr>
    </w:p>
    <w:p w14:paraId="55EA7D49" w14:textId="77777777" w:rsidR="00F0319C" w:rsidRDefault="00F0319C" w:rsidP="00F0319C">
      <w:pPr>
        <w:rPr>
          <w:rFonts w:cs="Arial"/>
          <w:b/>
          <w:sz w:val="22"/>
        </w:rPr>
      </w:pPr>
      <w:r w:rsidRPr="00354F34">
        <w:rPr>
          <w:rFonts w:cs="Arial"/>
          <w:b/>
          <w:sz w:val="22"/>
        </w:rPr>
        <w:t xml:space="preserve">SECTION </w:t>
      </w:r>
      <w:r>
        <w:rPr>
          <w:rFonts w:cs="Arial"/>
          <w:b/>
          <w:sz w:val="22"/>
        </w:rPr>
        <w:t>F</w:t>
      </w:r>
      <w:r w:rsidRPr="00354F34">
        <w:rPr>
          <w:rFonts w:cs="Arial"/>
          <w:b/>
          <w:sz w:val="22"/>
        </w:rPr>
        <w:t>: Anticipated Risks</w:t>
      </w:r>
    </w:p>
    <w:p w14:paraId="1FD52B1E" w14:textId="77777777" w:rsidR="00F0319C" w:rsidRPr="00354F34" w:rsidRDefault="00F0319C" w:rsidP="00F0319C">
      <w:pPr>
        <w:rPr>
          <w:rFonts w:cs="Arial"/>
          <w:b/>
          <w:sz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F0319C" w:rsidRPr="004C3A0B" w14:paraId="3F80A618" w14:textId="77777777" w:rsidTr="000E4C5B">
        <w:tc>
          <w:tcPr>
            <w:tcW w:w="596" w:type="dxa"/>
            <w:tcBorders>
              <w:bottom w:val="single" w:sz="4" w:space="0" w:color="auto"/>
            </w:tcBorders>
            <w:shd w:val="clear" w:color="auto" w:fill="F2F2F2" w:themeFill="background1" w:themeFillShade="F2"/>
          </w:tcPr>
          <w:p w14:paraId="4FE3F052" w14:textId="77777777" w:rsidR="00F0319C" w:rsidRPr="002132F9" w:rsidRDefault="00F0319C" w:rsidP="000E4C5B">
            <w:pPr>
              <w:pStyle w:val="Heading1"/>
              <w:jc w:val="left"/>
              <w:rPr>
                <w:rFonts w:cs="Arial"/>
                <w:b w:val="0"/>
                <w:bCs/>
              </w:rPr>
            </w:pPr>
          </w:p>
        </w:tc>
        <w:tc>
          <w:tcPr>
            <w:tcW w:w="9923" w:type="dxa"/>
            <w:gridSpan w:val="2"/>
            <w:tcBorders>
              <w:bottom w:val="single" w:sz="4" w:space="0" w:color="auto"/>
            </w:tcBorders>
            <w:shd w:val="clear" w:color="auto" w:fill="F2F2F2" w:themeFill="background1" w:themeFillShade="F2"/>
          </w:tcPr>
          <w:p w14:paraId="76874C22" w14:textId="77777777" w:rsidR="00F0319C" w:rsidRPr="00204E14" w:rsidRDefault="00F0319C" w:rsidP="00A93437">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r w:rsidRPr="00204E14">
              <w:t xml:space="preserve"> </w:t>
            </w:r>
          </w:p>
        </w:tc>
      </w:tr>
      <w:tr w:rsidR="00F0319C" w:rsidRPr="004C3A0B" w14:paraId="71231AD0" w14:textId="77777777" w:rsidTr="000E4C5B">
        <w:tc>
          <w:tcPr>
            <w:tcW w:w="596" w:type="dxa"/>
            <w:tcBorders>
              <w:bottom w:val="single" w:sz="4" w:space="0" w:color="auto"/>
            </w:tcBorders>
            <w:shd w:val="clear" w:color="auto" w:fill="F2F2F2" w:themeFill="background1" w:themeFillShade="F2"/>
            <w:vAlign w:val="center"/>
          </w:tcPr>
          <w:p w14:paraId="4570B65E" w14:textId="77777777" w:rsidR="00F0319C" w:rsidRPr="002132F9" w:rsidRDefault="00F0319C" w:rsidP="000E4C5B">
            <w:pPr>
              <w:jc w:val="center"/>
              <w:rPr>
                <w:rFonts w:cs="Arial"/>
                <w:sz w:val="22"/>
              </w:rPr>
            </w:pPr>
            <w:r>
              <w:rPr>
                <w:rFonts w:cs="Arial"/>
                <w:sz w:val="22"/>
              </w:rPr>
              <w:t>1</w:t>
            </w:r>
          </w:p>
        </w:tc>
        <w:tc>
          <w:tcPr>
            <w:tcW w:w="9923" w:type="dxa"/>
            <w:gridSpan w:val="2"/>
            <w:tcBorders>
              <w:bottom w:val="single" w:sz="4" w:space="0" w:color="auto"/>
            </w:tcBorders>
            <w:shd w:val="clear" w:color="auto" w:fill="F2F2F2" w:themeFill="background1" w:themeFillShade="F2"/>
          </w:tcPr>
          <w:p w14:paraId="10111136" w14:textId="77777777" w:rsidR="00F0319C" w:rsidRPr="004C3A0B" w:rsidRDefault="00F0319C" w:rsidP="000E4C5B">
            <w:pPr>
              <w:rPr>
                <w:rFonts w:cs="Arial"/>
                <w:sz w:val="22"/>
              </w:rPr>
            </w:pPr>
            <w:r w:rsidRPr="004C3A0B">
              <w:rPr>
                <w:rFonts w:cs="Arial"/>
                <w:b/>
                <w:sz w:val="22"/>
              </w:rPr>
              <w:t>Risks to participants</w:t>
            </w:r>
          </w:p>
          <w:p w14:paraId="79CE0F05" w14:textId="77777777" w:rsidR="00F0319C" w:rsidRPr="004C3A0B" w:rsidRDefault="00F0319C" w:rsidP="000E4C5B">
            <w:pPr>
              <w:rPr>
                <w:rFonts w:cs="Arial"/>
                <w:b/>
                <w:sz w:val="22"/>
              </w:rPr>
            </w:pPr>
            <w:r w:rsidRPr="004C3A0B">
              <w:rPr>
                <w:rFonts w:cs="Arial"/>
                <w:sz w:val="22"/>
              </w:rPr>
              <w:lastRenderedPageBreak/>
              <w:t xml:space="preserve">For example: </w:t>
            </w:r>
            <w:r>
              <w:rPr>
                <w:rFonts w:cs="Arial"/>
                <w:sz w:val="22"/>
              </w:rPr>
              <w:t xml:space="preserve">sector-specific health &amp; safety, </w:t>
            </w:r>
            <w:r w:rsidRPr="004C3A0B">
              <w:rPr>
                <w:rFonts w:cs="Arial"/>
                <w:sz w:val="22"/>
              </w:rPr>
              <w:t>emotional distress, financial disclosure, physical harm, transfer of personal data, sensitive organisational information</w:t>
            </w:r>
            <w:r>
              <w:rPr>
                <w:rFonts w:cs="Arial"/>
                <w:sz w:val="22"/>
              </w:rPr>
              <w:t>. If you have identified in section D that there are no participants, then enter N/A and go skip to question 3.</w:t>
            </w:r>
          </w:p>
        </w:tc>
      </w:tr>
      <w:tr w:rsidR="00F0319C" w:rsidRPr="004C3A0B" w14:paraId="6C61A5A3" w14:textId="77777777" w:rsidTr="000E4C5B">
        <w:tc>
          <w:tcPr>
            <w:tcW w:w="596" w:type="dxa"/>
            <w:tcBorders>
              <w:top w:val="single" w:sz="4" w:space="0" w:color="auto"/>
              <w:bottom w:val="single" w:sz="4" w:space="0" w:color="auto"/>
            </w:tcBorders>
            <w:vAlign w:val="center"/>
          </w:tcPr>
          <w:p w14:paraId="6AC8A242" w14:textId="77777777" w:rsidR="00F0319C" w:rsidRPr="00CE0890" w:rsidRDefault="00F0319C" w:rsidP="000E4C5B">
            <w:pPr>
              <w:autoSpaceDE w:val="0"/>
              <w:autoSpaceDN w:val="0"/>
              <w:adjustRightInd w:val="0"/>
              <w:jc w:val="center"/>
              <w:rPr>
                <w:rFonts w:cs="Arial"/>
                <w:sz w:val="22"/>
              </w:rPr>
            </w:pPr>
          </w:p>
        </w:tc>
        <w:tc>
          <w:tcPr>
            <w:tcW w:w="4991" w:type="dxa"/>
            <w:tcBorders>
              <w:top w:val="single" w:sz="4" w:space="0" w:color="auto"/>
              <w:bottom w:val="single" w:sz="4" w:space="0" w:color="auto"/>
            </w:tcBorders>
          </w:tcPr>
          <w:p w14:paraId="2E05B231" w14:textId="77777777" w:rsidR="00F0319C" w:rsidRDefault="00F0319C" w:rsidP="000E4C5B">
            <w:pPr>
              <w:autoSpaceDE w:val="0"/>
              <w:autoSpaceDN w:val="0"/>
              <w:adjustRightInd w:val="0"/>
              <w:rPr>
                <w:rFonts w:cs="Arial"/>
                <w:sz w:val="22"/>
              </w:rPr>
            </w:pPr>
            <w:r>
              <w:rPr>
                <w:rFonts w:cs="Arial"/>
                <w:sz w:val="22"/>
              </w:rPr>
              <w:t>Risk to participants:</w:t>
            </w:r>
          </w:p>
          <w:p w14:paraId="2B91D127" w14:textId="77777777" w:rsidR="00F0319C" w:rsidRPr="004C3A0B" w:rsidRDefault="00F0319C" w:rsidP="000E4C5B">
            <w:pPr>
              <w:rPr>
                <w:rFonts w:cs="Arial"/>
                <w:sz w:val="22"/>
              </w:rPr>
            </w:pPr>
            <w:r w:rsidRPr="000F40F3">
              <w:rPr>
                <w:rFonts w:cs="Arial"/>
                <w:sz w:val="22"/>
              </w:rPr>
              <w:t xml:space="preserve">N/A </w:t>
            </w:r>
          </w:p>
          <w:p w14:paraId="1411865C" w14:textId="77777777" w:rsidR="00F0319C" w:rsidRPr="004C3A0B" w:rsidRDefault="00F0319C" w:rsidP="000E4C5B">
            <w:pPr>
              <w:autoSpaceDE w:val="0"/>
              <w:autoSpaceDN w:val="0"/>
              <w:adjustRightInd w:val="0"/>
              <w:rPr>
                <w:rFonts w:cs="Arial"/>
                <w:sz w:val="22"/>
              </w:rPr>
            </w:pPr>
            <w:r w:rsidRPr="003257BD">
              <w:rPr>
                <w:rFonts w:cs="Arial"/>
                <w:i/>
                <w:color w:val="808080"/>
                <w:sz w:val="18"/>
                <w:szCs w:val="18"/>
              </w:rPr>
              <w:t>(this box should expand as you type)</w:t>
            </w:r>
          </w:p>
        </w:tc>
        <w:tc>
          <w:tcPr>
            <w:tcW w:w="4932" w:type="dxa"/>
            <w:tcBorders>
              <w:top w:val="single" w:sz="4" w:space="0" w:color="auto"/>
              <w:bottom w:val="single" w:sz="4" w:space="0" w:color="auto"/>
            </w:tcBorders>
          </w:tcPr>
          <w:p w14:paraId="7F5C2BF1" w14:textId="77777777" w:rsidR="00F0319C" w:rsidRDefault="00F0319C" w:rsidP="000E4C5B">
            <w:pPr>
              <w:autoSpaceDE w:val="0"/>
              <w:autoSpaceDN w:val="0"/>
              <w:adjustRightInd w:val="0"/>
              <w:rPr>
                <w:rFonts w:cs="Arial"/>
                <w:i/>
                <w:sz w:val="18"/>
                <w:szCs w:val="18"/>
              </w:rPr>
            </w:pPr>
            <w:r>
              <w:rPr>
                <w:rFonts w:cs="Arial"/>
                <w:i/>
                <w:sz w:val="18"/>
                <w:szCs w:val="18"/>
              </w:rPr>
              <w:t>How you will mitigate the risk to p</w:t>
            </w:r>
            <w:r w:rsidRPr="00354F34">
              <w:rPr>
                <w:rFonts w:cs="Arial"/>
                <w:i/>
                <w:sz w:val="18"/>
                <w:szCs w:val="18"/>
              </w:rPr>
              <w:t>articipant</w:t>
            </w:r>
            <w:r>
              <w:rPr>
                <w:rFonts w:cs="Arial"/>
                <w:i/>
                <w:sz w:val="18"/>
                <w:szCs w:val="18"/>
              </w:rPr>
              <w:t>s:</w:t>
            </w:r>
          </w:p>
          <w:p w14:paraId="0E0EC96B" w14:textId="77777777" w:rsidR="00F0319C" w:rsidRDefault="00F0319C" w:rsidP="000E4C5B">
            <w:pPr>
              <w:rPr>
                <w:rFonts w:cs="Arial"/>
                <w:sz w:val="22"/>
              </w:rPr>
            </w:pPr>
            <w:r w:rsidRPr="000F40F3">
              <w:rPr>
                <w:rFonts w:cs="Arial"/>
                <w:sz w:val="22"/>
              </w:rPr>
              <w:t xml:space="preserve">N/A </w:t>
            </w:r>
          </w:p>
          <w:p w14:paraId="6851D3ED" w14:textId="77777777" w:rsidR="00F0319C" w:rsidRPr="004C3A0B" w:rsidRDefault="00F0319C" w:rsidP="000E4C5B">
            <w:pPr>
              <w:rPr>
                <w:rFonts w:cs="Arial"/>
                <w:sz w:val="22"/>
              </w:rPr>
            </w:pPr>
          </w:p>
          <w:p w14:paraId="263C24EF" w14:textId="77777777" w:rsidR="00F0319C" w:rsidRPr="00354F34" w:rsidRDefault="00F0319C" w:rsidP="000E4C5B">
            <w:pPr>
              <w:autoSpaceDE w:val="0"/>
              <w:autoSpaceDN w:val="0"/>
              <w:adjustRightInd w:val="0"/>
              <w:rPr>
                <w:rFonts w:cs="Arial"/>
                <w:i/>
              </w:rPr>
            </w:pPr>
            <w:r w:rsidRPr="003257BD">
              <w:rPr>
                <w:rFonts w:cs="Arial"/>
                <w:i/>
                <w:color w:val="808080"/>
                <w:sz w:val="18"/>
                <w:szCs w:val="18"/>
              </w:rPr>
              <w:t>(this box should expand as you type)</w:t>
            </w:r>
          </w:p>
        </w:tc>
      </w:tr>
      <w:tr w:rsidR="00F0319C" w:rsidRPr="004C3A0B" w14:paraId="21982146" w14:textId="77777777" w:rsidTr="000E4C5B">
        <w:tc>
          <w:tcPr>
            <w:tcW w:w="596" w:type="dxa"/>
            <w:tcBorders>
              <w:bottom w:val="single" w:sz="4" w:space="0" w:color="auto"/>
            </w:tcBorders>
            <w:shd w:val="clear" w:color="auto" w:fill="F2F2F2" w:themeFill="background1" w:themeFillShade="F2"/>
            <w:vAlign w:val="center"/>
          </w:tcPr>
          <w:p w14:paraId="791C3C9F" w14:textId="77777777" w:rsidR="00F0319C" w:rsidRPr="00E32138" w:rsidRDefault="00F0319C" w:rsidP="000E4C5B">
            <w:pPr>
              <w:jc w:val="center"/>
              <w:rPr>
                <w:rFonts w:cs="Arial"/>
                <w:sz w:val="22"/>
              </w:rPr>
            </w:pPr>
            <w:r>
              <w:rPr>
                <w:rFonts w:cs="Arial"/>
                <w:sz w:val="22"/>
              </w:rPr>
              <w:t>2</w:t>
            </w:r>
          </w:p>
        </w:tc>
        <w:tc>
          <w:tcPr>
            <w:tcW w:w="9923" w:type="dxa"/>
            <w:gridSpan w:val="2"/>
            <w:tcBorders>
              <w:bottom w:val="single" w:sz="4" w:space="0" w:color="auto"/>
            </w:tcBorders>
            <w:shd w:val="clear" w:color="auto" w:fill="F2F2F2" w:themeFill="background1" w:themeFillShade="F2"/>
          </w:tcPr>
          <w:p w14:paraId="4B4E9ADE" w14:textId="77777777" w:rsidR="00F0319C" w:rsidRPr="004C3A0B" w:rsidRDefault="00F0319C" w:rsidP="000E4C5B">
            <w:pPr>
              <w:rPr>
                <w:rFonts w:cs="Arial"/>
                <w:sz w:val="22"/>
              </w:rPr>
            </w:pPr>
            <w:r w:rsidRPr="004C3A0B">
              <w:rPr>
                <w:rFonts w:cs="Arial"/>
                <w:bCs/>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cs="Arial"/>
                <w:color w:val="161616"/>
                <w:sz w:val="22"/>
                <w:lang w:eastAsia="en-GB"/>
              </w:rPr>
              <w:t>where applicable, consent procedures should make it clear that if something potentially or actually illegal is discovered in the course of a project, it may need to be disclosed to the proper authorities</w:t>
            </w:r>
          </w:p>
        </w:tc>
      </w:tr>
      <w:tr w:rsidR="00F0319C" w:rsidRPr="004C3A0B" w14:paraId="602B570D" w14:textId="77777777" w:rsidTr="000E4C5B">
        <w:tc>
          <w:tcPr>
            <w:tcW w:w="596" w:type="dxa"/>
            <w:tcBorders>
              <w:top w:val="single" w:sz="4" w:space="0" w:color="auto"/>
              <w:bottom w:val="single" w:sz="4" w:space="0" w:color="auto"/>
            </w:tcBorders>
            <w:vAlign w:val="center"/>
          </w:tcPr>
          <w:p w14:paraId="6441401C" w14:textId="77777777" w:rsidR="00F0319C" w:rsidRPr="00CE0890" w:rsidRDefault="00F0319C" w:rsidP="000E4C5B">
            <w:pPr>
              <w:jc w:val="center"/>
              <w:rPr>
                <w:rFonts w:cs="Arial"/>
                <w:sz w:val="22"/>
              </w:rPr>
            </w:pPr>
          </w:p>
        </w:tc>
        <w:tc>
          <w:tcPr>
            <w:tcW w:w="9923" w:type="dxa"/>
            <w:gridSpan w:val="2"/>
            <w:tcBorders>
              <w:top w:val="single" w:sz="4" w:space="0" w:color="auto"/>
              <w:bottom w:val="single" w:sz="4" w:space="0" w:color="auto"/>
            </w:tcBorders>
          </w:tcPr>
          <w:p w14:paraId="36456F87" w14:textId="77777777" w:rsidR="00F0319C" w:rsidRDefault="00F0319C" w:rsidP="000E4C5B">
            <w:pPr>
              <w:rPr>
                <w:rFonts w:cs="Arial"/>
                <w:sz w:val="22"/>
              </w:rPr>
            </w:pPr>
          </w:p>
          <w:p w14:paraId="20D46377" w14:textId="77777777" w:rsidR="00F0319C" w:rsidRDefault="00F0319C" w:rsidP="000E4C5B">
            <w:pPr>
              <w:rPr>
                <w:rFonts w:cs="Arial"/>
                <w:sz w:val="22"/>
              </w:rPr>
            </w:pPr>
            <w:r w:rsidRPr="000F40F3">
              <w:rPr>
                <w:rFonts w:cs="Arial"/>
                <w:sz w:val="22"/>
              </w:rPr>
              <w:t xml:space="preserve">N/A </w:t>
            </w:r>
          </w:p>
          <w:p w14:paraId="0EF88268" w14:textId="77777777" w:rsidR="00F0319C" w:rsidRPr="004C3A0B" w:rsidRDefault="00F0319C" w:rsidP="000E4C5B">
            <w:pPr>
              <w:rPr>
                <w:rFonts w:cs="Arial"/>
                <w:sz w:val="22"/>
              </w:rPr>
            </w:pPr>
          </w:p>
          <w:p w14:paraId="6EAF8FC4" w14:textId="77777777" w:rsidR="00F0319C" w:rsidRPr="004C3A0B" w:rsidRDefault="00F0319C" w:rsidP="000E4C5B">
            <w:pPr>
              <w:autoSpaceDE w:val="0"/>
              <w:autoSpaceDN w:val="0"/>
              <w:adjustRightInd w:val="0"/>
              <w:rPr>
                <w:rFonts w:cs="Arial"/>
              </w:rPr>
            </w:pPr>
            <w:r w:rsidRPr="003257BD">
              <w:rPr>
                <w:rFonts w:cs="Arial"/>
                <w:i/>
                <w:color w:val="808080"/>
                <w:sz w:val="18"/>
                <w:szCs w:val="18"/>
              </w:rPr>
              <w:t>(this box should expand as you type)</w:t>
            </w:r>
          </w:p>
        </w:tc>
      </w:tr>
      <w:tr w:rsidR="00F0319C" w:rsidRPr="004C3A0B" w14:paraId="711AE6AF" w14:textId="77777777" w:rsidTr="000E4C5B">
        <w:tc>
          <w:tcPr>
            <w:tcW w:w="596" w:type="dxa"/>
            <w:tcBorders>
              <w:top w:val="single" w:sz="4" w:space="0" w:color="auto"/>
              <w:bottom w:val="single" w:sz="4" w:space="0" w:color="auto"/>
            </w:tcBorders>
            <w:shd w:val="clear" w:color="auto" w:fill="F2F2F2" w:themeFill="background1" w:themeFillShade="F2"/>
            <w:vAlign w:val="center"/>
          </w:tcPr>
          <w:p w14:paraId="79B76982" w14:textId="77777777" w:rsidR="00F0319C" w:rsidRPr="002132F9" w:rsidRDefault="00F0319C" w:rsidP="000E4C5B">
            <w:pPr>
              <w:jc w:val="center"/>
              <w:rPr>
                <w:rFonts w:cs="Arial"/>
                <w:sz w:val="22"/>
              </w:rPr>
            </w:pPr>
            <w:r>
              <w:rPr>
                <w:rFonts w:cs="Arial"/>
                <w:sz w:val="22"/>
              </w:rPr>
              <w:t>3</w:t>
            </w:r>
          </w:p>
        </w:tc>
        <w:tc>
          <w:tcPr>
            <w:tcW w:w="9923" w:type="dxa"/>
            <w:gridSpan w:val="2"/>
            <w:tcBorders>
              <w:top w:val="single" w:sz="4" w:space="0" w:color="auto"/>
              <w:bottom w:val="single" w:sz="4" w:space="0" w:color="auto"/>
            </w:tcBorders>
            <w:shd w:val="clear" w:color="auto" w:fill="F2F2F2" w:themeFill="background1" w:themeFillShade="F2"/>
          </w:tcPr>
          <w:p w14:paraId="0C578DA0" w14:textId="77777777" w:rsidR="00F0319C" w:rsidRPr="004C3A0B" w:rsidRDefault="00F0319C" w:rsidP="000E4C5B">
            <w:pPr>
              <w:rPr>
                <w:rFonts w:cs="Arial"/>
                <w:sz w:val="22"/>
              </w:rPr>
            </w:pPr>
            <w:r w:rsidRPr="004C3A0B">
              <w:rPr>
                <w:rFonts w:cs="Arial"/>
                <w:b/>
                <w:sz w:val="22"/>
              </w:rPr>
              <w:t xml:space="preserve">Risks to </w:t>
            </w:r>
            <w:r>
              <w:rPr>
                <w:rFonts w:cs="Arial"/>
                <w:b/>
                <w:sz w:val="22"/>
              </w:rPr>
              <w:t xml:space="preserve">the </w:t>
            </w:r>
            <w:r w:rsidRPr="004C3A0B">
              <w:rPr>
                <w:rFonts w:cs="Arial"/>
                <w:b/>
                <w:sz w:val="22"/>
              </w:rPr>
              <w:t>investigator</w:t>
            </w:r>
          </w:p>
          <w:p w14:paraId="15E0EE19" w14:textId="77777777" w:rsidR="00F0319C" w:rsidRPr="004C3A0B" w:rsidRDefault="00F0319C" w:rsidP="000E4C5B">
            <w:pPr>
              <w:rPr>
                <w:rFonts w:cs="Arial"/>
                <w:sz w:val="22"/>
              </w:rPr>
            </w:pPr>
            <w:r w:rsidRPr="004C3A0B">
              <w:rPr>
                <w:rFonts w:cs="Arial"/>
                <w:sz w:val="22"/>
              </w:rPr>
              <w:t xml:space="preserve">For example: personal </w:t>
            </w:r>
            <w:r>
              <w:rPr>
                <w:rFonts w:cs="Arial"/>
                <w:sz w:val="22"/>
              </w:rPr>
              <w:t xml:space="preserve">health &amp; </w:t>
            </w:r>
            <w:r w:rsidRPr="004C3A0B">
              <w:rPr>
                <w:rFonts w:cs="Arial"/>
                <w:sz w:val="22"/>
              </w:rPr>
              <w:t>safety, physical harm, emotional distress, risk of accusation of harm/impropriety, conflict of interest</w:t>
            </w:r>
          </w:p>
        </w:tc>
      </w:tr>
      <w:tr w:rsidR="00F0319C" w:rsidRPr="004C3A0B" w14:paraId="77BE2485" w14:textId="77777777" w:rsidTr="000E4C5B">
        <w:tc>
          <w:tcPr>
            <w:tcW w:w="596" w:type="dxa"/>
            <w:tcBorders>
              <w:top w:val="single" w:sz="4" w:space="0" w:color="auto"/>
              <w:bottom w:val="single" w:sz="4" w:space="0" w:color="auto"/>
            </w:tcBorders>
            <w:vAlign w:val="center"/>
          </w:tcPr>
          <w:p w14:paraId="3010AADB" w14:textId="77777777" w:rsidR="00F0319C" w:rsidRPr="00CE0890" w:rsidRDefault="00F0319C" w:rsidP="000E4C5B">
            <w:pPr>
              <w:autoSpaceDE w:val="0"/>
              <w:autoSpaceDN w:val="0"/>
              <w:adjustRightInd w:val="0"/>
              <w:jc w:val="center"/>
              <w:rPr>
                <w:rFonts w:cs="Arial"/>
                <w:sz w:val="22"/>
              </w:rPr>
            </w:pPr>
          </w:p>
        </w:tc>
        <w:tc>
          <w:tcPr>
            <w:tcW w:w="4991" w:type="dxa"/>
            <w:tcBorders>
              <w:top w:val="single" w:sz="4" w:space="0" w:color="auto"/>
              <w:bottom w:val="single" w:sz="4" w:space="0" w:color="auto"/>
            </w:tcBorders>
          </w:tcPr>
          <w:p w14:paraId="0A7760F7" w14:textId="77777777" w:rsidR="00F0319C" w:rsidRDefault="00F0319C" w:rsidP="000E4C5B">
            <w:pPr>
              <w:autoSpaceDE w:val="0"/>
              <w:autoSpaceDN w:val="0"/>
              <w:adjustRightInd w:val="0"/>
              <w:rPr>
                <w:rFonts w:cs="Arial"/>
                <w:sz w:val="22"/>
              </w:rPr>
            </w:pPr>
            <w:r>
              <w:rPr>
                <w:rFonts w:cs="Arial"/>
                <w:sz w:val="22"/>
              </w:rPr>
              <w:t>Risk to the investigator:</w:t>
            </w:r>
          </w:p>
          <w:p w14:paraId="20CF8932" w14:textId="77777777" w:rsidR="00F0319C" w:rsidRDefault="00F0319C" w:rsidP="000E4C5B">
            <w:pPr>
              <w:rPr>
                <w:rFonts w:cs="Arial"/>
                <w:sz w:val="22"/>
              </w:rPr>
            </w:pPr>
          </w:p>
          <w:p w14:paraId="54CF161C" w14:textId="77777777" w:rsidR="00F0319C" w:rsidRDefault="00F0319C" w:rsidP="000E4C5B">
            <w:pPr>
              <w:rPr>
                <w:rFonts w:cs="Arial"/>
                <w:sz w:val="22"/>
              </w:rPr>
            </w:pPr>
            <w:r w:rsidRPr="000F40F3">
              <w:rPr>
                <w:rFonts w:cs="Arial"/>
                <w:sz w:val="22"/>
              </w:rPr>
              <w:t xml:space="preserve">N/A </w:t>
            </w:r>
          </w:p>
          <w:p w14:paraId="27900CEF" w14:textId="77777777" w:rsidR="00F0319C" w:rsidRPr="004C3A0B" w:rsidRDefault="00F0319C" w:rsidP="000E4C5B">
            <w:pPr>
              <w:rPr>
                <w:rFonts w:cs="Arial"/>
                <w:sz w:val="22"/>
              </w:rPr>
            </w:pPr>
          </w:p>
          <w:p w14:paraId="5C4D01B7" w14:textId="77777777" w:rsidR="00F0319C" w:rsidRPr="004C3A0B" w:rsidRDefault="00F0319C" w:rsidP="000E4C5B">
            <w:pPr>
              <w:autoSpaceDE w:val="0"/>
              <w:autoSpaceDN w:val="0"/>
              <w:adjustRightInd w:val="0"/>
              <w:rPr>
                <w:rFonts w:cs="Arial"/>
                <w:sz w:val="22"/>
              </w:rPr>
            </w:pPr>
            <w:r w:rsidRPr="003257BD">
              <w:rPr>
                <w:rFonts w:cs="Arial"/>
                <w:i/>
                <w:color w:val="808080"/>
                <w:sz w:val="18"/>
                <w:szCs w:val="18"/>
              </w:rPr>
              <w:t>(this box should expand as you type)</w:t>
            </w:r>
          </w:p>
        </w:tc>
        <w:tc>
          <w:tcPr>
            <w:tcW w:w="4932" w:type="dxa"/>
            <w:tcBorders>
              <w:top w:val="single" w:sz="4" w:space="0" w:color="auto"/>
              <w:bottom w:val="single" w:sz="4" w:space="0" w:color="auto"/>
            </w:tcBorders>
          </w:tcPr>
          <w:p w14:paraId="1147C1F8" w14:textId="77777777" w:rsidR="00F0319C" w:rsidRPr="00354F34" w:rsidRDefault="00F0319C" w:rsidP="000E4C5B">
            <w:pPr>
              <w:autoSpaceDE w:val="0"/>
              <w:autoSpaceDN w:val="0"/>
              <w:adjustRightInd w:val="0"/>
              <w:rPr>
                <w:rFonts w:cs="Arial"/>
                <w:i/>
                <w:sz w:val="18"/>
                <w:szCs w:val="18"/>
              </w:rPr>
            </w:pPr>
            <w:r>
              <w:rPr>
                <w:rFonts w:cs="Arial"/>
                <w:i/>
                <w:sz w:val="18"/>
                <w:szCs w:val="18"/>
              </w:rPr>
              <w:t>How you will mitigate the risk to the i</w:t>
            </w:r>
            <w:r w:rsidRPr="00354F34">
              <w:rPr>
                <w:rFonts w:cs="Arial"/>
                <w:i/>
                <w:sz w:val="18"/>
                <w:szCs w:val="18"/>
              </w:rPr>
              <w:t>nvestigator:</w:t>
            </w:r>
          </w:p>
          <w:p w14:paraId="08E8FD92" w14:textId="77777777" w:rsidR="00F0319C" w:rsidRDefault="00F0319C" w:rsidP="000E4C5B">
            <w:pPr>
              <w:rPr>
                <w:rFonts w:cs="Arial"/>
                <w:sz w:val="22"/>
              </w:rPr>
            </w:pPr>
          </w:p>
          <w:p w14:paraId="6D547F89" w14:textId="77777777" w:rsidR="00F0319C" w:rsidRDefault="00F0319C" w:rsidP="000E4C5B">
            <w:pPr>
              <w:rPr>
                <w:rFonts w:cs="Arial"/>
                <w:sz w:val="22"/>
              </w:rPr>
            </w:pPr>
            <w:r w:rsidRPr="000F40F3">
              <w:rPr>
                <w:rFonts w:cs="Arial"/>
                <w:sz w:val="22"/>
              </w:rPr>
              <w:t xml:space="preserve">N/A </w:t>
            </w:r>
          </w:p>
          <w:p w14:paraId="5DAD9F22" w14:textId="77777777" w:rsidR="00F0319C" w:rsidRPr="004C3A0B" w:rsidRDefault="00F0319C" w:rsidP="000E4C5B">
            <w:pPr>
              <w:rPr>
                <w:rFonts w:cs="Arial"/>
                <w:sz w:val="22"/>
              </w:rPr>
            </w:pPr>
          </w:p>
          <w:p w14:paraId="68BEB8A3" w14:textId="77777777" w:rsidR="00F0319C" w:rsidRPr="004C3A0B" w:rsidRDefault="00F0319C" w:rsidP="000E4C5B">
            <w:pPr>
              <w:autoSpaceDE w:val="0"/>
              <w:autoSpaceDN w:val="0"/>
              <w:adjustRightInd w:val="0"/>
              <w:rPr>
                <w:rFonts w:cs="Arial"/>
              </w:rPr>
            </w:pPr>
            <w:r w:rsidRPr="003257BD">
              <w:rPr>
                <w:rFonts w:cs="Arial"/>
                <w:i/>
                <w:color w:val="808080"/>
                <w:sz w:val="18"/>
                <w:szCs w:val="18"/>
              </w:rPr>
              <w:t>(this box should expand as you type)</w:t>
            </w:r>
          </w:p>
        </w:tc>
      </w:tr>
      <w:tr w:rsidR="00F0319C" w:rsidRPr="004C3A0B" w14:paraId="6BEE1EF4" w14:textId="77777777" w:rsidTr="000E4C5B">
        <w:tc>
          <w:tcPr>
            <w:tcW w:w="596" w:type="dxa"/>
            <w:tcBorders>
              <w:top w:val="single" w:sz="4" w:space="0" w:color="auto"/>
              <w:bottom w:val="single" w:sz="4" w:space="0" w:color="auto"/>
            </w:tcBorders>
            <w:shd w:val="clear" w:color="auto" w:fill="F2F2F2" w:themeFill="background1" w:themeFillShade="F2"/>
            <w:vAlign w:val="center"/>
          </w:tcPr>
          <w:p w14:paraId="548C0451" w14:textId="77777777" w:rsidR="00F0319C" w:rsidRPr="002132F9" w:rsidRDefault="00F0319C" w:rsidP="000E4C5B">
            <w:pPr>
              <w:jc w:val="center"/>
              <w:rPr>
                <w:rFonts w:cs="Arial"/>
                <w:sz w:val="22"/>
              </w:rPr>
            </w:pPr>
            <w:r>
              <w:rPr>
                <w:rFonts w:cs="Arial"/>
                <w:sz w:val="22"/>
              </w:rPr>
              <w:t>4</w:t>
            </w:r>
          </w:p>
        </w:tc>
        <w:tc>
          <w:tcPr>
            <w:tcW w:w="9923" w:type="dxa"/>
            <w:gridSpan w:val="2"/>
            <w:tcBorders>
              <w:top w:val="single" w:sz="4" w:space="0" w:color="auto"/>
              <w:bottom w:val="single" w:sz="4" w:space="0" w:color="auto"/>
            </w:tcBorders>
            <w:shd w:val="clear" w:color="auto" w:fill="F2F2F2" w:themeFill="background1" w:themeFillShade="F2"/>
          </w:tcPr>
          <w:p w14:paraId="1A8E76F6" w14:textId="77777777" w:rsidR="00F0319C" w:rsidRPr="004C3A0B" w:rsidRDefault="00F0319C" w:rsidP="000E4C5B">
            <w:pPr>
              <w:rPr>
                <w:rFonts w:cs="Arial"/>
                <w:sz w:val="22"/>
              </w:rPr>
            </w:pPr>
            <w:r w:rsidRPr="004C3A0B">
              <w:rPr>
                <w:rFonts w:cs="Arial"/>
                <w:b/>
                <w:sz w:val="22"/>
              </w:rPr>
              <w:t>University/institutional risks</w:t>
            </w:r>
          </w:p>
          <w:p w14:paraId="6676858B" w14:textId="77777777" w:rsidR="00F0319C" w:rsidRPr="004C3A0B" w:rsidRDefault="00F0319C" w:rsidP="000E4C5B">
            <w:pPr>
              <w:rPr>
                <w:rFonts w:cs="Arial"/>
                <w:sz w:val="22"/>
              </w:rPr>
            </w:pPr>
            <w:r w:rsidRPr="004C3A0B">
              <w:rPr>
                <w:rFonts w:cs="Arial"/>
                <w:sz w:val="22"/>
              </w:rPr>
              <w:t>For example: adverse publicity, financial loss, data protection</w:t>
            </w:r>
          </w:p>
        </w:tc>
      </w:tr>
      <w:tr w:rsidR="00F0319C" w:rsidRPr="004C3A0B" w14:paraId="45E848BE" w14:textId="77777777" w:rsidTr="000E4C5B">
        <w:tc>
          <w:tcPr>
            <w:tcW w:w="596" w:type="dxa"/>
            <w:tcBorders>
              <w:top w:val="single" w:sz="4" w:space="0" w:color="auto"/>
              <w:bottom w:val="single" w:sz="4" w:space="0" w:color="auto"/>
            </w:tcBorders>
            <w:vAlign w:val="center"/>
          </w:tcPr>
          <w:p w14:paraId="29266157" w14:textId="77777777" w:rsidR="00F0319C" w:rsidRPr="00CE0890" w:rsidRDefault="00F0319C" w:rsidP="000E4C5B">
            <w:pPr>
              <w:autoSpaceDE w:val="0"/>
              <w:autoSpaceDN w:val="0"/>
              <w:adjustRightInd w:val="0"/>
              <w:jc w:val="center"/>
              <w:rPr>
                <w:rFonts w:cs="Arial"/>
                <w:sz w:val="22"/>
              </w:rPr>
            </w:pPr>
          </w:p>
        </w:tc>
        <w:tc>
          <w:tcPr>
            <w:tcW w:w="4991" w:type="dxa"/>
            <w:tcBorders>
              <w:top w:val="single" w:sz="4" w:space="0" w:color="auto"/>
              <w:bottom w:val="single" w:sz="4" w:space="0" w:color="auto"/>
            </w:tcBorders>
          </w:tcPr>
          <w:p w14:paraId="40711342" w14:textId="77777777" w:rsidR="00F0319C" w:rsidRDefault="00F0319C" w:rsidP="000E4C5B">
            <w:pPr>
              <w:autoSpaceDE w:val="0"/>
              <w:autoSpaceDN w:val="0"/>
              <w:adjustRightInd w:val="0"/>
              <w:rPr>
                <w:rFonts w:cs="Arial"/>
                <w:sz w:val="22"/>
              </w:rPr>
            </w:pPr>
            <w:r>
              <w:rPr>
                <w:rFonts w:cs="Arial"/>
                <w:sz w:val="22"/>
              </w:rPr>
              <w:t>Risk to the University:</w:t>
            </w:r>
          </w:p>
          <w:p w14:paraId="4CFC9DD9" w14:textId="77777777" w:rsidR="00F0319C" w:rsidRDefault="00F0319C" w:rsidP="000E4C5B">
            <w:pPr>
              <w:rPr>
                <w:rFonts w:cs="Arial"/>
                <w:sz w:val="22"/>
              </w:rPr>
            </w:pPr>
          </w:p>
          <w:p w14:paraId="124063A1" w14:textId="77777777" w:rsidR="00F0319C" w:rsidRDefault="00F0319C" w:rsidP="000E4C5B">
            <w:pPr>
              <w:rPr>
                <w:rFonts w:cs="Arial"/>
                <w:sz w:val="22"/>
              </w:rPr>
            </w:pPr>
            <w:r w:rsidRPr="000F40F3">
              <w:rPr>
                <w:rFonts w:cs="Arial"/>
                <w:sz w:val="22"/>
              </w:rPr>
              <w:t xml:space="preserve">N/A </w:t>
            </w:r>
          </w:p>
          <w:p w14:paraId="4B3ACA24" w14:textId="77777777" w:rsidR="00F0319C" w:rsidRPr="004C3A0B" w:rsidRDefault="00F0319C" w:rsidP="000E4C5B">
            <w:pPr>
              <w:autoSpaceDE w:val="0"/>
              <w:autoSpaceDN w:val="0"/>
              <w:adjustRightInd w:val="0"/>
              <w:rPr>
                <w:rFonts w:cs="Arial"/>
                <w:sz w:val="22"/>
              </w:rPr>
            </w:pPr>
            <w:r w:rsidRPr="003257BD">
              <w:rPr>
                <w:rFonts w:cs="Arial"/>
                <w:i/>
                <w:color w:val="808080"/>
                <w:sz w:val="18"/>
                <w:szCs w:val="18"/>
              </w:rPr>
              <w:t>(this box should expand as you type)</w:t>
            </w:r>
          </w:p>
        </w:tc>
        <w:tc>
          <w:tcPr>
            <w:tcW w:w="4932" w:type="dxa"/>
            <w:tcBorders>
              <w:top w:val="single" w:sz="4" w:space="0" w:color="auto"/>
              <w:bottom w:val="single" w:sz="4" w:space="0" w:color="auto"/>
            </w:tcBorders>
          </w:tcPr>
          <w:p w14:paraId="296998D4" w14:textId="77777777" w:rsidR="00F0319C" w:rsidRPr="00354F34" w:rsidRDefault="00F0319C" w:rsidP="000E4C5B">
            <w:pPr>
              <w:autoSpaceDE w:val="0"/>
              <w:autoSpaceDN w:val="0"/>
              <w:adjustRightInd w:val="0"/>
              <w:rPr>
                <w:rFonts w:cs="Arial"/>
                <w:i/>
                <w:sz w:val="18"/>
                <w:szCs w:val="18"/>
              </w:rPr>
            </w:pPr>
            <w:r>
              <w:rPr>
                <w:rFonts w:cs="Arial"/>
                <w:i/>
                <w:sz w:val="18"/>
                <w:szCs w:val="18"/>
              </w:rPr>
              <w:lastRenderedPageBreak/>
              <w:t>How you will mitigate the r</w:t>
            </w:r>
            <w:r w:rsidRPr="00354F34">
              <w:rPr>
                <w:rFonts w:cs="Arial"/>
                <w:i/>
                <w:sz w:val="18"/>
                <w:szCs w:val="18"/>
              </w:rPr>
              <w:t xml:space="preserve">isk to </w:t>
            </w:r>
            <w:r>
              <w:rPr>
                <w:rFonts w:cs="Arial"/>
                <w:i/>
                <w:sz w:val="18"/>
                <w:szCs w:val="18"/>
              </w:rPr>
              <w:t xml:space="preserve">the </w:t>
            </w:r>
            <w:r w:rsidRPr="00354F34">
              <w:rPr>
                <w:rFonts w:cs="Arial"/>
                <w:i/>
                <w:sz w:val="18"/>
                <w:szCs w:val="18"/>
              </w:rPr>
              <w:t>University:</w:t>
            </w:r>
          </w:p>
          <w:p w14:paraId="5318B702" w14:textId="77777777" w:rsidR="00F0319C" w:rsidRDefault="00F0319C" w:rsidP="000E4C5B">
            <w:pPr>
              <w:rPr>
                <w:rFonts w:cs="Arial"/>
                <w:sz w:val="22"/>
              </w:rPr>
            </w:pPr>
          </w:p>
          <w:p w14:paraId="7631B831" w14:textId="77777777" w:rsidR="00F0319C" w:rsidRDefault="00F0319C" w:rsidP="000E4C5B">
            <w:pPr>
              <w:rPr>
                <w:rFonts w:cs="Arial"/>
                <w:sz w:val="22"/>
              </w:rPr>
            </w:pPr>
            <w:r w:rsidRPr="000F40F3">
              <w:rPr>
                <w:rFonts w:cs="Arial"/>
                <w:sz w:val="22"/>
              </w:rPr>
              <w:t xml:space="preserve">N/A </w:t>
            </w:r>
          </w:p>
          <w:p w14:paraId="6C74224A" w14:textId="77777777" w:rsidR="00F0319C" w:rsidRPr="004C3A0B" w:rsidRDefault="00F0319C" w:rsidP="000E4C5B">
            <w:pPr>
              <w:rPr>
                <w:rFonts w:cs="Arial"/>
                <w:sz w:val="22"/>
              </w:rPr>
            </w:pPr>
          </w:p>
          <w:p w14:paraId="3E545FB4" w14:textId="77777777" w:rsidR="00F0319C" w:rsidRPr="004C3A0B" w:rsidRDefault="00F0319C" w:rsidP="000E4C5B">
            <w:pPr>
              <w:autoSpaceDE w:val="0"/>
              <w:autoSpaceDN w:val="0"/>
              <w:adjustRightInd w:val="0"/>
              <w:rPr>
                <w:rFonts w:cs="Arial"/>
              </w:rPr>
            </w:pPr>
            <w:r w:rsidRPr="003257BD">
              <w:rPr>
                <w:rFonts w:cs="Arial"/>
                <w:i/>
                <w:color w:val="808080"/>
                <w:sz w:val="18"/>
                <w:szCs w:val="18"/>
              </w:rPr>
              <w:t>(this box should expand as you type)</w:t>
            </w:r>
          </w:p>
        </w:tc>
      </w:tr>
      <w:tr w:rsidR="00F0319C" w:rsidRPr="004C3A0B" w14:paraId="717FE351" w14:textId="77777777" w:rsidTr="000E4C5B">
        <w:tc>
          <w:tcPr>
            <w:tcW w:w="596" w:type="dxa"/>
            <w:tcBorders>
              <w:top w:val="single" w:sz="4" w:space="0" w:color="auto"/>
              <w:bottom w:val="single" w:sz="4" w:space="0" w:color="auto"/>
            </w:tcBorders>
            <w:shd w:val="clear" w:color="auto" w:fill="F2F2F2" w:themeFill="background1" w:themeFillShade="F2"/>
            <w:vAlign w:val="center"/>
          </w:tcPr>
          <w:p w14:paraId="7B3B7E61" w14:textId="77777777" w:rsidR="00F0319C" w:rsidRPr="002132F9" w:rsidRDefault="00F0319C" w:rsidP="000E4C5B">
            <w:pPr>
              <w:jc w:val="center"/>
              <w:rPr>
                <w:rFonts w:cs="Arial"/>
                <w:sz w:val="22"/>
              </w:rPr>
            </w:pPr>
            <w:r>
              <w:rPr>
                <w:rFonts w:cs="Arial"/>
                <w:sz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346C5BE1" w14:textId="77777777" w:rsidR="00F0319C" w:rsidRPr="004C3A0B" w:rsidRDefault="00F0319C" w:rsidP="000E4C5B">
            <w:pPr>
              <w:rPr>
                <w:rFonts w:cs="Arial"/>
                <w:sz w:val="22"/>
              </w:rPr>
            </w:pPr>
            <w:r>
              <w:rPr>
                <w:rFonts w:cs="Arial"/>
                <w:b/>
                <w:sz w:val="22"/>
              </w:rPr>
              <w:t>Environmental</w:t>
            </w:r>
            <w:r w:rsidRPr="004C3A0B">
              <w:rPr>
                <w:rFonts w:cs="Arial"/>
                <w:b/>
                <w:sz w:val="22"/>
              </w:rPr>
              <w:t xml:space="preserve"> risks</w:t>
            </w:r>
          </w:p>
          <w:p w14:paraId="3C0D9E54" w14:textId="77777777" w:rsidR="00F0319C" w:rsidRPr="004C3A0B" w:rsidRDefault="00F0319C" w:rsidP="000E4C5B">
            <w:pPr>
              <w:rPr>
                <w:rFonts w:cs="Arial"/>
                <w:sz w:val="22"/>
              </w:rPr>
            </w:pPr>
            <w:r w:rsidRPr="004C3A0B">
              <w:rPr>
                <w:rFonts w:cs="Arial"/>
                <w:sz w:val="22"/>
              </w:rPr>
              <w:t xml:space="preserve">For example: </w:t>
            </w:r>
            <w:r>
              <w:rPr>
                <w:rFonts w:cs="Arial"/>
                <w:sz w:val="22"/>
              </w:rPr>
              <w:t>accidental spillage of pollutants, damage to local ecosystems</w:t>
            </w:r>
          </w:p>
        </w:tc>
      </w:tr>
      <w:tr w:rsidR="00F0319C" w:rsidRPr="004C3A0B" w14:paraId="3EA66096" w14:textId="77777777" w:rsidTr="000E4C5B">
        <w:tc>
          <w:tcPr>
            <w:tcW w:w="596" w:type="dxa"/>
            <w:tcBorders>
              <w:top w:val="single" w:sz="4" w:space="0" w:color="auto"/>
              <w:bottom w:val="single" w:sz="4" w:space="0" w:color="auto"/>
            </w:tcBorders>
            <w:vAlign w:val="center"/>
          </w:tcPr>
          <w:p w14:paraId="52407C5B" w14:textId="77777777" w:rsidR="00F0319C" w:rsidRPr="00CE0890" w:rsidRDefault="00F0319C" w:rsidP="000E4C5B">
            <w:pPr>
              <w:autoSpaceDE w:val="0"/>
              <w:autoSpaceDN w:val="0"/>
              <w:adjustRightInd w:val="0"/>
              <w:jc w:val="center"/>
              <w:rPr>
                <w:rFonts w:cs="Arial"/>
                <w:sz w:val="22"/>
              </w:rPr>
            </w:pPr>
          </w:p>
        </w:tc>
        <w:tc>
          <w:tcPr>
            <w:tcW w:w="4991" w:type="dxa"/>
            <w:tcBorders>
              <w:top w:val="single" w:sz="4" w:space="0" w:color="auto"/>
              <w:bottom w:val="single" w:sz="4" w:space="0" w:color="auto"/>
            </w:tcBorders>
          </w:tcPr>
          <w:p w14:paraId="0EEF987C" w14:textId="77777777" w:rsidR="00F0319C" w:rsidRDefault="00F0319C" w:rsidP="000E4C5B">
            <w:pPr>
              <w:autoSpaceDE w:val="0"/>
              <w:autoSpaceDN w:val="0"/>
              <w:adjustRightInd w:val="0"/>
              <w:rPr>
                <w:rFonts w:cs="Arial"/>
                <w:sz w:val="22"/>
              </w:rPr>
            </w:pPr>
            <w:r>
              <w:rPr>
                <w:rFonts w:cs="Arial"/>
                <w:sz w:val="22"/>
              </w:rPr>
              <w:t>Risk to the environment:</w:t>
            </w:r>
          </w:p>
          <w:p w14:paraId="18B99654" w14:textId="77777777" w:rsidR="00F0319C" w:rsidRDefault="00F0319C" w:rsidP="000E4C5B">
            <w:pPr>
              <w:rPr>
                <w:rFonts w:cs="Arial"/>
                <w:sz w:val="22"/>
              </w:rPr>
            </w:pPr>
          </w:p>
          <w:p w14:paraId="22C8E0B8" w14:textId="77777777" w:rsidR="00F0319C" w:rsidRDefault="00F0319C" w:rsidP="000E4C5B">
            <w:pPr>
              <w:rPr>
                <w:rFonts w:cs="Arial"/>
                <w:sz w:val="22"/>
              </w:rPr>
            </w:pPr>
            <w:r w:rsidRPr="000F40F3">
              <w:rPr>
                <w:rFonts w:cs="Arial"/>
                <w:sz w:val="22"/>
              </w:rPr>
              <w:t xml:space="preserve">N/A </w:t>
            </w:r>
          </w:p>
          <w:p w14:paraId="0F61C245" w14:textId="77777777" w:rsidR="00F0319C" w:rsidRDefault="00F0319C" w:rsidP="000E4C5B">
            <w:pPr>
              <w:rPr>
                <w:rFonts w:cs="Arial"/>
                <w:sz w:val="22"/>
              </w:rPr>
            </w:pPr>
          </w:p>
          <w:p w14:paraId="34669939" w14:textId="77777777" w:rsidR="00F0319C" w:rsidRPr="004C3A0B" w:rsidRDefault="00F0319C" w:rsidP="000E4C5B">
            <w:pPr>
              <w:rPr>
                <w:rFonts w:cs="Arial"/>
                <w:sz w:val="22"/>
              </w:rPr>
            </w:pPr>
          </w:p>
          <w:p w14:paraId="5F10F679" w14:textId="77777777" w:rsidR="00F0319C" w:rsidRPr="004C3A0B" w:rsidRDefault="00F0319C" w:rsidP="000E4C5B">
            <w:pPr>
              <w:autoSpaceDE w:val="0"/>
              <w:autoSpaceDN w:val="0"/>
              <w:adjustRightInd w:val="0"/>
              <w:rPr>
                <w:rFonts w:cs="Arial"/>
                <w:sz w:val="22"/>
              </w:rPr>
            </w:pPr>
            <w:r w:rsidRPr="003257BD">
              <w:rPr>
                <w:rFonts w:cs="Arial"/>
                <w:i/>
                <w:color w:val="808080"/>
                <w:sz w:val="18"/>
                <w:szCs w:val="18"/>
              </w:rPr>
              <w:t>(this box should expand as you type)</w:t>
            </w:r>
          </w:p>
        </w:tc>
        <w:tc>
          <w:tcPr>
            <w:tcW w:w="4932" w:type="dxa"/>
            <w:tcBorders>
              <w:top w:val="single" w:sz="4" w:space="0" w:color="auto"/>
              <w:bottom w:val="single" w:sz="4" w:space="0" w:color="auto"/>
            </w:tcBorders>
          </w:tcPr>
          <w:p w14:paraId="28CC66D6" w14:textId="77777777" w:rsidR="00F0319C" w:rsidRPr="00354F34" w:rsidRDefault="00F0319C" w:rsidP="000E4C5B">
            <w:pPr>
              <w:autoSpaceDE w:val="0"/>
              <w:autoSpaceDN w:val="0"/>
              <w:adjustRightInd w:val="0"/>
              <w:rPr>
                <w:rFonts w:cs="Arial"/>
                <w:i/>
                <w:sz w:val="18"/>
                <w:szCs w:val="18"/>
              </w:rPr>
            </w:pPr>
            <w:r>
              <w:rPr>
                <w:rFonts w:cs="Arial"/>
                <w:i/>
                <w:sz w:val="18"/>
                <w:szCs w:val="18"/>
              </w:rPr>
              <w:t>How you will mitigate the r</w:t>
            </w:r>
            <w:r w:rsidRPr="00354F34">
              <w:rPr>
                <w:rFonts w:cs="Arial"/>
                <w:i/>
                <w:sz w:val="18"/>
                <w:szCs w:val="18"/>
              </w:rPr>
              <w:t xml:space="preserve">isk to </w:t>
            </w:r>
            <w:r>
              <w:rPr>
                <w:rFonts w:cs="Arial"/>
                <w:i/>
                <w:sz w:val="18"/>
                <w:szCs w:val="18"/>
              </w:rPr>
              <w:t>environment</w:t>
            </w:r>
            <w:r w:rsidRPr="00354F34">
              <w:rPr>
                <w:rFonts w:cs="Arial"/>
                <w:i/>
                <w:sz w:val="18"/>
                <w:szCs w:val="18"/>
              </w:rPr>
              <w:t>:</w:t>
            </w:r>
          </w:p>
          <w:p w14:paraId="4491E247" w14:textId="77777777" w:rsidR="00F0319C" w:rsidRDefault="00F0319C" w:rsidP="000E4C5B">
            <w:pPr>
              <w:rPr>
                <w:rFonts w:cs="Arial"/>
                <w:sz w:val="22"/>
              </w:rPr>
            </w:pPr>
          </w:p>
          <w:p w14:paraId="2BA2A306" w14:textId="77777777" w:rsidR="00F0319C" w:rsidRDefault="00F0319C" w:rsidP="000E4C5B">
            <w:pPr>
              <w:rPr>
                <w:rFonts w:cs="Arial"/>
                <w:sz w:val="22"/>
              </w:rPr>
            </w:pPr>
            <w:r w:rsidRPr="000F40F3">
              <w:rPr>
                <w:rFonts w:cs="Arial"/>
                <w:sz w:val="22"/>
              </w:rPr>
              <w:t xml:space="preserve">N/A </w:t>
            </w:r>
          </w:p>
          <w:p w14:paraId="1954DFDE" w14:textId="77777777" w:rsidR="00F0319C" w:rsidRPr="004C3A0B" w:rsidRDefault="00F0319C" w:rsidP="000E4C5B">
            <w:pPr>
              <w:rPr>
                <w:rFonts w:cs="Arial"/>
                <w:sz w:val="22"/>
              </w:rPr>
            </w:pPr>
          </w:p>
          <w:p w14:paraId="681D1473" w14:textId="77777777" w:rsidR="00F0319C" w:rsidRPr="004C3A0B" w:rsidRDefault="00F0319C" w:rsidP="000E4C5B">
            <w:pPr>
              <w:autoSpaceDE w:val="0"/>
              <w:autoSpaceDN w:val="0"/>
              <w:adjustRightInd w:val="0"/>
              <w:rPr>
                <w:rFonts w:cs="Arial"/>
              </w:rPr>
            </w:pPr>
            <w:r w:rsidRPr="003257BD">
              <w:rPr>
                <w:rFonts w:cs="Arial"/>
                <w:i/>
                <w:color w:val="808080"/>
                <w:sz w:val="18"/>
                <w:szCs w:val="18"/>
              </w:rPr>
              <w:t>(this box should expand as you type)</w:t>
            </w:r>
          </w:p>
        </w:tc>
      </w:tr>
    </w:tbl>
    <w:p w14:paraId="0FD4280C" w14:textId="77777777" w:rsidR="00F0319C" w:rsidRDefault="00F0319C" w:rsidP="00F0319C"/>
    <w:p w14:paraId="591107C2" w14:textId="77777777" w:rsidR="00F0319C" w:rsidRDefault="00F0319C" w:rsidP="00F0319C">
      <w:pPr>
        <w:rPr>
          <w:rFonts w:cs="Arial"/>
          <w:b/>
          <w:sz w:val="22"/>
        </w:rPr>
      </w:pPr>
      <w:r w:rsidRPr="00354F34">
        <w:rPr>
          <w:rFonts w:cs="Arial"/>
          <w:b/>
          <w:sz w:val="22"/>
        </w:rPr>
        <w:t xml:space="preserve">SECTION </w:t>
      </w:r>
      <w:r>
        <w:rPr>
          <w:rFonts w:cs="Arial"/>
          <w:b/>
          <w:sz w:val="22"/>
        </w:rPr>
        <w:t>G</w:t>
      </w:r>
      <w:r w:rsidRPr="00354F34">
        <w:rPr>
          <w:rFonts w:cs="Arial"/>
          <w:b/>
          <w:sz w:val="22"/>
        </w:rPr>
        <w:t>: Feedback, Consent and Confidentiality</w:t>
      </w:r>
    </w:p>
    <w:p w14:paraId="7D638E8A" w14:textId="77777777" w:rsidR="00F0319C" w:rsidRDefault="00F0319C" w:rsidP="00F0319C">
      <w:pPr>
        <w:rPr>
          <w:rFonts w:cs="Arial"/>
          <w:b/>
          <w:sz w:val="22"/>
        </w:rPr>
      </w:pPr>
    </w:p>
    <w:p w14:paraId="6F604801" w14:textId="77777777" w:rsidR="00F0319C" w:rsidRDefault="00F0319C" w:rsidP="00F0319C">
      <w:pPr>
        <w:rPr>
          <w:rFonts w:cs="Arial"/>
          <w:sz w:val="22"/>
        </w:rPr>
      </w:pPr>
      <w:r>
        <w:rPr>
          <w:rFonts w:cs="Arial"/>
          <w:sz w:val="22"/>
        </w:rPr>
        <w:t>If you have identified in section D that there are no participants, then enter skip this section and continue to section H.</w:t>
      </w:r>
    </w:p>
    <w:p w14:paraId="5BB74293" w14:textId="77777777" w:rsidR="00F0319C" w:rsidRPr="00354F34" w:rsidRDefault="00F0319C" w:rsidP="00F0319C">
      <w:pPr>
        <w:rPr>
          <w:rFonts w:cs="Arial"/>
          <w:b/>
          <w:sz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0319C" w:rsidRPr="004C3A0B" w14:paraId="52FD7F3D" w14:textId="77777777" w:rsidTr="000E4C5B">
        <w:tc>
          <w:tcPr>
            <w:tcW w:w="596" w:type="dxa"/>
            <w:tcBorders>
              <w:top w:val="single" w:sz="4" w:space="0" w:color="auto"/>
              <w:bottom w:val="single" w:sz="4" w:space="0" w:color="auto"/>
            </w:tcBorders>
            <w:shd w:val="clear" w:color="auto" w:fill="F2F2F2" w:themeFill="background1" w:themeFillShade="F2"/>
          </w:tcPr>
          <w:p w14:paraId="2081F71E" w14:textId="77777777" w:rsidR="00F0319C" w:rsidRPr="002132F9" w:rsidRDefault="00F0319C" w:rsidP="000E4C5B">
            <w:pPr>
              <w:rPr>
                <w:rFonts w:cs="Arial"/>
                <w:bCs/>
                <w:sz w:val="22"/>
              </w:rPr>
            </w:pPr>
            <w:r w:rsidRPr="002132F9">
              <w:rPr>
                <w:rFonts w:cs="Arial"/>
                <w:bCs/>
                <w:sz w:val="22"/>
              </w:rPr>
              <w:t>1</w:t>
            </w:r>
          </w:p>
        </w:tc>
        <w:tc>
          <w:tcPr>
            <w:tcW w:w="9923" w:type="dxa"/>
            <w:tcBorders>
              <w:top w:val="single" w:sz="4" w:space="0" w:color="auto"/>
              <w:bottom w:val="single" w:sz="4" w:space="0" w:color="auto"/>
            </w:tcBorders>
            <w:shd w:val="clear" w:color="auto" w:fill="F2F2F2" w:themeFill="background1" w:themeFillShade="F2"/>
          </w:tcPr>
          <w:p w14:paraId="34F1FB16" w14:textId="77777777" w:rsidR="00F0319C" w:rsidRPr="004C3A0B" w:rsidRDefault="00F0319C" w:rsidP="000E4C5B">
            <w:pPr>
              <w:rPr>
                <w:rFonts w:cs="Arial"/>
                <w:sz w:val="22"/>
              </w:rPr>
            </w:pPr>
            <w:r w:rsidRPr="004C3A0B">
              <w:rPr>
                <w:rFonts w:cs="Arial"/>
                <w:b/>
                <w:sz w:val="22"/>
              </w:rPr>
              <w:t>Feedback</w:t>
            </w:r>
          </w:p>
          <w:p w14:paraId="423A55E1" w14:textId="77777777" w:rsidR="00F0319C" w:rsidRPr="004C3A0B" w:rsidRDefault="00F0319C" w:rsidP="000E4C5B">
            <w:pPr>
              <w:rPr>
                <w:rFonts w:cs="Arial"/>
                <w:sz w:val="22"/>
              </w:rPr>
            </w:pPr>
            <w:r w:rsidRPr="004C3A0B">
              <w:rPr>
                <w:rFonts w:cs="Arial"/>
                <w:sz w:val="22"/>
              </w:rPr>
              <w:t xml:space="preserve">What </w:t>
            </w:r>
            <w:r>
              <w:rPr>
                <w:rFonts w:cs="Arial"/>
                <w:sz w:val="22"/>
              </w:rPr>
              <w:t xml:space="preserve">de-briefing and </w:t>
            </w:r>
            <w:r w:rsidRPr="004C3A0B">
              <w:rPr>
                <w:rFonts w:cs="Arial"/>
                <w:sz w:val="22"/>
              </w:rPr>
              <w:t xml:space="preserve">feedback will be provided to participants, how will this be done and when? </w:t>
            </w:r>
          </w:p>
        </w:tc>
      </w:tr>
      <w:tr w:rsidR="00F0319C" w:rsidRPr="004C3A0B" w14:paraId="123DE336" w14:textId="77777777" w:rsidTr="000E4C5B">
        <w:tc>
          <w:tcPr>
            <w:tcW w:w="596" w:type="dxa"/>
            <w:tcBorders>
              <w:top w:val="single" w:sz="4" w:space="0" w:color="auto"/>
              <w:bottom w:val="single" w:sz="4" w:space="0" w:color="auto"/>
            </w:tcBorders>
          </w:tcPr>
          <w:p w14:paraId="62073394" w14:textId="77777777" w:rsidR="00F0319C" w:rsidRPr="00E32138" w:rsidRDefault="00F0319C" w:rsidP="000E4C5B">
            <w:pPr>
              <w:rPr>
                <w:rFonts w:cs="Arial"/>
                <w:bCs/>
                <w:sz w:val="22"/>
              </w:rPr>
            </w:pPr>
          </w:p>
        </w:tc>
        <w:tc>
          <w:tcPr>
            <w:tcW w:w="9923" w:type="dxa"/>
            <w:tcBorders>
              <w:top w:val="single" w:sz="4" w:space="0" w:color="auto"/>
              <w:bottom w:val="single" w:sz="4" w:space="0" w:color="auto"/>
            </w:tcBorders>
          </w:tcPr>
          <w:p w14:paraId="4952AE99" w14:textId="77777777" w:rsidR="00F0319C" w:rsidRDefault="00F0319C" w:rsidP="000E4C5B">
            <w:pPr>
              <w:rPr>
                <w:rFonts w:cs="Arial"/>
                <w:color w:val="00B050"/>
                <w:sz w:val="22"/>
              </w:rPr>
            </w:pPr>
          </w:p>
          <w:p w14:paraId="04010AC3" w14:textId="77777777" w:rsidR="00F0319C" w:rsidRPr="004C3A0B" w:rsidRDefault="00F0319C" w:rsidP="000E4C5B">
            <w:pPr>
              <w:rPr>
                <w:rFonts w:cs="Arial"/>
                <w:sz w:val="22"/>
              </w:rPr>
            </w:pPr>
            <w:r w:rsidRPr="000F40F3">
              <w:rPr>
                <w:rFonts w:cs="Arial"/>
                <w:sz w:val="22"/>
              </w:rPr>
              <w:t>N/A Secondary Research</w:t>
            </w:r>
          </w:p>
          <w:p w14:paraId="370692E3" w14:textId="77777777" w:rsidR="00F0319C" w:rsidRPr="004C3A0B" w:rsidRDefault="00F0319C" w:rsidP="000E4C5B">
            <w:pPr>
              <w:autoSpaceDE w:val="0"/>
              <w:autoSpaceDN w:val="0"/>
              <w:adjustRightInd w:val="0"/>
              <w:rPr>
                <w:rFonts w:cs="Arial"/>
              </w:rPr>
            </w:pPr>
            <w:r w:rsidRPr="003257BD">
              <w:rPr>
                <w:rFonts w:cs="Arial"/>
                <w:i/>
                <w:color w:val="808080"/>
                <w:sz w:val="18"/>
                <w:szCs w:val="18"/>
              </w:rPr>
              <w:t>(this box should expand as you type)</w:t>
            </w:r>
          </w:p>
        </w:tc>
      </w:tr>
      <w:tr w:rsidR="00F0319C" w:rsidRPr="004C3A0B" w14:paraId="2B600328" w14:textId="77777777" w:rsidTr="000E4C5B">
        <w:tc>
          <w:tcPr>
            <w:tcW w:w="596" w:type="dxa"/>
            <w:tcBorders>
              <w:top w:val="single" w:sz="4" w:space="0" w:color="auto"/>
              <w:bottom w:val="single" w:sz="4" w:space="0" w:color="auto"/>
            </w:tcBorders>
            <w:shd w:val="clear" w:color="auto" w:fill="F2F2F2" w:themeFill="background1" w:themeFillShade="F2"/>
          </w:tcPr>
          <w:p w14:paraId="6B4252CD" w14:textId="77777777" w:rsidR="00F0319C" w:rsidRPr="002132F9" w:rsidRDefault="00F0319C" w:rsidP="000E4C5B">
            <w:pPr>
              <w:rPr>
                <w:rFonts w:cs="Arial"/>
                <w:bCs/>
                <w:sz w:val="22"/>
              </w:rPr>
            </w:pPr>
            <w:r w:rsidRPr="002132F9">
              <w:rPr>
                <w:rFonts w:cs="Arial"/>
                <w:bCs/>
                <w:sz w:val="22"/>
              </w:rPr>
              <w:t>2</w:t>
            </w:r>
          </w:p>
        </w:tc>
        <w:tc>
          <w:tcPr>
            <w:tcW w:w="9923" w:type="dxa"/>
            <w:tcBorders>
              <w:top w:val="single" w:sz="4" w:space="0" w:color="auto"/>
              <w:bottom w:val="single" w:sz="4" w:space="0" w:color="auto"/>
            </w:tcBorders>
            <w:shd w:val="clear" w:color="auto" w:fill="F2F2F2" w:themeFill="background1" w:themeFillShade="F2"/>
          </w:tcPr>
          <w:p w14:paraId="6A6F678C" w14:textId="77777777" w:rsidR="00F0319C" w:rsidRPr="004C3A0B" w:rsidRDefault="00F0319C" w:rsidP="000E4C5B">
            <w:pPr>
              <w:rPr>
                <w:rFonts w:cs="Arial"/>
                <w:sz w:val="22"/>
              </w:rPr>
            </w:pPr>
            <w:r w:rsidRPr="004C3A0B">
              <w:rPr>
                <w:rFonts w:cs="Arial"/>
                <w:b/>
                <w:sz w:val="22"/>
              </w:rPr>
              <w:t>Informed consent</w:t>
            </w:r>
          </w:p>
          <w:p w14:paraId="4EE46769" w14:textId="77777777" w:rsidR="00F0319C" w:rsidRPr="004C3A0B" w:rsidRDefault="00F0319C" w:rsidP="000E4C5B">
            <w:pPr>
              <w:autoSpaceDE w:val="0"/>
              <w:autoSpaceDN w:val="0"/>
              <w:adjustRightInd w:val="0"/>
              <w:rPr>
                <w:rFonts w:cs="Arial"/>
                <w:sz w:val="22"/>
                <w:lang w:eastAsia="en-GB"/>
              </w:rPr>
            </w:pPr>
            <w:r w:rsidRPr="004C3A0B">
              <w:rPr>
                <w:rFonts w:cs="Arial"/>
                <w:sz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cs="Arial"/>
                <w:sz w:val="22"/>
                <w:lang w:eastAsia="en-GB"/>
              </w:rPr>
              <w:lastRenderedPageBreak/>
              <w:t>data collection begins. If gaining consent in this way is inappropriate, explain how consent will be obtained and recorded</w:t>
            </w:r>
            <w:r>
              <w:rPr>
                <w:rFonts w:cs="Arial"/>
                <w:sz w:val="22"/>
                <w:lang w:eastAsia="en-GB"/>
              </w:rPr>
              <w:t xml:space="preserve"> in accordance with prevailing data protection legislation.</w:t>
            </w:r>
          </w:p>
        </w:tc>
      </w:tr>
      <w:tr w:rsidR="00F0319C" w:rsidRPr="004C3A0B" w14:paraId="60D66275" w14:textId="77777777" w:rsidTr="000E4C5B">
        <w:tc>
          <w:tcPr>
            <w:tcW w:w="596" w:type="dxa"/>
            <w:tcBorders>
              <w:top w:val="single" w:sz="4" w:space="0" w:color="auto"/>
              <w:bottom w:val="single" w:sz="4" w:space="0" w:color="auto"/>
            </w:tcBorders>
          </w:tcPr>
          <w:p w14:paraId="1D65F178" w14:textId="77777777" w:rsidR="00F0319C" w:rsidRPr="00E32138" w:rsidRDefault="00F0319C" w:rsidP="000E4C5B">
            <w:pPr>
              <w:rPr>
                <w:rFonts w:cs="Arial"/>
                <w:bCs/>
                <w:sz w:val="22"/>
              </w:rPr>
            </w:pPr>
          </w:p>
        </w:tc>
        <w:tc>
          <w:tcPr>
            <w:tcW w:w="9923" w:type="dxa"/>
            <w:tcBorders>
              <w:top w:val="single" w:sz="4" w:space="0" w:color="auto"/>
              <w:bottom w:val="single" w:sz="4" w:space="0" w:color="auto"/>
            </w:tcBorders>
          </w:tcPr>
          <w:p w14:paraId="6AED5D8F" w14:textId="77777777" w:rsidR="00F0319C" w:rsidRDefault="00F0319C" w:rsidP="000E4C5B">
            <w:pPr>
              <w:rPr>
                <w:rFonts w:cs="Arial"/>
                <w:sz w:val="22"/>
              </w:rPr>
            </w:pPr>
          </w:p>
          <w:p w14:paraId="2F2B3667" w14:textId="77777777" w:rsidR="00F0319C" w:rsidRPr="004C3A0B" w:rsidRDefault="00F0319C" w:rsidP="000E4C5B">
            <w:pPr>
              <w:rPr>
                <w:rFonts w:cs="Arial"/>
                <w:sz w:val="22"/>
              </w:rPr>
            </w:pPr>
            <w:r w:rsidRPr="000F40F3">
              <w:rPr>
                <w:rFonts w:cs="Arial"/>
                <w:sz w:val="22"/>
              </w:rPr>
              <w:t>N/A Secondary Research</w:t>
            </w:r>
          </w:p>
          <w:p w14:paraId="27D2E636" w14:textId="77777777" w:rsidR="00F0319C" w:rsidRPr="004C3A0B" w:rsidRDefault="00F0319C" w:rsidP="000E4C5B">
            <w:pPr>
              <w:autoSpaceDE w:val="0"/>
              <w:autoSpaceDN w:val="0"/>
              <w:adjustRightInd w:val="0"/>
              <w:rPr>
                <w:rFonts w:cs="Arial"/>
              </w:rPr>
            </w:pPr>
            <w:r w:rsidRPr="003257BD">
              <w:rPr>
                <w:rFonts w:cs="Arial"/>
                <w:i/>
                <w:color w:val="808080"/>
                <w:sz w:val="18"/>
                <w:szCs w:val="18"/>
              </w:rPr>
              <w:t>(this box should expand as you type)</w:t>
            </w:r>
          </w:p>
        </w:tc>
      </w:tr>
      <w:tr w:rsidR="00F0319C" w:rsidRPr="004C3A0B" w14:paraId="18B4DC6B" w14:textId="77777777" w:rsidTr="000E4C5B">
        <w:tc>
          <w:tcPr>
            <w:tcW w:w="596" w:type="dxa"/>
            <w:tcBorders>
              <w:top w:val="single" w:sz="4" w:space="0" w:color="auto"/>
              <w:bottom w:val="single" w:sz="4" w:space="0" w:color="auto"/>
            </w:tcBorders>
            <w:shd w:val="clear" w:color="auto" w:fill="F2F2F2" w:themeFill="background1" w:themeFillShade="F2"/>
          </w:tcPr>
          <w:p w14:paraId="1B8C0F3A" w14:textId="77777777" w:rsidR="00F0319C" w:rsidRPr="002132F9" w:rsidRDefault="00F0319C" w:rsidP="000E4C5B">
            <w:pPr>
              <w:rPr>
                <w:rFonts w:cs="Arial"/>
                <w:bCs/>
                <w:sz w:val="22"/>
              </w:rPr>
            </w:pPr>
            <w:r>
              <w:rPr>
                <w:rFonts w:cs="Arial"/>
                <w:bCs/>
                <w:sz w:val="22"/>
              </w:rPr>
              <w:t>3</w:t>
            </w:r>
          </w:p>
        </w:tc>
        <w:tc>
          <w:tcPr>
            <w:tcW w:w="9923" w:type="dxa"/>
            <w:tcBorders>
              <w:top w:val="single" w:sz="4" w:space="0" w:color="auto"/>
              <w:bottom w:val="single" w:sz="4" w:space="0" w:color="auto"/>
            </w:tcBorders>
            <w:shd w:val="clear" w:color="auto" w:fill="F2F2F2" w:themeFill="background1" w:themeFillShade="F2"/>
          </w:tcPr>
          <w:p w14:paraId="6730ED0C" w14:textId="77777777" w:rsidR="00F0319C" w:rsidRPr="004C3A0B" w:rsidRDefault="00F0319C" w:rsidP="000E4C5B">
            <w:pPr>
              <w:rPr>
                <w:rFonts w:cs="Arial"/>
                <w:b/>
                <w:sz w:val="22"/>
              </w:rPr>
            </w:pPr>
            <w:r w:rsidRPr="004C3A0B">
              <w:rPr>
                <w:rFonts w:cs="Arial"/>
                <w:b/>
                <w:sz w:val="22"/>
              </w:rPr>
              <w:t>Confidentiality / Anonymity</w:t>
            </w:r>
          </w:p>
          <w:p w14:paraId="5B02E26A" w14:textId="77777777" w:rsidR="00F0319C" w:rsidRPr="004C3A0B" w:rsidRDefault="00F0319C" w:rsidP="000E4C5B">
            <w:pPr>
              <w:rPr>
                <w:rFonts w:cs="Arial"/>
                <w:sz w:val="22"/>
              </w:rPr>
            </w:pPr>
            <w:r w:rsidRPr="004C3A0B">
              <w:rPr>
                <w:rFonts w:cs="Arial"/>
                <w:sz w:val="22"/>
              </w:rPr>
              <w:t xml:space="preserve">Set out how anonymity of participants and confidentiality will be ensured in any outputs. If anonymity is not being offered, explain why this is the case. </w:t>
            </w:r>
          </w:p>
        </w:tc>
      </w:tr>
      <w:tr w:rsidR="00F0319C" w:rsidRPr="004C3A0B" w14:paraId="441073AB" w14:textId="77777777" w:rsidTr="000E4C5B">
        <w:tc>
          <w:tcPr>
            <w:tcW w:w="596" w:type="dxa"/>
            <w:tcBorders>
              <w:top w:val="single" w:sz="4" w:space="0" w:color="auto"/>
              <w:bottom w:val="single" w:sz="4" w:space="0" w:color="auto"/>
            </w:tcBorders>
          </w:tcPr>
          <w:p w14:paraId="6D78BB87" w14:textId="77777777" w:rsidR="00F0319C" w:rsidRPr="00E32138" w:rsidRDefault="00F0319C" w:rsidP="000E4C5B">
            <w:pPr>
              <w:rPr>
                <w:rFonts w:cs="Arial"/>
                <w:bCs/>
                <w:sz w:val="22"/>
              </w:rPr>
            </w:pPr>
          </w:p>
        </w:tc>
        <w:tc>
          <w:tcPr>
            <w:tcW w:w="9923" w:type="dxa"/>
            <w:tcBorders>
              <w:top w:val="single" w:sz="4" w:space="0" w:color="auto"/>
              <w:bottom w:val="single" w:sz="4" w:space="0" w:color="auto"/>
            </w:tcBorders>
          </w:tcPr>
          <w:p w14:paraId="4BBF0EE5" w14:textId="77777777" w:rsidR="00F0319C" w:rsidRDefault="00F0319C" w:rsidP="000E4C5B">
            <w:pPr>
              <w:rPr>
                <w:rFonts w:cs="Arial"/>
                <w:sz w:val="22"/>
              </w:rPr>
            </w:pPr>
          </w:p>
          <w:p w14:paraId="7BAB53E9" w14:textId="77777777" w:rsidR="00F0319C" w:rsidRPr="004C3A0B" w:rsidRDefault="00F0319C" w:rsidP="000E4C5B">
            <w:pPr>
              <w:rPr>
                <w:rFonts w:cs="Arial"/>
                <w:sz w:val="22"/>
              </w:rPr>
            </w:pPr>
            <w:r w:rsidRPr="000F40F3">
              <w:rPr>
                <w:rFonts w:cs="Arial"/>
                <w:sz w:val="22"/>
              </w:rPr>
              <w:t>N/A Secondary Research</w:t>
            </w:r>
          </w:p>
          <w:p w14:paraId="76BF00FC" w14:textId="77777777" w:rsidR="00F0319C" w:rsidRDefault="00F0319C" w:rsidP="000E4C5B">
            <w:pPr>
              <w:autoSpaceDE w:val="0"/>
              <w:autoSpaceDN w:val="0"/>
              <w:adjustRightInd w:val="0"/>
              <w:rPr>
                <w:rFonts w:cs="Arial"/>
                <w:i/>
                <w:color w:val="808080"/>
                <w:sz w:val="18"/>
                <w:szCs w:val="18"/>
              </w:rPr>
            </w:pPr>
          </w:p>
          <w:p w14:paraId="1895C0C1" w14:textId="77777777" w:rsidR="00F0319C" w:rsidRPr="004C3A0B" w:rsidRDefault="00F0319C" w:rsidP="000E4C5B">
            <w:pPr>
              <w:autoSpaceDE w:val="0"/>
              <w:autoSpaceDN w:val="0"/>
              <w:adjustRightInd w:val="0"/>
              <w:rPr>
                <w:rFonts w:cs="Arial"/>
              </w:rPr>
            </w:pPr>
            <w:r w:rsidRPr="003257BD">
              <w:rPr>
                <w:rFonts w:cs="Arial"/>
                <w:i/>
                <w:color w:val="808080"/>
                <w:sz w:val="18"/>
                <w:szCs w:val="18"/>
              </w:rPr>
              <w:t>(this box should expand as you type)</w:t>
            </w:r>
          </w:p>
        </w:tc>
      </w:tr>
    </w:tbl>
    <w:p w14:paraId="463252DE" w14:textId="77777777" w:rsidR="00F0319C" w:rsidRPr="004C3A0B" w:rsidRDefault="00F0319C" w:rsidP="00F0319C">
      <w:pPr>
        <w:rPr>
          <w:rFonts w:cs="Arial"/>
          <w:sz w:val="22"/>
        </w:rPr>
      </w:pPr>
    </w:p>
    <w:p w14:paraId="13A1F022" w14:textId="77777777" w:rsidR="00F0319C" w:rsidRDefault="00F0319C" w:rsidP="00F0319C">
      <w:pPr>
        <w:rPr>
          <w:rFonts w:cs="Arial"/>
          <w:b/>
          <w:sz w:val="22"/>
        </w:rPr>
      </w:pPr>
      <w:r>
        <w:rPr>
          <w:rFonts w:cs="Arial"/>
          <w:b/>
          <w:sz w:val="22"/>
        </w:rPr>
        <w:t>SECTION H</w:t>
      </w:r>
      <w:r w:rsidRPr="00354F34">
        <w:rPr>
          <w:rFonts w:cs="Arial"/>
          <w:b/>
          <w:sz w:val="22"/>
        </w:rPr>
        <w:t>: Data Protection and Storage</w:t>
      </w:r>
    </w:p>
    <w:p w14:paraId="468607E4" w14:textId="77777777" w:rsidR="00F0319C" w:rsidRPr="00354F34" w:rsidRDefault="00F0319C" w:rsidP="00F0319C">
      <w:pPr>
        <w:rPr>
          <w:rFonts w:cs="Arial"/>
          <w:b/>
          <w:sz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0319C" w14:paraId="12BDE7C0" w14:textId="77777777" w:rsidTr="000E4C5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EE990DE" w14:textId="77777777" w:rsidR="00F0319C" w:rsidRDefault="00F0319C" w:rsidP="000E4C5B">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16762BA" w14:textId="77777777" w:rsidR="00F0319C" w:rsidRDefault="00F0319C" w:rsidP="000E4C5B">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433762" w14:textId="77777777" w:rsidR="00F0319C" w:rsidRDefault="00F0319C" w:rsidP="000E4C5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B0A530" w14:textId="77777777" w:rsidR="00F0319C" w:rsidRDefault="00F0319C" w:rsidP="000E4C5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0319C" w14:paraId="3018B34D" w14:textId="77777777" w:rsidTr="000E4C5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A7064E7" w14:textId="77777777" w:rsidR="00F0319C" w:rsidRPr="00CF6CA5" w:rsidRDefault="00F0319C" w:rsidP="000E4C5B">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4DBB594" w14:textId="77777777" w:rsidR="00F0319C" w:rsidRDefault="00F0319C" w:rsidP="000E4C5B">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D1C96D" w14:textId="77777777" w:rsidR="00F0319C" w:rsidRDefault="00F0319C" w:rsidP="000E4C5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A29528F" w14:textId="77777777" w:rsidR="00F0319C" w:rsidRDefault="00F0319C" w:rsidP="000E4C5B">
            <w:pPr>
              <w:pStyle w:val="NormalWeb"/>
              <w:autoSpaceDE w:val="0"/>
              <w:autoSpaceDN w:val="0"/>
              <w:adjustRightInd w:val="0"/>
              <w:jc w:val="center"/>
              <w:rPr>
                <w:rFonts w:ascii="MS Gothic" w:eastAsia="MS Gothic" w:hAnsi="MS Gothic" w:cs="Arial"/>
                <w:b/>
                <w:bCs/>
                <w:sz w:val="22"/>
                <w:szCs w:val="22"/>
                <w:lang w:val="en-US"/>
              </w:rPr>
            </w:pPr>
          </w:p>
          <w:sdt>
            <w:sdtPr>
              <w:rPr>
                <w:rFonts w:cs="Arial"/>
                <w:b/>
                <w:bCs/>
                <w:sz w:val="22"/>
              </w:rPr>
              <w:id w:val="1812217720"/>
              <w14:checkbox>
                <w14:checked w14:val="1"/>
                <w14:checkedState w14:val="2612" w14:font="MS Gothic"/>
                <w14:uncheckedState w14:val="2610" w14:font="MS Gothic"/>
              </w14:checkbox>
            </w:sdtPr>
            <w:sdtEndPr/>
            <w:sdtContent>
              <w:p w14:paraId="3E510A5F" w14:textId="77777777" w:rsidR="00F0319C" w:rsidRDefault="00F0319C" w:rsidP="000E4C5B">
                <w:pPr>
                  <w:autoSpaceDE w:val="0"/>
                  <w:autoSpaceDN w:val="0"/>
                  <w:adjustRightInd w:val="0"/>
                  <w:jc w:val="center"/>
                  <w:rPr>
                    <w:rFonts w:cs="Arial"/>
                    <w:b/>
                    <w:bCs/>
                    <w:sz w:val="22"/>
                  </w:rPr>
                </w:pPr>
                <w:r>
                  <w:rPr>
                    <w:rFonts w:ascii="MS Gothic" w:eastAsia="MS Gothic" w:hAnsi="MS Gothic" w:cs="Arial" w:hint="eastAsia"/>
                    <w:b/>
                    <w:bCs/>
                    <w:sz w:val="22"/>
                  </w:rPr>
                  <w:t>☒</w:t>
                </w:r>
              </w:p>
            </w:sdtContent>
          </w:sdt>
          <w:p w14:paraId="4607B0DC" w14:textId="77777777" w:rsidR="00F0319C" w:rsidRDefault="00F0319C" w:rsidP="000E4C5B">
            <w:pPr>
              <w:pStyle w:val="NormalWeb"/>
              <w:autoSpaceDE w:val="0"/>
              <w:autoSpaceDN w:val="0"/>
              <w:adjustRightInd w:val="0"/>
              <w:jc w:val="center"/>
              <w:rPr>
                <w:rFonts w:ascii="MS Gothic" w:eastAsia="MS Gothic" w:hAnsi="MS Gothic" w:cs="Arial"/>
                <w:b/>
                <w:bCs/>
                <w:sz w:val="22"/>
                <w:szCs w:val="22"/>
                <w:lang w:val="en-US"/>
              </w:rPr>
            </w:pPr>
          </w:p>
        </w:tc>
      </w:tr>
      <w:tr w:rsidR="00F0319C" w14:paraId="7939E546" w14:textId="77777777" w:rsidTr="000E4C5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A36079" w14:textId="77777777" w:rsidR="00F0319C" w:rsidRDefault="00F0319C" w:rsidP="000E4C5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B8D115" w14:textId="77777777" w:rsidR="00F0319C" w:rsidRDefault="00F0319C" w:rsidP="000E4C5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0319C" w14:paraId="3373897D" w14:textId="77777777" w:rsidTr="000E4C5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D1D95AE" w14:textId="77777777" w:rsidR="00F0319C" w:rsidRDefault="00F0319C" w:rsidP="000E4C5B">
            <w:pPr>
              <w:jc w:val="center"/>
              <w:rPr>
                <w:rFonts w:cs="Arial"/>
                <w:sz w:val="22"/>
              </w:rPr>
            </w:pPr>
            <w:r>
              <w:rPr>
                <w:rFonts w:cs="Arial"/>
                <w:sz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30419BD" w14:textId="77777777" w:rsidR="00F0319C" w:rsidRDefault="00F0319C" w:rsidP="000E4C5B">
            <w:pPr>
              <w:rPr>
                <w:rFonts w:cs="Arial"/>
                <w:color w:val="00B050"/>
                <w:sz w:val="22"/>
              </w:rPr>
            </w:pPr>
            <w:r w:rsidRPr="004033FC">
              <w:rPr>
                <w:rFonts w:cs="Arial"/>
                <w:color w:val="00B050"/>
                <w:sz w:val="22"/>
              </w:rPr>
              <w:t>This includes audio/video data of participants but can also include IP addresses and usernames. Names, addresses and emails also count</w:t>
            </w:r>
            <w:r>
              <w:rPr>
                <w:rFonts w:cs="Arial"/>
                <w:color w:val="00B050"/>
                <w:sz w:val="22"/>
              </w:rPr>
              <w:t>, as do consent forms.</w:t>
            </w:r>
          </w:p>
          <w:p w14:paraId="3F5C4638" w14:textId="77777777" w:rsidR="00F0319C" w:rsidRPr="00CD1408" w:rsidRDefault="00F0319C" w:rsidP="000E4C5B">
            <w:pPr>
              <w:rPr>
                <w:rFonts w:cs="Arial"/>
                <w:color w:val="00B050"/>
              </w:rPr>
            </w:pPr>
          </w:p>
          <w:p w14:paraId="51FEB506" w14:textId="77777777" w:rsidR="00F0319C" w:rsidRPr="00354F34" w:rsidRDefault="00F0319C" w:rsidP="000E4C5B">
            <w:pPr>
              <w:autoSpaceDE w:val="0"/>
              <w:autoSpaceDN w:val="0"/>
              <w:adjustRightInd w:val="0"/>
              <w:rPr>
                <w:i/>
              </w:rPr>
            </w:pPr>
            <w:r w:rsidRPr="003257BD">
              <w:rPr>
                <w:rFonts w:cs="Arial"/>
                <w:i/>
                <w:color w:val="808080"/>
                <w:sz w:val="18"/>
                <w:szCs w:val="18"/>
              </w:rPr>
              <w:t>(this box should expand as you type)</w:t>
            </w:r>
          </w:p>
        </w:tc>
      </w:tr>
      <w:tr w:rsidR="00F0319C" w14:paraId="1A206ED8" w14:textId="77777777" w:rsidTr="000E4C5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26E3FDF" w14:textId="77777777" w:rsidR="00F0319C" w:rsidRDefault="00F0319C" w:rsidP="000E4C5B">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A954873" w14:textId="77777777" w:rsidR="00F0319C" w:rsidRPr="00947984" w:rsidRDefault="00F0319C" w:rsidP="000E4C5B">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090FC3" w14:textId="77777777" w:rsidR="00F0319C" w:rsidRDefault="00F0319C" w:rsidP="000E4C5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AE7738" w14:textId="77777777" w:rsidR="00F0319C" w:rsidRDefault="00F0319C" w:rsidP="000E4C5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0319C" w14:paraId="66CE9027" w14:textId="77777777" w:rsidTr="000E4C5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492397" w14:textId="77777777" w:rsidR="00F0319C" w:rsidRPr="00CF6CA5" w:rsidRDefault="00F0319C" w:rsidP="000E4C5B">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E750DE" w14:textId="77777777" w:rsidR="00F0319C" w:rsidRDefault="00F0319C" w:rsidP="000E4C5B">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616158A" w14:textId="77777777" w:rsidR="00F0319C" w:rsidRDefault="00F0319C" w:rsidP="000E4C5B">
            <w:pPr>
              <w:pStyle w:val="NormalWeb"/>
              <w:spacing w:before="0" w:beforeAutospacing="0" w:after="0" w:afterAutospacing="0"/>
              <w:ind w:left="1134" w:right="567"/>
            </w:pPr>
            <w:r>
              <w:rPr>
                <w:rFonts w:ascii="Arial" w:hAnsi="Arial" w:cs="Arial"/>
                <w:i/>
                <w:iCs/>
                <w:color w:val="000000"/>
                <w:sz w:val="20"/>
                <w:szCs w:val="23"/>
              </w:rPr>
              <w:t>(a) racial or ethnic origin,</w:t>
            </w:r>
          </w:p>
          <w:p w14:paraId="18450E26" w14:textId="77777777" w:rsidR="00F0319C" w:rsidRDefault="00F0319C" w:rsidP="000E4C5B">
            <w:pPr>
              <w:pStyle w:val="NormalWeb"/>
              <w:spacing w:before="0" w:beforeAutospacing="0" w:after="0" w:afterAutospacing="0"/>
              <w:ind w:left="1134" w:right="567"/>
            </w:pPr>
            <w:r>
              <w:rPr>
                <w:rFonts w:ascii="Arial" w:hAnsi="Arial" w:cs="Arial"/>
                <w:i/>
                <w:iCs/>
                <w:color w:val="000000"/>
                <w:sz w:val="20"/>
                <w:szCs w:val="23"/>
              </w:rPr>
              <w:t>(b) political opinions,</w:t>
            </w:r>
          </w:p>
          <w:p w14:paraId="2C3C986E" w14:textId="77777777" w:rsidR="00F0319C" w:rsidRDefault="00F0319C" w:rsidP="000E4C5B">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2BB07886" w14:textId="77777777" w:rsidR="00F0319C" w:rsidRDefault="00F0319C" w:rsidP="000E4C5B">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C0C67E0" w14:textId="77777777" w:rsidR="00F0319C" w:rsidRDefault="00F0319C" w:rsidP="000E4C5B">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2F9C2E1" w14:textId="77777777" w:rsidR="00F0319C" w:rsidRDefault="00F0319C" w:rsidP="000E4C5B">
            <w:pPr>
              <w:pStyle w:val="NormalWeb"/>
              <w:spacing w:before="0" w:beforeAutospacing="0" w:after="0" w:afterAutospacing="0"/>
              <w:ind w:left="1134" w:right="567"/>
            </w:pPr>
            <w:r>
              <w:rPr>
                <w:rFonts w:ascii="Arial" w:hAnsi="Arial" w:cs="Arial"/>
                <w:i/>
                <w:iCs/>
                <w:color w:val="000000"/>
                <w:sz w:val="20"/>
                <w:szCs w:val="23"/>
              </w:rPr>
              <w:t>(f) sexual life,</w:t>
            </w:r>
          </w:p>
          <w:p w14:paraId="72B62F04" w14:textId="77777777" w:rsidR="00F0319C" w:rsidRDefault="00F0319C" w:rsidP="000E4C5B">
            <w:pPr>
              <w:pStyle w:val="NormalWeb"/>
              <w:spacing w:before="0" w:beforeAutospacing="0" w:after="0" w:afterAutospacing="0"/>
              <w:ind w:left="1134" w:right="567"/>
            </w:pPr>
            <w:r>
              <w:rPr>
                <w:rFonts w:ascii="Arial" w:hAnsi="Arial" w:cs="Arial"/>
                <w:i/>
                <w:iCs/>
                <w:color w:val="000000"/>
                <w:sz w:val="20"/>
                <w:szCs w:val="23"/>
              </w:rPr>
              <w:t>(g) genetics,</w:t>
            </w:r>
          </w:p>
          <w:p w14:paraId="5236A144" w14:textId="77777777" w:rsidR="00F0319C" w:rsidRPr="00354F34" w:rsidRDefault="00F0319C" w:rsidP="000E4C5B">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D58E70" w14:textId="77777777" w:rsidR="00F0319C" w:rsidRDefault="00F0319C" w:rsidP="000E4C5B">
            <w:pPr>
              <w:pStyle w:val="NormalWeb"/>
              <w:autoSpaceDE w:val="0"/>
              <w:autoSpaceDN w:val="0"/>
              <w:adjustRightInd w:val="0"/>
              <w:jc w:val="center"/>
              <w:rPr>
                <w:rFonts w:ascii="MS Gothic" w:eastAsia="MS Gothic" w:hAnsi="MS Gothic" w:cs="Arial"/>
                <w:b/>
                <w:bCs/>
                <w:sz w:val="22"/>
                <w:szCs w:val="22"/>
                <w:lang w:val="en-US"/>
              </w:rPr>
            </w:pPr>
          </w:p>
          <w:p w14:paraId="5FC62545" w14:textId="77777777" w:rsidR="00F0319C" w:rsidRDefault="00F0319C" w:rsidP="000E4C5B">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F90A5F3" w14:textId="77777777" w:rsidR="00F0319C" w:rsidRDefault="00F0319C" w:rsidP="000E4C5B">
            <w:pPr>
              <w:pStyle w:val="NormalWeb"/>
              <w:autoSpaceDE w:val="0"/>
              <w:autoSpaceDN w:val="0"/>
              <w:adjustRightInd w:val="0"/>
              <w:rPr>
                <w:rFonts w:ascii="MS Gothic" w:eastAsia="MS Gothic" w:hAnsi="MS Gothic" w:cs="Arial"/>
                <w:b/>
                <w:bCs/>
                <w:sz w:val="22"/>
                <w:szCs w:val="22"/>
                <w:lang w:val="en-US"/>
              </w:rPr>
            </w:pPr>
          </w:p>
          <w:sdt>
            <w:sdtPr>
              <w:rPr>
                <w:rFonts w:cs="Arial"/>
                <w:b/>
                <w:bCs/>
                <w:sz w:val="22"/>
              </w:rPr>
              <w:id w:val="703751502"/>
              <w14:checkbox>
                <w14:checked w14:val="1"/>
                <w14:checkedState w14:val="2612" w14:font="MS Gothic"/>
                <w14:uncheckedState w14:val="2610" w14:font="MS Gothic"/>
              </w14:checkbox>
            </w:sdtPr>
            <w:sdtEndPr/>
            <w:sdtContent>
              <w:p w14:paraId="7B3B4BF7" w14:textId="77777777" w:rsidR="00F0319C" w:rsidRDefault="00F0319C" w:rsidP="000E4C5B">
                <w:pPr>
                  <w:autoSpaceDE w:val="0"/>
                  <w:autoSpaceDN w:val="0"/>
                  <w:adjustRightInd w:val="0"/>
                  <w:jc w:val="center"/>
                  <w:rPr>
                    <w:rFonts w:cs="Arial"/>
                    <w:b/>
                    <w:bCs/>
                    <w:sz w:val="22"/>
                  </w:rPr>
                </w:pPr>
                <w:r>
                  <w:rPr>
                    <w:rFonts w:ascii="MS Gothic" w:eastAsia="MS Gothic" w:hAnsi="MS Gothic" w:cs="Arial" w:hint="eastAsia"/>
                    <w:b/>
                    <w:bCs/>
                    <w:sz w:val="22"/>
                  </w:rPr>
                  <w:t>☒</w:t>
                </w:r>
              </w:p>
            </w:sdtContent>
          </w:sdt>
          <w:p w14:paraId="2CDE4A21" w14:textId="77777777" w:rsidR="00F0319C" w:rsidRDefault="00F0319C" w:rsidP="000E4C5B">
            <w:pPr>
              <w:pStyle w:val="NormalWeb"/>
              <w:autoSpaceDE w:val="0"/>
              <w:autoSpaceDN w:val="0"/>
              <w:adjustRightInd w:val="0"/>
              <w:jc w:val="center"/>
            </w:pPr>
          </w:p>
        </w:tc>
      </w:tr>
      <w:tr w:rsidR="00F0319C" w14:paraId="6BB43071" w14:textId="77777777" w:rsidTr="000E4C5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7D22E7" w14:textId="77777777" w:rsidR="00F0319C" w:rsidRDefault="00F0319C" w:rsidP="000E4C5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B0BF9F" w14:textId="77777777" w:rsidR="00F0319C" w:rsidRDefault="00F0319C" w:rsidP="000E4C5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0319C" w14:paraId="354DB03E" w14:textId="77777777" w:rsidTr="000E4C5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AB35EA7" w14:textId="77777777" w:rsidR="00F0319C" w:rsidRDefault="00F0319C" w:rsidP="000E4C5B">
            <w:pPr>
              <w:jc w:val="center"/>
              <w:rPr>
                <w:rFonts w:cs="Arial"/>
                <w:sz w:val="22"/>
              </w:rPr>
            </w:pPr>
            <w:r>
              <w:rPr>
                <w:rFonts w:cs="Arial"/>
                <w:sz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E431365" w14:textId="77777777" w:rsidR="00F0319C" w:rsidRPr="004033FC" w:rsidRDefault="00F0319C" w:rsidP="000E4C5B">
            <w:pPr>
              <w:rPr>
                <w:rFonts w:cs="Arial"/>
                <w:color w:val="00B050"/>
              </w:rPr>
            </w:pPr>
            <w:r w:rsidRPr="004033FC">
              <w:rPr>
                <w:rFonts w:cs="Arial"/>
                <w:color w:val="00B050"/>
                <w:sz w:val="22"/>
              </w:rPr>
              <w:t>What counts as ‘sensitive’ will differ between cultures. Any information on behaviour that is not in accordance with cultural norms would count as sensitive personal data.</w:t>
            </w:r>
          </w:p>
          <w:p w14:paraId="7E4BE4BA" w14:textId="77777777" w:rsidR="00F0319C" w:rsidRDefault="00F0319C" w:rsidP="000E4C5B">
            <w:pPr>
              <w:rPr>
                <w:rFonts w:cs="Arial"/>
                <w:sz w:val="22"/>
              </w:rPr>
            </w:pPr>
          </w:p>
          <w:p w14:paraId="4092A802" w14:textId="77777777" w:rsidR="00F0319C" w:rsidRPr="004C3A0B" w:rsidRDefault="00F0319C" w:rsidP="000E4C5B">
            <w:pPr>
              <w:rPr>
                <w:rFonts w:cs="Arial"/>
                <w:sz w:val="22"/>
              </w:rPr>
            </w:pPr>
          </w:p>
          <w:p w14:paraId="5544390E" w14:textId="77777777" w:rsidR="00F0319C" w:rsidRDefault="00F0319C" w:rsidP="000E4C5B">
            <w:pPr>
              <w:autoSpaceDE w:val="0"/>
              <w:autoSpaceDN w:val="0"/>
              <w:adjustRightInd w:val="0"/>
            </w:pPr>
            <w:r w:rsidRPr="003257BD">
              <w:rPr>
                <w:rFonts w:cs="Arial"/>
                <w:i/>
                <w:color w:val="808080"/>
                <w:sz w:val="18"/>
                <w:szCs w:val="18"/>
              </w:rPr>
              <w:t>(this box should expand as you type)</w:t>
            </w:r>
          </w:p>
        </w:tc>
      </w:tr>
    </w:tbl>
    <w:p w14:paraId="006F126B" w14:textId="77777777" w:rsidR="00F0319C" w:rsidRDefault="00F0319C" w:rsidP="00F0319C"/>
    <w:tbl>
      <w:tblPr>
        <w:tblStyle w:val="TableGrid"/>
        <w:tblW w:w="10485" w:type="dxa"/>
        <w:tblLook w:val="04A0" w:firstRow="1" w:lastRow="0" w:firstColumn="1" w:lastColumn="0" w:noHBand="0" w:noVBand="1"/>
      </w:tblPr>
      <w:tblGrid>
        <w:gridCol w:w="562"/>
        <w:gridCol w:w="7905"/>
        <w:gridCol w:w="992"/>
        <w:gridCol w:w="1026"/>
      </w:tblGrid>
      <w:tr w:rsidR="00F0319C" w:rsidRPr="004C3A0B" w14:paraId="591178C0" w14:textId="77777777" w:rsidTr="000E4C5B">
        <w:trPr>
          <w:trHeight w:val="439"/>
        </w:trPr>
        <w:tc>
          <w:tcPr>
            <w:tcW w:w="562" w:type="dxa"/>
            <w:shd w:val="clear" w:color="auto" w:fill="F2F2F2" w:themeFill="background1" w:themeFillShade="F2"/>
            <w:vAlign w:val="center"/>
          </w:tcPr>
          <w:p w14:paraId="402248D2" w14:textId="77777777" w:rsidR="00F0319C" w:rsidRPr="002132F9" w:rsidRDefault="00F0319C" w:rsidP="000E4C5B">
            <w:pPr>
              <w:autoSpaceDE w:val="0"/>
              <w:autoSpaceDN w:val="0"/>
              <w:adjustRightInd w:val="0"/>
              <w:jc w:val="center"/>
              <w:rPr>
                <w:rFonts w:cs="Arial"/>
                <w:sz w:val="22"/>
                <w:szCs w:val="22"/>
              </w:rPr>
            </w:pPr>
          </w:p>
        </w:tc>
        <w:tc>
          <w:tcPr>
            <w:tcW w:w="7905" w:type="dxa"/>
            <w:shd w:val="clear" w:color="auto" w:fill="F2F2F2" w:themeFill="background1" w:themeFillShade="F2"/>
          </w:tcPr>
          <w:p w14:paraId="7E5071BC" w14:textId="77777777" w:rsidR="00F0319C" w:rsidRPr="009563B2" w:rsidRDefault="00F0319C" w:rsidP="000E4C5B">
            <w:pPr>
              <w:autoSpaceDE w:val="0"/>
              <w:autoSpaceDN w:val="0"/>
              <w:adjustRightInd w:val="0"/>
              <w:rPr>
                <w:rFonts w:cs="Arial"/>
                <w:b/>
                <w:bCs/>
                <w:sz w:val="22"/>
                <w:szCs w:val="22"/>
              </w:rPr>
            </w:pPr>
            <w:r w:rsidRPr="009563B2">
              <w:rPr>
                <w:b/>
              </w:rPr>
              <w:br w:type="page"/>
            </w:r>
            <w:r>
              <w:rPr>
                <w:rFonts w:cs="Arial"/>
                <w:b/>
                <w:sz w:val="22"/>
                <w:szCs w:val="22"/>
              </w:rPr>
              <w:t>W</w:t>
            </w:r>
            <w:r w:rsidRPr="009563B2">
              <w:rPr>
                <w:rFonts w:cs="Arial"/>
                <w:b/>
                <w:sz w:val="22"/>
                <w:szCs w:val="22"/>
              </w:rPr>
              <w:t>ill data f</w:t>
            </w:r>
            <w:r>
              <w:rPr>
                <w:rFonts w:cs="Arial"/>
                <w:b/>
                <w:sz w:val="22"/>
                <w:szCs w:val="22"/>
              </w:rPr>
              <w:t xml:space="preserve">rom the research activity (collected data, </w:t>
            </w:r>
            <w:r w:rsidRPr="009563B2">
              <w:rPr>
                <w:rFonts w:cs="Arial"/>
                <w:b/>
                <w:sz w:val="22"/>
                <w:szCs w:val="22"/>
              </w:rPr>
              <w:t>drafts of the thesis</w:t>
            </w:r>
            <w:r>
              <w:rPr>
                <w:rFonts w:cs="Arial"/>
                <w:b/>
                <w:sz w:val="22"/>
                <w:szCs w:val="22"/>
              </w:rPr>
              <w:t>,</w:t>
            </w:r>
            <w:r w:rsidRPr="009563B2">
              <w:rPr>
                <w:rFonts w:cs="Arial"/>
                <w:b/>
                <w:sz w:val="22"/>
                <w:szCs w:val="22"/>
              </w:rPr>
              <w:t xml:space="preserve"> or materials for publication) be stored</w:t>
            </w:r>
            <w:r>
              <w:rPr>
                <w:rFonts w:cs="Arial"/>
                <w:b/>
                <w:sz w:val="22"/>
                <w:szCs w:val="22"/>
              </w:rPr>
              <w:t xml:space="preserve"> in any of the following ways?</w:t>
            </w:r>
          </w:p>
        </w:tc>
        <w:tc>
          <w:tcPr>
            <w:tcW w:w="992" w:type="dxa"/>
            <w:shd w:val="clear" w:color="auto" w:fill="F2F2F2" w:themeFill="background1" w:themeFillShade="F2"/>
          </w:tcPr>
          <w:p w14:paraId="6F282F9B" w14:textId="77777777" w:rsidR="00F0319C" w:rsidRPr="004C3A0B" w:rsidRDefault="00F0319C" w:rsidP="000E4C5B">
            <w:pPr>
              <w:autoSpaceDE w:val="0"/>
              <w:autoSpaceDN w:val="0"/>
              <w:adjustRightInd w:val="0"/>
              <w:jc w:val="center"/>
              <w:rPr>
                <w:rFonts w:cs="Arial"/>
                <w:b/>
                <w:bCs/>
                <w:sz w:val="22"/>
                <w:szCs w:val="22"/>
              </w:rPr>
            </w:pPr>
            <w:r w:rsidRPr="004C3A0B">
              <w:rPr>
                <w:rFonts w:cs="Arial"/>
                <w:b/>
                <w:bCs/>
                <w:sz w:val="22"/>
                <w:szCs w:val="22"/>
              </w:rPr>
              <w:t>YES</w:t>
            </w:r>
          </w:p>
        </w:tc>
        <w:tc>
          <w:tcPr>
            <w:tcW w:w="1026" w:type="dxa"/>
            <w:shd w:val="clear" w:color="auto" w:fill="F2F2F2" w:themeFill="background1" w:themeFillShade="F2"/>
          </w:tcPr>
          <w:p w14:paraId="73B74651" w14:textId="77777777" w:rsidR="00F0319C" w:rsidRPr="004C3A0B" w:rsidRDefault="00F0319C" w:rsidP="000E4C5B">
            <w:pPr>
              <w:autoSpaceDE w:val="0"/>
              <w:autoSpaceDN w:val="0"/>
              <w:adjustRightInd w:val="0"/>
              <w:jc w:val="center"/>
              <w:rPr>
                <w:rFonts w:cs="Arial"/>
                <w:b/>
                <w:bCs/>
                <w:sz w:val="22"/>
                <w:szCs w:val="22"/>
              </w:rPr>
            </w:pPr>
            <w:r w:rsidRPr="004C3A0B">
              <w:rPr>
                <w:rFonts w:cs="Arial"/>
                <w:b/>
                <w:bCs/>
                <w:sz w:val="22"/>
                <w:szCs w:val="22"/>
              </w:rPr>
              <w:t>NO</w:t>
            </w:r>
          </w:p>
        </w:tc>
      </w:tr>
      <w:tr w:rsidR="00F0319C" w:rsidRPr="004C3A0B" w14:paraId="3802157D" w14:textId="77777777" w:rsidTr="000E4C5B">
        <w:trPr>
          <w:trHeight w:val="439"/>
        </w:trPr>
        <w:tc>
          <w:tcPr>
            <w:tcW w:w="562" w:type="dxa"/>
            <w:shd w:val="clear" w:color="auto" w:fill="F2F2F2" w:themeFill="background1" w:themeFillShade="F2"/>
            <w:vAlign w:val="center"/>
          </w:tcPr>
          <w:p w14:paraId="0E524A2D" w14:textId="77777777" w:rsidR="00F0319C" w:rsidRPr="00903B3C" w:rsidRDefault="00F0319C" w:rsidP="000E4C5B">
            <w:pPr>
              <w:autoSpaceDE w:val="0"/>
              <w:autoSpaceDN w:val="0"/>
              <w:adjustRightInd w:val="0"/>
              <w:jc w:val="center"/>
              <w:rPr>
                <w:rFonts w:cs="Arial"/>
                <w:sz w:val="22"/>
                <w:szCs w:val="22"/>
              </w:rPr>
            </w:pPr>
            <w:r>
              <w:rPr>
                <w:rFonts w:cs="Arial"/>
                <w:sz w:val="22"/>
                <w:szCs w:val="22"/>
              </w:rPr>
              <w:t>5</w:t>
            </w:r>
          </w:p>
        </w:tc>
        <w:tc>
          <w:tcPr>
            <w:tcW w:w="7905" w:type="dxa"/>
            <w:shd w:val="clear" w:color="auto" w:fill="F2F2F2" w:themeFill="background1" w:themeFillShade="F2"/>
            <w:vAlign w:val="center"/>
          </w:tcPr>
          <w:p w14:paraId="05F44D75"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Manual files (i.e. in paper form)?</w:t>
            </w:r>
          </w:p>
        </w:tc>
        <w:tc>
          <w:tcPr>
            <w:tcW w:w="992" w:type="dxa"/>
            <w:shd w:val="clear" w:color="auto" w:fill="BFBFBF" w:themeFill="background1" w:themeFillShade="BF"/>
          </w:tcPr>
          <w:sdt>
            <w:sdtPr>
              <w:rPr>
                <w:rFonts w:cs="Arial"/>
                <w:b/>
                <w:bCs/>
                <w:sz w:val="22"/>
              </w:rPr>
              <w:id w:val="-716891366"/>
              <w14:checkbox>
                <w14:checked w14:val="0"/>
                <w14:checkedState w14:val="2612" w14:font="MS Gothic"/>
                <w14:uncheckedState w14:val="2610" w14:font="MS Gothic"/>
              </w14:checkbox>
            </w:sdtPr>
            <w:sdtEndPr/>
            <w:sdtContent>
              <w:p w14:paraId="084C4252"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rPr>
              <w:id w:val="124512450"/>
              <w14:checkbox>
                <w14:checked w14:val="1"/>
                <w14:checkedState w14:val="2612" w14:font="MS Gothic"/>
                <w14:uncheckedState w14:val="2610" w14:font="MS Gothic"/>
              </w14:checkbox>
            </w:sdtPr>
            <w:sdtEndPr/>
            <w:sdtContent>
              <w:p w14:paraId="7098FBD5"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74910EAD" w14:textId="77777777" w:rsidTr="000E4C5B">
        <w:trPr>
          <w:trHeight w:val="403"/>
        </w:trPr>
        <w:tc>
          <w:tcPr>
            <w:tcW w:w="562" w:type="dxa"/>
            <w:shd w:val="clear" w:color="auto" w:fill="F2F2F2" w:themeFill="background1" w:themeFillShade="F2"/>
            <w:vAlign w:val="center"/>
          </w:tcPr>
          <w:p w14:paraId="42FF20AC" w14:textId="77777777" w:rsidR="00F0319C" w:rsidRPr="00903B3C" w:rsidRDefault="00F0319C" w:rsidP="000E4C5B">
            <w:pPr>
              <w:autoSpaceDE w:val="0"/>
              <w:autoSpaceDN w:val="0"/>
              <w:adjustRightInd w:val="0"/>
              <w:jc w:val="center"/>
              <w:rPr>
                <w:rFonts w:cs="Arial"/>
                <w:sz w:val="22"/>
                <w:szCs w:val="22"/>
              </w:rPr>
            </w:pPr>
            <w:r>
              <w:rPr>
                <w:rFonts w:cs="Arial"/>
                <w:sz w:val="22"/>
                <w:szCs w:val="22"/>
              </w:rPr>
              <w:t>6</w:t>
            </w:r>
          </w:p>
        </w:tc>
        <w:tc>
          <w:tcPr>
            <w:tcW w:w="7905" w:type="dxa"/>
            <w:shd w:val="clear" w:color="auto" w:fill="F2F2F2" w:themeFill="background1" w:themeFillShade="F2"/>
            <w:vAlign w:val="center"/>
          </w:tcPr>
          <w:p w14:paraId="50952C2B"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University computers?</w:t>
            </w:r>
          </w:p>
        </w:tc>
        <w:tc>
          <w:tcPr>
            <w:tcW w:w="992" w:type="dxa"/>
            <w:shd w:val="clear" w:color="auto" w:fill="BFBFBF" w:themeFill="background1" w:themeFillShade="BF"/>
          </w:tcPr>
          <w:sdt>
            <w:sdtPr>
              <w:rPr>
                <w:rFonts w:cs="Arial"/>
                <w:b/>
                <w:bCs/>
                <w:sz w:val="22"/>
              </w:rPr>
              <w:id w:val="-1058942064"/>
              <w14:checkbox>
                <w14:checked w14:val="0"/>
                <w14:checkedState w14:val="2612" w14:font="MS Gothic"/>
                <w14:uncheckedState w14:val="2610" w14:font="MS Gothic"/>
              </w14:checkbox>
            </w:sdtPr>
            <w:sdtEndPr/>
            <w:sdtContent>
              <w:p w14:paraId="05CC449E"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rPr>
              <w:id w:val="-1525707884"/>
              <w14:checkbox>
                <w14:checked w14:val="1"/>
                <w14:checkedState w14:val="2612" w14:font="MS Gothic"/>
                <w14:uncheckedState w14:val="2610" w14:font="MS Gothic"/>
              </w14:checkbox>
            </w:sdtPr>
            <w:sdtEndPr/>
            <w:sdtContent>
              <w:p w14:paraId="08711075"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4F4AD34E" w14:textId="77777777" w:rsidTr="000E4C5B">
        <w:trPr>
          <w:trHeight w:val="439"/>
        </w:trPr>
        <w:tc>
          <w:tcPr>
            <w:tcW w:w="562" w:type="dxa"/>
            <w:shd w:val="clear" w:color="auto" w:fill="F2F2F2" w:themeFill="background1" w:themeFillShade="F2"/>
            <w:vAlign w:val="center"/>
          </w:tcPr>
          <w:p w14:paraId="7BECE932" w14:textId="77777777" w:rsidR="00F0319C" w:rsidRPr="00903B3C" w:rsidRDefault="00F0319C" w:rsidP="000E4C5B">
            <w:pPr>
              <w:autoSpaceDE w:val="0"/>
              <w:autoSpaceDN w:val="0"/>
              <w:adjustRightInd w:val="0"/>
              <w:jc w:val="center"/>
              <w:rPr>
                <w:rFonts w:cs="Arial"/>
                <w:sz w:val="22"/>
                <w:szCs w:val="22"/>
              </w:rPr>
            </w:pPr>
            <w:r>
              <w:rPr>
                <w:rFonts w:cs="Arial"/>
                <w:sz w:val="22"/>
                <w:szCs w:val="22"/>
              </w:rPr>
              <w:t>7</w:t>
            </w:r>
          </w:p>
        </w:tc>
        <w:tc>
          <w:tcPr>
            <w:tcW w:w="7905" w:type="dxa"/>
            <w:shd w:val="clear" w:color="auto" w:fill="F2F2F2" w:themeFill="background1" w:themeFillShade="F2"/>
            <w:vAlign w:val="center"/>
          </w:tcPr>
          <w:p w14:paraId="4ABB2829"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Private company computers?</w:t>
            </w:r>
          </w:p>
        </w:tc>
        <w:tc>
          <w:tcPr>
            <w:tcW w:w="992" w:type="dxa"/>
            <w:shd w:val="clear" w:color="auto" w:fill="BFBFBF" w:themeFill="background1" w:themeFillShade="BF"/>
          </w:tcPr>
          <w:sdt>
            <w:sdtPr>
              <w:rPr>
                <w:rFonts w:cs="Arial"/>
                <w:b/>
                <w:bCs/>
                <w:sz w:val="22"/>
              </w:rPr>
              <w:id w:val="428779520"/>
              <w14:checkbox>
                <w14:checked w14:val="0"/>
                <w14:checkedState w14:val="2612" w14:font="MS Gothic"/>
                <w14:uncheckedState w14:val="2610" w14:font="MS Gothic"/>
              </w14:checkbox>
            </w:sdtPr>
            <w:sdtEndPr/>
            <w:sdtContent>
              <w:p w14:paraId="0900969F"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rPr>
              <w:id w:val="1738441066"/>
              <w14:checkbox>
                <w14:checked w14:val="1"/>
                <w14:checkedState w14:val="2612" w14:font="MS Gothic"/>
                <w14:uncheckedState w14:val="2610" w14:font="MS Gothic"/>
              </w14:checkbox>
            </w:sdtPr>
            <w:sdtEndPr/>
            <w:sdtContent>
              <w:p w14:paraId="769F108C"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6A2B60E5" w14:textId="77777777" w:rsidTr="000E4C5B">
        <w:trPr>
          <w:trHeight w:val="403"/>
        </w:trPr>
        <w:tc>
          <w:tcPr>
            <w:tcW w:w="562" w:type="dxa"/>
            <w:shd w:val="clear" w:color="auto" w:fill="F2F2F2" w:themeFill="background1" w:themeFillShade="F2"/>
            <w:vAlign w:val="center"/>
          </w:tcPr>
          <w:p w14:paraId="04992856" w14:textId="77777777" w:rsidR="00F0319C" w:rsidRPr="00903B3C" w:rsidRDefault="00F0319C" w:rsidP="000E4C5B">
            <w:pPr>
              <w:autoSpaceDE w:val="0"/>
              <w:autoSpaceDN w:val="0"/>
              <w:adjustRightInd w:val="0"/>
              <w:jc w:val="center"/>
              <w:rPr>
                <w:rFonts w:cs="Arial"/>
                <w:sz w:val="22"/>
                <w:szCs w:val="22"/>
              </w:rPr>
            </w:pPr>
            <w:r>
              <w:rPr>
                <w:rFonts w:cs="Arial"/>
                <w:sz w:val="22"/>
                <w:szCs w:val="22"/>
              </w:rPr>
              <w:t>8</w:t>
            </w:r>
          </w:p>
        </w:tc>
        <w:tc>
          <w:tcPr>
            <w:tcW w:w="7905" w:type="dxa"/>
            <w:shd w:val="clear" w:color="auto" w:fill="F2F2F2" w:themeFill="background1" w:themeFillShade="F2"/>
            <w:vAlign w:val="center"/>
          </w:tcPr>
          <w:p w14:paraId="02AD2C49"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Home or other personal computers?</w:t>
            </w:r>
          </w:p>
        </w:tc>
        <w:tc>
          <w:tcPr>
            <w:tcW w:w="992" w:type="dxa"/>
            <w:shd w:val="clear" w:color="auto" w:fill="BFBFBF" w:themeFill="background1" w:themeFillShade="BF"/>
          </w:tcPr>
          <w:sdt>
            <w:sdtPr>
              <w:rPr>
                <w:rFonts w:cs="Arial"/>
                <w:b/>
                <w:bCs/>
                <w:sz w:val="22"/>
              </w:rPr>
              <w:id w:val="666676712"/>
              <w14:checkbox>
                <w14:checked w14:val="0"/>
                <w14:checkedState w14:val="2612" w14:font="MS Gothic"/>
                <w14:uncheckedState w14:val="2610" w14:font="MS Gothic"/>
              </w14:checkbox>
            </w:sdtPr>
            <w:sdtEndPr/>
            <w:sdtContent>
              <w:p w14:paraId="4888931B"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rPr>
              <w:id w:val="243309197"/>
              <w14:checkbox>
                <w14:checked w14:val="1"/>
                <w14:checkedState w14:val="2612" w14:font="MS Gothic"/>
                <w14:uncheckedState w14:val="2610" w14:font="MS Gothic"/>
              </w14:checkbox>
            </w:sdtPr>
            <w:sdtEndPr/>
            <w:sdtContent>
              <w:p w14:paraId="3A80618E"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311F22D5" w14:textId="77777777" w:rsidTr="000E4C5B">
        <w:trPr>
          <w:trHeight w:val="403"/>
        </w:trPr>
        <w:tc>
          <w:tcPr>
            <w:tcW w:w="562" w:type="dxa"/>
            <w:shd w:val="clear" w:color="auto" w:fill="F2F2F2" w:themeFill="background1" w:themeFillShade="F2"/>
            <w:vAlign w:val="center"/>
          </w:tcPr>
          <w:p w14:paraId="1D312901" w14:textId="77777777" w:rsidR="00F0319C" w:rsidRPr="00903B3C" w:rsidRDefault="00F0319C" w:rsidP="000E4C5B">
            <w:pPr>
              <w:autoSpaceDE w:val="0"/>
              <w:autoSpaceDN w:val="0"/>
              <w:adjustRightInd w:val="0"/>
              <w:jc w:val="center"/>
              <w:rPr>
                <w:rFonts w:cs="Arial"/>
                <w:sz w:val="22"/>
                <w:szCs w:val="22"/>
              </w:rPr>
            </w:pPr>
            <w:r>
              <w:rPr>
                <w:rFonts w:cs="Arial"/>
                <w:sz w:val="22"/>
                <w:szCs w:val="22"/>
              </w:rPr>
              <w:t>9</w:t>
            </w:r>
          </w:p>
        </w:tc>
        <w:tc>
          <w:tcPr>
            <w:tcW w:w="7905" w:type="dxa"/>
            <w:shd w:val="clear" w:color="auto" w:fill="F2F2F2" w:themeFill="background1" w:themeFillShade="F2"/>
            <w:vAlign w:val="center"/>
          </w:tcPr>
          <w:p w14:paraId="01FECFDA"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Laptop computers/ CDs/ Portable disk-drives/ memory sticks?</w:t>
            </w:r>
          </w:p>
        </w:tc>
        <w:tc>
          <w:tcPr>
            <w:tcW w:w="992" w:type="dxa"/>
            <w:shd w:val="clear" w:color="auto" w:fill="BFBFBF" w:themeFill="background1" w:themeFillShade="BF"/>
          </w:tcPr>
          <w:sdt>
            <w:sdtPr>
              <w:rPr>
                <w:rFonts w:cs="Arial"/>
                <w:b/>
                <w:bCs/>
                <w:sz w:val="22"/>
              </w:rPr>
              <w:id w:val="1761182650"/>
              <w14:checkbox>
                <w14:checked w14:val="1"/>
                <w14:checkedState w14:val="2612" w14:font="MS Gothic"/>
                <w14:uncheckedState w14:val="2610" w14:font="MS Gothic"/>
              </w14:checkbox>
            </w:sdtPr>
            <w:sdtEndPr/>
            <w:sdtContent>
              <w:p w14:paraId="2778926C"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rPr>
              <w:id w:val="-1031489010"/>
              <w14:checkbox>
                <w14:checked w14:val="0"/>
                <w14:checkedState w14:val="2612" w14:font="MS Gothic"/>
                <w14:uncheckedState w14:val="2610" w14:font="MS Gothic"/>
              </w14:checkbox>
            </w:sdtPr>
            <w:sdtEndPr/>
            <w:sdtContent>
              <w:p w14:paraId="579603DD"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6F073205" w14:textId="77777777" w:rsidTr="000E4C5B">
        <w:trPr>
          <w:trHeight w:val="403"/>
        </w:trPr>
        <w:tc>
          <w:tcPr>
            <w:tcW w:w="562" w:type="dxa"/>
            <w:shd w:val="clear" w:color="auto" w:fill="F2F2F2" w:themeFill="background1" w:themeFillShade="F2"/>
            <w:vAlign w:val="center"/>
          </w:tcPr>
          <w:p w14:paraId="12880E4A" w14:textId="77777777" w:rsidR="00F0319C" w:rsidRPr="00903B3C" w:rsidRDefault="00F0319C" w:rsidP="000E4C5B">
            <w:pPr>
              <w:autoSpaceDE w:val="0"/>
              <w:autoSpaceDN w:val="0"/>
              <w:adjustRightInd w:val="0"/>
              <w:jc w:val="center"/>
              <w:rPr>
                <w:rFonts w:cs="Arial"/>
                <w:sz w:val="22"/>
                <w:szCs w:val="22"/>
              </w:rPr>
            </w:pPr>
            <w:r w:rsidRPr="00E65973">
              <w:rPr>
                <w:rFonts w:cs="Arial"/>
                <w:sz w:val="22"/>
                <w:szCs w:val="22"/>
              </w:rPr>
              <w:t>1</w:t>
            </w:r>
            <w:r>
              <w:rPr>
                <w:rFonts w:cs="Arial"/>
                <w:sz w:val="22"/>
                <w:szCs w:val="22"/>
              </w:rPr>
              <w:t>0</w:t>
            </w:r>
          </w:p>
        </w:tc>
        <w:tc>
          <w:tcPr>
            <w:tcW w:w="7905" w:type="dxa"/>
            <w:shd w:val="clear" w:color="auto" w:fill="F2F2F2" w:themeFill="background1" w:themeFillShade="F2"/>
            <w:vAlign w:val="center"/>
          </w:tcPr>
          <w:p w14:paraId="0898D63F"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“Cloud” storage or websites?</w:t>
            </w:r>
          </w:p>
        </w:tc>
        <w:tc>
          <w:tcPr>
            <w:tcW w:w="992" w:type="dxa"/>
            <w:shd w:val="clear" w:color="auto" w:fill="BFBFBF" w:themeFill="background1" w:themeFillShade="BF"/>
          </w:tcPr>
          <w:sdt>
            <w:sdtPr>
              <w:rPr>
                <w:rFonts w:cs="Arial"/>
                <w:b/>
                <w:bCs/>
                <w:sz w:val="22"/>
              </w:rPr>
              <w:id w:val="-40376448"/>
              <w14:checkbox>
                <w14:checked w14:val="0"/>
                <w14:checkedState w14:val="2612" w14:font="MS Gothic"/>
                <w14:uncheckedState w14:val="2610" w14:font="MS Gothic"/>
              </w14:checkbox>
            </w:sdtPr>
            <w:sdtEndPr/>
            <w:sdtContent>
              <w:p w14:paraId="6A5FEC8D"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rPr>
              <w:id w:val="-2004037841"/>
              <w14:checkbox>
                <w14:checked w14:val="1"/>
                <w14:checkedState w14:val="2612" w14:font="MS Gothic"/>
                <w14:uncheckedState w14:val="2610" w14:font="MS Gothic"/>
              </w14:checkbox>
            </w:sdtPr>
            <w:sdtEndPr/>
            <w:sdtContent>
              <w:p w14:paraId="7D02C9DE"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2F7DC421" w14:textId="77777777" w:rsidTr="000E4C5B">
        <w:trPr>
          <w:trHeight w:val="403"/>
        </w:trPr>
        <w:tc>
          <w:tcPr>
            <w:tcW w:w="562" w:type="dxa"/>
            <w:shd w:val="clear" w:color="auto" w:fill="F2F2F2" w:themeFill="background1" w:themeFillShade="F2"/>
            <w:vAlign w:val="center"/>
          </w:tcPr>
          <w:p w14:paraId="0216EB12" w14:textId="77777777" w:rsidR="00F0319C" w:rsidRPr="00903B3C" w:rsidRDefault="00F0319C" w:rsidP="000E4C5B">
            <w:pPr>
              <w:autoSpaceDE w:val="0"/>
              <w:autoSpaceDN w:val="0"/>
              <w:adjustRightInd w:val="0"/>
              <w:jc w:val="center"/>
              <w:rPr>
                <w:rFonts w:cs="Arial"/>
                <w:sz w:val="22"/>
                <w:szCs w:val="22"/>
              </w:rPr>
            </w:pPr>
            <w:r w:rsidRPr="00E65973">
              <w:rPr>
                <w:rFonts w:cs="Arial"/>
                <w:sz w:val="22"/>
                <w:szCs w:val="22"/>
              </w:rPr>
              <w:t>1</w:t>
            </w:r>
            <w:r>
              <w:rPr>
                <w:rFonts w:cs="Arial"/>
                <w:sz w:val="22"/>
                <w:szCs w:val="22"/>
              </w:rPr>
              <w:t>1</w:t>
            </w:r>
          </w:p>
        </w:tc>
        <w:tc>
          <w:tcPr>
            <w:tcW w:w="7905" w:type="dxa"/>
            <w:shd w:val="clear" w:color="auto" w:fill="F2F2F2" w:themeFill="background1" w:themeFillShade="F2"/>
          </w:tcPr>
          <w:p w14:paraId="4444D1C1"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Other – specify:</w:t>
            </w:r>
          </w:p>
          <w:p w14:paraId="1F2FA625" w14:textId="77777777" w:rsidR="00F0319C" w:rsidRPr="004C3A0B" w:rsidRDefault="00F0319C" w:rsidP="000E4C5B">
            <w:pPr>
              <w:autoSpaceDE w:val="0"/>
              <w:autoSpaceDN w:val="0"/>
              <w:adjustRightInd w:val="0"/>
              <w:rPr>
                <w:rFonts w:cs="Arial"/>
                <w:sz w:val="22"/>
                <w:szCs w:val="22"/>
              </w:rPr>
            </w:pPr>
          </w:p>
        </w:tc>
        <w:tc>
          <w:tcPr>
            <w:tcW w:w="992" w:type="dxa"/>
            <w:shd w:val="clear" w:color="auto" w:fill="BFBFBF" w:themeFill="background1" w:themeFillShade="BF"/>
            <w:vAlign w:val="center"/>
          </w:tcPr>
          <w:sdt>
            <w:sdtPr>
              <w:rPr>
                <w:rFonts w:cs="Arial"/>
                <w:b/>
                <w:bCs/>
                <w:sz w:val="22"/>
              </w:rPr>
              <w:id w:val="-1556230815"/>
              <w14:checkbox>
                <w14:checked w14:val="0"/>
                <w14:checkedState w14:val="2612" w14:font="MS Gothic"/>
                <w14:uncheckedState w14:val="2610" w14:font="MS Gothic"/>
              </w14:checkbox>
            </w:sdtPr>
            <w:sdtEndPr/>
            <w:sdtContent>
              <w:p w14:paraId="0205996F"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rPr>
              <w:id w:val="1575544959"/>
              <w14:checkbox>
                <w14:checked w14:val="1"/>
                <w14:checkedState w14:val="2612" w14:font="MS Gothic"/>
                <w14:uncheckedState w14:val="2610" w14:font="MS Gothic"/>
              </w14:checkbox>
            </w:sdtPr>
            <w:sdtEndPr/>
            <w:sdtContent>
              <w:p w14:paraId="2BDBEF72"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3BDCA05F" w14:textId="77777777" w:rsidTr="000E4C5B">
        <w:trPr>
          <w:trHeight w:val="403"/>
        </w:trPr>
        <w:tc>
          <w:tcPr>
            <w:tcW w:w="562" w:type="dxa"/>
            <w:shd w:val="clear" w:color="auto" w:fill="F2F2F2" w:themeFill="background1" w:themeFillShade="F2"/>
            <w:vAlign w:val="center"/>
          </w:tcPr>
          <w:p w14:paraId="06D9FD0F" w14:textId="77777777" w:rsidR="00F0319C" w:rsidRPr="00903B3C" w:rsidRDefault="00F0319C" w:rsidP="000E4C5B">
            <w:pPr>
              <w:autoSpaceDE w:val="0"/>
              <w:autoSpaceDN w:val="0"/>
              <w:adjustRightInd w:val="0"/>
              <w:jc w:val="center"/>
              <w:rPr>
                <w:rFonts w:cs="Arial"/>
                <w:bCs/>
                <w:sz w:val="22"/>
                <w:szCs w:val="22"/>
              </w:rPr>
            </w:pPr>
            <w:r>
              <w:rPr>
                <w:rFonts w:cs="Arial"/>
                <w:sz w:val="22"/>
                <w:szCs w:val="22"/>
              </w:rPr>
              <w:t>12</w:t>
            </w:r>
          </w:p>
        </w:tc>
        <w:tc>
          <w:tcPr>
            <w:tcW w:w="9923" w:type="dxa"/>
            <w:gridSpan w:val="3"/>
            <w:shd w:val="clear" w:color="auto" w:fill="F2F2F2" w:themeFill="background1" w:themeFillShade="F2"/>
          </w:tcPr>
          <w:p w14:paraId="73CDDE78" w14:textId="77777777" w:rsidR="00F0319C" w:rsidRDefault="00F0319C" w:rsidP="000E4C5B">
            <w:pPr>
              <w:autoSpaceDE w:val="0"/>
              <w:autoSpaceDN w:val="0"/>
              <w:adjustRightInd w:val="0"/>
              <w:rPr>
                <w:rFonts w:cs="Arial"/>
                <w:b/>
                <w:bCs/>
                <w:sz w:val="22"/>
                <w:szCs w:val="22"/>
              </w:rPr>
            </w:pPr>
            <w:r w:rsidRPr="00204E14">
              <w:rPr>
                <w:rFonts w:cs="Arial"/>
                <w:bCs/>
                <w:sz w:val="22"/>
                <w:szCs w:val="22"/>
              </w:rPr>
              <w:t xml:space="preserve">For all stored data, explain the measures in place to ensure </w:t>
            </w:r>
            <w:r>
              <w:rPr>
                <w:rFonts w:cs="Arial"/>
                <w:bCs/>
                <w:sz w:val="22"/>
                <w:szCs w:val="22"/>
              </w:rPr>
              <w:t xml:space="preserve">the security of the data collected, </w:t>
            </w:r>
            <w:r w:rsidRPr="00204E14">
              <w:rPr>
                <w:rFonts w:cs="Arial"/>
                <w:bCs/>
                <w:sz w:val="22"/>
                <w:szCs w:val="22"/>
              </w:rPr>
              <w:t xml:space="preserve">data confidentiality, including details of </w:t>
            </w:r>
            <w:r>
              <w:rPr>
                <w:rFonts w:cs="Arial"/>
                <w:bCs/>
                <w:sz w:val="22"/>
                <w:szCs w:val="22"/>
              </w:rPr>
              <w:t xml:space="preserve">backup procedures, </w:t>
            </w:r>
            <w:r w:rsidRPr="00065801">
              <w:rPr>
                <w:rFonts w:cs="Arial"/>
                <w:bCs/>
                <w:sz w:val="22"/>
                <w:szCs w:val="22"/>
                <w:shd w:val="clear" w:color="auto" w:fill="F2F2F2" w:themeFill="background1" w:themeFillShade="F2"/>
              </w:rPr>
              <w:t>password</w:t>
            </w:r>
            <w:r>
              <w:rPr>
                <w:rFonts w:cs="Arial"/>
                <w:bCs/>
                <w:sz w:val="22"/>
                <w:szCs w:val="22"/>
              </w:rPr>
              <w:t xml:space="preserve"> protection, encryption, anonymisation and pseudonymisation</w:t>
            </w:r>
            <w:r w:rsidRPr="00204E14">
              <w:rPr>
                <w:rFonts w:cs="Arial"/>
                <w:sz w:val="22"/>
                <w:szCs w:val="22"/>
              </w:rPr>
              <w:t>:</w:t>
            </w:r>
          </w:p>
        </w:tc>
      </w:tr>
      <w:tr w:rsidR="00F0319C" w:rsidRPr="004C3A0B" w14:paraId="348097A5" w14:textId="77777777" w:rsidTr="000E4C5B">
        <w:trPr>
          <w:trHeight w:val="403"/>
        </w:trPr>
        <w:tc>
          <w:tcPr>
            <w:tcW w:w="562" w:type="dxa"/>
            <w:vAlign w:val="center"/>
          </w:tcPr>
          <w:p w14:paraId="1A01433E" w14:textId="77777777" w:rsidR="00F0319C" w:rsidRPr="00E65973" w:rsidRDefault="00F0319C" w:rsidP="000E4C5B">
            <w:pPr>
              <w:jc w:val="center"/>
              <w:rPr>
                <w:rFonts w:cs="Arial"/>
                <w:sz w:val="22"/>
                <w:szCs w:val="22"/>
              </w:rPr>
            </w:pPr>
          </w:p>
        </w:tc>
        <w:tc>
          <w:tcPr>
            <w:tcW w:w="9923" w:type="dxa"/>
            <w:gridSpan w:val="3"/>
          </w:tcPr>
          <w:p w14:paraId="3D7D5620" w14:textId="77777777" w:rsidR="00F0319C" w:rsidRPr="00CD1408" w:rsidRDefault="00F0319C" w:rsidP="000E4C5B">
            <w:pPr>
              <w:autoSpaceDE w:val="0"/>
              <w:autoSpaceDN w:val="0"/>
              <w:adjustRightInd w:val="0"/>
              <w:rPr>
                <w:rFonts w:cs="Arial"/>
                <w:iCs/>
                <w:color w:val="000000" w:themeColor="text1"/>
                <w:sz w:val="22"/>
                <w:szCs w:val="22"/>
              </w:rPr>
            </w:pPr>
            <w:r w:rsidRPr="00CD1408">
              <w:rPr>
                <w:rFonts w:cs="Arial"/>
                <w:iCs/>
                <w:color w:val="000000" w:themeColor="text1"/>
                <w:sz w:val="22"/>
                <w:szCs w:val="22"/>
              </w:rPr>
              <w:t>All data will be kept in password protected laptop storage on the Ms Office system which</w:t>
            </w:r>
          </w:p>
          <w:p w14:paraId="0C5DD0BC" w14:textId="77777777" w:rsidR="00F0319C" w:rsidRPr="009E7867" w:rsidRDefault="00F0319C" w:rsidP="000E4C5B">
            <w:pPr>
              <w:autoSpaceDE w:val="0"/>
              <w:autoSpaceDN w:val="0"/>
              <w:adjustRightInd w:val="0"/>
              <w:rPr>
                <w:rFonts w:cs="Arial"/>
                <w:iCs/>
                <w:color w:val="000000" w:themeColor="text1"/>
                <w:sz w:val="22"/>
                <w:szCs w:val="22"/>
              </w:rPr>
            </w:pPr>
            <w:r w:rsidRPr="00CD1408">
              <w:rPr>
                <w:rFonts w:cs="Arial"/>
                <w:iCs/>
                <w:color w:val="000000" w:themeColor="text1"/>
                <w:sz w:val="22"/>
                <w:szCs w:val="22"/>
              </w:rPr>
              <w:lastRenderedPageBreak/>
              <w:t xml:space="preserve">will not be shared. </w:t>
            </w:r>
          </w:p>
          <w:p w14:paraId="061D7E3D" w14:textId="77777777" w:rsidR="00F0319C" w:rsidRDefault="00F0319C" w:rsidP="000E4C5B">
            <w:pPr>
              <w:autoSpaceDE w:val="0"/>
              <w:autoSpaceDN w:val="0"/>
              <w:adjustRightInd w:val="0"/>
              <w:rPr>
                <w:rFonts w:cs="Arial"/>
                <w:b/>
                <w:bCs/>
                <w:sz w:val="22"/>
                <w:szCs w:val="22"/>
              </w:rPr>
            </w:pPr>
            <w:r w:rsidRPr="003257BD">
              <w:rPr>
                <w:rFonts w:cs="Arial"/>
                <w:i/>
                <w:color w:val="808080"/>
                <w:sz w:val="18"/>
                <w:szCs w:val="18"/>
              </w:rPr>
              <w:t>(this box should expand as you type)</w:t>
            </w:r>
          </w:p>
        </w:tc>
      </w:tr>
    </w:tbl>
    <w:p w14:paraId="4446523C" w14:textId="77777777" w:rsidR="00F0319C" w:rsidRDefault="00F0319C" w:rsidP="00F0319C"/>
    <w:tbl>
      <w:tblPr>
        <w:tblStyle w:val="TableGrid"/>
        <w:tblW w:w="10485" w:type="dxa"/>
        <w:tblLook w:val="04A0" w:firstRow="1" w:lastRow="0" w:firstColumn="1" w:lastColumn="0" w:noHBand="0" w:noVBand="1"/>
      </w:tblPr>
      <w:tblGrid>
        <w:gridCol w:w="562"/>
        <w:gridCol w:w="7905"/>
        <w:gridCol w:w="992"/>
        <w:gridCol w:w="1026"/>
      </w:tblGrid>
      <w:tr w:rsidR="00F0319C" w:rsidRPr="004C3A0B" w14:paraId="785E4840" w14:textId="77777777" w:rsidTr="000E4C5B">
        <w:trPr>
          <w:trHeight w:val="439"/>
        </w:trPr>
        <w:tc>
          <w:tcPr>
            <w:tcW w:w="562" w:type="dxa"/>
            <w:shd w:val="clear" w:color="auto" w:fill="F2F2F2" w:themeFill="background1" w:themeFillShade="F2"/>
          </w:tcPr>
          <w:p w14:paraId="58CD919A" w14:textId="77777777" w:rsidR="00F0319C" w:rsidRPr="002132F9" w:rsidRDefault="00F0319C" w:rsidP="000E4C5B">
            <w:pPr>
              <w:autoSpaceDE w:val="0"/>
              <w:autoSpaceDN w:val="0"/>
              <w:adjustRightInd w:val="0"/>
              <w:rPr>
                <w:rFonts w:cs="Arial"/>
                <w:sz w:val="22"/>
                <w:szCs w:val="22"/>
              </w:rPr>
            </w:pPr>
          </w:p>
        </w:tc>
        <w:tc>
          <w:tcPr>
            <w:tcW w:w="9923" w:type="dxa"/>
            <w:gridSpan w:val="3"/>
            <w:shd w:val="clear" w:color="auto" w:fill="F2F2F2" w:themeFill="background1" w:themeFillShade="F2"/>
            <w:vAlign w:val="center"/>
          </w:tcPr>
          <w:p w14:paraId="61579790" w14:textId="77777777" w:rsidR="00F0319C" w:rsidRPr="004C3A0B" w:rsidRDefault="00F0319C" w:rsidP="000E4C5B">
            <w:pPr>
              <w:autoSpaceDE w:val="0"/>
              <w:autoSpaceDN w:val="0"/>
              <w:adjustRightInd w:val="0"/>
              <w:rPr>
                <w:rFonts w:cs="Arial"/>
                <w:b/>
                <w:bCs/>
                <w:sz w:val="22"/>
                <w:szCs w:val="22"/>
              </w:rPr>
            </w:pPr>
            <w:r>
              <w:rPr>
                <w:rFonts w:cs="Arial"/>
                <w:b/>
                <w:bCs/>
                <w:sz w:val="22"/>
                <w:szCs w:val="22"/>
              </w:rPr>
              <w:t>Data Protection</w:t>
            </w:r>
          </w:p>
        </w:tc>
      </w:tr>
      <w:tr w:rsidR="00F0319C" w:rsidRPr="004C3A0B" w14:paraId="4BADCFA3" w14:textId="77777777" w:rsidTr="000E4C5B">
        <w:trPr>
          <w:trHeight w:val="439"/>
        </w:trPr>
        <w:tc>
          <w:tcPr>
            <w:tcW w:w="562" w:type="dxa"/>
            <w:shd w:val="clear" w:color="auto" w:fill="F2F2F2" w:themeFill="background1" w:themeFillShade="F2"/>
            <w:vAlign w:val="center"/>
          </w:tcPr>
          <w:p w14:paraId="5406B064" w14:textId="77777777" w:rsidR="00F0319C" w:rsidRPr="00842FC0" w:rsidRDefault="00F0319C" w:rsidP="000E4C5B">
            <w:pPr>
              <w:autoSpaceDE w:val="0"/>
              <w:autoSpaceDN w:val="0"/>
              <w:adjustRightInd w:val="0"/>
              <w:jc w:val="center"/>
              <w:rPr>
                <w:rFonts w:cs="Arial"/>
                <w:sz w:val="22"/>
                <w:szCs w:val="22"/>
              </w:rPr>
            </w:pPr>
          </w:p>
        </w:tc>
        <w:tc>
          <w:tcPr>
            <w:tcW w:w="7905" w:type="dxa"/>
            <w:shd w:val="clear" w:color="auto" w:fill="F2F2F2" w:themeFill="background1" w:themeFillShade="F2"/>
            <w:vAlign w:val="center"/>
          </w:tcPr>
          <w:p w14:paraId="1FA9D0F6" w14:textId="77777777" w:rsidR="00F0319C" w:rsidRPr="004C3A0B" w:rsidRDefault="00F0319C" w:rsidP="000E4C5B">
            <w:pPr>
              <w:autoSpaceDE w:val="0"/>
              <w:autoSpaceDN w:val="0"/>
              <w:adjustRightInd w:val="0"/>
              <w:rPr>
                <w:rFonts w:cs="Arial"/>
                <w:b/>
                <w:bCs/>
                <w:sz w:val="22"/>
                <w:szCs w:val="22"/>
              </w:rPr>
            </w:pPr>
            <w:r w:rsidRPr="004C3A0B">
              <w:rPr>
                <w:rFonts w:cs="Arial"/>
                <w:sz w:val="22"/>
                <w:szCs w:val="22"/>
              </w:rPr>
              <w:t xml:space="preserve">Will the research activity </w:t>
            </w:r>
            <w:r w:rsidRPr="004C3A0B">
              <w:rPr>
                <w:rFonts w:cs="Arial"/>
                <w:bCs/>
                <w:sz w:val="22"/>
                <w:szCs w:val="22"/>
              </w:rPr>
              <w:t>involve any of the following activities:</w:t>
            </w:r>
          </w:p>
        </w:tc>
        <w:tc>
          <w:tcPr>
            <w:tcW w:w="992" w:type="dxa"/>
            <w:shd w:val="clear" w:color="auto" w:fill="F2F2F2" w:themeFill="background1" w:themeFillShade="F2"/>
            <w:vAlign w:val="center"/>
          </w:tcPr>
          <w:p w14:paraId="50C21EAB" w14:textId="77777777" w:rsidR="00F0319C" w:rsidRPr="004C3A0B" w:rsidRDefault="00F0319C" w:rsidP="000E4C5B">
            <w:pPr>
              <w:autoSpaceDE w:val="0"/>
              <w:autoSpaceDN w:val="0"/>
              <w:adjustRightInd w:val="0"/>
              <w:jc w:val="center"/>
              <w:rPr>
                <w:rFonts w:cs="Arial"/>
                <w:b/>
                <w:bCs/>
                <w:sz w:val="22"/>
                <w:szCs w:val="22"/>
              </w:rPr>
            </w:pPr>
            <w:r w:rsidRPr="004C3A0B">
              <w:rPr>
                <w:rFonts w:cs="Arial"/>
                <w:b/>
                <w:bCs/>
                <w:sz w:val="22"/>
                <w:szCs w:val="22"/>
              </w:rPr>
              <w:t>YES</w:t>
            </w:r>
          </w:p>
        </w:tc>
        <w:tc>
          <w:tcPr>
            <w:tcW w:w="1026" w:type="dxa"/>
            <w:shd w:val="clear" w:color="auto" w:fill="F2F2F2" w:themeFill="background1" w:themeFillShade="F2"/>
            <w:vAlign w:val="center"/>
          </w:tcPr>
          <w:p w14:paraId="421F73E4" w14:textId="77777777" w:rsidR="00F0319C" w:rsidRPr="004C3A0B" w:rsidRDefault="00F0319C" w:rsidP="000E4C5B">
            <w:pPr>
              <w:autoSpaceDE w:val="0"/>
              <w:autoSpaceDN w:val="0"/>
              <w:adjustRightInd w:val="0"/>
              <w:jc w:val="center"/>
              <w:rPr>
                <w:rFonts w:cs="Arial"/>
                <w:b/>
                <w:bCs/>
                <w:sz w:val="22"/>
                <w:szCs w:val="22"/>
              </w:rPr>
            </w:pPr>
            <w:r w:rsidRPr="004C3A0B">
              <w:rPr>
                <w:rFonts w:cs="Arial"/>
                <w:b/>
                <w:bCs/>
                <w:sz w:val="22"/>
                <w:szCs w:val="22"/>
              </w:rPr>
              <w:t>NO</w:t>
            </w:r>
          </w:p>
        </w:tc>
      </w:tr>
      <w:tr w:rsidR="00F0319C" w:rsidRPr="004C3A0B" w14:paraId="6538F05A" w14:textId="77777777" w:rsidTr="000E4C5B">
        <w:trPr>
          <w:trHeight w:val="439"/>
        </w:trPr>
        <w:tc>
          <w:tcPr>
            <w:tcW w:w="562" w:type="dxa"/>
            <w:shd w:val="clear" w:color="auto" w:fill="F2F2F2" w:themeFill="background1" w:themeFillShade="F2"/>
            <w:vAlign w:val="center"/>
          </w:tcPr>
          <w:p w14:paraId="660389F0" w14:textId="77777777" w:rsidR="00F0319C" w:rsidRPr="00842FC0" w:rsidRDefault="00F0319C" w:rsidP="000E4C5B">
            <w:pPr>
              <w:autoSpaceDE w:val="0"/>
              <w:autoSpaceDN w:val="0"/>
              <w:adjustRightInd w:val="0"/>
              <w:jc w:val="center"/>
              <w:rPr>
                <w:rFonts w:cs="Arial"/>
                <w:sz w:val="22"/>
                <w:szCs w:val="22"/>
              </w:rPr>
            </w:pPr>
            <w:r w:rsidRPr="00E65973">
              <w:rPr>
                <w:rFonts w:cs="Arial"/>
                <w:sz w:val="22"/>
                <w:szCs w:val="22"/>
              </w:rPr>
              <w:t>1</w:t>
            </w:r>
            <w:r>
              <w:rPr>
                <w:rFonts w:cs="Arial"/>
                <w:sz w:val="22"/>
                <w:szCs w:val="22"/>
              </w:rPr>
              <w:t>3</w:t>
            </w:r>
          </w:p>
        </w:tc>
        <w:tc>
          <w:tcPr>
            <w:tcW w:w="7905" w:type="dxa"/>
            <w:shd w:val="clear" w:color="auto" w:fill="F2F2F2" w:themeFill="background1" w:themeFillShade="F2"/>
            <w:vAlign w:val="center"/>
          </w:tcPr>
          <w:p w14:paraId="30CFA158"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Electronic transfer of data in any form?</w:t>
            </w:r>
          </w:p>
        </w:tc>
        <w:tc>
          <w:tcPr>
            <w:tcW w:w="992" w:type="dxa"/>
            <w:shd w:val="clear" w:color="auto" w:fill="BFBFBF" w:themeFill="background1" w:themeFillShade="BF"/>
            <w:vAlign w:val="center"/>
          </w:tcPr>
          <w:sdt>
            <w:sdtPr>
              <w:rPr>
                <w:rFonts w:cs="Arial"/>
                <w:b/>
                <w:bCs/>
                <w:sz w:val="22"/>
              </w:rPr>
              <w:id w:val="-243347341"/>
              <w14:checkbox>
                <w14:checked w14:val="0"/>
                <w14:checkedState w14:val="2612" w14:font="MS Gothic"/>
                <w14:uncheckedState w14:val="2610" w14:font="MS Gothic"/>
              </w14:checkbox>
            </w:sdtPr>
            <w:sdtEndPr/>
            <w:sdtContent>
              <w:p w14:paraId="286D68B0"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rPr>
              <w:id w:val="809138048"/>
              <w14:checkbox>
                <w14:checked w14:val="1"/>
                <w14:checkedState w14:val="2612" w14:font="MS Gothic"/>
                <w14:uncheckedState w14:val="2610" w14:font="MS Gothic"/>
              </w14:checkbox>
            </w:sdtPr>
            <w:sdtEndPr/>
            <w:sdtContent>
              <w:p w14:paraId="0855F8DD"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2768924D" w14:textId="77777777" w:rsidTr="000E4C5B">
        <w:trPr>
          <w:trHeight w:val="403"/>
        </w:trPr>
        <w:tc>
          <w:tcPr>
            <w:tcW w:w="562" w:type="dxa"/>
            <w:shd w:val="clear" w:color="auto" w:fill="F2F2F2" w:themeFill="background1" w:themeFillShade="F2"/>
            <w:vAlign w:val="center"/>
          </w:tcPr>
          <w:p w14:paraId="5469A421" w14:textId="77777777" w:rsidR="00F0319C" w:rsidRPr="00842FC0" w:rsidRDefault="00F0319C" w:rsidP="000E4C5B">
            <w:pPr>
              <w:autoSpaceDE w:val="0"/>
              <w:autoSpaceDN w:val="0"/>
              <w:adjustRightInd w:val="0"/>
              <w:jc w:val="center"/>
              <w:rPr>
                <w:rFonts w:cs="Arial"/>
                <w:sz w:val="22"/>
                <w:szCs w:val="22"/>
              </w:rPr>
            </w:pPr>
            <w:r w:rsidRPr="00E65973">
              <w:rPr>
                <w:rFonts w:cs="Arial"/>
                <w:sz w:val="22"/>
                <w:szCs w:val="22"/>
              </w:rPr>
              <w:t>1</w:t>
            </w:r>
            <w:r>
              <w:rPr>
                <w:rFonts w:cs="Arial"/>
                <w:sz w:val="22"/>
                <w:szCs w:val="22"/>
              </w:rPr>
              <w:t>4</w:t>
            </w:r>
          </w:p>
        </w:tc>
        <w:tc>
          <w:tcPr>
            <w:tcW w:w="7905" w:type="dxa"/>
            <w:shd w:val="clear" w:color="auto" w:fill="F2F2F2" w:themeFill="background1" w:themeFillShade="F2"/>
            <w:vAlign w:val="center"/>
          </w:tcPr>
          <w:p w14:paraId="73CA745B"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Sharing of data with others at the University</w:t>
            </w:r>
            <w:r>
              <w:rPr>
                <w:rFonts w:cs="Arial"/>
                <w:sz w:val="22"/>
                <w:szCs w:val="22"/>
              </w:rPr>
              <w:t xml:space="preserve"> outside of the immediate research team</w:t>
            </w:r>
            <w:r w:rsidRPr="004C3A0B">
              <w:rPr>
                <w:rFonts w:cs="Arial"/>
                <w:sz w:val="22"/>
                <w:szCs w:val="22"/>
              </w:rPr>
              <w:t>?</w:t>
            </w:r>
          </w:p>
        </w:tc>
        <w:tc>
          <w:tcPr>
            <w:tcW w:w="992" w:type="dxa"/>
            <w:shd w:val="clear" w:color="auto" w:fill="BFBFBF" w:themeFill="background1" w:themeFillShade="BF"/>
            <w:vAlign w:val="center"/>
          </w:tcPr>
          <w:sdt>
            <w:sdtPr>
              <w:rPr>
                <w:rFonts w:cs="Arial"/>
                <w:b/>
                <w:bCs/>
                <w:sz w:val="22"/>
              </w:rPr>
              <w:id w:val="206609976"/>
              <w14:checkbox>
                <w14:checked w14:val="0"/>
                <w14:checkedState w14:val="2612" w14:font="MS Gothic"/>
                <w14:uncheckedState w14:val="2610" w14:font="MS Gothic"/>
              </w14:checkbox>
            </w:sdtPr>
            <w:sdtEndPr/>
            <w:sdtContent>
              <w:p w14:paraId="38DEB641"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rPr>
              <w:id w:val="1162969108"/>
              <w14:checkbox>
                <w14:checked w14:val="1"/>
                <w14:checkedState w14:val="2612" w14:font="MS Gothic"/>
                <w14:uncheckedState w14:val="2610" w14:font="MS Gothic"/>
              </w14:checkbox>
            </w:sdtPr>
            <w:sdtEndPr/>
            <w:sdtContent>
              <w:p w14:paraId="5302A45E"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114DDD5C" w14:textId="77777777" w:rsidTr="000E4C5B">
        <w:trPr>
          <w:trHeight w:val="439"/>
        </w:trPr>
        <w:tc>
          <w:tcPr>
            <w:tcW w:w="562" w:type="dxa"/>
            <w:shd w:val="clear" w:color="auto" w:fill="F2F2F2" w:themeFill="background1" w:themeFillShade="F2"/>
            <w:vAlign w:val="center"/>
          </w:tcPr>
          <w:p w14:paraId="71C159E1" w14:textId="77777777" w:rsidR="00F0319C" w:rsidRPr="00842FC0" w:rsidRDefault="00F0319C" w:rsidP="000E4C5B">
            <w:pPr>
              <w:autoSpaceDE w:val="0"/>
              <w:autoSpaceDN w:val="0"/>
              <w:adjustRightInd w:val="0"/>
              <w:jc w:val="center"/>
              <w:rPr>
                <w:rFonts w:cs="Arial"/>
                <w:sz w:val="22"/>
                <w:szCs w:val="22"/>
              </w:rPr>
            </w:pPr>
            <w:r w:rsidRPr="00E65973">
              <w:rPr>
                <w:rFonts w:cs="Arial"/>
                <w:sz w:val="22"/>
                <w:szCs w:val="22"/>
              </w:rPr>
              <w:t>1</w:t>
            </w:r>
            <w:r>
              <w:rPr>
                <w:rFonts w:cs="Arial"/>
                <w:sz w:val="22"/>
                <w:szCs w:val="22"/>
              </w:rPr>
              <w:t>5</w:t>
            </w:r>
          </w:p>
        </w:tc>
        <w:tc>
          <w:tcPr>
            <w:tcW w:w="7905" w:type="dxa"/>
            <w:shd w:val="clear" w:color="auto" w:fill="F2F2F2" w:themeFill="background1" w:themeFillShade="F2"/>
            <w:vAlign w:val="center"/>
          </w:tcPr>
          <w:p w14:paraId="21A1F8A3"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Sharing of data with other organisations?</w:t>
            </w:r>
          </w:p>
        </w:tc>
        <w:tc>
          <w:tcPr>
            <w:tcW w:w="992" w:type="dxa"/>
            <w:shd w:val="clear" w:color="auto" w:fill="BFBFBF" w:themeFill="background1" w:themeFillShade="BF"/>
            <w:vAlign w:val="center"/>
          </w:tcPr>
          <w:sdt>
            <w:sdtPr>
              <w:rPr>
                <w:rFonts w:cs="Arial"/>
                <w:b/>
                <w:bCs/>
                <w:sz w:val="22"/>
              </w:rPr>
              <w:id w:val="-853718064"/>
              <w14:checkbox>
                <w14:checked w14:val="0"/>
                <w14:checkedState w14:val="2612" w14:font="MS Gothic"/>
                <w14:uncheckedState w14:val="2610" w14:font="MS Gothic"/>
              </w14:checkbox>
            </w:sdtPr>
            <w:sdtEndPr/>
            <w:sdtContent>
              <w:p w14:paraId="5DCC4E45"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rPr>
              <w:id w:val="-692922631"/>
              <w14:checkbox>
                <w14:checked w14:val="1"/>
                <w14:checkedState w14:val="2612" w14:font="MS Gothic"/>
                <w14:uncheckedState w14:val="2610" w14:font="MS Gothic"/>
              </w14:checkbox>
            </w:sdtPr>
            <w:sdtEndPr/>
            <w:sdtContent>
              <w:p w14:paraId="01E38ABB"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0562FED0" w14:textId="77777777" w:rsidTr="000E4C5B">
        <w:trPr>
          <w:trHeight w:val="403"/>
        </w:trPr>
        <w:tc>
          <w:tcPr>
            <w:tcW w:w="562" w:type="dxa"/>
            <w:shd w:val="clear" w:color="auto" w:fill="F2F2F2" w:themeFill="background1" w:themeFillShade="F2"/>
            <w:vAlign w:val="center"/>
          </w:tcPr>
          <w:p w14:paraId="7331D974" w14:textId="77777777" w:rsidR="00F0319C" w:rsidRPr="00842FC0" w:rsidRDefault="00F0319C" w:rsidP="000E4C5B">
            <w:pPr>
              <w:autoSpaceDE w:val="0"/>
              <w:autoSpaceDN w:val="0"/>
              <w:adjustRightInd w:val="0"/>
              <w:jc w:val="center"/>
              <w:rPr>
                <w:rFonts w:cs="Arial"/>
                <w:sz w:val="22"/>
                <w:szCs w:val="22"/>
              </w:rPr>
            </w:pPr>
            <w:r w:rsidRPr="00E65973">
              <w:rPr>
                <w:rFonts w:cs="Arial"/>
                <w:sz w:val="22"/>
                <w:szCs w:val="22"/>
              </w:rPr>
              <w:t>1</w:t>
            </w:r>
            <w:r>
              <w:rPr>
                <w:rFonts w:cs="Arial"/>
                <w:sz w:val="22"/>
                <w:szCs w:val="22"/>
              </w:rPr>
              <w:t>6</w:t>
            </w:r>
          </w:p>
        </w:tc>
        <w:tc>
          <w:tcPr>
            <w:tcW w:w="7905" w:type="dxa"/>
            <w:shd w:val="clear" w:color="auto" w:fill="F2F2F2" w:themeFill="background1" w:themeFillShade="F2"/>
            <w:vAlign w:val="center"/>
          </w:tcPr>
          <w:p w14:paraId="5A702F79"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 xml:space="preserve">Export of data outside the </w:t>
            </w:r>
            <w:r>
              <w:rPr>
                <w:rFonts w:cs="Arial"/>
                <w:sz w:val="22"/>
                <w:szCs w:val="22"/>
              </w:rPr>
              <w:t>UK</w:t>
            </w:r>
            <w:r w:rsidRPr="004C3A0B">
              <w:rPr>
                <w:rFonts w:cs="Arial"/>
                <w:sz w:val="22"/>
                <w:szCs w:val="22"/>
              </w:rPr>
              <w:t xml:space="preserve"> or importing of data from outside the UK?</w:t>
            </w:r>
          </w:p>
        </w:tc>
        <w:tc>
          <w:tcPr>
            <w:tcW w:w="992" w:type="dxa"/>
            <w:shd w:val="clear" w:color="auto" w:fill="BFBFBF" w:themeFill="background1" w:themeFillShade="BF"/>
            <w:vAlign w:val="center"/>
          </w:tcPr>
          <w:sdt>
            <w:sdtPr>
              <w:rPr>
                <w:rFonts w:cs="Arial"/>
                <w:b/>
                <w:bCs/>
                <w:sz w:val="22"/>
              </w:rPr>
              <w:id w:val="-1311477419"/>
              <w14:checkbox>
                <w14:checked w14:val="0"/>
                <w14:checkedState w14:val="2612" w14:font="MS Gothic"/>
                <w14:uncheckedState w14:val="2610" w14:font="MS Gothic"/>
              </w14:checkbox>
            </w:sdtPr>
            <w:sdtEndPr/>
            <w:sdtContent>
              <w:p w14:paraId="1CDA2A5F"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rPr>
              <w:id w:val="-982232726"/>
              <w14:checkbox>
                <w14:checked w14:val="1"/>
                <w14:checkedState w14:val="2612" w14:font="MS Gothic"/>
                <w14:uncheckedState w14:val="2610" w14:font="MS Gothic"/>
              </w14:checkbox>
            </w:sdtPr>
            <w:sdtEndPr/>
            <w:sdtContent>
              <w:p w14:paraId="78984A30"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018DC337" w14:textId="77777777" w:rsidTr="000E4C5B">
        <w:trPr>
          <w:trHeight w:val="403"/>
        </w:trPr>
        <w:tc>
          <w:tcPr>
            <w:tcW w:w="562" w:type="dxa"/>
            <w:shd w:val="clear" w:color="auto" w:fill="F2F2F2" w:themeFill="background1" w:themeFillShade="F2"/>
            <w:vAlign w:val="center"/>
          </w:tcPr>
          <w:p w14:paraId="41D63047" w14:textId="77777777" w:rsidR="00F0319C" w:rsidRPr="00842FC0" w:rsidRDefault="00F0319C" w:rsidP="000E4C5B">
            <w:pPr>
              <w:autoSpaceDE w:val="0"/>
              <w:autoSpaceDN w:val="0"/>
              <w:adjustRightInd w:val="0"/>
              <w:jc w:val="center"/>
              <w:rPr>
                <w:rFonts w:cs="Arial"/>
                <w:sz w:val="22"/>
                <w:szCs w:val="22"/>
              </w:rPr>
            </w:pPr>
            <w:r>
              <w:rPr>
                <w:rFonts w:cs="Arial"/>
                <w:sz w:val="22"/>
                <w:szCs w:val="22"/>
              </w:rPr>
              <w:t>17</w:t>
            </w:r>
          </w:p>
        </w:tc>
        <w:tc>
          <w:tcPr>
            <w:tcW w:w="7905" w:type="dxa"/>
            <w:shd w:val="clear" w:color="auto" w:fill="F2F2F2" w:themeFill="background1" w:themeFillShade="F2"/>
            <w:vAlign w:val="center"/>
          </w:tcPr>
          <w:p w14:paraId="5106EEE8"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cs="Arial"/>
                <w:b/>
                <w:bCs/>
                <w:sz w:val="22"/>
              </w:rPr>
              <w:id w:val="580263657"/>
              <w14:checkbox>
                <w14:checked w14:val="0"/>
                <w14:checkedState w14:val="2612" w14:font="MS Gothic"/>
                <w14:uncheckedState w14:val="2610" w14:font="MS Gothic"/>
              </w14:checkbox>
            </w:sdtPr>
            <w:sdtEndPr/>
            <w:sdtContent>
              <w:p w14:paraId="12080F54"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rPr>
              <w:id w:val="705679297"/>
              <w14:checkbox>
                <w14:checked w14:val="1"/>
                <w14:checkedState w14:val="2612" w14:font="MS Gothic"/>
                <w14:uncheckedState w14:val="2610" w14:font="MS Gothic"/>
              </w14:checkbox>
            </w:sdtPr>
            <w:sdtEndPr/>
            <w:sdtContent>
              <w:p w14:paraId="5A40C336"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7D7C5315" w14:textId="77777777" w:rsidTr="000E4C5B">
        <w:trPr>
          <w:trHeight w:val="403"/>
        </w:trPr>
        <w:tc>
          <w:tcPr>
            <w:tcW w:w="562" w:type="dxa"/>
            <w:shd w:val="clear" w:color="auto" w:fill="F2F2F2" w:themeFill="background1" w:themeFillShade="F2"/>
            <w:vAlign w:val="center"/>
          </w:tcPr>
          <w:p w14:paraId="3686CB3B" w14:textId="77777777" w:rsidR="00F0319C" w:rsidRPr="00842FC0" w:rsidRDefault="00F0319C" w:rsidP="000E4C5B">
            <w:pPr>
              <w:autoSpaceDE w:val="0"/>
              <w:autoSpaceDN w:val="0"/>
              <w:adjustRightInd w:val="0"/>
              <w:jc w:val="center"/>
              <w:rPr>
                <w:rFonts w:cs="Arial"/>
                <w:sz w:val="22"/>
                <w:szCs w:val="22"/>
              </w:rPr>
            </w:pPr>
            <w:r>
              <w:rPr>
                <w:rFonts w:cs="Arial"/>
                <w:sz w:val="22"/>
                <w:szCs w:val="22"/>
              </w:rPr>
              <w:t>18</w:t>
            </w:r>
          </w:p>
        </w:tc>
        <w:tc>
          <w:tcPr>
            <w:tcW w:w="7905" w:type="dxa"/>
            <w:shd w:val="clear" w:color="auto" w:fill="F2F2F2" w:themeFill="background1" w:themeFillShade="F2"/>
            <w:vAlign w:val="center"/>
          </w:tcPr>
          <w:p w14:paraId="6C2F5D64" w14:textId="77777777" w:rsidR="00F0319C" w:rsidRPr="004C3A0B" w:rsidRDefault="00F0319C" w:rsidP="000E4C5B">
            <w:pPr>
              <w:autoSpaceDE w:val="0"/>
              <w:autoSpaceDN w:val="0"/>
              <w:adjustRightInd w:val="0"/>
              <w:rPr>
                <w:rFonts w:cs="Arial"/>
                <w:sz w:val="22"/>
                <w:szCs w:val="22"/>
              </w:rPr>
            </w:pPr>
            <w:r w:rsidRPr="004C3A0B">
              <w:rPr>
                <w:rFonts w:cs="Arial"/>
                <w:sz w:val="22"/>
                <w:szCs w:val="22"/>
              </w:rPr>
              <w:t>Publication of data that might allow identification of individuals?</w:t>
            </w:r>
          </w:p>
        </w:tc>
        <w:tc>
          <w:tcPr>
            <w:tcW w:w="992" w:type="dxa"/>
            <w:shd w:val="clear" w:color="auto" w:fill="BFBFBF" w:themeFill="background1" w:themeFillShade="BF"/>
            <w:vAlign w:val="center"/>
          </w:tcPr>
          <w:sdt>
            <w:sdtPr>
              <w:rPr>
                <w:rFonts w:cs="Arial"/>
                <w:b/>
                <w:bCs/>
                <w:sz w:val="22"/>
              </w:rPr>
              <w:id w:val="1833259881"/>
              <w14:checkbox>
                <w14:checked w14:val="0"/>
                <w14:checkedState w14:val="2612" w14:font="MS Gothic"/>
                <w14:uncheckedState w14:val="2610" w14:font="MS Gothic"/>
              </w14:checkbox>
            </w:sdtPr>
            <w:sdtEndPr/>
            <w:sdtContent>
              <w:p w14:paraId="701EAB27" w14:textId="77777777" w:rsidR="00F0319C" w:rsidRPr="004C3A0B" w:rsidRDefault="00F0319C" w:rsidP="000E4C5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rPr>
              <w:id w:val="48495840"/>
              <w14:checkbox>
                <w14:checked w14:val="1"/>
                <w14:checkedState w14:val="2612" w14:font="MS Gothic"/>
                <w14:uncheckedState w14:val="2610" w14:font="MS Gothic"/>
              </w14:checkbox>
            </w:sdtPr>
            <w:sdtEndPr/>
            <w:sdtContent>
              <w:p w14:paraId="6398F1AD" w14:textId="77777777" w:rsidR="00F0319C" w:rsidRPr="004C3A0B" w:rsidRDefault="00F0319C" w:rsidP="000E4C5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F0319C" w:rsidRPr="004C3A0B" w14:paraId="0AAF9C29" w14:textId="77777777" w:rsidTr="000E4C5B">
        <w:trPr>
          <w:trHeight w:val="403"/>
        </w:trPr>
        <w:tc>
          <w:tcPr>
            <w:tcW w:w="562" w:type="dxa"/>
            <w:shd w:val="clear" w:color="auto" w:fill="F2F2F2" w:themeFill="background1" w:themeFillShade="F2"/>
            <w:vAlign w:val="center"/>
          </w:tcPr>
          <w:p w14:paraId="258C59A5" w14:textId="77777777" w:rsidR="00F0319C" w:rsidRPr="00842FC0" w:rsidRDefault="00F0319C" w:rsidP="000E4C5B">
            <w:pPr>
              <w:spacing w:before="120"/>
              <w:jc w:val="center"/>
              <w:rPr>
                <w:rFonts w:cs="Arial"/>
                <w:sz w:val="22"/>
                <w:szCs w:val="22"/>
              </w:rPr>
            </w:pPr>
            <w:r>
              <w:rPr>
                <w:rFonts w:cs="Arial"/>
                <w:sz w:val="22"/>
                <w:szCs w:val="22"/>
              </w:rPr>
              <w:t>19</w:t>
            </w:r>
          </w:p>
        </w:tc>
        <w:tc>
          <w:tcPr>
            <w:tcW w:w="9923" w:type="dxa"/>
            <w:gridSpan w:val="3"/>
            <w:shd w:val="clear" w:color="auto" w:fill="F2F2F2" w:themeFill="background1" w:themeFillShade="F2"/>
            <w:vAlign w:val="center"/>
          </w:tcPr>
          <w:p w14:paraId="1457E317" w14:textId="77777777" w:rsidR="00F0319C" w:rsidRPr="004C3A0B" w:rsidRDefault="00F0319C" w:rsidP="000E4C5B">
            <w:pPr>
              <w:spacing w:before="120"/>
              <w:rPr>
                <w:rFonts w:cs="Arial"/>
                <w:bCs/>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r w:rsidRPr="004C3A0B">
              <w:rPr>
                <w:rFonts w:cs="Arial"/>
                <w:bCs/>
                <w:sz w:val="22"/>
                <w:szCs w:val="22"/>
              </w:rPr>
              <w:t xml:space="preserve">explaining how this will be conducted in accordance with the </w:t>
            </w:r>
            <w:r>
              <w:rPr>
                <w:rFonts w:cs="Arial"/>
                <w:bCs/>
                <w:sz w:val="22"/>
                <w:szCs w:val="22"/>
              </w:rPr>
              <w:t>GDPR and Data Protection Act (2018)</w:t>
            </w:r>
            <w:r w:rsidRPr="004C3A0B">
              <w:rPr>
                <w:rFonts w:cs="Arial"/>
                <w:bCs/>
                <w:sz w:val="22"/>
                <w:szCs w:val="22"/>
              </w:rPr>
              <w:t xml:space="preserve"> (and/or any international equivalent):</w:t>
            </w:r>
          </w:p>
        </w:tc>
      </w:tr>
      <w:tr w:rsidR="00F0319C" w:rsidRPr="004C3A0B" w14:paraId="4954A7A8" w14:textId="77777777" w:rsidTr="000E4C5B">
        <w:trPr>
          <w:trHeight w:val="403"/>
        </w:trPr>
        <w:tc>
          <w:tcPr>
            <w:tcW w:w="562" w:type="dxa"/>
            <w:vAlign w:val="center"/>
          </w:tcPr>
          <w:p w14:paraId="0E068A38" w14:textId="77777777" w:rsidR="00F0319C" w:rsidRPr="00E65973" w:rsidRDefault="00F0319C" w:rsidP="000E4C5B">
            <w:pPr>
              <w:autoSpaceDE w:val="0"/>
              <w:autoSpaceDN w:val="0"/>
              <w:adjustRightInd w:val="0"/>
              <w:jc w:val="center"/>
              <w:rPr>
                <w:rFonts w:cs="Arial"/>
                <w:sz w:val="22"/>
                <w:szCs w:val="22"/>
              </w:rPr>
            </w:pPr>
          </w:p>
        </w:tc>
        <w:tc>
          <w:tcPr>
            <w:tcW w:w="9923" w:type="dxa"/>
            <w:gridSpan w:val="3"/>
            <w:vAlign w:val="center"/>
          </w:tcPr>
          <w:p w14:paraId="2BF13819" w14:textId="77777777" w:rsidR="00F0319C" w:rsidRDefault="00F0319C" w:rsidP="000E4C5B">
            <w:pPr>
              <w:autoSpaceDE w:val="0"/>
              <w:autoSpaceDN w:val="0"/>
              <w:adjustRightInd w:val="0"/>
              <w:rPr>
                <w:rFonts w:cs="Arial"/>
                <w:sz w:val="22"/>
                <w:szCs w:val="22"/>
              </w:rPr>
            </w:pPr>
          </w:p>
          <w:p w14:paraId="6001E1EF" w14:textId="77777777" w:rsidR="00F0319C" w:rsidRPr="009B4DAD" w:rsidRDefault="00F0319C" w:rsidP="000E4C5B">
            <w:pPr>
              <w:autoSpaceDE w:val="0"/>
              <w:autoSpaceDN w:val="0"/>
              <w:adjustRightInd w:val="0"/>
              <w:rPr>
                <w:rFonts w:cs="Arial"/>
                <w:color w:val="000000" w:themeColor="text1"/>
                <w:sz w:val="22"/>
                <w:szCs w:val="22"/>
              </w:rPr>
            </w:pPr>
            <w:r w:rsidRPr="00EA0C11">
              <w:rPr>
                <w:rFonts w:cs="Arial"/>
                <w:iCs/>
                <w:color w:val="000000" w:themeColor="text1"/>
                <w:sz w:val="22"/>
                <w:szCs w:val="22"/>
              </w:rPr>
              <w:t>All data will be encrypted and kept in password protected laptop storage on the Ms system which will not be shared.</w:t>
            </w:r>
          </w:p>
          <w:p w14:paraId="43457946" w14:textId="77777777" w:rsidR="00F0319C" w:rsidRPr="00354F34" w:rsidRDefault="00F0319C" w:rsidP="000E4C5B">
            <w:pPr>
              <w:autoSpaceDE w:val="0"/>
              <w:autoSpaceDN w:val="0"/>
              <w:adjustRightInd w:val="0"/>
              <w:rPr>
                <w:rFonts w:cs="Arial"/>
                <w:sz w:val="22"/>
                <w:szCs w:val="22"/>
              </w:rPr>
            </w:pPr>
          </w:p>
          <w:p w14:paraId="5B4A3809" w14:textId="77777777" w:rsidR="00F0319C" w:rsidRPr="004C3A0B" w:rsidRDefault="00F0319C" w:rsidP="000E4C5B">
            <w:pPr>
              <w:autoSpaceDE w:val="0"/>
              <w:autoSpaceDN w:val="0"/>
              <w:adjustRightInd w:val="0"/>
              <w:rPr>
                <w:rFonts w:cs="Arial"/>
              </w:rPr>
            </w:pPr>
            <w:r w:rsidRPr="00354F34">
              <w:rPr>
                <w:rFonts w:cs="Arial"/>
                <w:i/>
                <w:color w:val="808080"/>
                <w:sz w:val="18"/>
                <w:szCs w:val="18"/>
              </w:rPr>
              <w:t>(this box should expand as you type)</w:t>
            </w:r>
          </w:p>
        </w:tc>
      </w:tr>
      <w:tr w:rsidR="00F0319C" w:rsidRPr="004C3A0B" w14:paraId="32293067" w14:textId="77777777" w:rsidTr="000E4C5B">
        <w:trPr>
          <w:trHeight w:val="403"/>
        </w:trPr>
        <w:tc>
          <w:tcPr>
            <w:tcW w:w="562" w:type="dxa"/>
            <w:shd w:val="clear" w:color="auto" w:fill="F2F2F2" w:themeFill="background1" w:themeFillShade="F2"/>
            <w:vAlign w:val="center"/>
          </w:tcPr>
          <w:p w14:paraId="4FB0B192" w14:textId="77777777" w:rsidR="00F0319C" w:rsidRPr="00842FC0" w:rsidRDefault="00F0319C" w:rsidP="000E4C5B">
            <w:pPr>
              <w:autoSpaceDE w:val="0"/>
              <w:autoSpaceDN w:val="0"/>
              <w:adjustRightInd w:val="0"/>
              <w:jc w:val="center"/>
              <w:rPr>
                <w:rFonts w:cs="Arial"/>
                <w:bCs/>
                <w:sz w:val="22"/>
                <w:szCs w:val="22"/>
              </w:rPr>
            </w:pPr>
            <w:r>
              <w:rPr>
                <w:rFonts w:cs="Arial"/>
                <w:sz w:val="22"/>
                <w:szCs w:val="22"/>
              </w:rPr>
              <w:t>20</w:t>
            </w:r>
          </w:p>
        </w:tc>
        <w:tc>
          <w:tcPr>
            <w:tcW w:w="9923" w:type="dxa"/>
            <w:gridSpan w:val="3"/>
            <w:shd w:val="clear" w:color="auto" w:fill="F2F2F2" w:themeFill="background1" w:themeFillShade="F2"/>
            <w:vAlign w:val="center"/>
          </w:tcPr>
          <w:p w14:paraId="48990A33" w14:textId="77777777" w:rsidR="00F0319C" w:rsidRPr="004C3A0B" w:rsidRDefault="00F0319C" w:rsidP="000E4C5B">
            <w:pPr>
              <w:autoSpaceDE w:val="0"/>
              <w:autoSpaceDN w:val="0"/>
              <w:adjustRightInd w:val="0"/>
              <w:rPr>
                <w:rFonts w:cs="Arial"/>
                <w:sz w:val="22"/>
                <w:szCs w:val="22"/>
              </w:rPr>
            </w:pPr>
            <w:r w:rsidRPr="004C3A0B">
              <w:rPr>
                <w:rFonts w:cs="Arial"/>
                <w:bCs/>
                <w:sz w:val="22"/>
                <w:szCs w:val="22"/>
              </w:rPr>
              <w:t>List all who will have access to the data generated by the research activity</w:t>
            </w:r>
            <w:r w:rsidRPr="004C3A0B">
              <w:rPr>
                <w:rFonts w:cs="Arial"/>
                <w:sz w:val="22"/>
                <w:szCs w:val="22"/>
              </w:rPr>
              <w:t>:</w:t>
            </w:r>
          </w:p>
        </w:tc>
      </w:tr>
      <w:tr w:rsidR="00F0319C" w:rsidRPr="004C3A0B" w14:paraId="1B9E82AF" w14:textId="77777777" w:rsidTr="000E4C5B">
        <w:trPr>
          <w:trHeight w:val="403"/>
        </w:trPr>
        <w:tc>
          <w:tcPr>
            <w:tcW w:w="562" w:type="dxa"/>
            <w:vAlign w:val="center"/>
          </w:tcPr>
          <w:p w14:paraId="7132AC24" w14:textId="77777777" w:rsidR="00F0319C" w:rsidRPr="00E65973" w:rsidRDefault="00F0319C" w:rsidP="000E4C5B">
            <w:pPr>
              <w:autoSpaceDE w:val="0"/>
              <w:autoSpaceDN w:val="0"/>
              <w:adjustRightInd w:val="0"/>
              <w:jc w:val="center"/>
              <w:rPr>
                <w:rFonts w:cs="Arial"/>
                <w:sz w:val="22"/>
                <w:szCs w:val="22"/>
              </w:rPr>
            </w:pPr>
          </w:p>
        </w:tc>
        <w:tc>
          <w:tcPr>
            <w:tcW w:w="9923" w:type="dxa"/>
            <w:gridSpan w:val="3"/>
            <w:vAlign w:val="center"/>
          </w:tcPr>
          <w:p w14:paraId="4002E148" w14:textId="77777777" w:rsidR="00F0319C" w:rsidRDefault="00F0319C" w:rsidP="000E4C5B">
            <w:pPr>
              <w:rPr>
                <w:rFonts w:cs="Arial"/>
                <w:sz w:val="22"/>
                <w:szCs w:val="22"/>
              </w:rPr>
            </w:pPr>
          </w:p>
          <w:p w14:paraId="498958E7" w14:textId="77777777" w:rsidR="00F0319C" w:rsidRDefault="00F0319C" w:rsidP="00F0319C">
            <w:pPr>
              <w:pStyle w:val="ListParagraph"/>
              <w:numPr>
                <w:ilvl w:val="0"/>
                <w:numId w:val="33"/>
              </w:numPr>
              <w:spacing w:after="0" w:line="240" w:lineRule="auto"/>
              <w:jc w:val="left"/>
              <w:rPr>
                <w:rFonts w:cs="Arial"/>
                <w:color w:val="000000" w:themeColor="text1"/>
              </w:rPr>
            </w:pPr>
            <w:r>
              <w:rPr>
                <w:rFonts w:cs="Arial"/>
                <w:color w:val="000000" w:themeColor="text1"/>
              </w:rPr>
              <w:t>P</w:t>
            </w:r>
            <w:r w:rsidRPr="009E7867">
              <w:rPr>
                <w:rFonts w:cs="Arial"/>
                <w:color w:val="000000" w:themeColor="text1"/>
              </w:rPr>
              <w:t>rincipal researcher</w:t>
            </w:r>
          </w:p>
          <w:p w14:paraId="35247647" w14:textId="77777777" w:rsidR="00F0319C" w:rsidRPr="009E7867" w:rsidRDefault="00F0319C" w:rsidP="00F0319C">
            <w:pPr>
              <w:pStyle w:val="ListParagraph"/>
              <w:numPr>
                <w:ilvl w:val="0"/>
                <w:numId w:val="33"/>
              </w:numPr>
              <w:spacing w:after="0" w:line="240" w:lineRule="auto"/>
              <w:jc w:val="left"/>
              <w:rPr>
                <w:rFonts w:cs="Arial"/>
                <w:color w:val="000000" w:themeColor="text1"/>
              </w:rPr>
            </w:pPr>
            <w:r w:rsidRPr="009E7867">
              <w:rPr>
                <w:rFonts w:cs="Arial"/>
                <w:color w:val="000000" w:themeColor="text1"/>
              </w:rPr>
              <w:t>Supervisor</w:t>
            </w:r>
          </w:p>
          <w:p w14:paraId="52DA4BE5" w14:textId="77777777" w:rsidR="00F0319C" w:rsidRPr="004C3A0B" w:rsidRDefault="00F0319C" w:rsidP="000E4C5B">
            <w:pPr>
              <w:autoSpaceDE w:val="0"/>
              <w:autoSpaceDN w:val="0"/>
              <w:adjustRightInd w:val="0"/>
              <w:rPr>
                <w:rFonts w:cs="Arial"/>
                <w:sz w:val="22"/>
                <w:szCs w:val="22"/>
              </w:rPr>
            </w:pPr>
            <w:r w:rsidRPr="00354F34">
              <w:rPr>
                <w:rFonts w:cs="Arial"/>
                <w:i/>
                <w:color w:val="808080"/>
                <w:sz w:val="18"/>
                <w:szCs w:val="18"/>
              </w:rPr>
              <w:t>(this box should expand as you type)</w:t>
            </w:r>
          </w:p>
        </w:tc>
      </w:tr>
      <w:tr w:rsidR="00F0319C" w:rsidRPr="004C3A0B" w14:paraId="24C6A078" w14:textId="77777777" w:rsidTr="000E4C5B">
        <w:trPr>
          <w:trHeight w:val="403"/>
        </w:trPr>
        <w:tc>
          <w:tcPr>
            <w:tcW w:w="562" w:type="dxa"/>
            <w:shd w:val="clear" w:color="auto" w:fill="F2F2F2" w:themeFill="background1" w:themeFillShade="F2"/>
            <w:vAlign w:val="center"/>
          </w:tcPr>
          <w:p w14:paraId="2B083C08" w14:textId="77777777" w:rsidR="00F0319C" w:rsidRPr="00842FC0" w:rsidRDefault="00F0319C" w:rsidP="000E4C5B">
            <w:pPr>
              <w:autoSpaceDE w:val="0"/>
              <w:autoSpaceDN w:val="0"/>
              <w:adjustRightInd w:val="0"/>
              <w:jc w:val="center"/>
              <w:rPr>
                <w:rFonts w:cs="Arial"/>
                <w:bCs/>
                <w:sz w:val="22"/>
                <w:szCs w:val="22"/>
              </w:rPr>
            </w:pPr>
            <w:r>
              <w:rPr>
                <w:rFonts w:cs="Arial"/>
                <w:sz w:val="22"/>
                <w:szCs w:val="22"/>
              </w:rPr>
              <w:t>21</w:t>
            </w:r>
          </w:p>
        </w:tc>
        <w:tc>
          <w:tcPr>
            <w:tcW w:w="9923" w:type="dxa"/>
            <w:gridSpan w:val="3"/>
            <w:shd w:val="clear" w:color="auto" w:fill="F2F2F2" w:themeFill="background1" w:themeFillShade="F2"/>
          </w:tcPr>
          <w:p w14:paraId="75F3CB2E" w14:textId="77777777" w:rsidR="00F0319C" w:rsidRPr="004C3A0B" w:rsidRDefault="00F0319C" w:rsidP="000E4C5B">
            <w:pPr>
              <w:autoSpaceDE w:val="0"/>
              <w:autoSpaceDN w:val="0"/>
              <w:adjustRightInd w:val="0"/>
              <w:rPr>
                <w:rFonts w:cs="Arial"/>
                <w:sz w:val="22"/>
                <w:szCs w:val="22"/>
              </w:rPr>
            </w:pPr>
            <w:r w:rsidRPr="004C3A0B">
              <w:rPr>
                <w:rFonts w:cs="Arial"/>
                <w:bCs/>
                <w:sz w:val="22"/>
                <w:szCs w:val="22"/>
              </w:rPr>
              <w:t>List who will have control of, and act as custodian(s) for, data generated by the research activity</w:t>
            </w:r>
            <w:r w:rsidRPr="004C3A0B">
              <w:rPr>
                <w:rFonts w:cs="Arial"/>
                <w:sz w:val="22"/>
                <w:szCs w:val="22"/>
              </w:rPr>
              <w:t>:</w:t>
            </w:r>
          </w:p>
        </w:tc>
      </w:tr>
      <w:tr w:rsidR="00F0319C" w:rsidRPr="004C3A0B" w14:paraId="20EE5E50" w14:textId="77777777" w:rsidTr="000E4C5B">
        <w:trPr>
          <w:trHeight w:val="403"/>
        </w:trPr>
        <w:tc>
          <w:tcPr>
            <w:tcW w:w="562" w:type="dxa"/>
            <w:vAlign w:val="center"/>
          </w:tcPr>
          <w:p w14:paraId="7306DFB3" w14:textId="77777777" w:rsidR="00F0319C" w:rsidRPr="00E65973" w:rsidRDefault="00F0319C" w:rsidP="000E4C5B">
            <w:pPr>
              <w:autoSpaceDE w:val="0"/>
              <w:autoSpaceDN w:val="0"/>
              <w:adjustRightInd w:val="0"/>
              <w:jc w:val="center"/>
              <w:rPr>
                <w:rFonts w:cs="Arial"/>
                <w:sz w:val="22"/>
                <w:szCs w:val="22"/>
              </w:rPr>
            </w:pPr>
          </w:p>
        </w:tc>
        <w:tc>
          <w:tcPr>
            <w:tcW w:w="9923" w:type="dxa"/>
            <w:gridSpan w:val="3"/>
          </w:tcPr>
          <w:p w14:paraId="69C0DA80" w14:textId="77777777" w:rsidR="00F0319C" w:rsidRPr="00EA0C11" w:rsidRDefault="00F0319C" w:rsidP="000E4C5B">
            <w:pPr>
              <w:rPr>
                <w:rFonts w:cs="Arial"/>
                <w:color w:val="000000" w:themeColor="text1"/>
              </w:rPr>
            </w:pPr>
          </w:p>
          <w:p w14:paraId="268B3FBC" w14:textId="77777777" w:rsidR="00F0319C" w:rsidRPr="00EA0C11" w:rsidRDefault="00F0319C" w:rsidP="00F0319C">
            <w:pPr>
              <w:pStyle w:val="ListParagraph"/>
              <w:numPr>
                <w:ilvl w:val="0"/>
                <w:numId w:val="34"/>
              </w:numPr>
              <w:spacing w:after="0" w:line="240" w:lineRule="auto"/>
              <w:jc w:val="left"/>
              <w:rPr>
                <w:rFonts w:cs="Arial"/>
                <w:color w:val="000000" w:themeColor="text1"/>
              </w:rPr>
            </w:pPr>
            <w:r>
              <w:rPr>
                <w:rFonts w:cs="Arial"/>
                <w:color w:val="000000" w:themeColor="text1"/>
              </w:rPr>
              <w:t>P</w:t>
            </w:r>
            <w:r w:rsidRPr="009E7867">
              <w:rPr>
                <w:rFonts w:cs="Arial"/>
                <w:color w:val="000000" w:themeColor="text1"/>
              </w:rPr>
              <w:t>rincipal researcher</w:t>
            </w:r>
          </w:p>
          <w:p w14:paraId="4718E3F7" w14:textId="77777777" w:rsidR="00F0319C" w:rsidRPr="004C3A0B" w:rsidRDefault="00F0319C" w:rsidP="000E4C5B">
            <w:pPr>
              <w:autoSpaceDE w:val="0"/>
              <w:autoSpaceDN w:val="0"/>
              <w:adjustRightInd w:val="0"/>
              <w:rPr>
                <w:rFonts w:cs="Arial"/>
                <w:sz w:val="22"/>
                <w:szCs w:val="22"/>
              </w:rPr>
            </w:pPr>
            <w:r w:rsidRPr="00354F34">
              <w:rPr>
                <w:rFonts w:cs="Arial"/>
                <w:i/>
                <w:color w:val="808080"/>
                <w:sz w:val="18"/>
                <w:szCs w:val="18"/>
              </w:rPr>
              <w:lastRenderedPageBreak/>
              <w:t>(this box should expand as you type)</w:t>
            </w:r>
          </w:p>
        </w:tc>
      </w:tr>
      <w:tr w:rsidR="00F0319C" w:rsidRPr="004C3A0B" w14:paraId="65FDACE2" w14:textId="77777777" w:rsidTr="000E4C5B">
        <w:trPr>
          <w:trHeight w:val="403"/>
        </w:trPr>
        <w:tc>
          <w:tcPr>
            <w:tcW w:w="562" w:type="dxa"/>
            <w:shd w:val="clear" w:color="auto" w:fill="F2F2F2" w:themeFill="background1" w:themeFillShade="F2"/>
            <w:vAlign w:val="center"/>
          </w:tcPr>
          <w:p w14:paraId="73A4E5E5" w14:textId="77777777" w:rsidR="00F0319C" w:rsidRPr="00842FC0" w:rsidRDefault="00F0319C" w:rsidP="000E4C5B">
            <w:pPr>
              <w:autoSpaceDE w:val="0"/>
              <w:autoSpaceDN w:val="0"/>
              <w:adjustRightInd w:val="0"/>
              <w:jc w:val="center"/>
              <w:rPr>
                <w:rFonts w:cs="Arial"/>
                <w:bCs/>
                <w:sz w:val="22"/>
                <w:szCs w:val="22"/>
              </w:rPr>
            </w:pPr>
            <w:r>
              <w:rPr>
                <w:rFonts w:cs="Arial"/>
                <w:sz w:val="22"/>
                <w:szCs w:val="22"/>
              </w:rPr>
              <w:lastRenderedPageBreak/>
              <w:t>22</w:t>
            </w:r>
          </w:p>
        </w:tc>
        <w:tc>
          <w:tcPr>
            <w:tcW w:w="9923" w:type="dxa"/>
            <w:gridSpan w:val="3"/>
            <w:shd w:val="clear" w:color="auto" w:fill="F2F2F2" w:themeFill="background1" w:themeFillShade="F2"/>
          </w:tcPr>
          <w:p w14:paraId="1814834C" w14:textId="77777777" w:rsidR="00F0319C" w:rsidRPr="004C3A0B" w:rsidRDefault="00F0319C" w:rsidP="000E4C5B">
            <w:pPr>
              <w:autoSpaceDE w:val="0"/>
              <w:autoSpaceDN w:val="0"/>
              <w:adjustRightInd w:val="0"/>
              <w:rPr>
                <w:rFonts w:cs="Arial"/>
                <w:sz w:val="22"/>
                <w:szCs w:val="22"/>
              </w:rPr>
            </w:pPr>
            <w:r w:rsidRPr="004C3A0B">
              <w:rPr>
                <w:rFonts w:cs="Arial"/>
                <w:bCs/>
                <w:sz w:val="22"/>
                <w:szCs w:val="22"/>
              </w:rPr>
              <w:t xml:space="preserve">Give details of data storage arrangements, including </w:t>
            </w:r>
            <w:r>
              <w:rPr>
                <w:rFonts w:cs="Arial"/>
                <w:bCs/>
                <w:sz w:val="22"/>
                <w:szCs w:val="22"/>
              </w:rPr>
              <w:t xml:space="preserve">security measures in place to protect the data, </w:t>
            </w:r>
            <w:r w:rsidRPr="004C3A0B">
              <w:rPr>
                <w:rFonts w:cs="Arial"/>
                <w:bCs/>
                <w:sz w:val="22"/>
                <w:szCs w:val="22"/>
              </w:rPr>
              <w:t xml:space="preserve">where data will be stored, how long for, and in what form. </w:t>
            </w:r>
          </w:p>
        </w:tc>
      </w:tr>
      <w:tr w:rsidR="00F0319C" w:rsidRPr="004C3A0B" w14:paraId="779E18DE" w14:textId="77777777" w:rsidTr="000E4C5B">
        <w:trPr>
          <w:trHeight w:val="403"/>
        </w:trPr>
        <w:tc>
          <w:tcPr>
            <w:tcW w:w="562" w:type="dxa"/>
            <w:vAlign w:val="center"/>
          </w:tcPr>
          <w:p w14:paraId="4FDE55BC" w14:textId="77777777" w:rsidR="00F0319C" w:rsidRPr="00E65973" w:rsidRDefault="00F0319C" w:rsidP="000E4C5B">
            <w:pPr>
              <w:autoSpaceDE w:val="0"/>
              <w:autoSpaceDN w:val="0"/>
              <w:adjustRightInd w:val="0"/>
              <w:jc w:val="center"/>
              <w:rPr>
                <w:rFonts w:cs="Arial"/>
                <w:sz w:val="22"/>
                <w:szCs w:val="22"/>
              </w:rPr>
            </w:pPr>
          </w:p>
        </w:tc>
        <w:tc>
          <w:tcPr>
            <w:tcW w:w="9923" w:type="dxa"/>
            <w:gridSpan w:val="3"/>
          </w:tcPr>
          <w:p w14:paraId="1F8BDBE6" w14:textId="77777777" w:rsidR="00F0319C" w:rsidRDefault="00F0319C" w:rsidP="000E4C5B">
            <w:pPr>
              <w:rPr>
                <w:rFonts w:cs="Arial"/>
                <w:iCs/>
                <w:color w:val="000000" w:themeColor="text1"/>
                <w:sz w:val="22"/>
                <w:szCs w:val="22"/>
              </w:rPr>
            </w:pPr>
          </w:p>
          <w:p w14:paraId="537FCEC9" w14:textId="77777777" w:rsidR="00F0319C" w:rsidRPr="00EA0C11" w:rsidRDefault="00F0319C" w:rsidP="000E4C5B">
            <w:pPr>
              <w:rPr>
                <w:rFonts w:cs="Arial"/>
                <w:iCs/>
                <w:color w:val="000000" w:themeColor="text1"/>
                <w:sz w:val="22"/>
                <w:szCs w:val="22"/>
              </w:rPr>
            </w:pPr>
            <w:r w:rsidRPr="00EA0C11">
              <w:rPr>
                <w:rFonts w:cs="Arial"/>
                <w:iCs/>
                <w:color w:val="000000" w:themeColor="text1"/>
                <w:sz w:val="22"/>
                <w:szCs w:val="22"/>
              </w:rPr>
              <w:t>All data will be encrypted and kept in password protected laptop storage on the Ms system which will not be shared. The data will be stored until the completion of the project and then deleted.</w:t>
            </w:r>
          </w:p>
          <w:p w14:paraId="692CD2C1" w14:textId="77777777" w:rsidR="00F0319C" w:rsidRPr="004C3A0B" w:rsidRDefault="00F0319C" w:rsidP="000E4C5B">
            <w:pPr>
              <w:autoSpaceDE w:val="0"/>
              <w:autoSpaceDN w:val="0"/>
              <w:adjustRightInd w:val="0"/>
              <w:rPr>
                <w:rFonts w:cs="Arial"/>
                <w:sz w:val="22"/>
                <w:szCs w:val="22"/>
              </w:rPr>
            </w:pPr>
            <w:r w:rsidRPr="00354F34">
              <w:rPr>
                <w:rFonts w:cs="Arial"/>
                <w:i/>
                <w:color w:val="808080"/>
                <w:sz w:val="18"/>
                <w:szCs w:val="18"/>
              </w:rPr>
              <w:t>(this box should expand as you type)</w:t>
            </w:r>
          </w:p>
        </w:tc>
      </w:tr>
      <w:tr w:rsidR="00F0319C" w:rsidRPr="004C3A0B" w14:paraId="3C5507B4" w14:textId="77777777" w:rsidTr="000E4C5B">
        <w:trPr>
          <w:trHeight w:val="600"/>
        </w:trPr>
        <w:tc>
          <w:tcPr>
            <w:tcW w:w="562" w:type="dxa"/>
            <w:shd w:val="clear" w:color="auto" w:fill="F2F2F2" w:themeFill="background1" w:themeFillShade="F2"/>
            <w:vAlign w:val="center"/>
          </w:tcPr>
          <w:p w14:paraId="072CE5ED" w14:textId="77777777" w:rsidR="00F0319C" w:rsidRPr="00842FC0" w:rsidRDefault="00F0319C" w:rsidP="000E4C5B">
            <w:pPr>
              <w:autoSpaceDE w:val="0"/>
              <w:autoSpaceDN w:val="0"/>
              <w:adjustRightInd w:val="0"/>
              <w:jc w:val="center"/>
              <w:rPr>
                <w:rFonts w:cs="Arial"/>
                <w:bCs/>
                <w:sz w:val="22"/>
                <w:szCs w:val="22"/>
              </w:rPr>
            </w:pPr>
            <w:r w:rsidRPr="00E65973">
              <w:rPr>
                <w:rFonts w:cs="Arial"/>
                <w:bCs/>
                <w:sz w:val="22"/>
                <w:szCs w:val="22"/>
              </w:rPr>
              <w:t>2</w:t>
            </w:r>
            <w:r>
              <w:rPr>
                <w:rFonts w:cs="Arial"/>
                <w:bCs/>
                <w:sz w:val="22"/>
                <w:szCs w:val="22"/>
              </w:rPr>
              <w:t>2</w:t>
            </w:r>
          </w:p>
        </w:tc>
        <w:tc>
          <w:tcPr>
            <w:tcW w:w="7905" w:type="dxa"/>
            <w:shd w:val="clear" w:color="auto" w:fill="F2F2F2" w:themeFill="background1" w:themeFillShade="F2"/>
          </w:tcPr>
          <w:p w14:paraId="607D7084" w14:textId="77777777" w:rsidR="00F0319C" w:rsidRPr="009563B2" w:rsidRDefault="00F0319C" w:rsidP="000E4C5B">
            <w:pPr>
              <w:autoSpaceDE w:val="0"/>
              <w:autoSpaceDN w:val="0"/>
              <w:adjustRightInd w:val="0"/>
              <w:rPr>
                <w:rFonts w:cs="Arial"/>
                <w:color w:val="000000"/>
                <w:sz w:val="22"/>
                <w:szCs w:val="22"/>
              </w:rPr>
            </w:pPr>
            <w:r w:rsidRPr="004D6425">
              <w:rPr>
                <w:rFonts w:cs="Arial"/>
                <w:bCs/>
                <w:sz w:val="22"/>
                <w:szCs w:val="22"/>
              </w:rPr>
              <w:t xml:space="preserve">Confirm that you </w:t>
            </w:r>
            <w:r>
              <w:rPr>
                <w:rFonts w:cs="Arial"/>
                <w:bCs/>
                <w:sz w:val="22"/>
                <w:szCs w:val="22"/>
              </w:rPr>
              <w:t xml:space="preserve">have read the UWTSD guidance on data management (see </w:t>
            </w:r>
            <w:hyperlink r:id="rId90" w:history="1">
              <w:r w:rsidRPr="00C32EFB">
                <w:rPr>
                  <w:rStyle w:val="Hyperlink"/>
                  <w:rFonts w:cs="Arial"/>
                  <w:color w:val="000000"/>
                  <w:sz w:val="22"/>
                  <w:szCs w:val="22"/>
                </w:rPr>
                <w:t>https://www.uwtsd.ac.uk/library/research-data-management/</w:t>
              </w:r>
            </w:hyperlink>
            <w:r w:rsidRPr="00C32EFB">
              <w:rPr>
                <w:rFonts w:cs="Arial"/>
                <w:color w:val="000000"/>
                <w:sz w:val="22"/>
                <w:szCs w:val="22"/>
              </w:rPr>
              <w:t>)</w:t>
            </w:r>
          </w:p>
        </w:tc>
        <w:tc>
          <w:tcPr>
            <w:tcW w:w="2018" w:type="dxa"/>
            <w:gridSpan w:val="2"/>
            <w:vAlign w:val="center"/>
          </w:tcPr>
          <w:p w14:paraId="4752535E" w14:textId="77777777" w:rsidR="00F0319C" w:rsidRPr="0092487B" w:rsidRDefault="00867805" w:rsidP="000E4C5B">
            <w:pPr>
              <w:autoSpaceDE w:val="0"/>
              <w:autoSpaceDN w:val="0"/>
              <w:adjustRightInd w:val="0"/>
              <w:jc w:val="center"/>
              <w:rPr>
                <w:rFonts w:cs="Arial"/>
                <w:sz w:val="22"/>
                <w:szCs w:val="22"/>
              </w:rPr>
            </w:pPr>
            <w:sdt>
              <w:sdtPr>
                <w:rPr>
                  <w:rFonts w:cs="Arial"/>
                  <w:b/>
                  <w:bCs/>
                </w:rPr>
                <w:id w:val="1821611795"/>
                <w14:checkbox>
                  <w14:checked w14:val="1"/>
                  <w14:checkedState w14:val="2612" w14:font="MS Gothic"/>
                  <w14:uncheckedState w14:val="2610" w14:font="MS Gothic"/>
                </w14:checkbox>
              </w:sdtPr>
              <w:sdtEndPr/>
              <w:sdtContent>
                <w:r w:rsidR="00F0319C">
                  <w:rPr>
                    <w:rFonts w:ascii="MS Gothic" w:eastAsia="MS Gothic" w:hAnsi="MS Gothic" w:cs="Arial" w:hint="eastAsia"/>
                    <w:b/>
                    <w:bCs/>
                  </w:rPr>
                  <w:t>☒</w:t>
                </w:r>
              </w:sdtContent>
            </w:sdt>
          </w:p>
        </w:tc>
      </w:tr>
      <w:tr w:rsidR="00F0319C" w:rsidRPr="004C3A0B" w14:paraId="6C003EF9" w14:textId="77777777" w:rsidTr="000E4C5B">
        <w:trPr>
          <w:trHeight w:val="632"/>
        </w:trPr>
        <w:tc>
          <w:tcPr>
            <w:tcW w:w="562" w:type="dxa"/>
            <w:shd w:val="clear" w:color="auto" w:fill="F2F2F2" w:themeFill="background1" w:themeFillShade="F2"/>
            <w:vAlign w:val="center"/>
          </w:tcPr>
          <w:p w14:paraId="251553F7" w14:textId="77777777" w:rsidR="00F0319C" w:rsidRPr="00842FC0" w:rsidRDefault="00F0319C" w:rsidP="000E4C5B">
            <w:pPr>
              <w:autoSpaceDE w:val="0"/>
              <w:autoSpaceDN w:val="0"/>
              <w:adjustRightInd w:val="0"/>
              <w:jc w:val="center"/>
              <w:rPr>
                <w:rFonts w:cs="Arial"/>
                <w:bCs/>
                <w:sz w:val="22"/>
                <w:szCs w:val="22"/>
              </w:rPr>
            </w:pPr>
            <w:r>
              <w:rPr>
                <w:rFonts w:cs="Arial"/>
                <w:bCs/>
                <w:sz w:val="22"/>
                <w:szCs w:val="22"/>
              </w:rPr>
              <w:t>23</w:t>
            </w:r>
          </w:p>
        </w:tc>
        <w:tc>
          <w:tcPr>
            <w:tcW w:w="7905" w:type="dxa"/>
            <w:shd w:val="clear" w:color="auto" w:fill="F2F2F2" w:themeFill="background1" w:themeFillShade="F2"/>
          </w:tcPr>
          <w:p w14:paraId="3E4300D3" w14:textId="77777777" w:rsidR="00F0319C" w:rsidRPr="0092487B" w:rsidRDefault="00F0319C" w:rsidP="000E4C5B">
            <w:pPr>
              <w:autoSpaceDE w:val="0"/>
              <w:autoSpaceDN w:val="0"/>
              <w:adjustRightInd w:val="0"/>
              <w:rPr>
                <w:rFonts w:cs="Arial"/>
                <w:sz w:val="22"/>
                <w:szCs w:val="22"/>
              </w:rPr>
            </w:pPr>
            <w:r w:rsidRPr="004D6425">
              <w:rPr>
                <w:rFonts w:cs="Arial"/>
                <w:bCs/>
                <w:sz w:val="22"/>
                <w:szCs w:val="22"/>
              </w:rPr>
              <w:t>Confirm that you are aware that you need to keep all data until after your research has completed or the end of your funding</w:t>
            </w:r>
          </w:p>
        </w:tc>
        <w:tc>
          <w:tcPr>
            <w:tcW w:w="2018" w:type="dxa"/>
            <w:gridSpan w:val="2"/>
            <w:vAlign w:val="center"/>
          </w:tcPr>
          <w:p w14:paraId="2B836D2E" w14:textId="77777777" w:rsidR="00F0319C" w:rsidRPr="0092487B" w:rsidRDefault="00867805" w:rsidP="000E4C5B">
            <w:pPr>
              <w:autoSpaceDE w:val="0"/>
              <w:autoSpaceDN w:val="0"/>
              <w:adjustRightInd w:val="0"/>
              <w:jc w:val="center"/>
              <w:rPr>
                <w:rFonts w:cs="Arial"/>
                <w:sz w:val="22"/>
                <w:szCs w:val="22"/>
              </w:rPr>
            </w:pPr>
            <w:sdt>
              <w:sdtPr>
                <w:rPr>
                  <w:rFonts w:cs="Arial"/>
                  <w:b/>
                  <w:bCs/>
                </w:rPr>
                <w:id w:val="767737168"/>
                <w14:checkbox>
                  <w14:checked w14:val="1"/>
                  <w14:checkedState w14:val="2612" w14:font="MS Gothic"/>
                  <w14:uncheckedState w14:val="2610" w14:font="MS Gothic"/>
                </w14:checkbox>
              </w:sdtPr>
              <w:sdtEndPr/>
              <w:sdtContent>
                <w:r w:rsidR="00F0319C">
                  <w:rPr>
                    <w:rFonts w:ascii="MS Gothic" w:eastAsia="MS Gothic" w:hAnsi="MS Gothic" w:cs="Arial" w:hint="eastAsia"/>
                    <w:b/>
                    <w:bCs/>
                  </w:rPr>
                  <w:t>☒</w:t>
                </w:r>
              </w:sdtContent>
            </w:sdt>
          </w:p>
        </w:tc>
      </w:tr>
    </w:tbl>
    <w:p w14:paraId="607CB850" w14:textId="77777777" w:rsidR="00F0319C" w:rsidRDefault="00F0319C" w:rsidP="00F0319C">
      <w:pPr>
        <w:rPr>
          <w:rFonts w:cs="Arial"/>
          <w:b/>
          <w:bCs/>
          <w:sz w:val="22"/>
        </w:rPr>
      </w:pPr>
    </w:p>
    <w:p w14:paraId="2BB7B798" w14:textId="77777777" w:rsidR="00F0319C" w:rsidRDefault="00F0319C" w:rsidP="00F0319C">
      <w:pPr>
        <w:autoSpaceDE w:val="0"/>
        <w:autoSpaceDN w:val="0"/>
        <w:adjustRightInd w:val="0"/>
        <w:spacing w:after="240"/>
        <w:rPr>
          <w:rFonts w:cs="Arial"/>
          <w:b/>
          <w:sz w:val="22"/>
        </w:rPr>
      </w:pPr>
    </w:p>
    <w:p w14:paraId="420B1697" w14:textId="77777777" w:rsidR="00F0319C" w:rsidRDefault="00F0319C" w:rsidP="00F0319C">
      <w:pPr>
        <w:autoSpaceDE w:val="0"/>
        <w:autoSpaceDN w:val="0"/>
        <w:adjustRightInd w:val="0"/>
        <w:spacing w:after="240"/>
        <w:rPr>
          <w:rFonts w:cs="Arial"/>
          <w:b/>
          <w:sz w:val="22"/>
        </w:rPr>
      </w:pPr>
    </w:p>
    <w:p w14:paraId="3E6E6690" w14:textId="77777777" w:rsidR="00F0319C" w:rsidRDefault="00F0319C" w:rsidP="00F0319C">
      <w:pPr>
        <w:autoSpaceDE w:val="0"/>
        <w:autoSpaceDN w:val="0"/>
        <w:adjustRightInd w:val="0"/>
        <w:spacing w:after="240"/>
        <w:rPr>
          <w:rFonts w:cs="Arial"/>
          <w:b/>
          <w:sz w:val="22"/>
        </w:rPr>
      </w:pPr>
    </w:p>
    <w:p w14:paraId="2C6175A2" w14:textId="77777777" w:rsidR="00F0319C" w:rsidRPr="001B41AD" w:rsidRDefault="00F0319C" w:rsidP="00F0319C">
      <w:pPr>
        <w:autoSpaceDE w:val="0"/>
        <w:autoSpaceDN w:val="0"/>
        <w:adjustRightInd w:val="0"/>
        <w:spacing w:after="240"/>
        <w:rPr>
          <w:rFonts w:cs="Arial"/>
          <w:b/>
          <w:sz w:val="22"/>
        </w:rPr>
      </w:pPr>
      <w:r w:rsidRPr="00354F34">
        <w:rPr>
          <w:rFonts w:cs="Arial"/>
          <w:b/>
          <w:sz w:val="22"/>
        </w:rPr>
        <w:t xml:space="preserve">SECTION </w:t>
      </w:r>
      <w:r>
        <w:rPr>
          <w:rFonts w:cs="Arial"/>
          <w:b/>
          <w:sz w:val="22"/>
        </w:rPr>
        <w:t>I</w:t>
      </w:r>
      <w:r w:rsidRPr="00354F34">
        <w:rPr>
          <w:rFonts w:cs="Arial"/>
          <w:b/>
          <w:sz w:val="22"/>
        </w:rPr>
        <w:t>:</w:t>
      </w:r>
      <w:r>
        <w:rPr>
          <w:rFonts w:cs="Arial"/>
          <w:b/>
          <w:sz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F0319C" w:rsidRPr="003C7DED" w14:paraId="3317A89E" w14:textId="77777777" w:rsidTr="000E4C5B">
        <w:tc>
          <w:tcPr>
            <w:tcW w:w="7392" w:type="dxa"/>
            <w:gridSpan w:val="2"/>
            <w:shd w:val="clear" w:color="auto" w:fill="F2F2F2" w:themeFill="background1" w:themeFillShade="F2"/>
          </w:tcPr>
          <w:p w14:paraId="31EAA118" w14:textId="77777777" w:rsidR="00F0319C" w:rsidRPr="003C7DED" w:rsidRDefault="00F0319C" w:rsidP="000E4C5B">
            <w:pPr>
              <w:autoSpaceDE w:val="0"/>
              <w:autoSpaceDN w:val="0"/>
              <w:adjustRightInd w:val="0"/>
              <w:rPr>
                <w:rFonts w:cs="Arial"/>
                <w:b/>
                <w:sz w:val="22"/>
                <w:szCs w:val="22"/>
              </w:rPr>
            </w:pPr>
            <w:r>
              <w:rPr>
                <w:rFonts w:cs="Arial"/>
                <w:b/>
                <w:sz w:val="22"/>
                <w:szCs w:val="22"/>
              </w:rPr>
              <w:t>Use of generative AI and other AI-based tools</w:t>
            </w:r>
          </w:p>
          <w:p w14:paraId="1132D603" w14:textId="77777777" w:rsidR="00F0319C" w:rsidRDefault="00F0319C" w:rsidP="000E4C5B">
            <w:pPr>
              <w:autoSpaceDE w:val="0"/>
              <w:autoSpaceDN w:val="0"/>
              <w:adjustRightInd w:val="0"/>
              <w:rPr>
                <w:rFonts w:cs="Arial"/>
                <w:bCs/>
                <w:sz w:val="22"/>
                <w:szCs w:val="22"/>
              </w:rPr>
            </w:pPr>
            <w:r>
              <w:rPr>
                <w:rFonts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6648DEB8" w14:textId="77777777" w:rsidR="00F0319C" w:rsidRDefault="00F0319C" w:rsidP="000E4C5B">
            <w:pPr>
              <w:autoSpaceDE w:val="0"/>
              <w:autoSpaceDN w:val="0"/>
              <w:adjustRightInd w:val="0"/>
              <w:rPr>
                <w:rFonts w:cs="Arial"/>
                <w:bCs/>
                <w:sz w:val="22"/>
                <w:szCs w:val="22"/>
              </w:rPr>
            </w:pPr>
          </w:p>
          <w:p w14:paraId="14952A70" w14:textId="77777777" w:rsidR="00F0319C" w:rsidRPr="00F11B19" w:rsidRDefault="00F0319C" w:rsidP="000E4C5B">
            <w:pPr>
              <w:autoSpaceDE w:val="0"/>
              <w:autoSpaceDN w:val="0"/>
              <w:adjustRightInd w:val="0"/>
              <w:rPr>
                <w:rFonts w:cs="Arial"/>
                <w:bCs/>
                <w:sz w:val="22"/>
                <w:szCs w:val="22"/>
              </w:rPr>
            </w:pPr>
            <w:r>
              <w:rPr>
                <w:rFonts w:cs="Arial"/>
                <w:bCs/>
                <w:sz w:val="22"/>
                <w:szCs w:val="22"/>
              </w:rPr>
              <w:t>Will the research use AI tools to do any of the following:</w:t>
            </w:r>
          </w:p>
        </w:tc>
        <w:tc>
          <w:tcPr>
            <w:tcW w:w="980" w:type="dxa"/>
            <w:shd w:val="clear" w:color="auto" w:fill="F2F2F2" w:themeFill="background1" w:themeFillShade="F2"/>
            <w:vAlign w:val="center"/>
          </w:tcPr>
          <w:p w14:paraId="3989CC40" w14:textId="77777777" w:rsidR="00F0319C" w:rsidRPr="003C7DED" w:rsidRDefault="00F0319C" w:rsidP="000E4C5B">
            <w:pPr>
              <w:autoSpaceDE w:val="0"/>
              <w:autoSpaceDN w:val="0"/>
              <w:adjustRightInd w:val="0"/>
              <w:jc w:val="center"/>
              <w:rPr>
                <w:rFonts w:cs="Arial"/>
                <w:b/>
                <w:bCs/>
                <w:sz w:val="22"/>
                <w:szCs w:val="22"/>
              </w:rPr>
            </w:pPr>
            <w:r w:rsidRPr="003C7DED">
              <w:rPr>
                <w:rFonts w:cs="Arial"/>
                <w:b/>
                <w:bCs/>
                <w:sz w:val="22"/>
                <w:szCs w:val="22"/>
              </w:rPr>
              <w:t>YES</w:t>
            </w:r>
          </w:p>
        </w:tc>
        <w:tc>
          <w:tcPr>
            <w:tcW w:w="1109" w:type="dxa"/>
            <w:shd w:val="clear" w:color="auto" w:fill="F2F2F2" w:themeFill="background1" w:themeFillShade="F2"/>
            <w:vAlign w:val="center"/>
          </w:tcPr>
          <w:p w14:paraId="766D8A9D" w14:textId="77777777" w:rsidR="00F0319C" w:rsidRPr="003C7DED" w:rsidRDefault="00F0319C" w:rsidP="000E4C5B">
            <w:pPr>
              <w:autoSpaceDE w:val="0"/>
              <w:autoSpaceDN w:val="0"/>
              <w:adjustRightInd w:val="0"/>
              <w:jc w:val="center"/>
              <w:rPr>
                <w:rFonts w:cs="Arial"/>
                <w:b/>
                <w:bCs/>
                <w:sz w:val="22"/>
                <w:szCs w:val="22"/>
              </w:rPr>
            </w:pPr>
            <w:r w:rsidRPr="003C7DED">
              <w:rPr>
                <w:rFonts w:cs="Arial"/>
                <w:b/>
                <w:bCs/>
                <w:sz w:val="22"/>
                <w:szCs w:val="22"/>
              </w:rPr>
              <w:t>NO</w:t>
            </w:r>
          </w:p>
        </w:tc>
        <w:tc>
          <w:tcPr>
            <w:tcW w:w="1006" w:type="dxa"/>
            <w:shd w:val="clear" w:color="auto" w:fill="F2F2F2" w:themeFill="background1" w:themeFillShade="F2"/>
            <w:vAlign w:val="center"/>
          </w:tcPr>
          <w:p w14:paraId="636BA14B" w14:textId="77777777" w:rsidR="00F0319C" w:rsidRPr="003C7DED" w:rsidRDefault="00F0319C" w:rsidP="000E4C5B">
            <w:pPr>
              <w:autoSpaceDE w:val="0"/>
              <w:autoSpaceDN w:val="0"/>
              <w:adjustRightInd w:val="0"/>
              <w:jc w:val="center"/>
              <w:rPr>
                <w:rFonts w:cs="Arial"/>
                <w:b/>
                <w:bCs/>
                <w:sz w:val="22"/>
                <w:szCs w:val="22"/>
              </w:rPr>
            </w:pPr>
            <w:r w:rsidRPr="003C7DED">
              <w:rPr>
                <w:rFonts w:cs="Arial"/>
                <w:b/>
                <w:bCs/>
                <w:sz w:val="22"/>
                <w:szCs w:val="22"/>
              </w:rPr>
              <w:t>N/A</w:t>
            </w:r>
          </w:p>
        </w:tc>
      </w:tr>
      <w:tr w:rsidR="00F0319C" w:rsidRPr="003C7DED" w14:paraId="051608B8" w14:textId="77777777" w:rsidTr="000E4C5B">
        <w:trPr>
          <w:trHeight w:val="439"/>
        </w:trPr>
        <w:tc>
          <w:tcPr>
            <w:tcW w:w="551" w:type="dxa"/>
            <w:shd w:val="clear" w:color="auto" w:fill="F2F2F2" w:themeFill="background1" w:themeFillShade="F2"/>
            <w:vAlign w:val="center"/>
          </w:tcPr>
          <w:p w14:paraId="2DAC7E3B" w14:textId="77777777" w:rsidR="00F0319C" w:rsidRPr="003C7DED" w:rsidRDefault="00F0319C" w:rsidP="000E4C5B">
            <w:pPr>
              <w:autoSpaceDE w:val="0"/>
              <w:autoSpaceDN w:val="0"/>
              <w:adjustRightInd w:val="0"/>
              <w:jc w:val="center"/>
              <w:rPr>
                <w:rFonts w:cs="Arial"/>
                <w:sz w:val="22"/>
                <w:szCs w:val="22"/>
              </w:rPr>
            </w:pPr>
            <w:r w:rsidRPr="003C7DED">
              <w:rPr>
                <w:rFonts w:cs="Arial"/>
                <w:sz w:val="22"/>
                <w:szCs w:val="22"/>
              </w:rPr>
              <w:t>1</w:t>
            </w:r>
          </w:p>
        </w:tc>
        <w:tc>
          <w:tcPr>
            <w:tcW w:w="6841" w:type="dxa"/>
            <w:shd w:val="clear" w:color="auto" w:fill="F2F2F2" w:themeFill="background1" w:themeFillShade="F2"/>
            <w:vAlign w:val="center"/>
          </w:tcPr>
          <w:p w14:paraId="4D736630" w14:textId="77777777" w:rsidR="00F0319C" w:rsidRPr="003C7DED" w:rsidRDefault="00F0319C" w:rsidP="000E4C5B">
            <w:pPr>
              <w:autoSpaceDE w:val="0"/>
              <w:autoSpaceDN w:val="0"/>
              <w:adjustRightInd w:val="0"/>
              <w:rPr>
                <w:rFonts w:cs="Arial"/>
                <w:sz w:val="22"/>
                <w:szCs w:val="22"/>
              </w:rPr>
            </w:pPr>
            <w:r>
              <w:rPr>
                <w:rFonts w:cs="Arial"/>
                <w:sz w:val="22"/>
                <w:szCs w:val="22"/>
              </w:rPr>
              <w:t>Capture data?</w:t>
            </w:r>
          </w:p>
        </w:tc>
        <w:tc>
          <w:tcPr>
            <w:tcW w:w="980" w:type="dxa"/>
            <w:shd w:val="clear" w:color="auto" w:fill="BFBFBF" w:themeFill="background1" w:themeFillShade="BF"/>
            <w:vAlign w:val="center"/>
          </w:tcPr>
          <w:sdt>
            <w:sdtPr>
              <w:rPr>
                <w:rFonts w:cs="Arial"/>
                <w:sz w:val="22"/>
              </w:rPr>
              <w:id w:val="1926216434"/>
              <w14:checkbox>
                <w14:checked w14:val="0"/>
                <w14:checkedState w14:val="2612" w14:font="MS Gothic"/>
                <w14:uncheckedState w14:val="2610" w14:font="MS Gothic"/>
              </w14:checkbox>
            </w:sdtPr>
            <w:sdtEndPr/>
            <w:sdtContent>
              <w:p w14:paraId="5F242796" w14:textId="77777777" w:rsidR="00F0319C" w:rsidRPr="003C7DED" w:rsidRDefault="00F0319C" w:rsidP="000E4C5B">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cs="Arial"/>
                <w:sz w:val="22"/>
              </w:rPr>
              <w:id w:val="707373964"/>
              <w14:checkbox>
                <w14:checked w14:val="0"/>
                <w14:checkedState w14:val="2612" w14:font="MS Gothic"/>
                <w14:uncheckedState w14:val="2610" w14:font="MS Gothic"/>
              </w14:checkbox>
            </w:sdtPr>
            <w:sdtEndPr/>
            <w:sdtContent>
              <w:p w14:paraId="090F91C4" w14:textId="77777777" w:rsidR="00F0319C" w:rsidRPr="003C7DED" w:rsidRDefault="00F0319C" w:rsidP="000E4C5B">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cs="Arial"/>
                <w:sz w:val="22"/>
              </w:rPr>
              <w:id w:val="-1946218528"/>
              <w14:checkbox>
                <w14:checked w14:val="1"/>
                <w14:checkedState w14:val="2612" w14:font="MS Gothic"/>
                <w14:uncheckedState w14:val="2610" w14:font="MS Gothic"/>
              </w14:checkbox>
            </w:sdtPr>
            <w:sdtEndPr/>
            <w:sdtContent>
              <w:p w14:paraId="3557D1BD" w14:textId="77777777" w:rsidR="00F0319C" w:rsidRPr="003C7DED" w:rsidRDefault="00F0319C" w:rsidP="000E4C5B">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F0319C" w:rsidRPr="003C7DED" w14:paraId="2D0B6326" w14:textId="77777777" w:rsidTr="000E4C5B">
        <w:trPr>
          <w:trHeight w:val="403"/>
        </w:trPr>
        <w:tc>
          <w:tcPr>
            <w:tcW w:w="551" w:type="dxa"/>
            <w:shd w:val="clear" w:color="auto" w:fill="F2F2F2" w:themeFill="background1" w:themeFillShade="F2"/>
            <w:vAlign w:val="center"/>
          </w:tcPr>
          <w:p w14:paraId="39593224" w14:textId="77777777" w:rsidR="00F0319C" w:rsidRPr="003C7DED" w:rsidRDefault="00F0319C" w:rsidP="000E4C5B">
            <w:pPr>
              <w:autoSpaceDE w:val="0"/>
              <w:autoSpaceDN w:val="0"/>
              <w:adjustRightInd w:val="0"/>
              <w:jc w:val="center"/>
              <w:rPr>
                <w:rFonts w:cs="Arial"/>
                <w:sz w:val="22"/>
                <w:szCs w:val="22"/>
              </w:rPr>
            </w:pPr>
            <w:r>
              <w:rPr>
                <w:rFonts w:cs="Arial"/>
                <w:sz w:val="22"/>
                <w:szCs w:val="22"/>
              </w:rPr>
              <w:t>2</w:t>
            </w:r>
          </w:p>
        </w:tc>
        <w:tc>
          <w:tcPr>
            <w:tcW w:w="6841" w:type="dxa"/>
            <w:shd w:val="clear" w:color="auto" w:fill="F2F2F2" w:themeFill="background1" w:themeFillShade="F2"/>
            <w:vAlign w:val="center"/>
          </w:tcPr>
          <w:p w14:paraId="2DE56ADE" w14:textId="77777777" w:rsidR="00F0319C" w:rsidRDefault="00F0319C" w:rsidP="000E4C5B">
            <w:pPr>
              <w:autoSpaceDE w:val="0"/>
              <w:autoSpaceDN w:val="0"/>
              <w:adjustRightInd w:val="0"/>
              <w:rPr>
                <w:rFonts w:cs="Arial"/>
                <w:sz w:val="22"/>
                <w:szCs w:val="22"/>
              </w:rPr>
            </w:pPr>
            <w:r>
              <w:rPr>
                <w:rFonts w:cs="Arial"/>
                <w:sz w:val="22"/>
                <w:szCs w:val="22"/>
              </w:rPr>
              <w:t>Generate and/or edit text?</w:t>
            </w:r>
          </w:p>
        </w:tc>
        <w:tc>
          <w:tcPr>
            <w:tcW w:w="980" w:type="dxa"/>
            <w:shd w:val="clear" w:color="auto" w:fill="BFBFBF" w:themeFill="background1" w:themeFillShade="BF"/>
            <w:vAlign w:val="center"/>
          </w:tcPr>
          <w:sdt>
            <w:sdtPr>
              <w:rPr>
                <w:rFonts w:cs="Arial"/>
                <w:sz w:val="22"/>
              </w:rPr>
              <w:id w:val="-1976356530"/>
              <w14:checkbox>
                <w14:checked w14:val="0"/>
                <w14:checkedState w14:val="2612" w14:font="MS Gothic"/>
                <w14:uncheckedState w14:val="2610" w14:font="MS Gothic"/>
              </w14:checkbox>
            </w:sdtPr>
            <w:sdtEndPr/>
            <w:sdtContent>
              <w:p w14:paraId="55418DAE" w14:textId="77777777" w:rsidR="00F0319C" w:rsidRDefault="00F0319C" w:rsidP="000E4C5B">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cs="Arial"/>
                <w:sz w:val="22"/>
              </w:rPr>
              <w:id w:val="-1124915725"/>
              <w14:checkbox>
                <w14:checked w14:val="0"/>
                <w14:checkedState w14:val="2612" w14:font="MS Gothic"/>
                <w14:uncheckedState w14:val="2610" w14:font="MS Gothic"/>
              </w14:checkbox>
            </w:sdtPr>
            <w:sdtEndPr/>
            <w:sdtContent>
              <w:p w14:paraId="4EE52D8B" w14:textId="77777777" w:rsidR="00F0319C" w:rsidRDefault="00F0319C" w:rsidP="000E4C5B">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cs="Arial"/>
                <w:sz w:val="22"/>
              </w:rPr>
              <w:id w:val="830252064"/>
              <w14:checkbox>
                <w14:checked w14:val="1"/>
                <w14:checkedState w14:val="2612" w14:font="MS Gothic"/>
                <w14:uncheckedState w14:val="2610" w14:font="MS Gothic"/>
              </w14:checkbox>
            </w:sdtPr>
            <w:sdtEndPr/>
            <w:sdtContent>
              <w:p w14:paraId="49110576" w14:textId="77777777" w:rsidR="00F0319C" w:rsidRDefault="00F0319C" w:rsidP="000E4C5B">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F0319C" w:rsidRPr="003C7DED" w14:paraId="36116E62" w14:textId="77777777" w:rsidTr="000E4C5B">
        <w:trPr>
          <w:trHeight w:val="403"/>
        </w:trPr>
        <w:tc>
          <w:tcPr>
            <w:tcW w:w="551" w:type="dxa"/>
            <w:shd w:val="clear" w:color="auto" w:fill="F2F2F2" w:themeFill="background1" w:themeFillShade="F2"/>
            <w:vAlign w:val="center"/>
          </w:tcPr>
          <w:p w14:paraId="28E77622" w14:textId="77777777" w:rsidR="00F0319C" w:rsidRPr="003C7DED" w:rsidRDefault="00F0319C" w:rsidP="000E4C5B">
            <w:pPr>
              <w:autoSpaceDE w:val="0"/>
              <w:autoSpaceDN w:val="0"/>
              <w:adjustRightInd w:val="0"/>
              <w:jc w:val="center"/>
              <w:rPr>
                <w:rFonts w:cs="Arial"/>
                <w:sz w:val="22"/>
                <w:szCs w:val="22"/>
              </w:rPr>
            </w:pPr>
            <w:r>
              <w:rPr>
                <w:rFonts w:cs="Arial"/>
                <w:sz w:val="22"/>
                <w:szCs w:val="22"/>
              </w:rPr>
              <w:lastRenderedPageBreak/>
              <w:t>3</w:t>
            </w:r>
          </w:p>
        </w:tc>
        <w:tc>
          <w:tcPr>
            <w:tcW w:w="6841" w:type="dxa"/>
            <w:shd w:val="clear" w:color="auto" w:fill="F2F2F2" w:themeFill="background1" w:themeFillShade="F2"/>
            <w:vAlign w:val="center"/>
          </w:tcPr>
          <w:p w14:paraId="52ABBB36" w14:textId="77777777" w:rsidR="00F0319C" w:rsidRDefault="00F0319C" w:rsidP="000E4C5B">
            <w:pPr>
              <w:autoSpaceDE w:val="0"/>
              <w:autoSpaceDN w:val="0"/>
              <w:adjustRightInd w:val="0"/>
              <w:rPr>
                <w:rFonts w:cs="Arial"/>
                <w:sz w:val="22"/>
                <w:szCs w:val="22"/>
              </w:rPr>
            </w:pPr>
            <w:r>
              <w:rPr>
                <w:rFonts w:cs="Arial"/>
                <w:sz w:val="22"/>
                <w:szCs w:val="22"/>
              </w:rPr>
              <w:t>Generate graphics?</w:t>
            </w:r>
          </w:p>
        </w:tc>
        <w:tc>
          <w:tcPr>
            <w:tcW w:w="980" w:type="dxa"/>
            <w:shd w:val="clear" w:color="auto" w:fill="BFBFBF" w:themeFill="background1" w:themeFillShade="BF"/>
            <w:vAlign w:val="center"/>
          </w:tcPr>
          <w:sdt>
            <w:sdtPr>
              <w:rPr>
                <w:rFonts w:cs="Arial"/>
                <w:sz w:val="22"/>
              </w:rPr>
              <w:id w:val="-489091387"/>
              <w14:checkbox>
                <w14:checked w14:val="0"/>
                <w14:checkedState w14:val="2612" w14:font="MS Gothic"/>
                <w14:uncheckedState w14:val="2610" w14:font="MS Gothic"/>
              </w14:checkbox>
            </w:sdtPr>
            <w:sdtEndPr/>
            <w:sdtContent>
              <w:p w14:paraId="2139DDB0" w14:textId="77777777" w:rsidR="00F0319C" w:rsidRDefault="00F0319C" w:rsidP="000E4C5B">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cs="Arial"/>
                <w:sz w:val="22"/>
              </w:rPr>
              <w:id w:val="-190683493"/>
              <w14:checkbox>
                <w14:checked w14:val="0"/>
                <w14:checkedState w14:val="2612" w14:font="MS Gothic"/>
                <w14:uncheckedState w14:val="2610" w14:font="MS Gothic"/>
              </w14:checkbox>
            </w:sdtPr>
            <w:sdtEndPr/>
            <w:sdtContent>
              <w:p w14:paraId="43FA5EF6" w14:textId="77777777" w:rsidR="00F0319C" w:rsidRDefault="00F0319C" w:rsidP="000E4C5B">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cs="Arial"/>
                <w:sz w:val="22"/>
              </w:rPr>
              <w:id w:val="-1396882234"/>
              <w14:checkbox>
                <w14:checked w14:val="1"/>
                <w14:checkedState w14:val="2612" w14:font="MS Gothic"/>
                <w14:uncheckedState w14:val="2610" w14:font="MS Gothic"/>
              </w14:checkbox>
            </w:sdtPr>
            <w:sdtEndPr/>
            <w:sdtContent>
              <w:p w14:paraId="7719DBC8" w14:textId="77777777" w:rsidR="00F0319C" w:rsidRDefault="00F0319C" w:rsidP="000E4C5B">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F0319C" w:rsidRPr="003C7DED" w14:paraId="565864E2" w14:textId="77777777" w:rsidTr="000E4C5B">
        <w:trPr>
          <w:trHeight w:val="403"/>
        </w:trPr>
        <w:tc>
          <w:tcPr>
            <w:tcW w:w="551" w:type="dxa"/>
            <w:shd w:val="clear" w:color="auto" w:fill="F2F2F2" w:themeFill="background1" w:themeFillShade="F2"/>
            <w:vAlign w:val="center"/>
          </w:tcPr>
          <w:p w14:paraId="55C480A3" w14:textId="77777777" w:rsidR="00F0319C" w:rsidRPr="003C7DED" w:rsidRDefault="00F0319C" w:rsidP="000E4C5B">
            <w:pPr>
              <w:autoSpaceDE w:val="0"/>
              <w:autoSpaceDN w:val="0"/>
              <w:adjustRightInd w:val="0"/>
              <w:jc w:val="center"/>
              <w:rPr>
                <w:rFonts w:cs="Arial"/>
                <w:sz w:val="22"/>
                <w:szCs w:val="22"/>
              </w:rPr>
            </w:pPr>
            <w:r>
              <w:rPr>
                <w:rFonts w:cs="Arial"/>
                <w:sz w:val="22"/>
                <w:szCs w:val="22"/>
              </w:rPr>
              <w:t>4</w:t>
            </w:r>
          </w:p>
        </w:tc>
        <w:tc>
          <w:tcPr>
            <w:tcW w:w="6841" w:type="dxa"/>
            <w:shd w:val="clear" w:color="auto" w:fill="F2F2F2" w:themeFill="background1" w:themeFillShade="F2"/>
            <w:vAlign w:val="center"/>
          </w:tcPr>
          <w:p w14:paraId="6E87E1A7" w14:textId="77777777" w:rsidR="00F0319C" w:rsidRDefault="00F0319C" w:rsidP="000E4C5B">
            <w:pPr>
              <w:autoSpaceDE w:val="0"/>
              <w:autoSpaceDN w:val="0"/>
              <w:adjustRightInd w:val="0"/>
              <w:rPr>
                <w:rFonts w:cs="Arial"/>
                <w:sz w:val="22"/>
                <w:szCs w:val="22"/>
              </w:rPr>
            </w:pPr>
            <w:r>
              <w:rPr>
                <w:rFonts w:cs="Arial"/>
                <w:sz w:val="22"/>
                <w:szCs w:val="22"/>
              </w:rPr>
              <w:t>Generate video?</w:t>
            </w:r>
          </w:p>
        </w:tc>
        <w:tc>
          <w:tcPr>
            <w:tcW w:w="980" w:type="dxa"/>
            <w:shd w:val="clear" w:color="auto" w:fill="BFBFBF" w:themeFill="background1" w:themeFillShade="BF"/>
            <w:vAlign w:val="center"/>
          </w:tcPr>
          <w:sdt>
            <w:sdtPr>
              <w:rPr>
                <w:rFonts w:cs="Arial"/>
                <w:sz w:val="22"/>
              </w:rPr>
              <w:id w:val="-1245803632"/>
              <w14:checkbox>
                <w14:checked w14:val="0"/>
                <w14:checkedState w14:val="2612" w14:font="MS Gothic"/>
                <w14:uncheckedState w14:val="2610" w14:font="MS Gothic"/>
              </w14:checkbox>
            </w:sdtPr>
            <w:sdtEndPr/>
            <w:sdtContent>
              <w:p w14:paraId="6DE8A7D8" w14:textId="77777777" w:rsidR="00F0319C" w:rsidRDefault="00F0319C" w:rsidP="000E4C5B">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cs="Arial"/>
                <w:sz w:val="22"/>
              </w:rPr>
              <w:id w:val="2043635272"/>
              <w14:checkbox>
                <w14:checked w14:val="0"/>
                <w14:checkedState w14:val="2612" w14:font="MS Gothic"/>
                <w14:uncheckedState w14:val="2610" w14:font="MS Gothic"/>
              </w14:checkbox>
            </w:sdtPr>
            <w:sdtEndPr/>
            <w:sdtContent>
              <w:p w14:paraId="117C0421" w14:textId="77777777" w:rsidR="00F0319C" w:rsidRDefault="00F0319C" w:rsidP="000E4C5B">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cs="Arial"/>
                <w:sz w:val="22"/>
              </w:rPr>
              <w:id w:val="523134186"/>
              <w14:checkbox>
                <w14:checked w14:val="1"/>
                <w14:checkedState w14:val="2612" w14:font="MS Gothic"/>
                <w14:uncheckedState w14:val="2610" w14:font="MS Gothic"/>
              </w14:checkbox>
            </w:sdtPr>
            <w:sdtEndPr/>
            <w:sdtContent>
              <w:p w14:paraId="5DB726CD" w14:textId="77777777" w:rsidR="00F0319C" w:rsidRDefault="00F0319C" w:rsidP="000E4C5B">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F0319C" w:rsidRPr="003C7DED" w14:paraId="0637398F" w14:textId="77777777" w:rsidTr="000E4C5B">
        <w:trPr>
          <w:trHeight w:val="403"/>
        </w:trPr>
        <w:tc>
          <w:tcPr>
            <w:tcW w:w="551" w:type="dxa"/>
            <w:shd w:val="clear" w:color="auto" w:fill="F2F2F2" w:themeFill="background1" w:themeFillShade="F2"/>
            <w:vAlign w:val="center"/>
          </w:tcPr>
          <w:p w14:paraId="182306D9" w14:textId="77777777" w:rsidR="00F0319C" w:rsidRPr="003C7DED" w:rsidRDefault="00F0319C" w:rsidP="000E4C5B">
            <w:pPr>
              <w:autoSpaceDE w:val="0"/>
              <w:autoSpaceDN w:val="0"/>
              <w:adjustRightInd w:val="0"/>
              <w:jc w:val="center"/>
              <w:rPr>
                <w:rFonts w:cs="Arial"/>
                <w:sz w:val="22"/>
                <w:szCs w:val="22"/>
              </w:rPr>
            </w:pPr>
            <w:r>
              <w:rPr>
                <w:rFonts w:cs="Arial"/>
                <w:sz w:val="22"/>
                <w:szCs w:val="22"/>
              </w:rPr>
              <w:t>5</w:t>
            </w:r>
          </w:p>
        </w:tc>
        <w:tc>
          <w:tcPr>
            <w:tcW w:w="6841" w:type="dxa"/>
            <w:shd w:val="clear" w:color="auto" w:fill="F2F2F2" w:themeFill="background1" w:themeFillShade="F2"/>
            <w:vAlign w:val="center"/>
          </w:tcPr>
          <w:p w14:paraId="12CA7705" w14:textId="77777777" w:rsidR="00F0319C" w:rsidRDefault="00F0319C" w:rsidP="000E4C5B">
            <w:pPr>
              <w:autoSpaceDE w:val="0"/>
              <w:autoSpaceDN w:val="0"/>
              <w:adjustRightInd w:val="0"/>
              <w:rPr>
                <w:rFonts w:cs="Arial"/>
                <w:sz w:val="22"/>
                <w:szCs w:val="22"/>
              </w:rPr>
            </w:pPr>
            <w:r>
              <w:rPr>
                <w:rFonts w:cs="Arial"/>
                <w:sz w:val="22"/>
                <w:szCs w:val="22"/>
              </w:rPr>
              <w:t>Generate sound/music?</w:t>
            </w:r>
          </w:p>
        </w:tc>
        <w:tc>
          <w:tcPr>
            <w:tcW w:w="980" w:type="dxa"/>
            <w:shd w:val="clear" w:color="auto" w:fill="BFBFBF" w:themeFill="background1" w:themeFillShade="BF"/>
            <w:vAlign w:val="center"/>
          </w:tcPr>
          <w:sdt>
            <w:sdtPr>
              <w:rPr>
                <w:rFonts w:cs="Arial"/>
                <w:sz w:val="22"/>
              </w:rPr>
              <w:id w:val="-405153558"/>
              <w14:checkbox>
                <w14:checked w14:val="0"/>
                <w14:checkedState w14:val="2612" w14:font="MS Gothic"/>
                <w14:uncheckedState w14:val="2610" w14:font="MS Gothic"/>
              </w14:checkbox>
            </w:sdtPr>
            <w:sdtEndPr/>
            <w:sdtContent>
              <w:p w14:paraId="7C44B987" w14:textId="77777777" w:rsidR="00F0319C" w:rsidRDefault="00F0319C" w:rsidP="000E4C5B">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cs="Arial"/>
                <w:sz w:val="22"/>
              </w:rPr>
              <w:id w:val="-115911874"/>
              <w14:checkbox>
                <w14:checked w14:val="0"/>
                <w14:checkedState w14:val="2612" w14:font="MS Gothic"/>
                <w14:uncheckedState w14:val="2610" w14:font="MS Gothic"/>
              </w14:checkbox>
            </w:sdtPr>
            <w:sdtEndPr/>
            <w:sdtContent>
              <w:p w14:paraId="738E7184" w14:textId="77777777" w:rsidR="00F0319C" w:rsidRDefault="00F0319C" w:rsidP="000E4C5B">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cs="Arial"/>
                <w:sz w:val="22"/>
              </w:rPr>
              <w:id w:val="-930580053"/>
              <w14:checkbox>
                <w14:checked w14:val="1"/>
                <w14:checkedState w14:val="2612" w14:font="MS Gothic"/>
                <w14:uncheckedState w14:val="2610" w14:font="MS Gothic"/>
              </w14:checkbox>
            </w:sdtPr>
            <w:sdtEndPr/>
            <w:sdtContent>
              <w:p w14:paraId="3AA5D05C" w14:textId="77777777" w:rsidR="00F0319C" w:rsidRDefault="00F0319C" w:rsidP="000E4C5B">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F0319C" w:rsidRPr="003C7DED" w14:paraId="097B86C4" w14:textId="77777777" w:rsidTr="000E4C5B">
        <w:trPr>
          <w:trHeight w:val="439"/>
        </w:trPr>
        <w:tc>
          <w:tcPr>
            <w:tcW w:w="551" w:type="dxa"/>
            <w:shd w:val="clear" w:color="auto" w:fill="F2F2F2" w:themeFill="background1" w:themeFillShade="F2"/>
            <w:vAlign w:val="center"/>
          </w:tcPr>
          <w:p w14:paraId="0FA7D827" w14:textId="77777777" w:rsidR="00F0319C" w:rsidRPr="003C7DED" w:rsidRDefault="00F0319C" w:rsidP="000E4C5B">
            <w:pPr>
              <w:autoSpaceDE w:val="0"/>
              <w:autoSpaceDN w:val="0"/>
              <w:adjustRightInd w:val="0"/>
              <w:jc w:val="center"/>
              <w:rPr>
                <w:rFonts w:cs="Arial"/>
                <w:sz w:val="22"/>
                <w:szCs w:val="22"/>
              </w:rPr>
            </w:pPr>
            <w:r>
              <w:rPr>
                <w:rFonts w:cs="Arial"/>
                <w:sz w:val="22"/>
                <w:szCs w:val="22"/>
              </w:rPr>
              <w:t>6</w:t>
            </w:r>
          </w:p>
        </w:tc>
        <w:tc>
          <w:tcPr>
            <w:tcW w:w="6841" w:type="dxa"/>
            <w:shd w:val="clear" w:color="auto" w:fill="F2F2F2" w:themeFill="background1" w:themeFillShade="F2"/>
            <w:vAlign w:val="center"/>
          </w:tcPr>
          <w:p w14:paraId="351C024C" w14:textId="77777777" w:rsidR="00F0319C" w:rsidRPr="003C7DED" w:rsidRDefault="00F0319C" w:rsidP="000E4C5B">
            <w:pPr>
              <w:autoSpaceDE w:val="0"/>
              <w:autoSpaceDN w:val="0"/>
              <w:adjustRightInd w:val="0"/>
              <w:rPr>
                <w:rFonts w:cs="Arial"/>
                <w:sz w:val="22"/>
                <w:szCs w:val="22"/>
              </w:rPr>
            </w:pPr>
            <w:r>
              <w:rPr>
                <w:rFonts w:cs="Arial"/>
                <w:sz w:val="22"/>
                <w:szCs w:val="22"/>
              </w:rPr>
              <w:t>Generate code?</w:t>
            </w:r>
          </w:p>
        </w:tc>
        <w:tc>
          <w:tcPr>
            <w:tcW w:w="980" w:type="dxa"/>
            <w:shd w:val="clear" w:color="auto" w:fill="BFBFBF" w:themeFill="background1" w:themeFillShade="BF"/>
            <w:vAlign w:val="center"/>
          </w:tcPr>
          <w:sdt>
            <w:sdtPr>
              <w:rPr>
                <w:rFonts w:cs="Arial"/>
                <w:sz w:val="22"/>
              </w:rPr>
              <w:id w:val="1457459209"/>
              <w14:checkbox>
                <w14:checked w14:val="0"/>
                <w14:checkedState w14:val="2612" w14:font="MS Gothic"/>
                <w14:uncheckedState w14:val="2610" w14:font="MS Gothic"/>
              </w14:checkbox>
            </w:sdtPr>
            <w:sdtEndPr/>
            <w:sdtContent>
              <w:p w14:paraId="0E90E4F2" w14:textId="77777777" w:rsidR="00F0319C" w:rsidRPr="003C7DED" w:rsidRDefault="00F0319C" w:rsidP="000E4C5B">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cs="Arial"/>
                <w:sz w:val="22"/>
              </w:rPr>
              <w:id w:val="-2044195477"/>
              <w14:checkbox>
                <w14:checked w14:val="0"/>
                <w14:checkedState w14:val="2612" w14:font="MS Gothic"/>
                <w14:uncheckedState w14:val="2610" w14:font="MS Gothic"/>
              </w14:checkbox>
            </w:sdtPr>
            <w:sdtEndPr/>
            <w:sdtContent>
              <w:p w14:paraId="67ABC864" w14:textId="77777777" w:rsidR="00F0319C" w:rsidRPr="003C7DED" w:rsidRDefault="00F0319C" w:rsidP="000E4C5B">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cs="Arial"/>
                <w:sz w:val="22"/>
              </w:rPr>
              <w:id w:val="-42519630"/>
              <w14:checkbox>
                <w14:checked w14:val="1"/>
                <w14:checkedState w14:val="2612" w14:font="MS Gothic"/>
                <w14:uncheckedState w14:val="2610" w14:font="MS Gothic"/>
              </w14:checkbox>
            </w:sdtPr>
            <w:sdtEndPr/>
            <w:sdtContent>
              <w:p w14:paraId="4433922C" w14:textId="77777777" w:rsidR="00F0319C" w:rsidRPr="003C7DED" w:rsidRDefault="00F0319C" w:rsidP="000E4C5B">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F0319C" w:rsidRPr="003C7DED" w14:paraId="17F22668" w14:textId="77777777" w:rsidTr="000E4C5B">
        <w:trPr>
          <w:trHeight w:val="403"/>
        </w:trPr>
        <w:tc>
          <w:tcPr>
            <w:tcW w:w="551" w:type="dxa"/>
            <w:shd w:val="clear" w:color="auto" w:fill="F2F2F2" w:themeFill="background1" w:themeFillShade="F2"/>
            <w:vAlign w:val="center"/>
          </w:tcPr>
          <w:p w14:paraId="62EDCC71" w14:textId="77777777" w:rsidR="00F0319C" w:rsidRPr="003C7DED" w:rsidRDefault="00F0319C" w:rsidP="000E4C5B">
            <w:pPr>
              <w:autoSpaceDE w:val="0"/>
              <w:autoSpaceDN w:val="0"/>
              <w:adjustRightInd w:val="0"/>
              <w:jc w:val="center"/>
              <w:rPr>
                <w:rFonts w:cs="Arial"/>
                <w:sz w:val="22"/>
                <w:szCs w:val="22"/>
              </w:rPr>
            </w:pPr>
            <w:r>
              <w:rPr>
                <w:rFonts w:cs="Arial"/>
                <w:sz w:val="22"/>
                <w:szCs w:val="22"/>
              </w:rPr>
              <w:t>7</w:t>
            </w:r>
          </w:p>
        </w:tc>
        <w:tc>
          <w:tcPr>
            <w:tcW w:w="6841" w:type="dxa"/>
            <w:shd w:val="clear" w:color="auto" w:fill="F2F2F2" w:themeFill="background1" w:themeFillShade="F2"/>
            <w:vAlign w:val="center"/>
          </w:tcPr>
          <w:p w14:paraId="57C8F094" w14:textId="77777777" w:rsidR="00F0319C" w:rsidRPr="003C7DED" w:rsidRDefault="00F0319C" w:rsidP="000E4C5B">
            <w:pPr>
              <w:autoSpaceDE w:val="0"/>
              <w:autoSpaceDN w:val="0"/>
              <w:adjustRightInd w:val="0"/>
              <w:rPr>
                <w:rFonts w:cs="Arial"/>
                <w:sz w:val="22"/>
                <w:szCs w:val="22"/>
              </w:rPr>
            </w:pPr>
            <w:r>
              <w:rPr>
                <w:rFonts w:cs="Arial"/>
                <w:sz w:val="22"/>
                <w:szCs w:val="22"/>
              </w:rPr>
              <w:t>Generate synthetic data?</w:t>
            </w:r>
          </w:p>
        </w:tc>
        <w:tc>
          <w:tcPr>
            <w:tcW w:w="980" w:type="dxa"/>
            <w:shd w:val="clear" w:color="auto" w:fill="BFBFBF" w:themeFill="background1" w:themeFillShade="BF"/>
            <w:vAlign w:val="center"/>
          </w:tcPr>
          <w:sdt>
            <w:sdtPr>
              <w:rPr>
                <w:rFonts w:cs="Arial"/>
                <w:sz w:val="22"/>
              </w:rPr>
              <w:id w:val="2016112145"/>
              <w14:checkbox>
                <w14:checked w14:val="0"/>
                <w14:checkedState w14:val="2612" w14:font="MS Gothic"/>
                <w14:uncheckedState w14:val="2610" w14:font="MS Gothic"/>
              </w14:checkbox>
            </w:sdtPr>
            <w:sdtEndPr/>
            <w:sdtContent>
              <w:p w14:paraId="52C23C53" w14:textId="77777777" w:rsidR="00F0319C" w:rsidRPr="003C7DED" w:rsidRDefault="00F0319C" w:rsidP="000E4C5B">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cs="Arial"/>
                <w:sz w:val="22"/>
              </w:rPr>
              <w:id w:val="-305010608"/>
              <w14:checkbox>
                <w14:checked w14:val="0"/>
                <w14:checkedState w14:val="2612" w14:font="MS Gothic"/>
                <w14:uncheckedState w14:val="2610" w14:font="MS Gothic"/>
              </w14:checkbox>
            </w:sdtPr>
            <w:sdtEndPr/>
            <w:sdtContent>
              <w:p w14:paraId="00911ED6" w14:textId="77777777" w:rsidR="00F0319C" w:rsidRPr="003C7DED" w:rsidRDefault="00F0319C" w:rsidP="000E4C5B">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cs="Arial"/>
                <w:sz w:val="22"/>
              </w:rPr>
              <w:id w:val="-1567940934"/>
              <w14:checkbox>
                <w14:checked w14:val="1"/>
                <w14:checkedState w14:val="2612" w14:font="MS Gothic"/>
                <w14:uncheckedState w14:val="2610" w14:font="MS Gothic"/>
              </w14:checkbox>
            </w:sdtPr>
            <w:sdtEndPr/>
            <w:sdtContent>
              <w:p w14:paraId="5A58B3AF" w14:textId="77777777" w:rsidR="00F0319C" w:rsidRPr="003C7DED" w:rsidRDefault="00F0319C" w:rsidP="000E4C5B">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F0319C" w:rsidRPr="003C7DED" w14:paraId="1B15D200" w14:textId="77777777" w:rsidTr="000E4C5B">
        <w:trPr>
          <w:trHeight w:val="403"/>
        </w:trPr>
        <w:tc>
          <w:tcPr>
            <w:tcW w:w="551" w:type="dxa"/>
            <w:shd w:val="clear" w:color="auto" w:fill="F2F2F2" w:themeFill="background1" w:themeFillShade="F2"/>
            <w:vAlign w:val="center"/>
          </w:tcPr>
          <w:p w14:paraId="3FB81CF4" w14:textId="77777777" w:rsidR="00F0319C" w:rsidRPr="003C7DED" w:rsidRDefault="00F0319C" w:rsidP="000E4C5B">
            <w:pPr>
              <w:autoSpaceDE w:val="0"/>
              <w:autoSpaceDN w:val="0"/>
              <w:adjustRightInd w:val="0"/>
              <w:jc w:val="center"/>
              <w:rPr>
                <w:rFonts w:cs="Arial"/>
                <w:sz w:val="22"/>
                <w:szCs w:val="22"/>
              </w:rPr>
            </w:pPr>
            <w:r>
              <w:rPr>
                <w:rFonts w:cs="Arial"/>
                <w:sz w:val="22"/>
                <w:szCs w:val="22"/>
              </w:rPr>
              <w:t>8</w:t>
            </w:r>
          </w:p>
        </w:tc>
        <w:tc>
          <w:tcPr>
            <w:tcW w:w="6841" w:type="dxa"/>
            <w:shd w:val="clear" w:color="auto" w:fill="F2F2F2" w:themeFill="background1" w:themeFillShade="F2"/>
            <w:vAlign w:val="center"/>
          </w:tcPr>
          <w:p w14:paraId="153B86D3" w14:textId="77777777" w:rsidR="00F0319C" w:rsidRPr="003C7DED" w:rsidRDefault="00F0319C" w:rsidP="000E4C5B">
            <w:pPr>
              <w:autoSpaceDE w:val="0"/>
              <w:autoSpaceDN w:val="0"/>
              <w:adjustRightInd w:val="0"/>
              <w:rPr>
                <w:rFonts w:cs="Arial"/>
                <w:sz w:val="22"/>
                <w:szCs w:val="22"/>
              </w:rPr>
            </w:pPr>
            <w:r>
              <w:rPr>
                <w:rFonts w:cs="Arial"/>
                <w:sz w:val="22"/>
                <w:szCs w:val="22"/>
              </w:rPr>
              <w:t>Analyse data?</w:t>
            </w:r>
          </w:p>
        </w:tc>
        <w:tc>
          <w:tcPr>
            <w:tcW w:w="980" w:type="dxa"/>
            <w:shd w:val="clear" w:color="auto" w:fill="BFBFBF" w:themeFill="background1" w:themeFillShade="BF"/>
            <w:vAlign w:val="center"/>
          </w:tcPr>
          <w:sdt>
            <w:sdtPr>
              <w:rPr>
                <w:rFonts w:cs="Arial"/>
                <w:sz w:val="22"/>
              </w:rPr>
              <w:id w:val="-1294974624"/>
              <w14:checkbox>
                <w14:checked w14:val="0"/>
                <w14:checkedState w14:val="2612" w14:font="MS Gothic"/>
                <w14:uncheckedState w14:val="2610" w14:font="MS Gothic"/>
              </w14:checkbox>
            </w:sdtPr>
            <w:sdtEndPr/>
            <w:sdtContent>
              <w:p w14:paraId="27AFF963" w14:textId="77777777" w:rsidR="00F0319C" w:rsidRPr="003C7DED" w:rsidRDefault="00F0319C" w:rsidP="000E4C5B">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cs="Arial"/>
                <w:sz w:val="22"/>
              </w:rPr>
              <w:id w:val="1502082000"/>
              <w14:checkbox>
                <w14:checked w14:val="0"/>
                <w14:checkedState w14:val="2612" w14:font="MS Gothic"/>
                <w14:uncheckedState w14:val="2610" w14:font="MS Gothic"/>
              </w14:checkbox>
            </w:sdtPr>
            <w:sdtEndPr/>
            <w:sdtContent>
              <w:p w14:paraId="24FF0F4D" w14:textId="77777777" w:rsidR="00F0319C" w:rsidRPr="003C7DED" w:rsidRDefault="00F0319C" w:rsidP="000E4C5B">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cs="Arial"/>
                <w:sz w:val="22"/>
              </w:rPr>
              <w:id w:val="-733089734"/>
              <w14:checkbox>
                <w14:checked w14:val="1"/>
                <w14:checkedState w14:val="2612" w14:font="MS Gothic"/>
                <w14:uncheckedState w14:val="2610" w14:font="MS Gothic"/>
              </w14:checkbox>
            </w:sdtPr>
            <w:sdtEndPr/>
            <w:sdtContent>
              <w:p w14:paraId="67FAC99F" w14:textId="77777777" w:rsidR="00F0319C" w:rsidRPr="003C7DED" w:rsidRDefault="00F0319C" w:rsidP="000E4C5B">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F0319C" w:rsidRPr="003C7DED" w14:paraId="67071A00" w14:textId="77777777" w:rsidTr="000E4C5B">
        <w:trPr>
          <w:trHeight w:val="403"/>
        </w:trPr>
        <w:tc>
          <w:tcPr>
            <w:tcW w:w="551" w:type="dxa"/>
            <w:shd w:val="clear" w:color="auto" w:fill="F2F2F2" w:themeFill="background1" w:themeFillShade="F2"/>
            <w:vAlign w:val="center"/>
          </w:tcPr>
          <w:p w14:paraId="2F25F96E" w14:textId="77777777" w:rsidR="00F0319C" w:rsidRPr="003C7DED" w:rsidRDefault="00F0319C" w:rsidP="000E4C5B">
            <w:pPr>
              <w:autoSpaceDE w:val="0"/>
              <w:autoSpaceDN w:val="0"/>
              <w:adjustRightInd w:val="0"/>
              <w:jc w:val="center"/>
              <w:rPr>
                <w:rFonts w:cs="Arial"/>
                <w:sz w:val="22"/>
                <w:szCs w:val="22"/>
              </w:rPr>
            </w:pPr>
            <w:r>
              <w:rPr>
                <w:rFonts w:cs="Arial"/>
                <w:sz w:val="22"/>
                <w:szCs w:val="22"/>
              </w:rPr>
              <w:t>9</w:t>
            </w:r>
          </w:p>
        </w:tc>
        <w:tc>
          <w:tcPr>
            <w:tcW w:w="6841" w:type="dxa"/>
            <w:shd w:val="clear" w:color="auto" w:fill="F2F2F2" w:themeFill="background1" w:themeFillShade="F2"/>
            <w:vAlign w:val="center"/>
          </w:tcPr>
          <w:p w14:paraId="5EDEC9F9" w14:textId="77777777" w:rsidR="00F0319C" w:rsidRPr="003C7DED" w:rsidRDefault="00F0319C" w:rsidP="000E4C5B">
            <w:pPr>
              <w:autoSpaceDE w:val="0"/>
              <w:autoSpaceDN w:val="0"/>
              <w:adjustRightInd w:val="0"/>
              <w:rPr>
                <w:rFonts w:cs="Arial"/>
                <w:sz w:val="22"/>
                <w:szCs w:val="22"/>
              </w:rPr>
            </w:pPr>
            <w:r>
              <w:rPr>
                <w:rFonts w:cs="Arial"/>
                <w:sz w:val="22"/>
                <w:szCs w:val="22"/>
              </w:rPr>
              <w:t>Analyse personal or sensitive data?</w:t>
            </w:r>
          </w:p>
        </w:tc>
        <w:tc>
          <w:tcPr>
            <w:tcW w:w="980" w:type="dxa"/>
            <w:shd w:val="clear" w:color="auto" w:fill="BFBFBF" w:themeFill="background1" w:themeFillShade="BF"/>
            <w:vAlign w:val="center"/>
          </w:tcPr>
          <w:sdt>
            <w:sdtPr>
              <w:rPr>
                <w:rFonts w:cs="Arial"/>
                <w:sz w:val="22"/>
              </w:rPr>
              <w:id w:val="1608620116"/>
              <w14:checkbox>
                <w14:checked w14:val="0"/>
                <w14:checkedState w14:val="2612" w14:font="MS Gothic"/>
                <w14:uncheckedState w14:val="2610" w14:font="MS Gothic"/>
              </w14:checkbox>
            </w:sdtPr>
            <w:sdtEndPr/>
            <w:sdtContent>
              <w:p w14:paraId="23F74D92" w14:textId="77777777" w:rsidR="00F0319C" w:rsidRPr="003C7DED" w:rsidRDefault="00F0319C" w:rsidP="000E4C5B">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cs="Arial"/>
                <w:sz w:val="22"/>
              </w:rPr>
              <w:id w:val="559057466"/>
              <w14:checkbox>
                <w14:checked w14:val="0"/>
                <w14:checkedState w14:val="2612" w14:font="MS Gothic"/>
                <w14:uncheckedState w14:val="2610" w14:font="MS Gothic"/>
              </w14:checkbox>
            </w:sdtPr>
            <w:sdtEndPr/>
            <w:sdtContent>
              <w:p w14:paraId="61679408" w14:textId="77777777" w:rsidR="00F0319C" w:rsidRPr="003C7DED" w:rsidRDefault="00F0319C" w:rsidP="000E4C5B">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cs="Arial"/>
                <w:sz w:val="22"/>
              </w:rPr>
              <w:id w:val="644392904"/>
              <w14:checkbox>
                <w14:checked w14:val="1"/>
                <w14:checkedState w14:val="2612" w14:font="MS Gothic"/>
                <w14:uncheckedState w14:val="2610" w14:font="MS Gothic"/>
              </w14:checkbox>
            </w:sdtPr>
            <w:sdtEndPr/>
            <w:sdtContent>
              <w:p w14:paraId="5DA6E75F" w14:textId="77777777" w:rsidR="00F0319C" w:rsidRPr="003C7DED" w:rsidRDefault="00F0319C" w:rsidP="000E4C5B">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F0319C" w:rsidRPr="003C7DED" w14:paraId="06083CDB" w14:textId="77777777" w:rsidTr="000E4C5B">
        <w:trPr>
          <w:trHeight w:val="439"/>
        </w:trPr>
        <w:tc>
          <w:tcPr>
            <w:tcW w:w="551" w:type="dxa"/>
            <w:shd w:val="clear" w:color="auto" w:fill="F2F2F2" w:themeFill="background1" w:themeFillShade="F2"/>
            <w:vAlign w:val="center"/>
          </w:tcPr>
          <w:p w14:paraId="167D60D2" w14:textId="77777777" w:rsidR="00F0319C" w:rsidRPr="003C7DED" w:rsidRDefault="00F0319C" w:rsidP="000E4C5B">
            <w:pPr>
              <w:autoSpaceDE w:val="0"/>
              <w:autoSpaceDN w:val="0"/>
              <w:adjustRightInd w:val="0"/>
              <w:jc w:val="center"/>
              <w:rPr>
                <w:rFonts w:cs="Arial"/>
                <w:sz w:val="22"/>
                <w:szCs w:val="22"/>
              </w:rPr>
            </w:pPr>
            <w:r>
              <w:rPr>
                <w:rFonts w:cs="Arial"/>
                <w:sz w:val="22"/>
                <w:szCs w:val="22"/>
              </w:rPr>
              <w:t>10</w:t>
            </w:r>
          </w:p>
        </w:tc>
        <w:tc>
          <w:tcPr>
            <w:tcW w:w="6841" w:type="dxa"/>
            <w:shd w:val="clear" w:color="auto" w:fill="F2F2F2" w:themeFill="background1" w:themeFillShade="F2"/>
            <w:vAlign w:val="center"/>
          </w:tcPr>
          <w:p w14:paraId="62F82490" w14:textId="77777777" w:rsidR="00F0319C" w:rsidRPr="003C7DED" w:rsidRDefault="00F0319C" w:rsidP="000E4C5B">
            <w:pPr>
              <w:autoSpaceDE w:val="0"/>
              <w:autoSpaceDN w:val="0"/>
              <w:adjustRightInd w:val="0"/>
              <w:rPr>
                <w:rFonts w:cs="Arial"/>
                <w:sz w:val="22"/>
                <w:szCs w:val="22"/>
              </w:rPr>
            </w:pPr>
            <w:r>
              <w:rPr>
                <w:rFonts w:cs="Arial"/>
                <w:sz w:val="22"/>
                <w:szCs w:val="22"/>
              </w:rPr>
              <w:t>Classify data?</w:t>
            </w:r>
          </w:p>
        </w:tc>
        <w:tc>
          <w:tcPr>
            <w:tcW w:w="980" w:type="dxa"/>
            <w:shd w:val="clear" w:color="auto" w:fill="BFBFBF" w:themeFill="background1" w:themeFillShade="BF"/>
            <w:vAlign w:val="center"/>
          </w:tcPr>
          <w:sdt>
            <w:sdtPr>
              <w:rPr>
                <w:rFonts w:cs="Arial"/>
                <w:sz w:val="22"/>
              </w:rPr>
              <w:id w:val="324639604"/>
              <w14:checkbox>
                <w14:checked w14:val="0"/>
                <w14:checkedState w14:val="2612" w14:font="MS Gothic"/>
                <w14:uncheckedState w14:val="2610" w14:font="MS Gothic"/>
              </w14:checkbox>
            </w:sdtPr>
            <w:sdtEndPr/>
            <w:sdtContent>
              <w:p w14:paraId="649FA511" w14:textId="77777777" w:rsidR="00F0319C" w:rsidRPr="003C7DED" w:rsidRDefault="00F0319C" w:rsidP="000E4C5B">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cs="Arial"/>
                <w:sz w:val="22"/>
              </w:rPr>
              <w:id w:val="116349551"/>
              <w14:checkbox>
                <w14:checked w14:val="0"/>
                <w14:checkedState w14:val="2612" w14:font="MS Gothic"/>
                <w14:uncheckedState w14:val="2610" w14:font="MS Gothic"/>
              </w14:checkbox>
            </w:sdtPr>
            <w:sdtEndPr/>
            <w:sdtContent>
              <w:p w14:paraId="5B8C6793" w14:textId="77777777" w:rsidR="00F0319C" w:rsidRPr="003C7DED" w:rsidRDefault="00F0319C" w:rsidP="000E4C5B">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cs="Arial"/>
                <w:sz w:val="22"/>
              </w:rPr>
              <w:id w:val="-1465344194"/>
              <w14:checkbox>
                <w14:checked w14:val="1"/>
                <w14:checkedState w14:val="2612" w14:font="MS Gothic"/>
                <w14:uncheckedState w14:val="2610" w14:font="MS Gothic"/>
              </w14:checkbox>
            </w:sdtPr>
            <w:sdtEndPr/>
            <w:sdtContent>
              <w:p w14:paraId="346E498C" w14:textId="77777777" w:rsidR="00F0319C" w:rsidRPr="003C7DED" w:rsidRDefault="00F0319C" w:rsidP="000E4C5B">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F0319C" w:rsidRPr="003C7DED" w14:paraId="2F4F3F43" w14:textId="77777777" w:rsidTr="000E4C5B">
        <w:trPr>
          <w:trHeight w:val="439"/>
        </w:trPr>
        <w:tc>
          <w:tcPr>
            <w:tcW w:w="551" w:type="dxa"/>
            <w:shd w:val="clear" w:color="auto" w:fill="F2F2F2" w:themeFill="background1" w:themeFillShade="F2"/>
            <w:vAlign w:val="center"/>
          </w:tcPr>
          <w:p w14:paraId="05134B7E" w14:textId="77777777" w:rsidR="00F0319C" w:rsidRPr="003C7DED" w:rsidRDefault="00F0319C" w:rsidP="000E4C5B">
            <w:pPr>
              <w:autoSpaceDE w:val="0"/>
              <w:autoSpaceDN w:val="0"/>
              <w:adjustRightInd w:val="0"/>
              <w:jc w:val="center"/>
              <w:rPr>
                <w:rFonts w:cs="Arial"/>
                <w:sz w:val="22"/>
                <w:szCs w:val="22"/>
              </w:rPr>
            </w:pPr>
            <w:r>
              <w:rPr>
                <w:rFonts w:cs="Arial"/>
                <w:sz w:val="22"/>
                <w:szCs w:val="22"/>
              </w:rPr>
              <w:t>11</w:t>
            </w:r>
          </w:p>
        </w:tc>
        <w:tc>
          <w:tcPr>
            <w:tcW w:w="6841" w:type="dxa"/>
            <w:shd w:val="clear" w:color="auto" w:fill="F2F2F2" w:themeFill="background1" w:themeFillShade="F2"/>
            <w:vAlign w:val="center"/>
          </w:tcPr>
          <w:p w14:paraId="5043E183" w14:textId="77777777" w:rsidR="00F0319C" w:rsidRDefault="00F0319C" w:rsidP="000E4C5B">
            <w:pPr>
              <w:autoSpaceDE w:val="0"/>
              <w:autoSpaceDN w:val="0"/>
              <w:adjustRightInd w:val="0"/>
              <w:rPr>
                <w:rFonts w:cs="Arial"/>
                <w:sz w:val="22"/>
                <w:szCs w:val="22"/>
              </w:rPr>
            </w:pPr>
            <w:r>
              <w:rPr>
                <w:rFonts w:cs="Arial"/>
                <w:sz w:val="22"/>
                <w:szCs w:val="22"/>
              </w:rPr>
              <w:t>Do you intend to use the free version of any AI tools?</w:t>
            </w:r>
          </w:p>
        </w:tc>
        <w:tc>
          <w:tcPr>
            <w:tcW w:w="980" w:type="dxa"/>
            <w:shd w:val="clear" w:color="auto" w:fill="BFBFBF" w:themeFill="background1" w:themeFillShade="BF"/>
            <w:vAlign w:val="center"/>
          </w:tcPr>
          <w:sdt>
            <w:sdtPr>
              <w:rPr>
                <w:rFonts w:cs="Arial"/>
                <w:sz w:val="22"/>
              </w:rPr>
              <w:id w:val="1717616931"/>
              <w14:checkbox>
                <w14:checked w14:val="0"/>
                <w14:checkedState w14:val="2612" w14:font="MS Gothic"/>
                <w14:uncheckedState w14:val="2610" w14:font="MS Gothic"/>
              </w14:checkbox>
            </w:sdtPr>
            <w:sdtEndPr/>
            <w:sdtContent>
              <w:p w14:paraId="572F3608" w14:textId="77777777" w:rsidR="00F0319C" w:rsidRDefault="00F0319C" w:rsidP="000E4C5B">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cs="Arial"/>
                <w:sz w:val="22"/>
              </w:rPr>
              <w:id w:val="-767925130"/>
              <w14:checkbox>
                <w14:checked w14:val="0"/>
                <w14:checkedState w14:val="2612" w14:font="MS Gothic"/>
                <w14:uncheckedState w14:val="2610" w14:font="MS Gothic"/>
              </w14:checkbox>
            </w:sdtPr>
            <w:sdtEndPr/>
            <w:sdtContent>
              <w:p w14:paraId="4938A9C5" w14:textId="77777777" w:rsidR="00F0319C" w:rsidRDefault="00F0319C" w:rsidP="000E4C5B">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cs="Arial"/>
                <w:sz w:val="22"/>
              </w:rPr>
              <w:id w:val="1748227023"/>
              <w14:checkbox>
                <w14:checked w14:val="1"/>
                <w14:checkedState w14:val="2612" w14:font="MS Gothic"/>
                <w14:uncheckedState w14:val="2610" w14:font="MS Gothic"/>
              </w14:checkbox>
            </w:sdtPr>
            <w:sdtEndPr/>
            <w:sdtContent>
              <w:p w14:paraId="1DD5D4BE" w14:textId="77777777" w:rsidR="00F0319C" w:rsidRDefault="00F0319C" w:rsidP="000E4C5B">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F0319C" w:rsidRPr="003C7DED" w14:paraId="7D7F9DD5" w14:textId="77777777" w:rsidTr="000E4C5B">
        <w:trPr>
          <w:trHeight w:val="403"/>
        </w:trPr>
        <w:tc>
          <w:tcPr>
            <w:tcW w:w="10487" w:type="dxa"/>
            <w:gridSpan w:val="5"/>
            <w:shd w:val="clear" w:color="auto" w:fill="F2F2F2" w:themeFill="background1" w:themeFillShade="F2"/>
            <w:vAlign w:val="center"/>
          </w:tcPr>
          <w:p w14:paraId="0E3AB6B3" w14:textId="77777777" w:rsidR="00F0319C" w:rsidRPr="003C7DED" w:rsidRDefault="00F0319C" w:rsidP="000E4C5B">
            <w:pPr>
              <w:autoSpaceDE w:val="0"/>
              <w:autoSpaceDN w:val="0"/>
              <w:adjustRightInd w:val="0"/>
              <w:rPr>
                <w:rFonts w:cs="Arial"/>
                <w:sz w:val="22"/>
                <w:szCs w:val="22"/>
              </w:rPr>
            </w:pPr>
            <w:r w:rsidRPr="003C7DED">
              <w:rPr>
                <w:rFonts w:cs="Arial"/>
                <w:sz w:val="22"/>
                <w:szCs w:val="22"/>
              </w:rPr>
              <w:t xml:space="preserve">If you have answered </w:t>
            </w:r>
            <w:r w:rsidRPr="006E7E24">
              <w:rPr>
                <w:rFonts w:cs="Arial"/>
                <w:b/>
                <w:bCs/>
                <w:sz w:val="22"/>
                <w:szCs w:val="22"/>
              </w:rPr>
              <w:t>YES</w:t>
            </w:r>
            <w:r w:rsidRPr="003C7DED">
              <w:rPr>
                <w:rFonts w:cs="Arial"/>
                <w:sz w:val="22"/>
                <w:szCs w:val="22"/>
              </w:rPr>
              <w:t xml:space="preserve"> to any of questions </w:t>
            </w:r>
            <w:r>
              <w:rPr>
                <w:rFonts w:cs="Arial"/>
                <w:sz w:val="22"/>
                <w:szCs w:val="22"/>
              </w:rPr>
              <w:t>O</w:t>
            </w:r>
            <w:r w:rsidRPr="003C7DED">
              <w:rPr>
                <w:rFonts w:cs="Arial"/>
                <w:sz w:val="22"/>
                <w:szCs w:val="22"/>
              </w:rPr>
              <w:t>1-</w:t>
            </w:r>
            <w:r>
              <w:rPr>
                <w:rFonts w:cs="Arial"/>
                <w:sz w:val="22"/>
                <w:szCs w:val="22"/>
              </w:rPr>
              <w:t>O11</w:t>
            </w:r>
            <w:r w:rsidRPr="003C7DED">
              <w:rPr>
                <w:rFonts w:cs="Arial"/>
                <w:sz w:val="22"/>
                <w:szCs w:val="22"/>
              </w:rPr>
              <w:t xml:space="preserve">, please provide justification detailing why this is necessary for the research.  </w:t>
            </w:r>
          </w:p>
        </w:tc>
      </w:tr>
      <w:tr w:rsidR="00F0319C" w:rsidRPr="003C7DED" w14:paraId="31C30A09" w14:textId="77777777" w:rsidTr="000E4C5B">
        <w:trPr>
          <w:trHeight w:val="403"/>
        </w:trPr>
        <w:tc>
          <w:tcPr>
            <w:tcW w:w="551" w:type="dxa"/>
            <w:vAlign w:val="center"/>
          </w:tcPr>
          <w:p w14:paraId="23D6E60C" w14:textId="77777777" w:rsidR="00F0319C" w:rsidRPr="003C7DED" w:rsidRDefault="00F0319C" w:rsidP="000E4C5B">
            <w:pPr>
              <w:jc w:val="center"/>
              <w:rPr>
                <w:rFonts w:cs="Arial"/>
                <w:sz w:val="22"/>
                <w:szCs w:val="22"/>
              </w:rPr>
            </w:pPr>
            <w:r>
              <w:rPr>
                <w:rFonts w:cs="Arial"/>
                <w:sz w:val="22"/>
                <w:szCs w:val="22"/>
              </w:rPr>
              <w:t>12</w:t>
            </w:r>
          </w:p>
        </w:tc>
        <w:tc>
          <w:tcPr>
            <w:tcW w:w="9936" w:type="dxa"/>
            <w:gridSpan w:val="4"/>
            <w:vAlign w:val="center"/>
          </w:tcPr>
          <w:p w14:paraId="064422F8" w14:textId="77777777" w:rsidR="00F0319C" w:rsidRPr="001B41AD" w:rsidRDefault="00F0319C" w:rsidP="000E4C5B">
            <w:pPr>
              <w:rPr>
                <w:rFonts w:cs="Arial"/>
                <w:color w:val="00B050"/>
                <w:sz w:val="22"/>
                <w:szCs w:val="22"/>
              </w:rPr>
            </w:pPr>
            <w:r w:rsidRPr="001B41AD">
              <w:rPr>
                <w:rFonts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7EFE37F1" w14:textId="77777777" w:rsidR="00F0319C" w:rsidRDefault="00F0319C" w:rsidP="000E4C5B">
            <w:pPr>
              <w:autoSpaceDE w:val="0"/>
              <w:autoSpaceDN w:val="0"/>
              <w:adjustRightInd w:val="0"/>
              <w:rPr>
                <w:rFonts w:cs="Arial"/>
                <w:i/>
                <w:color w:val="808080"/>
                <w:sz w:val="18"/>
                <w:szCs w:val="18"/>
              </w:rPr>
            </w:pPr>
          </w:p>
          <w:p w14:paraId="79B50D10" w14:textId="77777777" w:rsidR="00F0319C" w:rsidRPr="003C7DED" w:rsidRDefault="00F0319C" w:rsidP="000E4C5B">
            <w:pPr>
              <w:autoSpaceDE w:val="0"/>
              <w:autoSpaceDN w:val="0"/>
              <w:adjustRightInd w:val="0"/>
              <w:rPr>
                <w:rFonts w:cs="Arial"/>
              </w:rPr>
            </w:pPr>
            <w:r w:rsidRPr="003C7DED">
              <w:rPr>
                <w:rFonts w:cs="Arial"/>
                <w:i/>
                <w:color w:val="808080"/>
                <w:sz w:val="18"/>
                <w:szCs w:val="18"/>
              </w:rPr>
              <w:t>(this box should expand as you type)</w:t>
            </w:r>
          </w:p>
        </w:tc>
      </w:tr>
    </w:tbl>
    <w:p w14:paraId="2264D26A" w14:textId="77777777" w:rsidR="00F0319C" w:rsidRDefault="00F0319C" w:rsidP="00F0319C">
      <w:pPr>
        <w:rPr>
          <w:rFonts w:cs="Arial"/>
          <w:b/>
          <w:bCs/>
          <w:sz w:val="22"/>
        </w:rPr>
      </w:pPr>
    </w:p>
    <w:p w14:paraId="10E8E981" w14:textId="77777777" w:rsidR="00F0319C" w:rsidRDefault="00F0319C" w:rsidP="00F0319C">
      <w:pPr>
        <w:rPr>
          <w:rFonts w:cs="Arial"/>
          <w:b/>
          <w:bCs/>
          <w:sz w:val="22"/>
        </w:rPr>
      </w:pPr>
    </w:p>
    <w:p w14:paraId="5252A7CB" w14:textId="77777777" w:rsidR="00F0319C" w:rsidRPr="00354F34" w:rsidRDefault="00F0319C" w:rsidP="00F0319C">
      <w:pPr>
        <w:autoSpaceDE w:val="0"/>
        <w:autoSpaceDN w:val="0"/>
        <w:adjustRightInd w:val="0"/>
        <w:spacing w:after="240"/>
        <w:rPr>
          <w:rFonts w:cs="Arial"/>
          <w:b/>
          <w:sz w:val="22"/>
        </w:rPr>
      </w:pPr>
      <w:r w:rsidRPr="00354F34">
        <w:rPr>
          <w:rFonts w:cs="Arial"/>
          <w:b/>
          <w:sz w:val="22"/>
        </w:rPr>
        <w:t xml:space="preserve">SECTION </w:t>
      </w:r>
      <w:r>
        <w:rPr>
          <w:rFonts w:cs="Arial"/>
          <w:b/>
          <w:sz w:val="22"/>
        </w:rPr>
        <w:t>J</w:t>
      </w:r>
      <w:r w:rsidRPr="00354F34">
        <w:rPr>
          <w:rFonts w:cs="Arial"/>
          <w:b/>
          <w:sz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F0319C" w:rsidRPr="004C3A0B" w14:paraId="45C4FB79" w14:textId="77777777" w:rsidTr="000E4C5B">
        <w:trPr>
          <w:gridBefore w:val="1"/>
          <w:wBefore w:w="8" w:type="dxa"/>
          <w:trHeight w:val="1807"/>
        </w:trPr>
        <w:tc>
          <w:tcPr>
            <w:tcW w:w="554" w:type="dxa"/>
            <w:shd w:val="clear" w:color="auto" w:fill="F2F2F2" w:themeFill="background1" w:themeFillShade="F2"/>
            <w:vAlign w:val="center"/>
          </w:tcPr>
          <w:p w14:paraId="47FBFDD9" w14:textId="77777777" w:rsidR="00F0319C" w:rsidRPr="004C3A0B" w:rsidRDefault="00F0319C" w:rsidP="000E4C5B">
            <w:pPr>
              <w:jc w:val="center"/>
              <w:rPr>
                <w:rFonts w:cs="Arial"/>
                <w:sz w:val="22"/>
              </w:rPr>
            </w:pPr>
          </w:p>
        </w:tc>
        <w:tc>
          <w:tcPr>
            <w:tcW w:w="9923" w:type="dxa"/>
            <w:gridSpan w:val="5"/>
            <w:shd w:val="clear" w:color="auto" w:fill="F2F2F2" w:themeFill="background1" w:themeFillShade="F2"/>
            <w:vAlign w:val="center"/>
          </w:tcPr>
          <w:p w14:paraId="29464546" w14:textId="77777777" w:rsidR="00F0319C" w:rsidRPr="004C3A0B" w:rsidRDefault="00F0319C" w:rsidP="000E4C5B">
            <w:pPr>
              <w:rPr>
                <w:rFonts w:cs="Arial"/>
                <w:b/>
                <w:bCs/>
                <w:color w:val="000000"/>
                <w:sz w:val="22"/>
              </w:rPr>
            </w:pPr>
            <w:r w:rsidRPr="004C3A0B">
              <w:rPr>
                <w:rFonts w:cs="Arial"/>
                <w:sz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sz w:val="22"/>
              </w:rPr>
              <w:t>.</w:t>
            </w:r>
          </w:p>
          <w:p w14:paraId="07DC674C" w14:textId="77777777" w:rsidR="00F0319C" w:rsidRPr="004C3A0B" w:rsidRDefault="00F0319C" w:rsidP="000E4C5B">
            <w:pPr>
              <w:rPr>
                <w:rFonts w:cs="Arial"/>
                <w:b/>
                <w:bCs/>
                <w:color w:val="000000"/>
                <w:sz w:val="22"/>
              </w:rPr>
            </w:pPr>
          </w:p>
          <w:p w14:paraId="2D73926C" w14:textId="77777777" w:rsidR="00F0319C" w:rsidRPr="004C3A0B" w:rsidRDefault="00F0319C" w:rsidP="000E4C5B">
            <w:pPr>
              <w:rPr>
                <w:rFonts w:cs="Arial"/>
                <w:color w:val="000080"/>
                <w:sz w:val="22"/>
              </w:rPr>
            </w:pPr>
            <w:r w:rsidRPr="004C3A0B">
              <w:rPr>
                <w:rFonts w:cs="Arial"/>
                <w:sz w:val="22"/>
              </w:rPr>
              <w:lastRenderedPageBreak/>
              <w:t xml:space="preserve">In submitting this application I hereby confirm that I undertake to ensure that the above named research activity will meet the University’s </w:t>
            </w:r>
            <w:r w:rsidRPr="00CA510C">
              <w:rPr>
                <w:rFonts w:cs="Arial"/>
                <w:sz w:val="22"/>
              </w:rPr>
              <w:t>Research Ethics and Integrity Code of Practice</w:t>
            </w:r>
            <w:r>
              <w:rPr>
                <w:rFonts w:cs="Arial"/>
                <w:sz w:val="22"/>
              </w:rPr>
              <w:t xml:space="preserve"> which is published on the website: </w:t>
            </w:r>
            <w:hyperlink r:id="rId91" w:history="1">
              <w:r w:rsidRPr="00100C35">
                <w:rPr>
                  <w:rStyle w:val="Hyperlink"/>
                  <w:rFonts w:cs="Arial"/>
                  <w:sz w:val="22"/>
                </w:rPr>
                <w:t>https://www.uwtsd.ac.uk/research/research-ethics/</w:t>
              </w:r>
            </w:hyperlink>
            <w:r>
              <w:rPr>
                <w:rFonts w:cs="Arial"/>
                <w:sz w:val="22"/>
              </w:rPr>
              <w:t xml:space="preserve"> </w:t>
            </w:r>
          </w:p>
        </w:tc>
      </w:tr>
      <w:tr w:rsidR="00F0319C" w:rsidRPr="004C3A0B" w14:paraId="1C36B40F" w14:textId="77777777" w:rsidTr="000E4C5B">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F01A50" w14:textId="77777777" w:rsidR="00F0319C" w:rsidRPr="00BC301B" w:rsidRDefault="00F0319C" w:rsidP="000E4C5B">
            <w:pPr>
              <w:spacing w:before="100" w:beforeAutospacing="1" w:after="100" w:afterAutospacing="1"/>
              <w:jc w:val="center"/>
              <w:rPr>
                <w:rFonts w:cs="Arial"/>
                <w:bCs/>
                <w:sz w:val="22"/>
              </w:rPr>
            </w:pPr>
            <w:r>
              <w:rPr>
                <w:rFonts w:cs="Arial"/>
                <w:bCs/>
                <w:sz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E423D" w14:textId="77777777" w:rsidR="00F0319C" w:rsidRPr="004C3A0B" w:rsidRDefault="00F0319C" w:rsidP="000E4C5B">
            <w:pPr>
              <w:spacing w:before="100" w:beforeAutospacing="1" w:after="100" w:afterAutospacing="1"/>
              <w:rPr>
                <w:rFonts w:cs="Arial"/>
                <w:sz w:val="22"/>
              </w:rPr>
            </w:pPr>
            <w:r w:rsidRPr="004C3A0B">
              <w:rPr>
                <w:rFonts w:cs="Arial"/>
                <w:b/>
                <w:bCs/>
                <w:sz w:val="22"/>
              </w:rPr>
              <w:t>Signature of applicant:</w:t>
            </w:r>
          </w:p>
        </w:tc>
        <w:tc>
          <w:tcPr>
            <w:tcW w:w="4949" w:type="dxa"/>
            <w:tcBorders>
              <w:left w:val="single" w:sz="4" w:space="0" w:color="auto"/>
            </w:tcBorders>
            <w:vAlign w:val="center"/>
          </w:tcPr>
          <w:p w14:paraId="37AFC31A" w14:textId="77777777" w:rsidR="00F0319C" w:rsidRPr="004C3A0B" w:rsidRDefault="00F0319C" w:rsidP="000E4C5B">
            <w:pPr>
              <w:spacing w:before="100" w:beforeAutospacing="1" w:after="100" w:afterAutospacing="1"/>
              <w:rPr>
                <w:rFonts w:cs="Arial"/>
                <w:sz w:val="22"/>
              </w:rPr>
            </w:pPr>
            <w:r w:rsidRPr="00F60508">
              <w:rPr>
                <w:rFonts w:cs="Arial"/>
                <w:sz w:val="22"/>
              </w:rPr>
              <w:t>Resvy Ahmed</w:t>
            </w:r>
          </w:p>
        </w:tc>
        <w:tc>
          <w:tcPr>
            <w:tcW w:w="2139" w:type="dxa"/>
            <w:gridSpan w:val="3"/>
            <w:vAlign w:val="center"/>
          </w:tcPr>
          <w:p w14:paraId="6CDC84F9" w14:textId="77777777" w:rsidR="00F0319C" w:rsidRDefault="00F0319C" w:rsidP="000E4C5B">
            <w:pPr>
              <w:spacing w:before="100" w:beforeAutospacing="1" w:after="100" w:afterAutospacing="1"/>
              <w:rPr>
                <w:rFonts w:cs="Arial"/>
                <w:b/>
                <w:bCs/>
                <w:sz w:val="22"/>
              </w:rPr>
            </w:pPr>
            <w:r w:rsidRPr="004C3A0B">
              <w:rPr>
                <w:rFonts w:cs="Arial"/>
                <w:b/>
                <w:bCs/>
                <w:sz w:val="22"/>
              </w:rPr>
              <w:t>Date:</w:t>
            </w:r>
            <w:r>
              <w:rPr>
                <w:rFonts w:cs="Arial"/>
                <w:b/>
                <w:bCs/>
                <w:sz w:val="22"/>
              </w:rPr>
              <w:t xml:space="preserve"> </w:t>
            </w:r>
          </w:p>
          <w:p w14:paraId="62E63E10" w14:textId="77777777" w:rsidR="00F0319C" w:rsidRDefault="00F0319C" w:rsidP="000E4C5B">
            <w:pPr>
              <w:spacing w:before="100" w:beforeAutospacing="1" w:after="100" w:afterAutospacing="1"/>
              <w:rPr>
                <w:rFonts w:cs="Arial"/>
                <w:b/>
                <w:bCs/>
                <w:sz w:val="22"/>
              </w:rPr>
            </w:pPr>
            <w:r>
              <w:rPr>
                <w:rFonts w:cs="Arial"/>
                <w:b/>
                <w:bCs/>
                <w:sz w:val="22"/>
              </w:rPr>
              <w:t>15 July, 2026</w:t>
            </w:r>
          </w:p>
          <w:p w14:paraId="35E7E486" w14:textId="77777777" w:rsidR="00F0319C" w:rsidRPr="004C3A0B" w:rsidRDefault="00F0319C" w:rsidP="000E4C5B">
            <w:pPr>
              <w:spacing w:before="100" w:beforeAutospacing="1" w:after="100" w:afterAutospacing="1"/>
              <w:rPr>
                <w:rFonts w:cs="Arial"/>
                <w:sz w:val="22"/>
              </w:rPr>
            </w:pPr>
          </w:p>
        </w:tc>
      </w:tr>
      <w:tr w:rsidR="00F0319C" w:rsidRPr="004C3A0B" w14:paraId="193550A8" w14:textId="77777777" w:rsidTr="000E4C5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79A672F2" w14:textId="77777777" w:rsidR="00F0319C" w:rsidRPr="004C3A0B" w:rsidRDefault="00F0319C" w:rsidP="000E4C5B">
            <w:pPr>
              <w:pStyle w:val="ListParagraph"/>
              <w:ind w:left="0"/>
              <w:jc w:val="center"/>
              <w:rPr>
                <w:rFonts w:cs="Arial"/>
              </w:rPr>
            </w:pPr>
            <w:r>
              <w:rPr>
                <w:rFonts w:cs="Arial"/>
              </w:rPr>
              <w:t>2</w:t>
            </w:r>
          </w:p>
        </w:tc>
        <w:tc>
          <w:tcPr>
            <w:tcW w:w="2835" w:type="dxa"/>
            <w:shd w:val="clear" w:color="auto" w:fill="F2F2F2" w:themeFill="background1" w:themeFillShade="F2"/>
            <w:vAlign w:val="center"/>
          </w:tcPr>
          <w:p w14:paraId="0194A368" w14:textId="77777777" w:rsidR="00F0319C" w:rsidRPr="004C3A0B" w:rsidRDefault="00F0319C" w:rsidP="000E4C5B">
            <w:pPr>
              <w:pStyle w:val="ListParagraph"/>
              <w:ind w:left="0"/>
              <w:rPr>
                <w:rFonts w:cs="Arial"/>
              </w:rPr>
            </w:pPr>
            <w:r w:rsidRPr="004C3A0B">
              <w:rPr>
                <w:rFonts w:cs="Arial"/>
              </w:rPr>
              <w:t>Supervisor:</w:t>
            </w:r>
          </w:p>
        </w:tc>
        <w:tc>
          <w:tcPr>
            <w:tcW w:w="4959" w:type="dxa"/>
            <w:gridSpan w:val="2"/>
            <w:vAlign w:val="center"/>
          </w:tcPr>
          <w:p w14:paraId="3E4D7910" w14:textId="77777777" w:rsidR="00F0319C" w:rsidRPr="004C3A0B" w:rsidRDefault="00F0319C" w:rsidP="000E4C5B">
            <w:pPr>
              <w:pStyle w:val="ListParagraph"/>
              <w:ind w:left="0"/>
              <w:rPr>
                <w:rFonts w:cs="Arial"/>
              </w:rPr>
            </w:pPr>
            <w:r w:rsidRPr="00F60508">
              <w:rPr>
                <w:rFonts w:cs="Arial"/>
              </w:rPr>
              <w:t>Dr Ghulam Mujtaba</w:t>
            </w:r>
          </w:p>
        </w:tc>
        <w:tc>
          <w:tcPr>
            <w:tcW w:w="2123" w:type="dxa"/>
            <w:vMerge w:val="restart"/>
          </w:tcPr>
          <w:p w14:paraId="3D2A4211" w14:textId="77777777" w:rsidR="00F0319C" w:rsidRPr="004C3A0B" w:rsidRDefault="00F0319C" w:rsidP="000E4C5B">
            <w:pPr>
              <w:pStyle w:val="ListParagraph"/>
              <w:ind w:left="0"/>
              <w:rPr>
                <w:rFonts w:cs="Arial"/>
              </w:rPr>
            </w:pPr>
            <w:r w:rsidRPr="004C3A0B">
              <w:rPr>
                <w:rFonts w:cs="Arial"/>
                <w:b/>
                <w:bCs/>
              </w:rPr>
              <w:t>Date:</w:t>
            </w:r>
          </w:p>
        </w:tc>
      </w:tr>
      <w:tr w:rsidR="00F0319C" w:rsidRPr="004C3A0B" w14:paraId="70C932DC" w14:textId="77777777" w:rsidTr="000E4C5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2D6405A3" w14:textId="77777777" w:rsidR="00F0319C" w:rsidRPr="004C3A0B" w:rsidRDefault="00F0319C" w:rsidP="000E4C5B">
            <w:pPr>
              <w:pStyle w:val="ListParagraph"/>
              <w:ind w:left="0"/>
              <w:jc w:val="center"/>
              <w:rPr>
                <w:rFonts w:cs="Arial"/>
              </w:rPr>
            </w:pPr>
            <w:r>
              <w:rPr>
                <w:rFonts w:cs="Arial"/>
              </w:rPr>
              <w:t>3</w:t>
            </w:r>
          </w:p>
        </w:tc>
        <w:tc>
          <w:tcPr>
            <w:tcW w:w="2835" w:type="dxa"/>
            <w:shd w:val="clear" w:color="auto" w:fill="F2F2F2" w:themeFill="background1" w:themeFillShade="F2"/>
            <w:vAlign w:val="center"/>
          </w:tcPr>
          <w:p w14:paraId="7139186D" w14:textId="77777777" w:rsidR="00F0319C" w:rsidRPr="004C3A0B" w:rsidRDefault="00F0319C" w:rsidP="000E4C5B">
            <w:pPr>
              <w:pStyle w:val="ListParagraph"/>
              <w:ind w:left="0"/>
              <w:rPr>
                <w:rFonts w:cs="Arial"/>
              </w:rPr>
            </w:pPr>
            <w:r w:rsidRPr="004C3A0B">
              <w:rPr>
                <w:rFonts w:cs="Arial"/>
              </w:rPr>
              <w:t>Signature:</w:t>
            </w:r>
          </w:p>
        </w:tc>
        <w:tc>
          <w:tcPr>
            <w:tcW w:w="4959" w:type="dxa"/>
            <w:gridSpan w:val="2"/>
            <w:vAlign w:val="center"/>
          </w:tcPr>
          <w:p w14:paraId="366B021D" w14:textId="77777777" w:rsidR="00F0319C" w:rsidRPr="004C3A0B" w:rsidRDefault="00F0319C" w:rsidP="000E4C5B">
            <w:pPr>
              <w:pStyle w:val="ListParagraph"/>
              <w:ind w:left="0"/>
              <w:rPr>
                <w:rFonts w:cs="Arial"/>
              </w:rPr>
            </w:pPr>
          </w:p>
          <w:p w14:paraId="423CD765" w14:textId="77777777" w:rsidR="00F0319C" w:rsidRPr="004C3A0B" w:rsidRDefault="00F0319C" w:rsidP="000E4C5B">
            <w:pPr>
              <w:pStyle w:val="ListParagraph"/>
              <w:ind w:left="0"/>
              <w:rPr>
                <w:rFonts w:cs="Arial"/>
              </w:rPr>
            </w:pPr>
          </w:p>
        </w:tc>
        <w:tc>
          <w:tcPr>
            <w:tcW w:w="2123" w:type="dxa"/>
            <w:vMerge/>
            <w:vAlign w:val="center"/>
          </w:tcPr>
          <w:p w14:paraId="332014C2" w14:textId="77777777" w:rsidR="00F0319C" w:rsidRPr="004C3A0B" w:rsidRDefault="00F0319C" w:rsidP="000E4C5B">
            <w:pPr>
              <w:pStyle w:val="ListParagraph"/>
              <w:ind w:left="0"/>
              <w:rPr>
                <w:rFonts w:cs="Arial"/>
              </w:rPr>
            </w:pPr>
          </w:p>
        </w:tc>
      </w:tr>
    </w:tbl>
    <w:p w14:paraId="71B120B3" w14:textId="77777777" w:rsidR="00F0319C" w:rsidRDefault="00F0319C" w:rsidP="00F0319C">
      <w:pPr>
        <w:rPr>
          <w:rFonts w:cs="Arial"/>
          <w:sz w:val="22"/>
        </w:rPr>
      </w:pPr>
    </w:p>
    <w:p w14:paraId="14A76CB0" w14:textId="758361B7" w:rsidR="00F0319C" w:rsidRPr="00F0319C" w:rsidRDefault="00F0319C" w:rsidP="00F0319C"/>
    <w:sectPr w:rsidR="00F0319C" w:rsidRPr="00F0319C" w:rsidSect="00F0319C">
      <w:pgSz w:w="12240" w:h="15840"/>
      <w:pgMar w:top="1440" w:right="1440" w:bottom="1440" w:left="1440" w:header="0" w:footer="720"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5DEC77" w14:textId="77777777" w:rsidR="00867805" w:rsidRDefault="00867805">
      <w:pPr>
        <w:spacing w:after="0" w:line="240" w:lineRule="auto"/>
      </w:pPr>
      <w:r>
        <w:separator/>
      </w:r>
    </w:p>
  </w:endnote>
  <w:endnote w:type="continuationSeparator" w:id="0">
    <w:p w14:paraId="7B4EED09" w14:textId="77777777" w:rsidR="00867805" w:rsidRDefault="008678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ans">
    <w:altName w:val="Arial"/>
    <w:charset w:val="00"/>
    <w:family w:val="swiss"/>
    <w:pitch w:val="variable"/>
  </w:font>
  <w:font w:name="Noto Sans CJK SC">
    <w:panose1 w:val="00000000000000000000"/>
    <w:charset w:val="00"/>
    <w:family w:val="roman"/>
    <w:notTrueType/>
    <w:pitch w:val="default"/>
  </w:font>
  <w:font w:name="Lohit Devanagari">
    <w:altName w:val="Cambria"/>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E1987B" w14:textId="77777777" w:rsidR="004B4463" w:rsidRDefault="004B44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2130074"/>
      <w:docPartObj>
        <w:docPartGallery w:val="Page Numbers (Bottom of Page)"/>
        <w:docPartUnique/>
      </w:docPartObj>
    </w:sdtPr>
    <w:sdtEndPr/>
    <w:sdtContent>
      <w:p w14:paraId="20EE38B8" w14:textId="77777777" w:rsidR="004B4463" w:rsidRDefault="00F763E6">
        <w:pPr>
          <w:pStyle w:val="Footer"/>
          <w:jc w:val="right"/>
        </w:pPr>
        <w:r>
          <w:t xml:space="preserve">Page | </w:t>
        </w:r>
        <w:r>
          <w:fldChar w:fldCharType="begin"/>
        </w:r>
        <w:r>
          <w:instrText xml:space="preserve"> PAGE </w:instrText>
        </w:r>
        <w:r>
          <w:fldChar w:fldCharType="separate"/>
        </w:r>
        <w:r>
          <w:t>iv</w:t>
        </w:r>
        <w:r>
          <w:fldChar w:fldCharType="end"/>
        </w:r>
        <w:r>
          <w:t xml:space="preserve"> </w:t>
        </w:r>
      </w:p>
    </w:sdtContent>
  </w:sdt>
  <w:p w14:paraId="6E02A79C" w14:textId="77777777" w:rsidR="004B4463" w:rsidRDefault="004B446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4191610"/>
      <w:docPartObj>
        <w:docPartGallery w:val="Page Numbers (Bottom of Page)"/>
        <w:docPartUnique/>
      </w:docPartObj>
    </w:sdtPr>
    <w:sdtEndPr/>
    <w:sdtContent>
      <w:p w14:paraId="480EAFD9" w14:textId="77777777" w:rsidR="004B4463" w:rsidRDefault="00F763E6">
        <w:pPr>
          <w:pStyle w:val="Footer"/>
          <w:jc w:val="right"/>
        </w:pPr>
        <w:r>
          <w:t xml:space="preserve">Page | </w:t>
        </w:r>
        <w:r>
          <w:fldChar w:fldCharType="begin"/>
        </w:r>
        <w:r>
          <w:instrText xml:space="preserve"> PAGE </w:instrText>
        </w:r>
        <w:r>
          <w:fldChar w:fldCharType="separate"/>
        </w:r>
        <w:r>
          <w:t>iv</w:t>
        </w:r>
        <w:r>
          <w:fldChar w:fldCharType="end"/>
        </w:r>
        <w:r>
          <w:t xml:space="preserve"> </w:t>
        </w:r>
      </w:p>
    </w:sdtContent>
  </w:sdt>
  <w:p w14:paraId="767CFC28" w14:textId="77777777" w:rsidR="004B4463" w:rsidRDefault="004B446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3031C4" w14:textId="77777777" w:rsidR="004B4463" w:rsidRDefault="004B446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EF388B" w14:textId="77777777" w:rsidR="004B4463" w:rsidRDefault="004B4463">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1918320"/>
      <w:docPartObj>
        <w:docPartGallery w:val="Page Numbers (Bottom of Page)"/>
        <w:docPartUnique/>
      </w:docPartObj>
    </w:sdtPr>
    <w:sdtEndPr/>
    <w:sdtContent>
      <w:p w14:paraId="20232B91" w14:textId="77777777" w:rsidR="004B4463" w:rsidRDefault="00F763E6">
        <w:pPr>
          <w:pStyle w:val="Footer"/>
          <w:jc w:val="right"/>
        </w:pPr>
        <w:r>
          <w:t xml:space="preserve">Page | </w:t>
        </w:r>
        <w:r>
          <w:fldChar w:fldCharType="begin"/>
        </w:r>
        <w:r>
          <w:instrText xml:space="preserve"> PAGE </w:instrText>
        </w:r>
        <w:r>
          <w:fldChar w:fldCharType="separate"/>
        </w:r>
        <w:r>
          <w:t>ix</w:t>
        </w:r>
        <w:r>
          <w:fldChar w:fldCharType="end"/>
        </w:r>
        <w:r>
          <w:t xml:space="preserve"> </w:t>
        </w:r>
      </w:p>
    </w:sdtContent>
  </w:sdt>
  <w:p w14:paraId="004B0D9B" w14:textId="77777777" w:rsidR="004B4463" w:rsidRDefault="004B446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3726D8" w14:textId="77777777" w:rsidR="004B4463" w:rsidRDefault="004B446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2336182"/>
      <w:docPartObj>
        <w:docPartGallery w:val="Page Numbers (Bottom of Page)"/>
        <w:docPartUnique/>
      </w:docPartObj>
    </w:sdtPr>
    <w:sdtEndPr/>
    <w:sdtContent>
      <w:p w14:paraId="1A31AFEC" w14:textId="77777777" w:rsidR="004B4463" w:rsidRDefault="00F763E6">
        <w:pPr>
          <w:pStyle w:val="Footer"/>
          <w:jc w:val="right"/>
        </w:pPr>
        <w:r>
          <w:t xml:space="preserve">Page | </w:t>
        </w:r>
        <w:r>
          <w:fldChar w:fldCharType="begin"/>
        </w:r>
        <w:r>
          <w:instrText xml:space="preserve"> PAGE </w:instrText>
        </w:r>
        <w:r>
          <w:fldChar w:fldCharType="separate"/>
        </w:r>
        <w:r>
          <w:t>62</w:t>
        </w:r>
        <w:r>
          <w:fldChar w:fldCharType="end"/>
        </w:r>
        <w:r>
          <w:t xml:space="preserve"> </w:t>
        </w:r>
      </w:p>
    </w:sdtContent>
  </w:sdt>
  <w:p w14:paraId="7F36C28D" w14:textId="77777777" w:rsidR="004B4463" w:rsidRDefault="004B4463">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5883871"/>
      <w:docPartObj>
        <w:docPartGallery w:val="Page Numbers (Bottom of Page)"/>
        <w:docPartUnique/>
      </w:docPartObj>
    </w:sdtPr>
    <w:sdtEndPr/>
    <w:sdtContent>
      <w:p w14:paraId="16A6DF12" w14:textId="77777777" w:rsidR="004B4463" w:rsidRDefault="00F763E6">
        <w:pPr>
          <w:pStyle w:val="Footer"/>
          <w:jc w:val="right"/>
        </w:pPr>
        <w:r>
          <w:t xml:space="preserve">Page | </w:t>
        </w:r>
        <w:r>
          <w:fldChar w:fldCharType="begin"/>
        </w:r>
        <w:r>
          <w:instrText xml:space="preserve"> PAGE </w:instrText>
        </w:r>
        <w:r>
          <w:fldChar w:fldCharType="separate"/>
        </w:r>
        <w:r>
          <w:t>62</w:t>
        </w:r>
        <w:r>
          <w:fldChar w:fldCharType="end"/>
        </w:r>
        <w:r>
          <w:t xml:space="preserve"> </w:t>
        </w:r>
      </w:p>
    </w:sdtContent>
  </w:sdt>
  <w:p w14:paraId="1AC862B9" w14:textId="77777777" w:rsidR="004B4463" w:rsidRDefault="004B44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C56B4D" w14:textId="77777777" w:rsidR="00867805" w:rsidRDefault="00867805">
      <w:pPr>
        <w:spacing w:after="0" w:line="240" w:lineRule="auto"/>
      </w:pPr>
      <w:r>
        <w:separator/>
      </w:r>
    </w:p>
  </w:footnote>
  <w:footnote w:type="continuationSeparator" w:id="0">
    <w:p w14:paraId="601C09DB" w14:textId="77777777" w:rsidR="00867805" w:rsidRDefault="008678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83634" w14:textId="77777777" w:rsidR="004D7A10" w:rsidRDefault="004D7A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77322"/>
    <w:multiLevelType w:val="hybridMultilevel"/>
    <w:tmpl w:val="5132477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0E8F392A"/>
    <w:multiLevelType w:val="hybridMultilevel"/>
    <w:tmpl w:val="923C76C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356A47"/>
    <w:multiLevelType w:val="multilevel"/>
    <w:tmpl w:val="0740850E"/>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3F76BE"/>
    <w:multiLevelType w:val="hybridMultilevel"/>
    <w:tmpl w:val="5B6E1C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242627B"/>
    <w:multiLevelType w:val="multilevel"/>
    <w:tmpl w:val="960847AC"/>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54270DE"/>
    <w:multiLevelType w:val="hybridMultilevel"/>
    <w:tmpl w:val="A2B0A8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53846EC"/>
    <w:multiLevelType w:val="multilevel"/>
    <w:tmpl w:val="25C41C12"/>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866F00"/>
    <w:multiLevelType w:val="hybridMultilevel"/>
    <w:tmpl w:val="923C76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0"/>
  </w:num>
  <w:num w:numId="2">
    <w:abstractNumId w:val="31"/>
  </w:num>
  <w:num w:numId="3">
    <w:abstractNumId w:val="3"/>
  </w:num>
  <w:num w:numId="4">
    <w:abstractNumId w:val="14"/>
  </w:num>
  <w:num w:numId="5">
    <w:abstractNumId w:val="24"/>
  </w:num>
  <w:num w:numId="6">
    <w:abstractNumId w:val="6"/>
  </w:num>
  <w:num w:numId="7">
    <w:abstractNumId w:val="30"/>
  </w:num>
  <w:num w:numId="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7"/>
  </w:num>
  <w:num w:numId="12">
    <w:abstractNumId w:val="11"/>
  </w:num>
  <w:num w:numId="13">
    <w:abstractNumId w:val="12"/>
  </w:num>
  <w:num w:numId="14">
    <w:abstractNumId w:val="28"/>
  </w:num>
  <w:num w:numId="15">
    <w:abstractNumId w:val="26"/>
  </w:num>
  <w:num w:numId="16">
    <w:abstractNumId w:val="27"/>
  </w:num>
  <w:num w:numId="17">
    <w:abstractNumId w:val="2"/>
  </w:num>
  <w:num w:numId="18">
    <w:abstractNumId w:val="9"/>
  </w:num>
  <w:num w:numId="19">
    <w:abstractNumId w:val="10"/>
  </w:num>
  <w:num w:numId="20">
    <w:abstractNumId w:val="15"/>
  </w:num>
  <w:num w:numId="21">
    <w:abstractNumId w:val="17"/>
  </w:num>
  <w:num w:numId="22">
    <w:abstractNumId w:val="29"/>
  </w:num>
  <w:num w:numId="23">
    <w:abstractNumId w:val="8"/>
  </w:num>
  <w:num w:numId="24">
    <w:abstractNumId w:val="18"/>
  </w:num>
  <w:num w:numId="25">
    <w:abstractNumId w:val="23"/>
  </w:num>
  <w:num w:numId="26">
    <w:abstractNumId w:val="4"/>
  </w:num>
  <w:num w:numId="27">
    <w:abstractNumId w:val="13"/>
  </w:num>
  <w:num w:numId="28">
    <w:abstractNumId w:val="16"/>
  </w:num>
  <w:num w:numId="29">
    <w:abstractNumId w:val="32"/>
  </w:num>
  <w:num w:numId="30">
    <w:abstractNumId w:val="22"/>
  </w:num>
  <w:num w:numId="31">
    <w:abstractNumId w:val="5"/>
  </w:num>
  <w:num w:numId="32">
    <w:abstractNumId w:val="25"/>
  </w:num>
  <w:num w:numId="33">
    <w:abstractNumId w:val="33"/>
  </w:num>
  <w:num w:numId="34">
    <w:abstractNumId w:val="1"/>
  </w:num>
  <w:num w:numId="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hyphenationZone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463"/>
    <w:rsid w:val="001118BD"/>
    <w:rsid w:val="0017417C"/>
    <w:rsid w:val="001D40C4"/>
    <w:rsid w:val="00205D60"/>
    <w:rsid w:val="00224343"/>
    <w:rsid w:val="002915E8"/>
    <w:rsid w:val="00352796"/>
    <w:rsid w:val="003C3C0C"/>
    <w:rsid w:val="003D2386"/>
    <w:rsid w:val="00402281"/>
    <w:rsid w:val="00424968"/>
    <w:rsid w:val="0044333C"/>
    <w:rsid w:val="004B3495"/>
    <w:rsid w:val="004B4463"/>
    <w:rsid w:val="004C243B"/>
    <w:rsid w:val="004D7A10"/>
    <w:rsid w:val="00575D08"/>
    <w:rsid w:val="005D2E8E"/>
    <w:rsid w:val="00624E33"/>
    <w:rsid w:val="007516AF"/>
    <w:rsid w:val="007959CC"/>
    <w:rsid w:val="007A5E77"/>
    <w:rsid w:val="007B6F04"/>
    <w:rsid w:val="007E140B"/>
    <w:rsid w:val="008320B7"/>
    <w:rsid w:val="00867805"/>
    <w:rsid w:val="008A72C6"/>
    <w:rsid w:val="00971EDF"/>
    <w:rsid w:val="00981CC7"/>
    <w:rsid w:val="0099586D"/>
    <w:rsid w:val="009E71D7"/>
    <w:rsid w:val="009F43AA"/>
    <w:rsid w:val="009F652C"/>
    <w:rsid w:val="00A114DE"/>
    <w:rsid w:val="00A504AC"/>
    <w:rsid w:val="00A93437"/>
    <w:rsid w:val="00B4429C"/>
    <w:rsid w:val="00B80509"/>
    <w:rsid w:val="00BD731F"/>
    <w:rsid w:val="00BF3145"/>
    <w:rsid w:val="00C02AD6"/>
    <w:rsid w:val="00C41846"/>
    <w:rsid w:val="00C4405E"/>
    <w:rsid w:val="00C95AB5"/>
    <w:rsid w:val="00CA150C"/>
    <w:rsid w:val="00CC58FE"/>
    <w:rsid w:val="00CF2F26"/>
    <w:rsid w:val="00CF560B"/>
    <w:rsid w:val="00D471EF"/>
    <w:rsid w:val="00D522EC"/>
    <w:rsid w:val="00D57DBC"/>
    <w:rsid w:val="00D67D53"/>
    <w:rsid w:val="00D90FFE"/>
    <w:rsid w:val="00DA6EB2"/>
    <w:rsid w:val="00DC76FB"/>
    <w:rsid w:val="00E23501"/>
    <w:rsid w:val="00E7309C"/>
    <w:rsid w:val="00F0319C"/>
    <w:rsid w:val="00F763E6"/>
    <w:rsid w:val="00F836D0"/>
    <w:rsid w:val="00FD5D5F"/>
    <w:rsid w:val="00FF6B9D"/>
  </w:rsids>
  <m:mathPr>
    <m:mathFont m:val="Cambria Math"/>
    <m:brkBin m:val="before"/>
    <m:brkBinSub m:val="--"/>
    <m:smallFrac m:val="0"/>
    <m:dispDef/>
    <m:lMargin m:val="0"/>
    <m:rMargin m:val="0"/>
    <m:defJc m:val="centerGroup"/>
    <m:wrapIndent m:val="1440"/>
    <m:intLim m:val="subSup"/>
    <m:naryLim m:val="undOvr"/>
  </m:mathPr>
  <w:themeFontLang w:val="en-US"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D7CCF"/>
  <w15:docId w15:val="{F5C78FD2-EFAD-492C-AE11-2BFCDD37B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71EF"/>
    <w:pPr>
      <w:spacing w:after="120" w:line="360" w:lineRule="auto"/>
      <w:jc w:val="both"/>
    </w:pPr>
    <w:rPr>
      <w:rFonts w:ascii="Arial" w:eastAsia="Times New Roman" w:hAnsi="Arial"/>
      <w:color w:val="111111"/>
      <w:sz w:val="24"/>
    </w:rPr>
  </w:style>
  <w:style w:type="paragraph" w:styleId="Heading1">
    <w:name w:val="heading 1"/>
    <w:basedOn w:val="Normal"/>
    <w:next w:val="Normal"/>
    <w:link w:val="Heading1Char"/>
    <w:uiPriority w:val="99"/>
    <w:qFormat/>
    <w:rsid w:val="00C41846"/>
    <w:pPr>
      <w:keepNext/>
      <w:keepLines/>
      <w:spacing w:before="240" w:after="0" w:line="480" w:lineRule="auto"/>
      <w:jc w:val="center"/>
      <w:outlineLvl w:val="0"/>
    </w:pPr>
    <w:rPr>
      <w:rFonts w:eastAsiaTheme="majorEastAsia" w:cstheme="majorBidi"/>
      <w:b/>
      <w:color w:val="auto"/>
      <w:sz w:val="32"/>
      <w:szCs w:val="32"/>
    </w:rPr>
  </w:style>
  <w:style w:type="paragraph" w:styleId="Heading2">
    <w:name w:val="heading 2"/>
    <w:basedOn w:val="Normal"/>
    <w:next w:val="Normal"/>
    <w:link w:val="Heading2Char"/>
    <w:uiPriority w:val="9"/>
    <w:unhideWhenUsed/>
    <w:qFormat/>
    <w:rsid w:val="00D25AB9"/>
    <w:pPr>
      <w:keepNext/>
      <w:keepLines/>
      <w:spacing w:before="40" w:after="0"/>
      <w:outlineLvl w:val="1"/>
    </w:pPr>
    <w:rPr>
      <w:rFonts w:eastAsiaTheme="majorEastAsia" w:cstheme="majorBidi"/>
      <w:b/>
      <w:color w:val="auto"/>
      <w:sz w:val="28"/>
      <w:szCs w:val="26"/>
    </w:rPr>
  </w:style>
  <w:style w:type="paragraph" w:styleId="Heading3">
    <w:name w:val="heading 3"/>
    <w:basedOn w:val="Normal"/>
    <w:next w:val="Normal"/>
    <w:link w:val="Heading3Char"/>
    <w:uiPriority w:val="9"/>
    <w:unhideWhenUsed/>
    <w:qFormat/>
    <w:rsid w:val="00BD6890"/>
    <w:pPr>
      <w:keepNext/>
      <w:keepLines/>
      <w:spacing w:before="40" w:after="0"/>
      <w:outlineLvl w:val="2"/>
    </w:pPr>
    <w:rPr>
      <w:rFonts w:eastAsiaTheme="majorEastAsia" w:cstheme="majorBidi"/>
      <w:b/>
      <w:color w:val="auto"/>
      <w:sz w:val="27"/>
      <w:szCs w:val="24"/>
    </w:rPr>
  </w:style>
  <w:style w:type="paragraph" w:styleId="Heading4">
    <w:name w:val="heading 4"/>
    <w:basedOn w:val="Normal"/>
    <w:next w:val="Normal"/>
    <w:link w:val="Heading4Char"/>
    <w:uiPriority w:val="99"/>
    <w:unhideWhenUsed/>
    <w:qFormat/>
    <w:rsid w:val="00EA07EB"/>
    <w:pPr>
      <w:keepNext/>
      <w:keepLines/>
      <w:spacing w:before="40" w:after="0"/>
      <w:jc w:val="center"/>
      <w:outlineLvl w:val="3"/>
    </w:pPr>
    <w:rPr>
      <w:rFonts w:eastAsiaTheme="majorEastAsia" w:cstheme="majorBidi"/>
      <w:b/>
      <w:iCs/>
      <w:color w:val="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qFormat/>
    <w:rsid w:val="00C41846"/>
    <w:rPr>
      <w:rFonts w:ascii="Arial" w:eastAsiaTheme="majorEastAsia" w:hAnsi="Arial" w:cstheme="majorBidi"/>
      <w:b/>
      <w:sz w:val="32"/>
      <w:szCs w:val="32"/>
    </w:rPr>
  </w:style>
  <w:style w:type="character" w:customStyle="1" w:styleId="Heading2Char">
    <w:name w:val="Heading 2 Char"/>
    <w:basedOn w:val="DefaultParagraphFont"/>
    <w:link w:val="Heading2"/>
    <w:uiPriority w:val="9"/>
    <w:qFormat/>
    <w:rsid w:val="00D25AB9"/>
    <w:rPr>
      <w:rFonts w:ascii="Arial" w:eastAsiaTheme="majorEastAsia" w:hAnsi="Arial" w:cstheme="majorBidi"/>
      <w:b/>
      <w:sz w:val="28"/>
      <w:szCs w:val="26"/>
    </w:rPr>
  </w:style>
  <w:style w:type="character" w:customStyle="1" w:styleId="Heading3Char">
    <w:name w:val="Heading 3 Char"/>
    <w:basedOn w:val="DefaultParagraphFont"/>
    <w:link w:val="Heading3"/>
    <w:uiPriority w:val="9"/>
    <w:qFormat/>
    <w:rsid w:val="00BD6890"/>
    <w:rPr>
      <w:rFonts w:ascii="Arial" w:eastAsiaTheme="majorEastAsia" w:hAnsi="Arial" w:cstheme="majorBidi"/>
      <w:b/>
      <w:sz w:val="27"/>
      <w:szCs w:val="24"/>
    </w:rPr>
  </w:style>
  <w:style w:type="character" w:customStyle="1" w:styleId="Heading4Char">
    <w:name w:val="Heading 4 Char"/>
    <w:basedOn w:val="DefaultParagraphFont"/>
    <w:link w:val="Heading4"/>
    <w:uiPriority w:val="99"/>
    <w:qFormat/>
    <w:rsid w:val="00EA07EB"/>
    <w:rPr>
      <w:rFonts w:ascii="Arial" w:eastAsiaTheme="majorEastAsia" w:hAnsi="Arial" w:cstheme="majorBidi"/>
      <w:b/>
      <w:iCs/>
      <w:sz w:val="24"/>
    </w:rPr>
  </w:style>
  <w:style w:type="character" w:styleId="Hyperlink">
    <w:name w:val="Hyperlink"/>
    <w:basedOn w:val="DefaultParagraphFont"/>
    <w:uiPriority w:val="99"/>
    <w:unhideWhenUsed/>
    <w:rsid w:val="00436596"/>
    <w:rPr>
      <w:color w:val="0563C1" w:themeColor="hyperlink"/>
      <w:u w:val="single"/>
    </w:rPr>
  </w:style>
  <w:style w:type="character" w:customStyle="1" w:styleId="HeaderChar">
    <w:name w:val="Header Char"/>
    <w:basedOn w:val="DefaultParagraphFont"/>
    <w:link w:val="Header"/>
    <w:uiPriority w:val="99"/>
    <w:qFormat/>
    <w:rsid w:val="00FD21D8"/>
    <w:rPr>
      <w:rFonts w:ascii="Arial" w:eastAsia="Times New Roman" w:hAnsi="Arial"/>
      <w:color w:val="111111"/>
      <w:sz w:val="24"/>
    </w:rPr>
  </w:style>
  <w:style w:type="character" w:customStyle="1" w:styleId="FooterChar">
    <w:name w:val="Footer Char"/>
    <w:basedOn w:val="DefaultParagraphFont"/>
    <w:link w:val="Footer"/>
    <w:uiPriority w:val="99"/>
    <w:qFormat/>
    <w:rsid w:val="00FD21D8"/>
    <w:rPr>
      <w:rFonts w:ascii="Arial" w:eastAsia="Times New Roman" w:hAnsi="Arial"/>
      <w:color w:val="111111"/>
      <w:sz w:val="24"/>
    </w:rPr>
  </w:style>
  <w:style w:type="character" w:customStyle="1" w:styleId="IndexLink">
    <w:name w:val="Index Link"/>
    <w:qFormat/>
  </w:style>
  <w:style w:type="paragraph" w:customStyle="1" w:styleId="Heading">
    <w:name w:val="Heading"/>
    <w:basedOn w:val="Normal"/>
    <w:next w:val="BodyText"/>
    <w:qFormat/>
    <w:pPr>
      <w:keepNext/>
      <w:spacing w:before="240"/>
    </w:pPr>
    <w:rPr>
      <w:rFonts w:ascii="Liberation Sans" w:eastAsia="Noto Sans CJK SC" w:hAnsi="Liberation Sans" w:cs="Lohit Devanagari"/>
      <w:sz w:val="28"/>
      <w:szCs w:val="28"/>
    </w:rPr>
  </w:style>
  <w:style w:type="paragraph" w:styleId="BodyText">
    <w:name w:val="Body Text"/>
    <w:basedOn w:val="Normal"/>
    <w:pPr>
      <w:spacing w:after="140" w:line="276" w:lineRule="auto"/>
    </w:pPr>
  </w:style>
  <w:style w:type="paragraph" w:styleId="List">
    <w:name w:val="List"/>
    <w:basedOn w:val="BodyText"/>
    <w:rPr>
      <w:rFonts w:cs="Lohit Devanagari"/>
    </w:rPr>
  </w:style>
  <w:style w:type="paragraph" w:styleId="Caption">
    <w:name w:val="caption"/>
    <w:basedOn w:val="Normal"/>
    <w:qFormat/>
    <w:pPr>
      <w:suppressLineNumbers/>
      <w:spacing w:before="120"/>
    </w:pPr>
    <w:rPr>
      <w:rFonts w:cs="Lohit Devanagari"/>
      <w:i/>
      <w:iCs/>
      <w:szCs w:val="24"/>
    </w:rPr>
  </w:style>
  <w:style w:type="paragraph" w:customStyle="1" w:styleId="Index">
    <w:name w:val="Index"/>
    <w:basedOn w:val="Normal"/>
    <w:qFormat/>
    <w:pPr>
      <w:suppressLineNumbers/>
    </w:pPr>
    <w:rPr>
      <w:rFonts w:cs="Lohit Devanagari"/>
    </w:rPr>
  </w:style>
  <w:style w:type="paragraph" w:customStyle="1" w:styleId="TableCaption">
    <w:name w:val="Table Caption"/>
    <w:qFormat/>
    <w:rsid w:val="009815C6"/>
    <w:pPr>
      <w:keepNext/>
      <w:keepLines/>
      <w:spacing w:before="160" w:after="80" w:line="276" w:lineRule="auto"/>
    </w:pPr>
    <w:rPr>
      <w:rFonts w:ascii="Arial" w:eastAsia="Times New Roman" w:hAnsi="Arial"/>
      <w:b/>
      <w:color w:val="17365D"/>
      <w:sz w:val="20"/>
    </w:rPr>
  </w:style>
  <w:style w:type="paragraph" w:customStyle="1" w:styleId="SourceNote">
    <w:name w:val="Source Note"/>
    <w:qFormat/>
    <w:rsid w:val="009815C6"/>
    <w:pPr>
      <w:keepLines/>
      <w:spacing w:before="60" w:after="140" w:line="276" w:lineRule="auto"/>
    </w:pPr>
    <w:rPr>
      <w:rFonts w:ascii="Times New Roman" w:eastAsia="Times New Roman" w:hAnsi="Times New Roman"/>
      <w:i/>
      <w:color w:val="687386"/>
      <w:sz w:val="18"/>
    </w:rPr>
  </w:style>
  <w:style w:type="paragraph" w:customStyle="1" w:styleId="Figure">
    <w:name w:val="Figure"/>
    <w:qFormat/>
    <w:rsid w:val="00BD6890"/>
    <w:pPr>
      <w:keepNext/>
      <w:keepLines/>
      <w:spacing w:before="120" w:after="60" w:line="276" w:lineRule="auto"/>
      <w:jc w:val="center"/>
    </w:pPr>
    <w:rPr>
      <w:rFonts w:ascii="Calibri" w:eastAsiaTheme="minorEastAsia" w:hAnsi="Calibri"/>
    </w:rPr>
  </w:style>
  <w:style w:type="paragraph" w:styleId="ListParagraph">
    <w:name w:val="List Paragraph"/>
    <w:basedOn w:val="Normal"/>
    <w:uiPriority w:val="34"/>
    <w:qFormat/>
    <w:rsid w:val="00BD6890"/>
    <w:pPr>
      <w:ind w:left="720"/>
      <w:contextualSpacing/>
    </w:pPr>
  </w:style>
  <w:style w:type="paragraph" w:customStyle="1" w:styleId="FigureCaption">
    <w:name w:val="Figure Caption"/>
    <w:qFormat/>
    <w:rsid w:val="00E531E5"/>
    <w:pPr>
      <w:keepLines/>
      <w:spacing w:after="60" w:line="276" w:lineRule="auto"/>
      <w:jc w:val="center"/>
    </w:pPr>
    <w:rPr>
      <w:rFonts w:ascii="Arial" w:eastAsia="Times New Roman" w:hAnsi="Arial"/>
      <w:i/>
      <w:color w:val="3B4654"/>
      <w:sz w:val="20"/>
    </w:rPr>
  </w:style>
  <w:style w:type="paragraph" w:customStyle="1" w:styleId="Reference">
    <w:name w:val="Reference"/>
    <w:qFormat/>
    <w:rsid w:val="00436596"/>
    <w:pPr>
      <w:spacing w:after="120" w:line="276" w:lineRule="auto"/>
      <w:ind w:left="425" w:hanging="425"/>
    </w:pPr>
    <w:rPr>
      <w:rFonts w:ascii="Times New Roman" w:eastAsia="Times New Roman" w:hAnsi="Times New Roman"/>
      <w:color w:val="111111"/>
      <w:sz w:val="21"/>
    </w:rPr>
  </w:style>
  <w:style w:type="paragraph" w:customStyle="1" w:styleId="HeaderandFooter">
    <w:name w:val="Header and Footer"/>
    <w:basedOn w:val="Normal"/>
    <w:qFormat/>
  </w:style>
  <w:style w:type="paragraph" w:styleId="Header">
    <w:name w:val="header"/>
    <w:basedOn w:val="Normal"/>
    <w:link w:val="HeaderChar"/>
    <w:uiPriority w:val="99"/>
    <w:unhideWhenUsed/>
    <w:rsid w:val="00FD21D8"/>
    <w:pPr>
      <w:tabs>
        <w:tab w:val="center" w:pos="4680"/>
        <w:tab w:val="right" w:pos="9360"/>
      </w:tabs>
      <w:spacing w:after="0" w:line="240" w:lineRule="auto"/>
    </w:pPr>
  </w:style>
  <w:style w:type="paragraph" w:styleId="Footer">
    <w:name w:val="footer"/>
    <w:basedOn w:val="Normal"/>
    <w:link w:val="FooterChar"/>
    <w:uiPriority w:val="99"/>
    <w:unhideWhenUsed/>
    <w:rsid w:val="00FD21D8"/>
    <w:pPr>
      <w:tabs>
        <w:tab w:val="center" w:pos="4680"/>
        <w:tab w:val="right" w:pos="9360"/>
      </w:tabs>
      <w:spacing w:after="0" w:line="240" w:lineRule="auto"/>
    </w:pPr>
  </w:style>
  <w:style w:type="paragraph" w:customStyle="1" w:styleId="FrontMatterHeading">
    <w:name w:val="Front Matter Heading"/>
    <w:qFormat/>
    <w:rsid w:val="008943BB"/>
    <w:pPr>
      <w:keepNext/>
      <w:spacing w:after="320" w:line="276" w:lineRule="auto"/>
    </w:pPr>
    <w:rPr>
      <w:rFonts w:ascii="Times New Roman" w:eastAsia="Times New Roman" w:hAnsi="Times New Roman"/>
      <w:b/>
      <w:color w:val="17365D"/>
      <w:sz w:val="34"/>
    </w:rPr>
  </w:style>
  <w:style w:type="paragraph" w:customStyle="1" w:styleId="DeclarationBody">
    <w:name w:val="Declaration Body"/>
    <w:qFormat/>
    <w:rsid w:val="008943BB"/>
    <w:pPr>
      <w:spacing w:after="200" w:line="336" w:lineRule="auto"/>
    </w:pPr>
    <w:rPr>
      <w:rFonts w:ascii="Times New Roman" w:eastAsia="Times New Roman" w:hAnsi="Times New Roman"/>
      <w:color w:val="111111"/>
      <w:sz w:val="23"/>
    </w:rPr>
  </w:style>
  <w:style w:type="paragraph" w:styleId="IndexHeading">
    <w:name w:val="index heading"/>
    <w:basedOn w:val="Heading"/>
  </w:style>
  <w:style w:type="paragraph" w:styleId="TOCHeading">
    <w:name w:val="TOC Heading"/>
    <w:basedOn w:val="Heading1"/>
    <w:next w:val="Normal"/>
    <w:uiPriority w:val="39"/>
    <w:unhideWhenUsed/>
    <w:qFormat/>
    <w:rsid w:val="00E62B04"/>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E62B04"/>
    <w:pPr>
      <w:spacing w:after="100"/>
    </w:pPr>
  </w:style>
  <w:style w:type="paragraph" w:styleId="TOC2">
    <w:name w:val="toc 2"/>
    <w:basedOn w:val="Normal"/>
    <w:next w:val="Normal"/>
    <w:autoRedefine/>
    <w:uiPriority w:val="39"/>
    <w:unhideWhenUsed/>
    <w:rsid w:val="00E62B04"/>
    <w:pPr>
      <w:spacing w:after="100"/>
      <w:ind w:left="240"/>
    </w:pPr>
  </w:style>
  <w:style w:type="paragraph" w:styleId="TOC3">
    <w:name w:val="toc 3"/>
    <w:basedOn w:val="Normal"/>
    <w:next w:val="Normal"/>
    <w:autoRedefine/>
    <w:uiPriority w:val="39"/>
    <w:unhideWhenUsed/>
    <w:rsid w:val="00E62B04"/>
    <w:pPr>
      <w:spacing w:after="100"/>
      <w:ind w:left="480"/>
    </w:pPr>
  </w:style>
  <w:style w:type="paragraph" w:styleId="BodyText2">
    <w:name w:val="Body Text 2"/>
    <w:basedOn w:val="Normal"/>
    <w:link w:val="BodyText2Char"/>
    <w:uiPriority w:val="99"/>
    <w:rsid w:val="00F0319C"/>
    <w:pPr>
      <w:suppressAutoHyphens w:val="0"/>
      <w:spacing w:after="0" w:line="240" w:lineRule="auto"/>
      <w:ind w:left="720" w:hanging="720"/>
      <w:jc w:val="left"/>
    </w:pPr>
    <w:rPr>
      <w:rFonts w:ascii="Times New Roman" w:hAnsi="Times New Roman" w:cs="Times New Roman"/>
      <w:b/>
      <w:bCs/>
      <w:color w:val="auto"/>
      <w:sz w:val="22"/>
      <w:lang w:val="en-GB"/>
    </w:rPr>
  </w:style>
  <w:style w:type="character" w:customStyle="1" w:styleId="BodyText2Char">
    <w:name w:val="Body Text 2 Char"/>
    <w:basedOn w:val="DefaultParagraphFont"/>
    <w:link w:val="BodyText2"/>
    <w:uiPriority w:val="99"/>
    <w:rsid w:val="00F0319C"/>
    <w:rPr>
      <w:rFonts w:ascii="Times New Roman" w:eastAsia="Times New Roman" w:hAnsi="Times New Roman" w:cs="Times New Roman"/>
      <w:b/>
      <w:bCs/>
      <w:lang w:val="en-GB"/>
    </w:rPr>
  </w:style>
  <w:style w:type="paragraph" w:customStyle="1" w:styleId="deannah1">
    <w:name w:val="deannah1"/>
    <w:basedOn w:val="Normal"/>
    <w:uiPriority w:val="99"/>
    <w:rsid w:val="00F0319C"/>
    <w:pPr>
      <w:keepNext/>
      <w:suppressAutoHyphens w:val="0"/>
      <w:spacing w:after="240" w:line="240" w:lineRule="auto"/>
      <w:jc w:val="left"/>
    </w:pPr>
    <w:rPr>
      <w:rFonts w:ascii="Times New Roman" w:hAnsi="Times New Roman" w:cs="Times New Roman"/>
      <w:b/>
      <w:bCs/>
      <w:color w:val="auto"/>
      <w:szCs w:val="24"/>
      <w:lang w:val="en-GB"/>
    </w:rPr>
  </w:style>
  <w:style w:type="paragraph" w:styleId="BalloonText">
    <w:name w:val="Balloon Text"/>
    <w:basedOn w:val="Normal"/>
    <w:link w:val="BalloonTextChar"/>
    <w:uiPriority w:val="99"/>
    <w:semiHidden/>
    <w:rsid w:val="00F0319C"/>
    <w:pPr>
      <w:suppressAutoHyphens w:val="0"/>
      <w:spacing w:after="0" w:line="240" w:lineRule="auto"/>
      <w:jc w:val="left"/>
    </w:pPr>
    <w:rPr>
      <w:rFonts w:ascii="Tahoma" w:hAnsi="Tahoma" w:cs="Tahoma"/>
      <w:color w:val="auto"/>
      <w:sz w:val="16"/>
      <w:szCs w:val="16"/>
      <w:lang w:val="en-GB"/>
    </w:rPr>
  </w:style>
  <w:style w:type="character" w:customStyle="1" w:styleId="BalloonTextChar">
    <w:name w:val="Balloon Text Char"/>
    <w:basedOn w:val="DefaultParagraphFont"/>
    <w:link w:val="BalloonText"/>
    <w:uiPriority w:val="99"/>
    <w:semiHidden/>
    <w:rsid w:val="00F0319C"/>
    <w:rPr>
      <w:rFonts w:ascii="Tahoma" w:eastAsia="Times New Roman" w:hAnsi="Tahoma" w:cs="Tahoma"/>
      <w:sz w:val="16"/>
      <w:szCs w:val="16"/>
      <w:lang w:val="en-GB"/>
    </w:rPr>
  </w:style>
  <w:style w:type="table" w:styleId="TableGrid">
    <w:name w:val="Table Grid"/>
    <w:basedOn w:val="TableNormal"/>
    <w:uiPriority w:val="39"/>
    <w:rsid w:val="00F0319C"/>
    <w:pPr>
      <w:suppressAutoHyphens w:val="0"/>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0319C"/>
    <w:rPr>
      <w:color w:val="800080"/>
      <w:u w:val="single"/>
    </w:rPr>
  </w:style>
  <w:style w:type="paragraph" w:styleId="NormalWeb">
    <w:name w:val="Normal (Web)"/>
    <w:basedOn w:val="Normal"/>
    <w:uiPriority w:val="99"/>
    <w:rsid w:val="00F0319C"/>
    <w:pPr>
      <w:suppressAutoHyphens w:val="0"/>
      <w:spacing w:before="100" w:beforeAutospacing="1" w:after="100" w:afterAutospacing="1" w:line="240" w:lineRule="auto"/>
      <w:jc w:val="left"/>
    </w:pPr>
    <w:rPr>
      <w:rFonts w:ascii="Times New Roman" w:hAnsi="Times New Roman" w:cs="Times New Roman"/>
      <w:color w:val="auto"/>
      <w:szCs w:val="24"/>
      <w:lang w:val="en-GB" w:eastAsia="en-GB"/>
    </w:rPr>
  </w:style>
  <w:style w:type="character" w:customStyle="1" w:styleId="Hyperlink1">
    <w:name w:val="Hyperlink1"/>
    <w:uiPriority w:val="99"/>
    <w:rsid w:val="00F0319C"/>
    <w:rPr>
      <w:color w:val="535353"/>
      <w:u w:val="single"/>
      <w:effect w:val="none"/>
    </w:rPr>
  </w:style>
  <w:style w:type="paragraph" w:customStyle="1" w:styleId="NormalWeb1">
    <w:name w:val="Normal (Web)1"/>
    <w:basedOn w:val="Normal"/>
    <w:uiPriority w:val="99"/>
    <w:rsid w:val="00F0319C"/>
    <w:pPr>
      <w:suppressAutoHyphens w:val="0"/>
      <w:spacing w:before="100" w:beforeAutospacing="1" w:after="300" w:line="240" w:lineRule="auto"/>
      <w:jc w:val="left"/>
    </w:pPr>
    <w:rPr>
      <w:rFonts w:ascii="Times New Roman" w:hAnsi="Times New Roman" w:cs="Times New Roman"/>
      <w:color w:val="auto"/>
      <w:szCs w:val="24"/>
      <w:lang w:val="en-GB" w:eastAsia="en-GB"/>
    </w:rPr>
  </w:style>
  <w:style w:type="character" w:styleId="PageNumber">
    <w:name w:val="page number"/>
    <w:basedOn w:val="DefaultParagraphFont"/>
    <w:uiPriority w:val="99"/>
    <w:rsid w:val="00F0319C"/>
  </w:style>
  <w:style w:type="character" w:styleId="CommentReference">
    <w:name w:val="annotation reference"/>
    <w:uiPriority w:val="99"/>
    <w:semiHidden/>
    <w:unhideWhenUsed/>
    <w:rsid w:val="00F0319C"/>
    <w:rPr>
      <w:sz w:val="16"/>
      <w:szCs w:val="16"/>
    </w:rPr>
  </w:style>
  <w:style w:type="paragraph" w:styleId="CommentText">
    <w:name w:val="annotation text"/>
    <w:basedOn w:val="Normal"/>
    <w:link w:val="CommentTextChar"/>
    <w:uiPriority w:val="99"/>
    <w:semiHidden/>
    <w:unhideWhenUsed/>
    <w:rsid w:val="00F0319C"/>
    <w:pPr>
      <w:suppressAutoHyphens w:val="0"/>
      <w:spacing w:after="0" w:line="240" w:lineRule="auto"/>
      <w:jc w:val="left"/>
    </w:pPr>
    <w:rPr>
      <w:rFonts w:ascii="Times New Roman" w:hAnsi="Times New Roman" w:cs="Times New Roman"/>
      <w:color w:val="auto"/>
      <w:sz w:val="20"/>
      <w:szCs w:val="20"/>
      <w:lang w:val="en-GB"/>
    </w:rPr>
  </w:style>
  <w:style w:type="character" w:customStyle="1" w:styleId="CommentTextChar">
    <w:name w:val="Comment Text Char"/>
    <w:basedOn w:val="DefaultParagraphFont"/>
    <w:link w:val="CommentText"/>
    <w:uiPriority w:val="99"/>
    <w:semiHidden/>
    <w:rsid w:val="00F0319C"/>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F0319C"/>
    <w:rPr>
      <w:b/>
      <w:bCs/>
    </w:rPr>
  </w:style>
  <w:style w:type="character" w:customStyle="1" w:styleId="CommentSubjectChar">
    <w:name w:val="Comment Subject Char"/>
    <w:basedOn w:val="CommentTextChar"/>
    <w:link w:val="CommentSubject"/>
    <w:uiPriority w:val="99"/>
    <w:semiHidden/>
    <w:rsid w:val="00F0319C"/>
    <w:rPr>
      <w:rFonts w:ascii="Times New Roman" w:eastAsia="Times New Roman" w:hAnsi="Times New Roman" w:cs="Times New Roman"/>
      <w:b/>
      <w:bCs/>
      <w:sz w:val="20"/>
      <w:szCs w:val="20"/>
      <w:lang w:val="en-GB"/>
    </w:rPr>
  </w:style>
  <w:style w:type="character" w:styleId="Strong">
    <w:name w:val="Strong"/>
    <w:uiPriority w:val="22"/>
    <w:qFormat/>
    <w:rsid w:val="00F0319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19914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14780887.2020.1769238" TargetMode="External"/><Relationship Id="rId21" Type="http://schemas.openxmlformats.org/officeDocument/2006/relationships/image" Target="media/image6.png"/><Relationship Id="rId42" Type="http://schemas.openxmlformats.org/officeDocument/2006/relationships/hyperlink" Target="https://doi.org/10.2308/accr-51383" TargetMode="External"/><Relationship Id="rId47" Type="http://schemas.openxmlformats.org/officeDocument/2006/relationships/hyperlink" Target="https://www.pwc.com/gx/en/issues/c-suite-insights/voice-of-the-consumer-survey/2024.html" TargetMode="External"/><Relationship Id="rId63" Type="http://schemas.openxmlformats.org/officeDocument/2006/relationships/hyperlink" Target="https://doi.org/10.1007/s40821-024-00254-x" TargetMode="External"/><Relationship Id="rId68" Type="http://schemas.openxmlformats.org/officeDocument/2006/relationships/hyperlink" Target="https://doi.org/10.1111/fima.12413" TargetMode="External"/><Relationship Id="rId84" Type="http://schemas.openxmlformats.org/officeDocument/2006/relationships/hyperlink" Target="https://www.business-humanrights.org/en/from-us/briefings/2023-knowthechain-apparel-footwear-benchmark/" TargetMode="External"/><Relationship Id="rId89" Type="http://schemas.openxmlformats.org/officeDocument/2006/relationships/hyperlink" Target="file:///C:\Users\c.lohmann-hancock\AppData\Local\Microsoft\Windows\INetCache\REICoP-17-20-v3-Final.pdf" TargetMode="External"/><Relationship Id="rId16" Type="http://schemas.openxmlformats.org/officeDocument/2006/relationships/footer" Target="footer6.xml"/><Relationship Id="rId11" Type="http://schemas.openxmlformats.org/officeDocument/2006/relationships/footer" Target="footer1.xml"/><Relationship Id="rId32" Type="http://schemas.openxmlformats.org/officeDocument/2006/relationships/hyperlink" Target="https://www.deloitte.com/uk/en/Industries/consumer/perspectives/the-sustainable-consumer.html" TargetMode="External"/><Relationship Id="rId37" Type="http://schemas.openxmlformats.org/officeDocument/2006/relationships/hyperlink" Target="https://equileap.com/wp-content/uploads/2024/02/Equileap_2024_Gender_Equality_Report_Developed_Markets.pdf" TargetMode="External"/><Relationship Id="rId53" Type="http://schemas.openxmlformats.org/officeDocument/2006/relationships/hyperlink" Target="https://doi.org/10.1016/j.ribaf.2020.101192" TargetMode="External"/><Relationship Id="rId58" Type="http://schemas.openxmlformats.org/officeDocument/2006/relationships/hyperlink" Target="https://doi.org/10.1016/j.bir.2022.11.006" TargetMode="External"/><Relationship Id="rId74" Type="http://schemas.openxmlformats.org/officeDocument/2006/relationships/hyperlink" Target="https://doi.org/10.5465/amr.1995.9508080335" TargetMode="External"/><Relationship Id="rId79" Type="http://schemas.openxmlformats.org/officeDocument/2006/relationships/hyperlink" Target="https://doi.org/10.5465/amr.1995.9508080331" TargetMode="External"/><Relationship Id="rId5" Type="http://schemas.openxmlformats.org/officeDocument/2006/relationships/webSettings" Target="webSettings.xml"/><Relationship Id="rId9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doi.org/10.1093/rcfs/cfaa011" TargetMode="External"/><Relationship Id="rId27" Type="http://schemas.openxmlformats.org/officeDocument/2006/relationships/hyperlink" Target="https://doi.org/10.1016/j.frl.2020.101716" TargetMode="External"/><Relationship Id="rId43" Type="http://schemas.openxmlformats.org/officeDocument/2006/relationships/hyperlink" Target="https://www.business-humanrights.org/en/from-us/briefings/2023-knowthechain-apparel-footwear-benchmark/" TargetMode="External"/><Relationship Id="rId48" Type="http://schemas.openxmlformats.org/officeDocument/2006/relationships/hyperlink" Target="https://doi.org/10.1016/j.jfineco.2020.12.011" TargetMode="External"/><Relationship Id="rId64" Type="http://schemas.openxmlformats.org/officeDocument/2006/relationships/hyperlink" Target="https://doi.org/10.2308/TAR-2019-0506" TargetMode="External"/><Relationship Id="rId69" Type="http://schemas.openxmlformats.org/officeDocument/2006/relationships/hyperlink" Target="https://doi.org/10.1016/j.jbusres.2022.05.010" TargetMode="External"/><Relationship Id="rId8" Type="http://schemas.openxmlformats.org/officeDocument/2006/relationships/image" Target="media/image1.png"/><Relationship Id="rId51" Type="http://schemas.openxmlformats.org/officeDocument/2006/relationships/hyperlink" Target="https://www.unilever.com/investors/annual-report-and-accounts/archive-of-annual-report-and-accounts/" TargetMode="External"/><Relationship Id="rId72" Type="http://schemas.openxmlformats.org/officeDocument/2006/relationships/hyperlink" Target="https://doi.org/10.1016/j.jcorpfin.2021.101889" TargetMode="External"/><Relationship Id="rId80" Type="http://schemas.openxmlformats.org/officeDocument/2006/relationships/hyperlink" Target="https://doi.org/10.1002/bse.3692" TargetMode="External"/><Relationship Id="rId85" Type="http://schemas.openxmlformats.org/officeDocument/2006/relationships/hyperlink" Target="https://www.mckinsey.com/industries/consumer-packaged-goods/our-insights/consumers-care-about-sustainability-and-back-it-up-with-their-wallets" TargetMode="External"/><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2.png"/><Relationship Id="rId25" Type="http://schemas.openxmlformats.org/officeDocument/2006/relationships/hyperlink" Target="https://doi.org/10.1093/rof/rfac033" TargetMode="External"/><Relationship Id="rId33" Type="http://schemas.openxmlformats.org/officeDocument/2006/relationships/hyperlink" Target="https://www.gov.uk/government/publications/uk-sustainability-reporting-standards-uk-srs-s1-and-uk-srs-s2" TargetMode="External"/><Relationship Id="rId38" Type="http://schemas.openxmlformats.org/officeDocument/2006/relationships/hyperlink" Target="https://doi.org/10.1016/j.jbusres.2022.05.010" TargetMode="External"/><Relationship Id="rId46" Type="http://schemas.openxmlformats.org/officeDocument/2006/relationships/hyperlink" Target="https://doi.org/10.1007/s12208-025-00452-x" TargetMode="External"/><Relationship Id="rId59" Type="http://schemas.openxmlformats.org/officeDocument/2006/relationships/hyperlink" Target="https://doi.org/10.1177/014920639101700108" TargetMode="External"/><Relationship Id="rId67" Type="http://schemas.openxmlformats.org/officeDocument/2006/relationships/hyperlink" Target="https://doi.org/10.1016/j.jik.2024.100648" TargetMode="External"/><Relationship Id="rId20" Type="http://schemas.openxmlformats.org/officeDocument/2006/relationships/image" Target="media/image5.png"/><Relationship Id="rId41" Type="http://schemas.openxmlformats.org/officeDocument/2006/relationships/hyperlink" Target="https://doi.org/10.1016/j.jcorpfin.2021.101889" TargetMode="External"/><Relationship Id="rId54" Type="http://schemas.openxmlformats.org/officeDocument/2006/relationships/footer" Target="footer7.xml"/><Relationship Id="rId62" Type="http://schemas.openxmlformats.org/officeDocument/2006/relationships/hyperlink" Target="https://doi.org/10.1016/j.frl.2020.101716" TargetMode="External"/><Relationship Id="rId70" Type="http://schemas.openxmlformats.org/officeDocument/2006/relationships/hyperlink" Target="https://doi.org/10.1002/bse.2482" TargetMode="External"/><Relationship Id="rId75" Type="http://schemas.openxmlformats.org/officeDocument/2006/relationships/hyperlink" Target="https://doi.org/10.1016/j.heliyon.2023.e20974" TargetMode="External"/><Relationship Id="rId83" Type="http://schemas.openxmlformats.org/officeDocument/2006/relationships/hyperlink" Target="https://equileap.com/wp-content/uploads/2024/02/Equileap_2024_Gender_Equality_Report_Developed_Markets.pdf" TargetMode="External"/><Relationship Id="rId88" Type="http://schemas.openxmlformats.org/officeDocument/2006/relationships/header" Target="header1.xml"/><Relationship Id="rId91"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5.xml"/><Relationship Id="rId23" Type="http://schemas.openxmlformats.org/officeDocument/2006/relationships/hyperlink" Target="https://doi.org/10.1016/j.bir.2022.11.006" TargetMode="External"/><Relationship Id="rId28" Type="http://schemas.openxmlformats.org/officeDocument/2006/relationships/hyperlink" Target="https://doi.org/10.1007/s40821-024-00254-x" TargetMode="External"/><Relationship Id="rId36" Type="http://schemas.openxmlformats.org/officeDocument/2006/relationships/hyperlink" Target="https://doi.org/10.1111/fima.12413" TargetMode="External"/><Relationship Id="rId49" Type="http://schemas.openxmlformats.org/officeDocument/2006/relationships/hyperlink" Target="https://doi.org/10.1007/s11301-023-00337-5" TargetMode="External"/><Relationship Id="rId57" Type="http://schemas.openxmlformats.org/officeDocument/2006/relationships/hyperlink" Target="https://doi.org/10.1093/rcfs/cfaa011" TargetMode="External"/><Relationship Id="rId10" Type="http://schemas.openxmlformats.org/officeDocument/2006/relationships/image" Target="media/image10.png"/><Relationship Id="rId31" Type="http://schemas.openxmlformats.org/officeDocument/2006/relationships/hyperlink" Target="https://doi.org/10.1186/s12302-020-0300-3" TargetMode="External"/><Relationship Id="rId44" Type="http://schemas.openxmlformats.org/officeDocument/2006/relationships/hyperlink" Target="https://www.mckinsey.com/industries/consumer-packaged-goods/our-insights/consumers-care-about-sustainability-and-back-it-up-with-their-wallets" TargetMode="External"/><Relationship Id="rId52" Type="http://schemas.openxmlformats.org/officeDocument/2006/relationships/hyperlink" Target="https://doi.org/10.1002/bse.3692" TargetMode="External"/><Relationship Id="rId60" Type="http://schemas.openxmlformats.org/officeDocument/2006/relationships/hyperlink" Target="https://doi.org/10.1093/rof/rfac033" TargetMode="External"/><Relationship Id="rId65" Type="http://schemas.openxmlformats.org/officeDocument/2006/relationships/hyperlink" Target="https://doi.org/10.1007/s11142-021-09609-5" TargetMode="External"/><Relationship Id="rId73" Type="http://schemas.openxmlformats.org/officeDocument/2006/relationships/hyperlink" Target="https://doi.org/10.2308/accr-51383" TargetMode="External"/><Relationship Id="rId78" Type="http://schemas.openxmlformats.org/officeDocument/2006/relationships/hyperlink" Target="https://doi.org/10.1007/s11301-023-00337-5" TargetMode="External"/><Relationship Id="rId81" Type="http://schemas.openxmlformats.org/officeDocument/2006/relationships/hyperlink" Target="https://doi.org/10.1016/j.ribaf.2020.101192" TargetMode="External"/><Relationship Id="rId86" Type="http://schemas.openxmlformats.org/officeDocument/2006/relationships/hyperlink" Target="https://www.pwc.com/gx/en/issues/c-suite-insights/voice-of-the-consumer-survey/2024.html" TargetMode="External"/><Relationship Id="rId4" Type="http://schemas.openxmlformats.org/officeDocument/2006/relationships/settings" Target="settings.xml"/><Relationship Id="rId9" Type="http://schemas.microsoft.com/office/2007/relationships/hdphoto" Target="media/hdphoto1.wdp"/><Relationship Id="rId13" Type="http://schemas.openxmlformats.org/officeDocument/2006/relationships/footer" Target="footer3.xml"/><Relationship Id="rId18" Type="http://schemas.openxmlformats.org/officeDocument/2006/relationships/image" Target="media/image3.png"/><Relationship Id="rId39" Type="http://schemas.openxmlformats.org/officeDocument/2006/relationships/hyperlink" Target="https://doi.org/10.1002/bse.2482" TargetMode="External"/><Relationship Id="rId34" Type="http://schemas.openxmlformats.org/officeDocument/2006/relationships/hyperlink" Target="https://www.diageo.com/en/investors/results-reports-and-events/annual-reports" TargetMode="External"/><Relationship Id="rId50" Type="http://schemas.openxmlformats.org/officeDocument/2006/relationships/hyperlink" Target="https://doi.org/10.5465/amr.1995.9508080331" TargetMode="External"/><Relationship Id="rId55" Type="http://schemas.openxmlformats.org/officeDocument/2006/relationships/footer" Target="footer8.xml"/><Relationship Id="rId76" Type="http://schemas.openxmlformats.org/officeDocument/2006/relationships/hyperlink" Target="https://doi.org/10.1007/s12208-025-00452-x" TargetMode="External"/><Relationship Id="rId7" Type="http://schemas.openxmlformats.org/officeDocument/2006/relationships/endnotes" Target="endnotes.xml"/><Relationship Id="rId71" Type="http://schemas.openxmlformats.org/officeDocument/2006/relationships/hyperlink" Target="https://doi.org/10.1007/s10997-023-09683-8" TargetMode="External"/><Relationship Id="rId92"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hyperlink" Target="https://doi.org/10.2308/TAR-2019-0506" TargetMode="External"/><Relationship Id="rId24" Type="http://schemas.openxmlformats.org/officeDocument/2006/relationships/hyperlink" Target="https://doi.org/10.1177/014920639101700108" TargetMode="External"/><Relationship Id="rId40" Type="http://schemas.openxmlformats.org/officeDocument/2006/relationships/hyperlink" Target="https://doi.org/10.1007/s10997-023-09683-8" TargetMode="External"/><Relationship Id="rId45" Type="http://schemas.openxmlformats.org/officeDocument/2006/relationships/hyperlink" Target="https://doi.org/10.1016/j.heliyon.2023.e20974" TargetMode="External"/><Relationship Id="rId66" Type="http://schemas.openxmlformats.org/officeDocument/2006/relationships/hyperlink" Target="https://doi.org/10.1186/s12302-020-0300-3" TargetMode="External"/><Relationship Id="rId87" Type="http://schemas.openxmlformats.org/officeDocument/2006/relationships/hyperlink" Target="https://www.stern.nyu.edu/sites/default/files/assets/documents/NYU-RAM_ESG-Paper_2021.pdf" TargetMode="External"/><Relationship Id="rId61" Type="http://schemas.openxmlformats.org/officeDocument/2006/relationships/hyperlink" Target="https://doi.org/10.1080/14780887.2020.1769238" TargetMode="External"/><Relationship Id="rId82" Type="http://schemas.openxmlformats.org/officeDocument/2006/relationships/hyperlink" Target="https://www.deloitte.com/uk/en/Industries/consumer/perspectives/the-sustainable-consumer.html" TargetMode="External"/><Relationship Id="rId19" Type="http://schemas.openxmlformats.org/officeDocument/2006/relationships/image" Target="media/image4.png"/><Relationship Id="rId14" Type="http://schemas.openxmlformats.org/officeDocument/2006/relationships/footer" Target="footer4.xml"/><Relationship Id="rId30" Type="http://schemas.openxmlformats.org/officeDocument/2006/relationships/hyperlink" Target="https://doi.org/10.1007/s11142-021-09609-5" TargetMode="External"/><Relationship Id="rId35" Type="http://schemas.openxmlformats.org/officeDocument/2006/relationships/hyperlink" Target="https://doi.org/10.1016/j.jik.2024.100648" TargetMode="External"/><Relationship Id="rId56" Type="http://schemas.openxmlformats.org/officeDocument/2006/relationships/footer" Target="footer9.xml"/><Relationship Id="rId77" Type="http://schemas.openxmlformats.org/officeDocument/2006/relationships/hyperlink" Target="https://doi.org/10.1016/j.jfineco.2020.12.011" TargetMode="External"/></Relationships>
</file>

<file path=word/theme/theme1.xml><?xml version="1.0" encoding="utf-8"?>
<a:theme xmlns:a="http://schemas.openxmlformats.org/drawingml/2006/main"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majorFont>
      <a:minorFont>
        <a:latin typeface="Calibri" panose="020F050202020403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AC2AE9-9F07-422C-A829-384F6F969E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352</TotalTime>
  <Pages>100</Pages>
  <Words>31528</Words>
  <Characters>179711</Characters>
  <Application>Microsoft Office Word</Application>
  <DocSecurity>0</DocSecurity>
  <Lines>1497</Lines>
  <Paragraphs>421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Resvy Ahmed</dc:creator>
  <cp:lastModifiedBy>..</cp:lastModifiedBy>
  <cp:revision>17</cp:revision>
  <dcterms:created xsi:type="dcterms:W3CDTF">2026-09-20T17:19:00Z</dcterms:created>
  <dcterms:modified xsi:type="dcterms:W3CDTF">2026-09-24T08:53:00Z</dcterms:modified>
</cp:coreProperties>
</file>

<file path=docProps/core0.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2026-08-28T08:13:00Z</dcterms:created>
  <dc:creator>Resvy Ahmed</dc:creator>
  <dc:description/>
  <dc:language>en-US</dc:language>
  <cp:lastModifiedBy/>
  <dcterms:modified xsi:type="dcterms:W3CDTF">2026-09-20T10:07:40Z</dcterms:modified>
  <cp:revision>7</cp:revision>
  <dc:subject/>
  <dc:title/>
</cp:coreProperties>
</file>