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ascii="Calibri" w:hAnsi="Calibri" w:cs="Calibri"/>
          <w:b/>
          <w:bCs/>
          <w:sz w:val="48"/>
          <w:szCs w:val="48"/>
        </w:rPr>
      </w:pPr>
      <w:bookmarkStart w:id="0" w:name="_Hlk97815378"/>
      <w:bookmarkEnd w:id="0"/>
      <w:r>
        <w:rPr>
          <w:rFonts w:ascii="Calibri" w:hAnsi="Calibri" w:cs="Calibri"/>
          <w:b/>
          <w:bCs/>
          <w:sz w:val="48"/>
          <w:szCs w:val="48"/>
        </w:rPr>
        <w:drawing>
          <wp:inline distT="0" distB="0" distL="0" distR="0">
            <wp:extent cx="5633085" cy="2212975"/>
            <wp:effectExtent l="0" t="0" r="5715" b="1206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spacing w:line="360" w:lineRule="auto"/>
        <w:rPr>
          <w:rFonts w:ascii="Calibri" w:hAnsi="Calibri" w:cs="Calibri"/>
          <w:b/>
          <w:bCs/>
          <w:sz w:val="48"/>
          <w:szCs w:val="48"/>
        </w:rPr>
      </w:pPr>
    </w:p>
    <w:p>
      <w:pPr>
        <w:spacing w:line="360" w:lineRule="auto"/>
        <w:jc w:val="center"/>
        <w:rPr>
          <w:b/>
          <w:bCs/>
          <w:sz w:val="36"/>
          <w:szCs w:val="36"/>
          <w:shd w:val="clear" w:color="auto" w:fill="FFFFFF"/>
        </w:rPr>
      </w:pPr>
      <w:r>
        <w:rPr>
          <w:b/>
          <w:bCs/>
          <w:sz w:val="36"/>
          <w:szCs w:val="36"/>
          <w:shd w:val="clear" w:color="auto" w:fill="FFFFFF"/>
        </w:rPr>
        <w:t>Environmental Analysis of Marriott Hotel in the Context of Covid-19</w:t>
      </w:r>
    </w:p>
    <w:p>
      <w:pPr>
        <w:spacing w:line="360" w:lineRule="auto"/>
        <w:rPr>
          <w:rFonts w:hint="default" w:ascii="Times New Roman" w:hAnsi="Times New Roman" w:cs="Times New Roman"/>
          <w:b/>
          <w:bCs/>
          <w:sz w:val="36"/>
          <w:szCs w:val="36"/>
        </w:rPr>
      </w:pPr>
    </w:p>
    <w:p>
      <w:pPr>
        <w:spacing w:line="360" w:lineRule="auto"/>
        <w:jc w:val="center"/>
        <w:rPr>
          <w:rFonts w:hint="default" w:ascii="Times New Roman" w:hAnsi="Times New Roman" w:cs="Times New Roman"/>
          <w:b/>
          <w:bCs/>
          <w:sz w:val="36"/>
          <w:szCs w:val="36"/>
        </w:rPr>
      </w:pPr>
      <w:r>
        <w:rPr>
          <w:rFonts w:hint="default" w:ascii="Times New Roman" w:hAnsi="Times New Roman" w:cs="Times New Roman"/>
          <w:b/>
          <w:bCs/>
          <w:sz w:val="36"/>
          <w:szCs w:val="36"/>
        </w:rPr>
        <w:t>Strategic Marketing</w:t>
      </w:r>
    </w:p>
    <w:p>
      <w:pPr>
        <w:spacing w:line="360" w:lineRule="auto"/>
        <w:rPr>
          <w:color w:val="2E3033"/>
          <w:sz w:val="36"/>
          <w:szCs w:val="36"/>
          <w:shd w:val="clear" w:color="auto" w:fill="FFFFFF"/>
        </w:rPr>
      </w:pPr>
    </w:p>
    <w:p>
      <w:pPr>
        <w:spacing w:line="360" w:lineRule="auto"/>
        <w:jc w:val="center"/>
        <w:rPr>
          <w:rFonts w:hint="default" w:ascii="Times New Roman" w:hAnsi="Times New Roman" w:eastAsia="宋体" w:cs="Times New Roman"/>
          <w:b/>
          <w:bCs/>
          <w:i w:val="0"/>
          <w:iCs/>
          <w:sz w:val="36"/>
          <w:szCs w:val="36"/>
          <w:lang w:val="en-US" w:eastAsia="zh-CN"/>
        </w:rPr>
      </w:pPr>
      <w:r>
        <w:rPr>
          <w:rFonts w:hint="default" w:ascii="Times New Roman" w:hAnsi="Times New Roman" w:cs="Times New Roman"/>
          <w:b/>
          <w:bCs/>
          <w:i w:val="0"/>
          <w:iCs/>
          <w:sz w:val="36"/>
          <w:szCs w:val="36"/>
        </w:rPr>
        <w:t>Yingjie Zang</w:t>
      </w:r>
      <w:r>
        <w:rPr>
          <w:rFonts w:hint="default" w:ascii="Times New Roman" w:hAnsi="Times New Roman" w:eastAsia="宋体" w:cs="Times New Roman"/>
          <w:b/>
          <w:bCs/>
          <w:i w:val="0"/>
          <w:iCs/>
          <w:sz w:val="36"/>
          <w:szCs w:val="36"/>
          <w:lang w:val="en-US" w:eastAsia="zh-CN"/>
        </w:rPr>
        <w:t xml:space="preserve"> </w:t>
      </w:r>
      <w:r>
        <w:rPr>
          <w:rFonts w:hint="default" w:ascii="Times New Roman" w:hAnsi="Times New Roman" w:cs="Times New Roman"/>
          <w:b/>
          <w:bCs/>
          <w:i w:val="0"/>
          <w:iCs/>
          <w:sz w:val="36"/>
          <w:szCs w:val="36"/>
        </w:rPr>
        <w:t>2100728</w:t>
      </w:r>
    </w:p>
    <w:p>
      <w:pPr>
        <w:spacing w:line="360" w:lineRule="auto"/>
        <w:rPr>
          <w:color w:val="2E3033"/>
          <w:sz w:val="36"/>
          <w:szCs w:val="36"/>
          <w:shd w:val="clear" w:color="auto" w:fill="FFFFFF"/>
        </w:rPr>
      </w:pPr>
    </w:p>
    <w:p>
      <w:pPr>
        <w:spacing w:line="360" w:lineRule="auto"/>
        <w:jc w:val="center"/>
        <w:rPr>
          <w:color w:val="2E3033"/>
          <w:sz w:val="36"/>
          <w:szCs w:val="36"/>
          <w:shd w:val="clear" w:color="auto" w:fill="FFFFFF"/>
        </w:rPr>
      </w:pPr>
      <w:r>
        <w:rPr>
          <w:rFonts w:hint="eastAsia" w:ascii="Times New Roman" w:hAnsi="Times New Roman"/>
          <w:b/>
          <w:bCs/>
          <w:i w:val="0"/>
          <w:sz w:val="36"/>
          <w:szCs w:val="36"/>
        </w:rPr>
        <w:t>Lisa Knight</w:t>
      </w:r>
    </w:p>
    <w:p>
      <w:pPr>
        <w:spacing w:line="360" w:lineRule="auto"/>
        <w:rPr>
          <w:color w:val="2E3033"/>
          <w:sz w:val="36"/>
          <w:szCs w:val="36"/>
          <w:shd w:val="clear" w:color="auto" w:fill="FFFFFF"/>
        </w:rPr>
      </w:pPr>
    </w:p>
    <w:p>
      <w:pPr>
        <w:spacing w:line="360" w:lineRule="auto"/>
        <w:rPr>
          <w:color w:val="2E3033"/>
          <w:sz w:val="36"/>
          <w:szCs w:val="36"/>
          <w:shd w:val="clear" w:color="auto" w:fill="FFFFFF"/>
        </w:rPr>
      </w:pPr>
    </w:p>
    <w:p>
      <w:pPr>
        <w:spacing w:line="360" w:lineRule="auto"/>
        <w:rPr>
          <w:color w:val="2E3033"/>
          <w:sz w:val="36"/>
          <w:szCs w:val="36"/>
          <w:shd w:val="clear" w:color="auto" w:fill="FFFFFF"/>
        </w:rPr>
      </w:pPr>
    </w:p>
    <w:p>
      <w:pPr>
        <w:spacing w:line="360" w:lineRule="auto"/>
        <w:rPr>
          <w:color w:val="2E3033"/>
          <w:sz w:val="36"/>
          <w:szCs w:val="36"/>
          <w:shd w:val="clear" w:color="auto" w:fill="FFFFFF"/>
        </w:rPr>
      </w:pPr>
    </w:p>
    <w:p>
      <w:pPr>
        <w:spacing w:line="360" w:lineRule="auto"/>
        <w:rPr>
          <w:color w:val="2E3033"/>
          <w:sz w:val="36"/>
          <w:szCs w:val="36"/>
          <w:shd w:val="clear" w:color="auto" w:fill="FFFFFF"/>
        </w:rPr>
      </w:pPr>
    </w:p>
    <w:p>
      <w:pPr>
        <w:spacing w:line="360" w:lineRule="auto"/>
        <w:rPr>
          <w:color w:val="2E3033"/>
          <w:sz w:val="36"/>
          <w:szCs w:val="36"/>
          <w:shd w:val="clear" w:color="auto" w:fill="FFFFFF"/>
        </w:rPr>
      </w:pPr>
    </w:p>
    <w:p>
      <w:pPr>
        <w:spacing w:line="360" w:lineRule="auto"/>
        <w:rPr>
          <w:color w:val="2E3033"/>
          <w:sz w:val="36"/>
          <w:szCs w:val="36"/>
          <w:shd w:val="clear" w:color="auto" w:fill="FFFFFF"/>
        </w:rPr>
      </w:pPr>
    </w:p>
    <w:p>
      <w:pPr>
        <w:pStyle w:val="2"/>
        <w:spacing w:line="360" w:lineRule="auto"/>
        <w:rPr>
          <w:sz w:val="24"/>
          <w:szCs w:val="24"/>
        </w:rPr>
      </w:pPr>
      <w:bookmarkStart w:id="1" w:name="_Toc6680"/>
      <w:r>
        <w:rPr>
          <w:sz w:val="24"/>
          <w:szCs w:val="24"/>
        </w:rPr>
        <w:t>Executive Summary</w:t>
      </w:r>
      <w:bookmarkEnd w:id="1"/>
    </w:p>
    <w:p>
      <w:pPr>
        <w:spacing w:line="360" w:lineRule="auto"/>
        <w:rPr>
          <w:sz w:val="24"/>
        </w:rPr>
      </w:pPr>
    </w:p>
    <w:p>
      <w:pPr>
        <w:spacing w:line="360" w:lineRule="auto"/>
        <w:rPr>
          <w:sz w:val="24"/>
        </w:rPr>
      </w:pPr>
      <w:r>
        <w:rPr>
          <w:sz w:val="24"/>
        </w:rPr>
        <w:t xml:space="preserve">Through an analysis of the internal and external environment, this report found that in the context of covid-19, the external political and economic environment of Marriott is relatively harsh, and the competition in the market is fierce. In this case, Marriott needs to rely on its existing resources and capabilities to withstand the harsh external environment. This report provided Marriott with four development recommendations: Improve public relations management capability; Develop a salary system that satisfies both Marriott and its employees; Create a differentiated development path; and continue to invest in the membership system to maintain consumer loyalty. </w:t>
      </w: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rFonts w:hint="eastAsia"/>
          <w:sz w:val="24"/>
        </w:rPr>
      </w:pPr>
    </w:p>
    <w:p>
      <w:pPr>
        <w:spacing w:line="360" w:lineRule="auto"/>
        <w:rPr>
          <w:sz w:val="24"/>
        </w:rPr>
      </w:pPr>
    </w:p>
    <w:sdt>
      <w:sdtPr>
        <w:rPr>
          <w:rFonts w:eastAsia="宋体"/>
          <w:sz w:val="24"/>
          <w:szCs w:val="24"/>
          <w:lang w:val="zh-CN"/>
        </w:rPr>
        <w:id w:val="-1130173871"/>
        <w:docPartObj>
          <w:docPartGallery w:val="Table of Contents"/>
          <w:docPartUnique/>
        </w:docPartObj>
      </w:sdtPr>
      <w:sdtEndPr>
        <w:rPr>
          <w:rFonts w:eastAsia="宋体"/>
          <w:bCs/>
          <w:color w:val="auto"/>
          <w:spacing w:val="0"/>
          <w:sz w:val="24"/>
          <w:szCs w:val="24"/>
          <w:lang w:val="zh-CN"/>
        </w:rPr>
      </w:sdtEndPr>
      <w:sdtContent>
        <w:p>
          <w:pPr>
            <w:pStyle w:val="45"/>
            <w:spacing w:line="360" w:lineRule="auto"/>
            <w:jc w:val="center"/>
            <w:rPr>
              <w:sz w:val="24"/>
              <w:szCs w:val="24"/>
            </w:rPr>
          </w:pPr>
          <w:r>
            <w:rPr>
              <w:rFonts w:eastAsia="宋体"/>
              <w:sz w:val="24"/>
              <w:szCs w:val="24"/>
              <w:lang w:val="zh-CN"/>
            </w:rPr>
            <w:t>Contents</w:t>
          </w:r>
        </w:p>
        <w:p>
          <w:pPr>
            <w:pStyle w:val="1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sz w:val="24"/>
              <w:szCs w:val="24"/>
            </w:rPr>
            <w:fldChar w:fldCharType="begin"/>
          </w:r>
          <w:r>
            <w:rPr>
              <w:sz w:val="24"/>
              <w:szCs w:val="24"/>
            </w:rPr>
            <w:instrText xml:space="preserve"> TOC \o "1-3" \h \z \u </w:instrText>
          </w:r>
          <w:r>
            <w:rPr>
              <w:sz w:val="24"/>
              <w:szCs w:val="24"/>
            </w:rPr>
            <w:fldChar w:fldCharType="separate"/>
          </w:r>
          <w:r>
            <w:rPr>
              <w:sz w:val="24"/>
              <w:szCs w:val="24"/>
            </w:rPr>
            <w:fldChar w:fldCharType="begin"/>
          </w:r>
          <w:r>
            <w:rPr>
              <w:sz w:val="24"/>
              <w:szCs w:val="24"/>
            </w:rPr>
            <w:instrText xml:space="preserve"> HYPERLINK \l _Toc6680 </w:instrText>
          </w:r>
          <w:r>
            <w:rPr>
              <w:sz w:val="24"/>
              <w:szCs w:val="24"/>
            </w:rPr>
            <w:fldChar w:fldCharType="separate"/>
          </w:r>
          <w:r>
            <w:rPr>
              <w:sz w:val="24"/>
              <w:szCs w:val="24"/>
            </w:rPr>
            <w:t>Executive Summary</w:t>
          </w:r>
          <w:r>
            <w:rPr>
              <w:sz w:val="24"/>
              <w:szCs w:val="24"/>
            </w:rPr>
            <w:tab/>
          </w:r>
          <w:r>
            <w:rPr>
              <w:sz w:val="24"/>
              <w:szCs w:val="24"/>
            </w:rPr>
            <w:fldChar w:fldCharType="begin"/>
          </w:r>
          <w:r>
            <w:rPr>
              <w:sz w:val="24"/>
              <w:szCs w:val="24"/>
            </w:rPr>
            <w:instrText xml:space="preserve"> PAGEREF _Toc6680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1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_Toc21447 </w:instrText>
          </w:r>
          <w:r>
            <w:rPr>
              <w:bCs/>
              <w:sz w:val="24"/>
              <w:szCs w:val="24"/>
              <w:lang w:val="zh-CN"/>
            </w:rPr>
            <w:fldChar w:fldCharType="separate"/>
          </w:r>
          <w:r>
            <w:rPr>
              <w:sz w:val="24"/>
              <w:szCs w:val="24"/>
            </w:rPr>
            <w:t>1</w:t>
          </w:r>
          <w:r>
            <w:rPr>
              <w:rFonts w:hint="eastAsia" w:eastAsia="宋体"/>
              <w:sz w:val="24"/>
              <w:szCs w:val="24"/>
              <w:lang w:eastAsia="zh-CN"/>
            </w:rPr>
            <w:t>.</w:t>
          </w:r>
          <w:r>
            <w:rPr>
              <w:rFonts w:hint="eastAsia" w:eastAsia="宋体"/>
              <w:sz w:val="24"/>
              <w:szCs w:val="24"/>
              <w:lang w:val="en-US" w:eastAsia="zh-CN"/>
            </w:rPr>
            <w:t>0</w:t>
          </w:r>
          <w:r>
            <w:rPr>
              <w:sz w:val="24"/>
              <w:szCs w:val="24"/>
            </w:rPr>
            <w:t xml:space="preserve"> Introduction</w:t>
          </w:r>
          <w:r>
            <w:rPr>
              <w:sz w:val="24"/>
              <w:szCs w:val="24"/>
            </w:rPr>
            <w:tab/>
          </w:r>
          <w:r>
            <w:rPr>
              <w:sz w:val="24"/>
              <w:szCs w:val="24"/>
            </w:rPr>
            <w:fldChar w:fldCharType="begin"/>
          </w:r>
          <w:r>
            <w:rPr>
              <w:sz w:val="24"/>
              <w:szCs w:val="24"/>
            </w:rPr>
            <w:instrText xml:space="preserve"> PAGEREF _Toc21447 \h </w:instrText>
          </w:r>
          <w:r>
            <w:rPr>
              <w:sz w:val="24"/>
              <w:szCs w:val="24"/>
            </w:rPr>
            <w:fldChar w:fldCharType="separate"/>
          </w:r>
          <w:r>
            <w:rPr>
              <w:sz w:val="24"/>
              <w:szCs w:val="24"/>
            </w:rPr>
            <w:t>3</w:t>
          </w:r>
          <w:r>
            <w:rPr>
              <w:sz w:val="24"/>
              <w:szCs w:val="24"/>
            </w:rPr>
            <w:fldChar w:fldCharType="end"/>
          </w:r>
          <w:r>
            <w:rPr>
              <w:bCs/>
              <w:sz w:val="24"/>
              <w:szCs w:val="24"/>
              <w:lang w:val="zh-CN"/>
            </w:rPr>
            <w:fldChar w:fldCharType="end"/>
          </w:r>
        </w:p>
        <w:p>
          <w:pPr>
            <w:pStyle w:val="1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_Toc13943 </w:instrText>
          </w:r>
          <w:r>
            <w:rPr>
              <w:bCs/>
              <w:sz w:val="24"/>
              <w:szCs w:val="24"/>
              <w:lang w:val="zh-CN"/>
            </w:rPr>
            <w:fldChar w:fldCharType="separate"/>
          </w:r>
          <w:r>
            <w:rPr>
              <w:sz w:val="24"/>
              <w:szCs w:val="24"/>
            </w:rPr>
            <w:t>2</w:t>
          </w:r>
          <w:r>
            <w:rPr>
              <w:rFonts w:hint="eastAsia" w:eastAsia="宋体"/>
              <w:sz w:val="24"/>
              <w:szCs w:val="24"/>
              <w:lang w:val="en-US" w:eastAsia="zh-CN"/>
            </w:rPr>
            <w:t>.0</w:t>
          </w:r>
          <w:r>
            <w:rPr>
              <w:sz w:val="24"/>
              <w:szCs w:val="24"/>
            </w:rPr>
            <w:t xml:space="preserve"> PESTEL</w:t>
          </w:r>
          <w:r>
            <w:rPr>
              <w:sz w:val="24"/>
              <w:szCs w:val="24"/>
            </w:rPr>
            <w:tab/>
          </w:r>
          <w:r>
            <w:rPr>
              <w:sz w:val="24"/>
              <w:szCs w:val="24"/>
            </w:rPr>
            <w:fldChar w:fldCharType="begin"/>
          </w:r>
          <w:r>
            <w:rPr>
              <w:sz w:val="24"/>
              <w:szCs w:val="24"/>
            </w:rPr>
            <w:instrText xml:space="preserve"> PAGEREF _Toc13943 \h </w:instrText>
          </w:r>
          <w:r>
            <w:rPr>
              <w:sz w:val="24"/>
              <w:szCs w:val="24"/>
            </w:rPr>
            <w:fldChar w:fldCharType="separate"/>
          </w:r>
          <w:r>
            <w:rPr>
              <w:sz w:val="24"/>
              <w:szCs w:val="24"/>
            </w:rPr>
            <w:t>4</w:t>
          </w:r>
          <w:r>
            <w:rPr>
              <w:sz w:val="24"/>
              <w:szCs w:val="24"/>
            </w:rPr>
            <w:fldChar w:fldCharType="end"/>
          </w:r>
          <w:r>
            <w:rPr>
              <w:bCs/>
              <w:sz w:val="24"/>
              <w:szCs w:val="24"/>
              <w:lang w:val="zh-CN"/>
            </w:rPr>
            <w:fldChar w:fldCharType="end"/>
          </w:r>
        </w:p>
        <w:p>
          <w:pPr>
            <w:pStyle w:val="1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_Toc9628 </w:instrText>
          </w:r>
          <w:r>
            <w:rPr>
              <w:bCs/>
              <w:sz w:val="24"/>
              <w:szCs w:val="24"/>
              <w:lang w:val="zh-CN"/>
            </w:rPr>
            <w:fldChar w:fldCharType="separate"/>
          </w:r>
          <w:r>
            <w:rPr>
              <w:sz w:val="24"/>
              <w:szCs w:val="24"/>
            </w:rPr>
            <w:t>2.1 Political</w:t>
          </w:r>
          <w:r>
            <w:rPr>
              <w:sz w:val="24"/>
              <w:szCs w:val="24"/>
            </w:rPr>
            <w:tab/>
          </w:r>
          <w:r>
            <w:rPr>
              <w:sz w:val="24"/>
              <w:szCs w:val="24"/>
            </w:rPr>
            <w:fldChar w:fldCharType="begin"/>
          </w:r>
          <w:r>
            <w:rPr>
              <w:sz w:val="24"/>
              <w:szCs w:val="24"/>
            </w:rPr>
            <w:instrText xml:space="preserve"> PAGEREF _Toc9628 \h </w:instrText>
          </w:r>
          <w:r>
            <w:rPr>
              <w:sz w:val="24"/>
              <w:szCs w:val="24"/>
            </w:rPr>
            <w:fldChar w:fldCharType="separate"/>
          </w:r>
          <w:r>
            <w:rPr>
              <w:sz w:val="24"/>
              <w:szCs w:val="24"/>
            </w:rPr>
            <w:t>4</w:t>
          </w:r>
          <w:r>
            <w:rPr>
              <w:sz w:val="24"/>
              <w:szCs w:val="24"/>
            </w:rPr>
            <w:fldChar w:fldCharType="end"/>
          </w:r>
          <w:r>
            <w:rPr>
              <w:bCs/>
              <w:sz w:val="24"/>
              <w:szCs w:val="24"/>
              <w:lang w:val="zh-CN"/>
            </w:rPr>
            <w:fldChar w:fldCharType="end"/>
          </w:r>
        </w:p>
        <w:p>
          <w:pPr>
            <w:pStyle w:val="1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_Toc32579 </w:instrText>
          </w:r>
          <w:r>
            <w:rPr>
              <w:bCs/>
              <w:sz w:val="24"/>
              <w:szCs w:val="24"/>
              <w:lang w:val="zh-CN"/>
            </w:rPr>
            <w:fldChar w:fldCharType="separate"/>
          </w:r>
          <w:r>
            <w:rPr>
              <w:sz w:val="24"/>
              <w:szCs w:val="24"/>
            </w:rPr>
            <w:t>2.2 Economic</w:t>
          </w:r>
          <w:r>
            <w:rPr>
              <w:sz w:val="24"/>
              <w:szCs w:val="24"/>
            </w:rPr>
            <w:tab/>
          </w:r>
          <w:r>
            <w:rPr>
              <w:sz w:val="24"/>
              <w:szCs w:val="24"/>
            </w:rPr>
            <w:fldChar w:fldCharType="begin"/>
          </w:r>
          <w:r>
            <w:rPr>
              <w:sz w:val="24"/>
              <w:szCs w:val="24"/>
            </w:rPr>
            <w:instrText xml:space="preserve"> PAGEREF _Toc32579 \h </w:instrText>
          </w:r>
          <w:r>
            <w:rPr>
              <w:sz w:val="24"/>
              <w:szCs w:val="24"/>
            </w:rPr>
            <w:fldChar w:fldCharType="separate"/>
          </w:r>
          <w:r>
            <w:rPr>
              <w:sz w:val="24"/>
              <w:szCs w:val="24"/>
            </w:rPr>
            <w:t>5</w:t>
          </w:r>
          <w:r>
            <w:rPr>
              <w:sz w:val="24"/>
              <w:szCs w:val="24"/>
            </w:rPr>
            <w:fldChar w:fldCharType="end"/>
          </w:r>
          <w:r>
            <w:rPr>
              <w:bCs/>
              <w:sz w:val="24"/>
              <w:szCs w:val="24"/>
              <w:lang w:val="zh-CN"/>
            </w:rPr>
            <w:fldChar w:fldCharType="end"/>
          </w:r>
        </w:p>
        <w:p>
          <w:pPr>
            <w:pStyle w:val="1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_Toc30461 </w:instrText>
          </w:r>
          <w:r>
            <w:rPr>
              <w:bCs/>
              <w:sz w:val="24"/>
              <w:szCs w:val="24"/>
              <w:lang w:val="zh-CN"/>
            </w:rPr>
            <w:fldChar w:fldCharType="separate"/>
          </w:r>
          <w:r>
            <w:rPr>
              <w:sz w:val="24"/>
              <w:szCs w:val="24"/>
            </w:rPr>
            <w:t>2.3 Socio-cultural</w:t>
          </w:r>
          <w:r>
            <w:rPr>
              <w:sz w:val="24"/>
              <w:szCs w:val="24"/>
            </w:rPr>
            <w:tab/>
          </w:r>
          <w:r>
            <w:rPr>
              <w:sz w:val="24"/>
              <w:szCs w:val="24"/>
            </w:rPr>
            <w:fldChar w:fldCharType="begin"/>
          </w:r>
          <w:r>
            <w:rPr>
              <w:sz w:val="24"/>
              <w:szCs w:val="24"/>
            </w:rPr>
            <w:instrText xml:space="preserve"> PAGEREF _Toc30461 \h </w:instrText>
          </w:r>
          <w:r>
            <w:rPr>
              <w:sz w:val="24"/>
              <w:szCs w:val="24"/>
            </w:rPr>
            <w:fldChar w:fldCharType="separate"/>
          </w:r>
          <w:r>
            <w:rPr>
              <w:sz w:val="24"/>
              <w:szCs w:val="24"/>
            </w:rPr>
            <w:t>6</w:t>
          </w:r>
          <w:r>
            <w:rPr>
              <w:sz w:val="24"/>
              <w:szCs w:val="24"/>
            </w:rPr>
            <w:fldChar w:fldCharType="end"/>
          </w:r>
          <w:r>
            <w:rPr>
              <w:bCs/>
              <w:sz w:val="24"/>
              <w:szCs w:val="24"/>
              <w:lang w:val="zh-CN"/>
            </w:rPr>
            <w:fldChar w:fldCharType="end"/>
          </w:r>
        </w:p>
        <w:p>
          <w:pPr>
            <w:pStyle w:val="1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_Toc21490 </w:instrText>
          </w:r>
          <w:r>
            <w:rPr>
              <w:bCs/>
              <w:sz w:val="24"/>
              <w:szCs w:val="24"/>
              <w:lang w:val="zh-CN"/>
            </w:rPr>
            <w:fldChar w:fldCharType="separate"/>
          </w:r>
          <w:r>
            <w:rPr>
              <w:sz w:val="24"/>
              <w:szCs w:val="24"/>
            </w:rPr>
            <w:t>2.4 Technological</w:t>
          </w:r>
          <w:r>
            <w:rPr>
              <w:sz w:val="24"/>
              <w:szCs w:val="24"/>
            </w:rPr>
            <w:tab/>
          </w:r>
          <w:r>
            <w:rPr>
              <w:sz w:val="24"/>
              <w:szCs w:val="24"/>
            </w:rPr>
            <w:fldChar w:fldCharType="begin"/>
          </w:r>
          <w:r>
            <w:rPr>
              <w:sz w:val="24"/>
              <w:szCs w:val="24"/>
            </w:rPr>
            <w:instrText xml:space="preserve"> PAGEREF _Toc21490 \h </w:instrText>
          </w:r>
          <w:r>
            <w:rPr>
              <w:sz w:val="24"/>
              <w:szCs w:val="24"/>
            </w:rPr>
            <w:fldChar w:fldCharType="separate"/>
          </w:r>
          <w:r>
            <w:rPr>
              <w:sz w:val="24"/>
              <w:szCs w:val="24"/>
            </w:rPr>
            <w:t>6</w:t>
          </w:r>
          <w:r>
            <w:rPr>
              <w:sz w:val="24"/>
              <w:szCs w:val="24"/>
            </w:rPr>
            <w:fldChar w:fldCharType="end"/>
          </w:r>
          <w:r>
            <w:rPr>
              <w:bCs/>
              <w:sz w:val="24"/>
              <w:szCs w:val="24"/>
              <w:lang w:val="zh-CN"/>
            </w:rPr>
            <w:fldChar w:fldCharType="end"/>
          </w:r>
        </w:p>
        <w:p>
          <w:pPr>
            <w:pStyle w:val="1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_Toc14871 </w:instrText>
          </w:r>
          <w:r>
            <w:rPr>
              <w:bCs/>
              <w:sz w:val="24"/>
              <w:szCs w:val="24"/>
              <w:lang w:val="zh-CN"/>
            </w:rPr>
            <w:fldChar w:fldCharType="separate"/>
          </w:r>
          <w:r>
            <w:rPr>
              <w:sz w:val="24"/>
              <w:szCs w:val="24"/>
            </w:rPr>
            <w:t>2.5 Environmental</w:t>
          </w:r>
          <w:r>
            <w:rPr>
              <w:sz w:val="24"/>
              <w:szCs w:val="24"/>
            </w:rPr>
            <w:tab/>
          </w:r>
          <w:r>
            <w:rPr>
              <w:sz w:val="24"/>
              <w:szCs w:val="24"/>
            </w:rPr>
            <w:fldChar w:fldCharType="begin"/>
          </w:r>
          <w:r>
            <w:rPr>
              <w:sz w:val="24"/>
              <w:szCs w:val="24"/>
            </w:rPr>
            <w:instrText xml:space="preserve"> PAGEREF _Toc14871 \h </w:instrText>
          </w:r>
          <w:r>
            <w:rPr>
              <w:sz w:val="24"/>
              <w:szCs w:val="24"/>
            </w:rPr>
            <w:fldChar w:fldCharType="separate"/>
          </w:r>
          <w:r>
            <w:rPr>
              <w:sz w:val="24"/>
              <w:szCs w:val="24"/>
            </w:rPr>
            <w:t>6</w:t>
          </w:r>
          <w:r>
            <w:rPr>
              <w:sz w:val="24"/>
              <w:szCs w:val="24"/>
            </w:rPr>
            <w:fldChar w:fldCharType="end"/>
          </w:r>
          <w:r>
            <w:rPr>
              <w:bCs/>
              <w:sz w:val="24"/>
              <w:szCs w:val="24"/>
              <w:lang w:val="zh-CN"/>
            </w:rPr>
            <w:fldChar w:fldCharType="end"/>
          </w:r>
        </w:p>
        <w:p>
          <w:pPr>
            <w:pStyle w:val="1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_Toc29768 </w:instrText>
          </w:r>
          <w:r>
            <w:rPr>
              <w:bCs/>
              <w:sz w:val="24"/>
              <w:szCs w:val="24"/>
              <w:lang w:val="zh-CN"/>
            </w:rPr>
            <w:fldChar w:fldCharType="separate"/>
          </w:r>
          <w:r>
            <w:rPr>
              <w:sz w:val="24"/>
              <w:szCs w:val="24"/>
            </w:rPr>
            <w:t>2.6 Legal</w:t>
          </w:r>
          <w:r>
            <w:rPr>
              <w:sz w:val="24"/>
              <w:szCs w:val="24"/>
            </w:rPr>
            <w:tab/>
          </w:r>
          <w:r>
            <w:rPr>
              <w:sz w:val="24"/>
              <w:szCs w:val="24"/>
            </w:rPr>
            <w:fldChar w:fldCharType="begin"/>
          </w:r>
          <w:r>
            <w:rPr>
              <w:sz w:val="24"/>
              <w:szCs w:val="24"/>
            </w:rPr>
            <w:instrText xml:space="preserve"> PAGEREF _Toc29768 \h </w:instrText>
          </w:r>
          <w:r>
            <w:rPr>
              <w:sz w:val="24"/>
              <w:szCs w:val="24"/>
            </w:rPr>
            <w:fldChar w:fldCharType="separate"/>
          </w:r>
          <w:r>
            <w:rPr>
              <w:sz w:val="24"/>
              <w:szCs w:val="24"/>
            </w:rPr>
            <w:t>6</w:t>
          </w:r>
          <w:r>
            <w:rPr>
              <w:sz w:val="24"/>
              <w:szCs w:val="24"/>
            </w:rPr>
            <w:fldChar w:fldCharType="end"/>
          </w:r>
          <w:r>
            <w:rPr>
              <w:bCs/>
              <w:sz w:val="24"/>
              <w:szCs w:val="24"/>
              <w:lang w:val="zh-CN"/>
            </w:rPr>
            <w:fldChar w:fldCharType="end"/>
          </w:r>
        </w:p>
        <w:p>
          <w:pPr>
            <w:pStyle w:val="1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_Toc5317 </w:instrText>
          </w:r>
          <w:r>
            <w:rPr>
              <w:bCs/>
              <w:sz w:val="24"/>
              <w:szCs w:val="24"/>
              <w:lang w:val="zh-CN"/>
            </w:rPr>
            <w:fldChar w:fldCharType="separate"/>
          </w:r>
          <w:r>
            <w:rPr>
              <w:sz w:val="24"/>
              <w:szCs w:val="24"/>
            </w:rPr>
            <w:t>3</w:t>
          </w:r>
          <w:r>
            <w:rPr>
              <w:rFonts w:hint="eastAsia" w:eastAsia="宋体"/>
              <w:sz w:val="24"/>
              <w:szCs w:val="24"/>
              <w:lang w:val="en-US" w:eastAsia="zh-CN"/>
            </w:rPr>
            <w:t>.0</w:t>
          </w:r>
          <w:r>
            <w:rPr>
              <w:sz w:val="24"/>
              <w:szCs w:val="24"/>
            </w:rPr>
            <w:t xml:space="preserve"> Porter’s 5 Forces analysis</w:t>
          </w:r>
          <w:r>
            <w:rPr>
              <w:sz w:val="24"/>
              <w:szCs w:val="24"/>
            </w:rPr>
            <w:tab/>
          </w:r>
          <w:r>
            <w:rPr>
              <w:sz w:val="24"/>
              <w:szCs w:val="24"/>
            </w:rPr>
            <w:fldChar w:fldCharType="begin"/>
          </w:r>
          <w:r>
            <w:rPr>
              <w:sz w:val="24"/>
              <w:szCs w:val="24"/>
            </w:rPr>
            <w:instrText xml:space="preserve"> PAGEREF _Toc5317 \h </w:instrText>
          </w:r>
          <w:r>
            <w:rPr>
              <w:sz w:val="24"/>
              <w:szCs w:val="24"/>
            </w:rPr>
            <w:fldChar w:fldCharType="separate"/>
          </w:r>
          <w:r>
            <w:rPr>
              <w:sz w:val="24"/>
              <w:szCs w:val="24"/>
            </w:rPr>
            <w:t>7</w:t>
          </w:r>
          <w:r>
            <w:rPr>
              <w:sz w:val="24"/>
              <w:szCs w:val="24"/>
            </w:rPr>
            <w:fldChar w:fldCharType="end"/>
          </w:r>
          <w:r>
            <w:rPr>
              <w:bCs/>
              <w:sz w:val="24"/>
              <w:szCs w:val="24"/>
              <w:lang w:val="zh-CN"/>
            </w:rPr>
            <w:fldChar w:fldCharType="end"/>
          </w:r>
        </w:p>
        <w:p>
          <w:pPr>
            <w:pStyle w:val="1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_Toc18258 </w:instrText>
          </w:r>
          <w:r>
            <w:rPr>
              <w:bCs/>
              <w:sz w:val="24"/>
              <w:szCs w:val="24"/>
              <w:lang w:val="zh-CN"/>
            </w:rPr>
            <w:fldChar w:fldCharType="separate"/>
          </w:r>
          <w:r>
            <w:rPr>
              <w:sz w:val="24"/>
              <w:szCs w:val="24"/>
            </w:rPr>
            <w:t>3.1Threat of New Entrants</w:t>
          </w:r>
          <w:r>
            <w:rPr>
              <w:sz w:val="24"/>
              <w:szCs w:val="24"/>
            </w:rPr>
            <w:tab/>
          </w:r>
          <w:r>
            <w:rPr>
              <w:sz w:val="24"/>
              <w:szCs w:val="24"/>
            </w:rPr>
            <w:fldChar w:fldCharType="begin"/>
          </w:r>
          <w:r>
            <w:rPr>
              <w:sz w:val="24"/>
              <w:szCs w:val="24"/>
            </w:rPr>
            <w:instrText xml:space="preserve"> PAGEREF _Toc18258 \h </w:instrText>
          </w:r>
          <w:r>
            <w:rPr>
              <w:sz w:val="24"/>
              <w:szCs w:val="24"/>
            </w:rPr>
            <w:fldChar w:fldCharType="separate"/>
          </w:r>
          <w:r>
            <w:rPr>
              <w:sz w:val="24"/>
              <w:szCs w:val="24"/>
            </w:rPr>
            <w:t>7</w:t>
          </w:r>
          <w:r>
            <w:rPr>
              <w:sz w:val="24"/>
              <w:szCs w:val="24"/>
            </w:rPr>
            <w:fldChar w:fldCharType="end"/>
          </w:r>
          <w:r>
            <w:rPr>
              <w:bCs/>
              <w:sz w:val="24"/>
              <w:szCs w:val="24"/>
              <w:lang w:val="zh-CN"/>
            </w:rPr>
            <w:fldChar w:fldCharType="end"/>
          </w:r>
        </w:p>
        <w:p>
          <w:pPr>
            <w:pStyle w:val="1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_Toc12302 </w:instrText>
          </w:r>
          <w:r>
            <w:rPr>
              <w:bCs/>
              <w:sz w:val="24"/>
              <w:szCs w:val="24"/>
              <w:lang w:val="zh-CN"/>
            </w:rPr>
            <w:fldChar w:fldCharType="separate"/>
          </w:r>
          <w:r>
            <w:rPr>
              <w:sz w:val="24"/>
              <w:szCs w:val="24"/>
            </w:rPr>
            <w:t>3.2 Bargaining Power of Suppliers</w:t>
          </w:r>
          <w:r>
            <w:rPr>
              <w:sz w:val="24"/>
              <w:szCs w:val="24"/>
            </w:rPr>
            <w:tab/>
          </w:r>
          <w:r>
            <w:rPr>
              <w:sz w:val="24"/>
              <w:szCs w:val="24"/>
            </w:rPr>
            <w:fldChar w:fldCharType="begin"/>
          </w:r>
          <w:r>
            <w:rPr>
              <w:sz w:val="24"/>
              <w:szCs w:val="24"/>
            </w:rPr>
            <w:instrText xml:space="preserve"> PAGEREF _Toc12302 \h </w:instrText>
          </w:r>
          <w:r>
            <w:rPr>
              <w:sz w:val="24"/>
              <w:szCs w:val="24"/>
            </w:rPr>
            <w:fldChar w:fldCharType="separate"/>
          </w:r>
          <w:r>
            <w:rPr>
              <w:sz w:val="24"/>
              <w:szCs w:val="24"/>
            </w:rPr>
            <w:t>8</w:t>
          </w:r>
          <w:r>
            <w:rPr>
              <w:sz w:val="24"/>
              <w:szCs w:val="24"/>
            </w:rPr>
            <w:fldChar w:fldCharType="end"/>
          </w:r>
          <w:r>
            <w:rPr>
              <w:bCs/>
              <w:sz w:val="24"/>
              <w:szCs w:val="24"/>
              <w:lang w:val="zh-CN"/>
            </w:rPr>
            <w:fldChar w:fldCharType="end"/>
          </w:r>
        </w:p>
        <w:p>
          <w:pPr>
            <w:pStyle w:val="1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_Toc32610 </w:instrText>
          </w:r>
          <w:r>
            <w:rPr>
              <w:bCs/>
              <w:sz w:val="24"/>
              <w:szCs w:val="24"/>
              <w:lang w:val="zh-CN"/>
            </w:rPr>
            <w:fldChar w:fldCharType="separate"/>
          </w:r>
          <w:r>
            <w:rPr>
              <w:sz w:val="24"/>
              <w:szCs w:val="24"/>
            </w:rPr>
            <w:t>3.3 Bargaining Power of Buyers</w:t>
          </w:r>
          <w:r>
            <w:rPr>
              <w:sz w:val="24"/>
              <w:szCs w:val="24"/>
            </w:rPr>
            <w:tab/>
          </w:r>
          <w:r>
            <w:rPr>
              <w:sz w:val="24"/>
              <w:szCs w:val="24"/>
            </w:rPr>
            <w:fldChar w:fldCharType="begin"/>
          </w:r>
          <w:r>
            <w:rPr>
              <w:sz w:val="24"/>
              <w:szCs w:val="24"/>
            </w:rPr>
            <w:instrText xml:space="preserve"> PAGEREF _Toc32610 \h </w:instrText>
          </w:r>
          <w:r>
            <w:rPr>
              <w:sz w:val="24"/>
              <w:szCs w:val="24"/>
            </w:rPr>
            <w:fldChar w:fldCharType="separate"/>
          </w:r>
          <w:r>
            <w:rPr>
              <w:sz w:val="24"/>
              <w:szCs w:val="24"/>
            </w:rPr>
            <w:t>8</w:t>
          </w:r>
          <w:r>
            <w:rPr>
              <w:sz w:val="24"/>
              <w:szCs w:val="24"/>
            </w:rPr>
            <w:fldChar w:fldCharType="end"/>
          </w:r>
          <w:r>
            <w:rPr>
              <w:bCs/>
              <w:sz w:val="24"/>
              <w:szCs w:val="24"/>
              <w:lang w:val="zh-CN"/>
            </w:rPr>
            <w:fldChar w:fldCharType="end"/>
          </w:r>
        </w:p>
        <w:p>
          <w:pPr>
            <w:pStyle w:val="1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_Toc5313 </w:instrText>
          </w:r>
          <w:r>
            <w:rPr>
              <w:bCs/>
              <w:sz w:val="24"/>
              <w:szCs w:val="24"/>
              <w:lang w:val="zh-CN"/>
            </w:rPr>
            <w:fldChar w:fldCharType="separate"/>
          </w:r>
          <w:r>
            <w:rPr>
              <w:sz w:val="24"/>
              <w:szCs w:val="24"/>
            </w:rPr>
            <w:t>3.4 Threat from Substitute Products</w:t>
          </w:r>
          <w:r>
            <w:rPr>
              <w:sz w:val="24"/>
              <w:szCs w:val="24"/>
            </w:rPr>
            <w:tab/>
          </w:r>
          <w:r>
            <w:rPr>
              <w:sz w:val="24"/>
              <w:szCs w:val="24"/>
            </w:rPr>
            <w:fldChar w:fldCharType="begin"/>
          </w:r>
          <w:r>
            <w:rPr>
              <w:sz w:val="24"/>
              <w:szCs w:val="24"/>
            </w:rPr>
            <w:instrText xml:space="preserve"> PAGEREF _Toc5313 \h </w:instrText>
          </w:r>
          <w:r>
            <w:rPr>
              <w:sz w:val="24"/>
              <w:szCs w:val="24"/>
            </w:rPr>
            <w:fldChar w:fldCharType="separate"/>
          </w:r>
          <w:r>
            <w:rPr>
              <w:sz w:val="24"/>
              <w:szCs w:val="24"/>
            </w:rPr>
            <w:t>8</w:t>
          </w:r>
          <w:r>
            <w:rPr>
              <w:sz w:val="24"/>
              <w:szCs w:val="24"/>
            </w:rPr>
            <w:fldChar w:fldCharType="end"/>
          </w:r>
          <w:r>
            <w:rPr>
              <w:bCs/>
              <w:sz w:val="24"/>
              <w:szCs w:val="24"/>
              <w:lang w:val="zh-CN"/>
            </w:rPr>
            <w:fldChar w:fldCharType="end"/>
          </w:r>
        </w:p>
        <w:p>
          <w:pPr>
            <w:pStyle w:val="1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_Toc10948 </w:instrText>
          </w:r>
          <w:r>
            <w:rPr>
              <w:bCs/>
              <w:sz w:val="24"/>
              <w:szCs w:val="24"/>
              <w:lang w:val="zh-CN"/>
            </w:rPr>
            <w:fldChar w:fldCharType="separate"/>
          </w:r>
          <w:r>
            <w:rPr>
              <w:sz w:val="24"/>
              <w:szCs w:val="24"/>
            </w:rPr>
            <w:t>3.5 Rivalry among the existing players</w:t>
          </w:r>
          <w:r>
            <w:rPr>
              <w:sz w:val="24"/>
              <w:szCs w:val="24"/>
            </w:rPr>
            <w:tab/>
          </w:r>
          <w:r>
            <w:rPr>
              <w:sz w:val="24"/>
              <w:szCs w:val="24"/>
            </w:rPr>
            <w:fldChar w:fldCharType="begin"/>
          </w:r>
          <w:r>
            <w:rPr>
              <w:sz w:val="24"/>
              <w:szCs w:val="24"/>
            </w:rPr>
            <w:instrText xml:space="preserve"> PAGEREF _Toc10948 \h </w:instrText>
          </w:r>
          <w:r>
            <w:rPr>
              <w:sz w:val="24"/>
              <w:szCs w:val="24"/>
            </w:rPr>
            <w:fldChar w:fldCharType="separate"/>
          </w:r>
          <w:r>
            <w:rPr>
              <w:sz w:val="24"/>
              <w:szCs w:val="24"/>
            </w:rPr>
            <w:t>9</w:t>
          </w:r>
          <w:r>
            <w:rPr>
              <w:sz w:val="24"/>
              <w:szCs w:val="24"/>
            </w:rPr>
            <w:fldChar w:fldCharType="end"/>
          </w:r>
          <w:r>
            <w:rPr>
              <w:bCs/>
              <w:sz w:val="24"/>
              <w:szCs w:val="24"/>
              <w:lang w:val="zh-CN"/>
            </w:rPr>
            <w:fldChar w:fldCharType="end"/>
          </w:r>
        </w:p>
        <w:p>
          <w:pPr>
            <w:pStyle w:val="12"/>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_Toc1480 </w:instrText>
          </w:r>
          <w:r>
            <w:rPr>
              <w:bCs/>
              <w:sz w:val="24"/>
              <w:szCs w:val="24"/>
              <w:lang w:val="zh-CN"/>
            </w:rPr>
            <w:fldChar w:fldCharType="separate"/>
          </w:r>
          <w:r>
            <w:rPr>
              <w:sz w:val="24"/>
              <w:szCs w:val="24"/>
            </w:rPr>
            <w:t>Table 1: Core competitors of Marriott</w:t>
          </w:r>
          <w:r>
            <w:rPr>
              <w:sz w:val="24"/>
              <w:szCs w:val="24"/>
            </w:rPr>
            <w:tab/>
          </w:r>
          <w:r>
            <w:rPr>
              <w:sz w:val="24"/>
              <w:szCs w:val="24"/>
            </w:rPr>
            <w:fldChar w:fldCharType="begin"/>
          </w:r>
          <w:r>
            <w:rPr>
              <w:sz w:val="24"/>
              <w:szCs w:val="24"/>
            </w:rPr>
            <w:instrText xml:space="preserve"> PAGEREF _Toc1480 \h </w:instrText>
          </w:r>
          <w:r>
            <w:rPr>
              <w:sz w:val="24"/>
              <w:szCs w:val="24"/>
            </w:rPr>
            <w:fldChar w:fldCharType="separate"/>
          </w:r>
          <w:r>
            <w:rPr>
              <w:sz w:val="24"/>
              <w:szCs w:val="24"/>
            </w:rPr>
            <w:t>9</w:t>
          </w:r>
          <w:r>
            <w:rPr>
              <w:sz w:val="24"/>
              <w:szCs w:val="24"/>
            </w:rPr>
            <w:fldChar w:fldCharType="end"/>
          </w:r>
          <w:r>
            <w:rPr>
              <w:bCs/>
              <w:sz w:val="24"/>
              <w:szCs w:val="24"/>
              <w:lang w:val="zh-CN"/>
            </w:rPr>
            <w:fldChar w:fldCharType="end"/>
          </w:r>
        </w:p>
        <w:p>
          <w:pPr>
            <w:pStyle w:val="1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_Toc32580 </w:instrText>
          </w:r>
          <w:r>
            <w:rPr>
              <w:bCs/>
              <w:sz w:val="24"/>
              <w:szCs w:val="24"/>
              <w:lang w:val="zh-CN"/>
            </w:rPr>
            <w:fldChar w:fldCharType="separate"/>
          </w:r>
          <w:r>
            <w:rPr>
              <w:sz w:val="24"/>
              <w:szCs w:val="24"/>
              <w:lang w:bidi="ar"/>
            </w:rPr>
            <w:t>4</w:t>
          </w:r>
          <w:r>
            <w:rPr>
              <w:rFonts w:hint="eastAsia" w:eastAsia="宋体"/>
              <w:sz w:val="24"/>
              <w:szCs w:val="24"/>
              <w:lang w:eastAsia="zh-CN" w:bidi="ar"/>
            </w:rPr>
            <w:t>.</w:t>
          </w:r>
          <w:r>
            <w:rPr>
              <w:rFonts w:hint="eastAsia" w:eastAsia="宋体"/>
              <w:sz w:val="24"/>
              <w:szCs w:val="24"/>
              <w:lang w:val="en-US" w:eastAsia="zh-CN" w:bidi="ar"/>
            </w:rPr>
            <w:t>0</w:t>
          </w:r>
          <w:r>
            <w:rPr>
              <w:sz w:val="24"/>
              <w:szCs w:val="24"/>
              <w:lang w:bidi="ar"/>
            </w:rPr>
            <w:t xml:space="preserve"> Value chain analysis</w:t>
          </w:r>
          <w:r>
            <w:rPr>
              <w:sz w:val="24"/>
              <w:szCs w:val="24"/>
            </w:rPr>
            <w:tab/>
          </w:r>
          <w:r>
            <w:rPr>
              <w:sz w:val="24"/>
              <w:szCs w:val="24"/>
            </w:rPr>
            <w:fldChar w:fldCharType="begin"/>
          </w:r>
          <w:r>
            <w:rPr>
              <w:sz w:val="24"/>
              <w:szCs w:val="24"/>
            </w:rPr>
            <w:instrText xml:space="preserve"> PAGEREF _Toc32580 \h </w:instrText>
          </w:r>
          <w:r>
            <w:rPr>
              <w:sz w:val="24"/>
              <w:szCs w:val="24"/>
            </w:rPr>
            <w:fldChar w:fldCharType="separate"/>
          </w:r>
          <w:r>
            <w:rPr>
              <w:sz w:val="24"/>
              <w:szCs w:val="24"/>
            </w:rPr>
            <w:t>10</w:t>
          </w:r>
          <w:r>
            <w:rPr>
              <w:sz w:val="24"/>
              <w:szCs w:val="24"/>
            </w:rPr>
            <w:fldChar w:fldCharType="end"/>
          </w:r>
          <w:r>
            <w:rPr>
              <w:bCs/>
              <w:sz w:val="24"/>
              <w:szCs w:val="24"/>
              <w:lang w:val="zh-CN"/>
            </w:rPr>
            <w:fldChar w:fldCharType="end"/>
          </w:r>
        </w:p>
        <w:p>
          <w:pPr>
            <w:pStyle w:val="1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_Toc3619 </w:instrText>
          </w:r>
          <w:r>
            <w:rPr>
              <w:bCs/>
              <w:sz w:val="24"/>
              <w:szCs w:val="24"/>
              <w:lang w:val="zh-CN"/>
            </w:rPr>
            <w:fldChar w:fldCharType="separate"/>
          </w:r>
          <w:r>
            <w:rPr>
              <w:sz w:val="24"/>
              <w:szCs w:val="24"/>
            </w:rPr>
            <w:t>4.1 Primary activities</w:t>
          </w:r>
          <w:r>
            <w:rPr>
              <w:sz w:val="24"/>
              <w:szCs w:val="24"/>
            </w:rPr>
            <w:tab/>
          </w:r>
          <w:r>
            <w:rPr>
              <w:sz w:val="24"/>
              <w:szCs w:val="24"/>
            </w:rPr>
            <w:fldChar w:fldCharType="begin"/>
          </w:r>
          <w:r>
            <w:rPr>
              <w:sz w:val="24"/>
              <w:szCs w:val="24"/>
            </w:rPr>
            <w:instrText xml:space="preserve"> PAGEREF _Toc3619 \h </w:instrText>
          </w:r>
          <w:r>
            <w:rPr>
              <w:sz w:val="24"/>
              <w:szCs w:val="24"/>
            </w:rPr>
            <w:fldChar w:fldCharType="separate"/>
          </w:r>
          <w:r>
            <w:rPr>
              <w:sz w:val="24"/>
              <w:szCs w:val="24"/>
            </w:rPr>
            <w:t>11</w:t>
          </w:r>
          <w:r>
            <w:rPr>
              <w:sz w:val="24"/>
              <w:szCs w:val="24"/>
            </w:rPr>
            <w:fldChar w:fldCharType="end"/>
          </w:r>
          <w:r>
            <w:rPr>
              <w:bCs/>
              <w:sz w:val="24"/>
              <w:szCs w:val="24"/>
              <w:lang w:val="zh-CN"/>
            </w:rPr>
            <w:fldChar w:fldCharType="end"/>
          </w:r>
        </w:p>
        <w:p>
          <w:pPr>
            <w:pStyle w:val="1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_Toc24256 </w:instrText>
          </w:r>
          <w:r>
            <w:rPr>
              <w:bCs/>
              <w:sz w:val="24"/>
              <w:szCs w:val="24"/>
              <w:lang w:val="zh-CN"/>
            </w:rPr>
            <w:fldChar w:fldCharType="separate"/>
          </w:r>
          <w:r>
            <w:rPr>
              <w:sz w:val="24"/>
              <w:szCs w:val="24"/>
            </w:rPr>
            <w:t>4.2 Support activities</w:t>
          </w:r>
          <w:r>
            <w:rPr>
              <w:sz w:val="24"/>
              <w:szCs w:val="24"/>
            </w:rPr>
            <w:tab/>
          </w:r>
          <w:r>
            <w:rPr>
              <w:sz w:val="24"/>
              <w:szCs w:val="24"/>
            </w:rPr>
            <w:fldChar w:fldCharType="begin"/>
          </w:r>
          <w:r>
            <w:rPr>
              <w:sz w:val="24"/>
              <w:szCs w:val="24"/>
            </w:rPr>
            <w:instrText xml:space="preserve"> PAGEREF _Toc24256 \h </w:instrText>
          </w:r>
          <w:r>
            <w:rPr>
              <w:sz w:val="24"/>
              <w:szCs w:val="24"/>
            </w:rPr>
            <w:fldChar w:fldCharType="separate"/>
          </w:r>
          <w:r>
            <w:rPr>
              <w:sz w:val="24"/>
              <w:szCs w:val="24"/>
            </w:rPr>
            <w:t>11</w:t>
          </w:r>
          <w:r>
            <w:rPr>
              <w:sz w:val="24"/>
              <w:szCs w:val="24"/>
            </w:rPr>
            <w:fldChar w:fldCharType="end"/>
          </w:r>
          <w:r>
            <w:rPr>
              <w:bCs/>
              <w:sz w:val="24"/>
              <w:szCs w:val="24"/>
              <w:lang w:val="zh-CN"/>
            </w:rPr>
            <w:fldChar w:fldCharType="end"/>
          </w:r>
        </w:p>
        <w:p>
          <w:pPr>
            <w:pStyle w:val="1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_Toc26539 </w:instrText>
          </w:r>
          <w:r>
            <w:rPr>
              <w:bCs/>
              <w:sz w:val="24"/>
              <w:szCs w:val="24"/>
              <w:lang w:val="zh-CN"/>
            </w:rPr>
            <w:fldChar w:fldCharType="separate"/>
          </w:r>
          <w:r>
            <w:rPr>
              <w:sz w:val="24"/>
              <w:szCs w:val="24"/>
            </w:rPr>
            <w:t>5</w:t>
          </w:r>
          <w:r>
            <w:rPr>
              <w:rFonts w:hint="eastAsia" w:eastAsia="宋体"/>
              <w:sz w:val="24"/>
              <w:szCs w:val="24"/>
              <w:lang w:val="en-US" w:eastAsia="zh-CN"/>
            </w:rPr>
            <w:t>.0</w:t>
          </w:r>
          <w:r>
            <w:rPr>
              <w:sz w:val="24"/>
              <w:szCs w:val="24"/>
            </w:rPr>
            <w:t xml:space="preserve"> SWOT analysis</w:t>
          </w:r>
          <w:r>
            <w:rPr>
              <w:sz w:val="24"/>
              <w:szCs w:val="24"/>
            </w:rPr>
            <w:tab/>
          </w:r>
          <w:r>
            <w:rPr>
              <w:sz w:val="24"/>
              <w:szCs w:val="24"/>
            </w:rPr>
            <w:fldChar w:fldCharType="begin"/>
          </w:r>
          <w:r>
            <w:rPr>
              <w:sz w:val="24"/>
              <w:szCs w:val="24"/>
            </w:rPr>
            <w:instrText xml:space="preserve"> PAGEREF _Toc26539 \h </w:instrText>
          </w:r>
          <w:r>
            <w:rPr>
              <w:sz w:val="24"/>
              <w:szCs w:val="24"/>
            </w:rPr>
            <w:fldChar w:fldCharType="separate"/>
          </w:r>
          <w:r>
            <w:rPr>
              <w:sz w:val="24"/>
              <w:szCs w:val="24"/>
            </w:rPr>
            <w:t>12</w:t>
          </w:r>
          <w:r>
            <w:rPr>
              <w:sz w:val="24"/>
              <w:szCs w:val="24"/>
            </w:rPr>
            <w:fldChar w:fldCharType="end"/>
          </w:r>
          <w:r>
            <w:rPr>
              <w:bCs/>
              <w:sz w:val="24"/>
              <w:szCs w:val="24"/>
              <w:lang w:val="zh-CN"/>
            </w:rPr>
            <w:fldChar w:fldCharType="end"/>
          </w:r>
        </w:p>
        <w:p>
          <w:pPr>
            <w:pStyle w:val="12"/>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_Toc17747 </w:instrText>
          </w:r>
          <w:r>
            <w:rPr>
              <w:bCs/>
              <w:sz w:val="24"/>
              <w:szCs w:val="24"/>
              <w:lang w:val="zh-CN"/>
            </w:rPr>
            <w:fldChar w:fldCharType="separate"/>
          </w:r>
          <w:r>
            <w:rPr>
              <w:sz w:val="24"/>
              <w:szCs w:val="24"/>
            </w:rPr>
            <w:t>Table 2: SWOT analysis of Marriott</w:t>
          </w:r>
          <w:r>
            <w:rPr>
              <w:sz w:val="24"/>
              <w:szCs w:val="24"/>
            </w:rPr>
            <w:tab/>
          </w:r>
          <w:r>
            <w:rPr>
              <w:sz w:val="24"/>
              <w:szCs w:val="24"/>
            </w:rPr>
            <w:fldChar w:fldCharType="begin"/>
          </w:r>
          <w:r>
            <w:rPr>
              <w:sz w:val="24"/>
              <w:szCs w:val="24"/>
            </w:rPr>
            <w:instrText xml:space="preserve"> PAGEREF _Toc17747 \h </w:instrText>
          </w:r>
          <w:r>
            <w:rPr>
              <w:sz w:val="24"/>
              <w:szCs w:val="24"/>
            </w:rPr>
            <w:fldChar w:fldCharType="separate"/>
          </w:r>
          <w:r>
            <w:rPr>
              <w:sz w:val="24"/>
              <w:szCs w:val="24"/>
            </w:rPr>
            <w:t>13</w:t>
          </w:r>
          <w:r>
            <w:rPr>
              <w:sz w:val="24"/>
              <w:szCs w:val="24"/>
            </w:rPr>
            <w:fldChar w:fldCharType="end"/>
          </w:r>
          <w:r>
            <w:rPr>
              <w:bCs/>
              <w:sz w:val="24"/>
              <w:szCs w:val="24"/>
              <w:lang w:val="zh-CN"/>
            </w:rPr>
            <w:fldChar w:fldCharType="end"/>
          </w:r>
        </w:p>
        <w:p>
          <w:pPr>
            <w:pStyle w:val="1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_Toc18707 </w:instrText>
          </w:r>
          <w:r>
            <w:rPr>
              <w:bCs/>
              <w:sz w:val="24"/>
              <w:szCs w:val="24"/>
              <w:lang w:val="zh-CN"/>
            </w:rPr>
            <w:fldChar w:fldCharType="separate"/>
          </w:r>
          <w:r>
            <w:rPr>
              <w:sz w:val="24"/>
              <w:szCs w:val="24"/>
              <w:shd w:val="clear" w:color="auto" w:fill="FFFFFF"/>
            </w:rPr>
            <w:t>5.1 Strengths</w:t>
          </w:r>
          <w:r>
            <w:rPr>
              <w:sz w:val="24"/>
              <w:szCs w:val="24"/>
            </w:rPr>
            <w:tab/>
          </w:r>
          <w:r>
            <w:rPr>
              <w:sz w:val="24"/>
              <w:szCs w:val="24"/>
            </w:rPr>
            <w:fldChar w:fldCharType="begin"/>
          </w:r>
          <w:r>
            <w:rPr>
              <w:sz w:val="24"/>
              <w:szCs w:val="24"/>
            </w:rPr>
            <w:instrText xml:space="preserve"> PAGEREF _Toc18707 \h </w:instrText>
          </w:r>
          <w:r>
            <w:rPr>
              <w:sz w:val="24"/>
              <w:szCs w:val="24"/>
            </w:rPr>
            <w:fldChar w:fldCharType="separate"/>
          </w:r>
          <w:r>
            <w:rPr>
              <w:sz w:val="24"/>
              <w:szCs w:val="24"/>
            </w:rPr>
            <w:t>13</w:t>
          </w:r>
          <w:r>
            <w:rPr>
              <w:sz w:val="24"/>
              <w:szCs w:val="24"/>
            </w:rPr>
            <w:fldChar w:fldCharType="end"/>
          </w:r>
          <w:r>
            <w:rPr>
              <w:bCs/>
              <w:sz w:val="24"/>
              <w:szCs w:val="24"/>
              <w:lang w:val="zh-CN"/>
            </w:rPr>
            <w:fldChar w:fldCharType="end"/>
          </w:r>
        </w:p>
        <w:p>
          <w:pPr>
            <w:pStyle w:val="1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_Toc5601 </w:instrText>
          </w:r>
          <w:r>
            <w:rPr>
              <w:bCs/>
              <w:sz w:val="24"/>
              <w:szCs w:val="24"/>
              <w:lang w:val="zh-CN"/>
            </w:rPr>
            <w:fldChar w:fldCharType="separate"/>
          </w:r>
          <w:r>
            <w:rPr>
              <w:sz w:val="24"/>
              <w:szCs w:val="24"/>
            </w:rPr>
            <w:t>5.2 Weaknesses</w:t>
          </w:r>
          <w:r>
            <w:rPr>
              <w:sz w:val="24"/>
              <w:szCs w:val="24"/>
            </w:rPr>
            <w:tab/>
          </w:r>
          <w:r>
            <w:rPr>
              <w:sz w:val="24"/>
              <w:szCs w:val="24"/>
            </w:rPr>
            <w:fldChar w:fldCharType="begin"/>
          </w:r>
          <w:r>
            <w:rPr>
              <w:sz w:val="24"/>
              <w:szCs w:val="24"/>
            </w:rPr>
            <w:instrText xml:space="preserve"> PAGEREF _Toc5601 \h </w:instrText>
          </w:r>
          <w:r>
            <w:rPr>
              <w:sz w:val="24"/>
              <w:szCs w:val="24"/>
            </w:rPr>
            <w:fldChar w:fldCharType="separate"/>
          </w:r>
          <w:r>
            <w:rPr>
              <w:sz w:val="24"/>
              <w:szCs w:val="24"/>
            </w:rPr>
            <w:t>13</w:t>
          </w:r>
          <w:r>
            <w:rPr>
              <w:sz w:val="24"/>
              <w:szCs w:val="24"/>
            </w:rPr>
            <w:fldChar w:fldCharType="end"/>
          </w:r>
          <w:r>
            <w:rPr>
              <w:bCs/>
              <w:sz w:val="24"/>
              <w:szCs w:val="24"/>
              <w:lang w:val="zh-CN"/>
            </w:rPr>
            <w:fldChar w:fldCharType="end"/>
          </w:r>
        </w:p>
        <w:p>
          <w:pPr>
            <w:pStyle w:val="1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_Toc23738 </w:instrText>
          </w:r>
          <w:r>
            <w:rPr>
              <w:bCs/>
              <w:sz w:val="24"/>
              <w:szCs w:val="24"/>
              <w:lang w:val="zh-CN"/>
            </w:rPr>
            <w:fldChar w:fldCharType="separate"/>
          </w:r>
          <w:r>
            <w:rPr>
              <w:sz w:val="24"/>
              <w:szCs w:val="24"/>
            </w:rPr>
            <w:t>5.3 Opportunities</w:t>
          </w:r>
          <w:r>
            <w:rPr>
              <w:sz w:val="24"/>
              <w:szCs w:val="24"/>
            </w:rPr>
            <w:tab/>
          </w:r>
          <w:r>
            <w:rPr>
              <w:sz w:val="24"/>
              <w:szCs w:val="24"/>
            </w:rPr>
            <w:fldChar w:fldCharType="begin"/>
          </w:r>
          <w:r>
            <w:rPr>
              <w:sz w:val="24"/>
              <w:szCs w:val="24"/>
            </w:rPr>
            <w:instrText xml:space="preserve"> PAGEREF _Toc23738 \h </w:instrText>
          </w:r>
          <w:r>
            <w:rPr>
              <w:sz w:val="24"/>
              <w:szCs w:val="24"/>
            </w:rPr>
            <w:fldChar w:fldCharType="separate"/>
          </w:r>
          <w:r>
            <w:rPr>
              <w:sz w:val="24"/>
              <w:szCs w:val="24"/>
            </w:rPr>
            <w:t>14</w:t>
          </w:r>
          <w:r>
            <w:rPr>
              <w:sz w:val="24"/>
              <w:szCs w:val="24"/>
            </w:rPr>
            <w:fldChar w:fldCharType="end"/>
          </w:r>
          <w:r>
            <w:rPr>
              <w:bCs/>
              <w:sz w:val="24"/>
              <w:szCs w:val="24"/>
              <w:lang w:val="zh-CN"/>
            </w:rPr>
            <w:fldChar w:fldCharType="end"/>
          </w:r>
        </w:p>
        <w:p>
          <w:pPr>
            <w:pStyle w:val="1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_Toc8210 </w:instrText>
          </w:r>
          <w:r>
            <w:rPr>
              <w:bCs/>
              <w:sz w:val="24"/>
              <w:szCs w:val="24"/>
              <w:lang w:val="zh-CN"/>
            </w:rPr>
            <w:fldChar w:fldCharType="separate"/>
          </w:r>
          <w:r>
            <w:rPr>
              <w:sz w:val="24"/>
              <w:szCs w:val="24"/>
            </w:rPr>
            <w:t>5.4 Threats</w:t>
          </w:r>
          <w:r>
            <w:rPr>
              <w:sz w:val="24"/>
              <w:szCs w:val="24"/>
            </w:rPr>
            <w:tab/>
          </w:r>
          <w:r>
            <w:rPr>
              <w:sz w:val="24"/>
              <w:szCs w:val="24"/>
            </w:rPr>
            <w:fldChar w:fldCharType="begin"/>
          </w:r>
          <w:r>
            <w:rPr>
              <w:sz w:val="24"/>
              <w:szCs w:val="24"/>
            </w:rPr>
            <w:instrText xml:space="preserve"> PAGEREF _Toc8210 \h </w:instrText>
          </w:r>
          <w:r>
            <w:rPr>
              <w:sz w:val="24"/>
              <w:szCs w:val="24"/>
            </w:rPr>
            <w:fldChar w:fldCharType="separate"/>
          </w:r>
          <w:r>
            <w:rPr>
              <w:sz w:val="24"/>
              <w:szCs w:val="24"/>
            </w:rPr>
            <w:t>14</w:t>
          </w:r>
          <w:r>
            <w:rPr>
              <w:sz w:val="24"/>
              <w:szCs w:val="24"/>
            </w:rPr>
            <w:fldChar w:fldCharType="end"/>
          </w:r>
          <w:r>
            <w:rPr>
              <w:bCs/>
              <w:sz w:val="24"/>
              <w:szCs w:val="24"/>
              <w:lang w:val="zh-CN"/>
            </w:rPr>
            <w:fldChar w:fldCharType="end"/>
          </w:r>
        </w:p>
        <w:p>
          <w:pPr>
            <w:pStyle w:val="1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_Toc28497 </w:instrText>
          </w:r>
          <w:r>
            <w:rPr>
              <w:bCs/>
              <w:sz w:val="24"/>
              <w:szCs w:val="24"/>
              <w:lang w:val="zh-CN"/>
            </w:rPr>
            <w:fldChar w:fldCharType="separate"/>
          </w:r>
          <w:r>
            <w:rPr>
              <w:sz w:val="24"/>
              <w:szCs w:val="24"/>
            </w:rPr>
            <w:t>6</w:t>
          </w:r>
          <w:r>
            <w:rPr>
              <w:rFonts w:hint="eastAsia" w:eastAsia="宋体"/>
              <w:sz w:val="24"/>
              <w:szCs w:val="24"/>
              <w:lang w:val="en-US" w:eastAsia="zh-CN"/>
            </w:rPr>
            <w:t>.0</w:t>
          </w:r>
          <w:r>
            <w:rPr>
              <w:sz w:val="24"/>
              <w:szCs w:val="24"/>
            </w:rPr>
            <w:t xml:space="preserve"> Recommendations</w:t>
          </w:r>
          <w:r>
            <w:rPr>
              <w:sz w:val="24"/>
              <w:szCs w:val="24"/>
            </w:rPr>
            <w:tab/>
          </w:r>
          <w:r>
            <w:rPr>
              <w:sz w:val="24"/>
              <w:szCs w:val="24"/>
            </w:rPr>
            <w:fldChar w:fldCharType="begin"/>
          </w:r>
          <w:r>
            <w:rPr>
              <w:sz w:val="24"/>
              <w:szCs w:val="24"/>
            </w:rPr>
            <w:instrText xml:space="preserve"> PAGEREF _Toc28497 \h </w:instrText>
          </w:r>
          <w:r>
            <w:rPr>
              <w:sz w:val="24"/>
              <w:szCs w:val="24"/>
            </w:rPr>
            <w:fldChar w:fldCharType="separate"/>
          </w:r>
          <w:r>
            <w:rPr>
              <w:sz w:val="24"/>
              <w:szCs w:val="24"/>
            </w:rPr>
            <w:t>15</w:t>
          </w:r>
          <w:r>
            <w:rPr>
              <w:sz w:val="24"/>
              <w:szCs w:val="24"/>
            </w:rPr>
            <w:fldChar w:fldCharType="end"/>
          </w:r>
          <w:r>
            <w:rPr>
              <w:bCs/>
              <w:sz w:val="24"/>
              <w:szCs w:val="24"/>
              <w:lang w:val="zh-CN"/>
            </w:rPr>
            <w:fldChar w:fldCharType="end"/>
          </w:r>
        </w:p>
        <w:p>
          <w:pPr>
            <w:pStyle w:val="1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_Toc21236 </w:instrText>
          </w:r>
          <w:r>
            <w:rPr>
              <w:bCs/>
              <w:sz w:val="24"/>
              <w:szCs w:val="24"/>
              <w:lang w:val="zh-CN"/>
            </w:rPr>
            <w:fldChar w:fldCharType="separate"/>
          </w:r>
          <w:r>
            <w:rPr>
              <w:sz w:val="24"/>
              <w:szCs w:val="24"/>
            </w:rPr>
            <w:t>7</w:t>
          </w:r>
          <w:r>
            <w:rPr>
              <w:rFonts w:hint="eastAsia" w:eastAsia="宋体"/>
              <w:sz w:val="24"/>
              <w:szCs w:val="24"/>
              <w:lang w:val="en-US" w:eastAsia="zh-CN"/>
            </w:rPr>
            <w:t>.0</w:t>
          </w:r>
          <w:r>
            <w:rPr>
              <w:sz w:val="24"/>
              <w:szCs w:val="24"/>
            </w:rPr>
            <w:t xml:space="preserve"> Conclusions</w:t>
          </w:r>
          <w:r>
            <w:rPr>
              <w:sz w:val="24"/>
              <w:szCs w:val="24"/>
            </w:rPr>
            <w:tab/>
          </w:r>
          <w:r>
            <w:rPr>
              <w:sz w:val="24"/>
              <w:szCs w:val="24"/>
            </w:rPr>
            <w:fldChar w:fldCharType="begin"/>
          </w:r>
          <w:r>
            <w:rPr>
              <w:sz w:val="24"/>
              <w:szCs w:val="24"/>
            </w:rPr>
            <w:instrText xml:space="preserve"> PAGEREF _Toc21236 \h </w:instrText>
          </w:r>
          <w:r>
            <w:rPr>
              <w:sz w:val="24"/>
              <w:szCs w:val="24"/>
            </w:rPr>
            <w:fldChar w:fldCharType="separate"/>
          </w:r>
          <w:r>
            <w:rPr>
              <w:sz w:val="24"/>
              <w:szCs w:val="24"/>
            </w:rPr>
            <w:t>16</w:t>
          </w:r>
          <w:r>
            <w:rPr>
              <w:sz w:val="24"/>
              <w:szCs w:val="24"/>
            </w:rPr>
            <w:fldChar w:fldCharType="end"/>
          </w:r>
          <w:r>
            <w:rPr>
              <w:bCs/>
              <w:sz w:val="24"/>
              <w:szCs w:val="24"/>
              <w:lang w:val="zh-CN"/>
            </w:rPr>
            <w:fldChar w:fldCharType="end"/>
          </w:r>
        </w:p>
        <w:p>
          <w:pPr>
            <w:pStyle w:val="1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24"/>
            </w:rPr>
          </w:pPr>
          <w:r>
            <w:rPr>
              <w:bCs/>
              <w:sz w:val="24"/>
              <w:szCs w:val="24"/>
              <w:lang w:val="zh-CN"/>
            </w:rPr>
            <w:fldChar w:fldCharType="begin"/>
          </w:r>
          <w:r>
            <w:rPr>
              <w:bCs/>
              <w:sz w:val="24"/>
              <w:szCs w:val="24"/>
              <w:lang w:val="zh-CN"/>
            </w:rPr>
            <w:instrText xml:space="preserve"> HYPERLINK \l _Toc7260 </w:instrText>
          </w:r>
          <w:r>
            <w:rPr>
              <w:bCs/>
              <w:sz w:val="24"/>
              <w:szCs w:val="24"/>
              <w:lang w:val="zh-CN"/>
            </w:rPr>
            <w:fldChar w:fldCharType="separate"/>
          </w:r>
          <w:r>
            <w:rPr>
              <w:sz w:val="24"/>
              <w:szCs w:val="24"/>
            </w:rPr>
            <w:t>8</w:t>
          </w:r>
          <w:r>
            <w:rPr>
              <w:rFonts w:hint="eastAsia" w:eastAsia="宋体"/>
              <w:sz w:val="24"/>
              <w:szCs w:val="24"/>
              <w:lang w:val="en-US" w:eastAsia="zh-CN"/>
            </w:rPr>
            <w:t>.0</w:t>
          </w:r>
          <w:r>
            <w:rPr>
              <w:sz w:val="24"/>
              <w:szCs w:val="24"/>
            </w:rPr>
            <w:t xml:space="preserve"> Reference List</w:t>
          </w:r>
          <w:r>
            <w:rPr>
              <w:sz w:val="24"/>
              <w:szCs w:val="24"/>
            </w:rPr>
            <w:tab/>
          </w:r>
          <w:r>
            <w:rPr>
              <w:sz w:val="24"/>
              <w:szCs w:val="24"/>
            </w:rPr>
            <w:fldChar w:fldCharType="begin"/>
          </w:r>
          <w:r>
            <w:rPr>
              <w:sz w:val="24"/>
              <w:szCs w:val="24"/>
            </w:rPr>
            <w:instrText xml:space="preserve"> PAGEREF _Toc7260 \h </w:instrText>
          </w:r>
          <w:r>
            <w:rPr>
              <w:sz w:val="24"/>
              <w:szCs w:val="24"/>
            </w:rPr>
            <w:fldChar w:fldCharType="separate"/>
          </w:r>
          <w:r>
            <w:rPr>
              <w:sz w:val="24"/>
              <w:szCs w:val="24"/>
            </w:rPr>
            <w:t>17</w:t>
          </w:r>
          <w:r>
            <w:rPr>
              <w:sz w:val="24"/>
              <w:szCs w:val="24"/>
            </w:rPr>
            <w:fldChar w:fldCharType="end"/>
          </w:r>
          <w:r>
            <w:rPr>
              <w:bCs/>
              <w:sz w:val="24"/>
              <w:szCs w:val="24"/>
              <w:lang w:val="zh-CN"/>
            </w:rPr>
            <w:fldChar w:fldCharType="end"/>
          </w:r>
        </w:p>
        <w:p>
          <w:pPr>
            <w:pStyle w:val="15"/>
            <w:tabs>
              <w:tab w:val="right" w:leader="dot" w:pos="8296"/>
            </w:tabs>
            <w:spacing w:line="360" w:lineRule="auto"/>
            <w:rPr>
              <w:sz w:val="24"/>
              <w:szCs w:val="24"/>
            </w:rPr>
          </w:pPr>
          <w:r>
            <w:rPr>
              <w:bCs/>
              <w:sz w:val="24"/>
              <w:szCs w:val="24"/>
              <w:lang w:val="zh-CN"/>
            </w:rPr>
            <w:fldChar w:fldCharType="end"/>
          </w:r>
        </w:p>
      </w:sdtContent>
    </w:sdt>
    <w:p>
      <w:pPr>
        <w:pStyle w:val="2"/>
        <w:spacing w:line="360" w:lineRule="auto"/>
        <w:rPr>
          <w:sz w:val="24"/>
          <w:szCs w:val="24"/>
        </w:rPr>
      </w:pPr>
      <w:bookmarkStart w:id="2" w:name="_Toc21447"/>
      <w:r>
        <w:rPr>
          <w:sz w:val="24"/>
          <w:szCs w:val="24"/>
        </w:rPr>
        <w:t>1</w:t>
      </w:r>
      <w:r>
        <w:rPr>
          <w:rFonts w:hint="eastAsia" w:eastAsia="宋体"/>
          <w:sz w:val="24"/>
          <w:szCs w:val="24"/>
          <w:lang w:eastAsia="zh-CN"/>
        </w:rPr>
        <w:t>.</w:t>
      </w:r>
      <w:r>
        <w:rPr>
          <w:rFonts w:hint="eastAsia" w:eastAsia="宋体"/>
          <w:sz w:val="24"/>
          <w:szCs w:val="24"/>
          <w:lang w:val="en-US" w:eastAsia="zh-CN"/>
        </w:rPr>
        <w:t>0</w:t>
      </w:r>
      <w:r>
        <w:rPr>
          <w:sz w:val="24"/>
          <w:szCs w:val="24"/>
        </w:rPr>
        <w:t xml:space="preserve"> Introduction</w:t>
      </w:r>
      <w:bookmarkEnd w:id="2"/>
    </w:p>
    <w:p>
      <w:pPr>
        <w:spacing w:line="360" w:lineRule="auto"/>
        <w:rPr>
          <w:sz w:val="24"/>
        </w:rPr>
      </w:pPr>
    </w:p>
    <w:p>
      <w:pPr>
        <w:spacing w:line="360" w:lineRule="auto"/>
        <w:rPr>
          <w:sz w:val="24"/>
        </w:rPr>
      </w:pPr>
      <w:r>
        <w:rPr>
          <w:sz w:val="24"/>
        </w:rPr>
        <w:t xml:space="preserve">In 2020, the covid-19 epidemic exploded globally. The prevalence of the virus has had a profound impact on the global hotel industry. In 2020, most international hotel groups suffered heavily from the varying degrees of lockdown measures imposed by countries globally. Some small hotels even went bankrupt. New hotel formats have been developed during the epidemic. After the second quarter of 2021, the leisure needs of people in Europe and America led to a recovery of the tourism and hotel industry (Bethesda, 2022). However, in early 2022, high inflation hit Europe and the US, and a war between Russia and Ukraine broke out. These negative macro factors have brought new uncertainties to the hotel industry, which is seeking a recovery in the epidemic. The purpose of this report is to analyze the internal and external environment of the international hotel industry in the context of covid-19, using the Marriott International Hotel as a case. </w:t>
      </w:r>
    </w:p>
    <w:p>
      <w:pPr>
        <w:spacing w:line="360" w:lineRule="auto"/>
        <w:rPr>
          <w:sz w:val="24"/>
        </w:rPr>
      </w:pPr>
    </w:p>
    <w:p>
      <w:pPr>
        <w:spacing w:line="360" w:lineRule="auto"/>
        <w:rPr>
          <w:sz w:val="24"/>
        </w:rPr>
      </w:pPr>
      <w:r>
        <w:rPr>
          <w:sz w:val="24"/>
        </w:rPr>
        <w:t xml:space="preserve">The Marriott International Hotel was founded in 1927, and is headquartered in the United States. The group currently has more than 30 brands, nearly 8,000 hotels and about 1.48 million rooms in 139 countries and regions worldwide (Harris, 2022). The vision of Marriott International is to be the leader in the global lodging industry (Marriott International, 2022a). Below, this report will apply PESTEL, Porter's 5 Forces framework, the value chain framework, and SWOT to analyze the internal and external environment of Marriott International. </w:t>
      </w: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pStyle w:val="2"/>
        <w:spacing w:line="360" w:lineRule="auto"/>
        <w:rPr>
          <w:sz w:val="24"/>
          <w:szCs w:val="24"/>
        </w:rPr>
      </w:pPr>
      <w:bookmarkStart w:id="3" w:name="_Toc13943"/>
      <w:r>
        <w:rPr>
          <w:sz w:val="24"/>
          <w:szCs w:val="24"/>
        </w:rPr>
        <w:t>2</w:t>
      </w:r>
      <w:r>
        <w:rPr>
          <w:rFonts w:hint="eastAsia" w:eastAsia="宋体"/>
          <w:sz w:val="24"/>
          <w:szCs w:val="24"/>
          <w:lang w:val="en-US" w:eastAsia="zh-CN"/>
        </w:rPr>
        <w:t>.0</w:t>
      </w:r>
      <w:r>
        <w:rPr>
          <w:sz w:val="24"/>
          <w:szCs w:val="24"/>
        </w:rPr>
        <w:t xml:space="preserve"> PESTEL</w:t>
      </w:r>
      <w:bookmarkEnd w:id="3"/>
    </w:p>
    <w:p>
      <w:pPr>
        <w:spacing w:line="360" w:lineRule="auto"/>
        <w:rPr>
          <w:sz w:val="24"/>
        </w:rPr>
      </w:pPr>
    </w:p>
    <w:p>
      <w:pPr>
        <w:spacing w:line="360" w:lineRule="auto"/>
        <w:rPr>
          <w:sz w:val="24"/>
        </w:rPr>
      </w:pPr>
      <w:r>
        <w:rPr>
          <w:sz w:val="24"/>
        </w:rPr>
        <w:t xml:space="preserve">The PESTEL framework is designed to analyze six macro-environmental factors that an industry or organization is involved, including political, economic, socio-cultural, technological, environmental and legal. This report will focus on discussing the impact of political and economic factors on Marriott. </w:t>
      </w:r>
    </w:p>
    <w:p>
      <w:pPr>
        <w:spacing w:line="360" w:lineRule="auto"/>
        <w:rPr>
          <w:sz w:val="24"/>
        </w:rPr>
      </w:pPr>
    </w:p>
    <w:p>
      <w:pPr>
        <w:pStyle w:val="3"/>
        <w:spacing w:line="360" w:lineRule="auto"/>
        <w:rPr>
          <w:sz w:val="24"/>
        </w:rPr>
      </w:pPr>
      <w:bookmarkStart w:id="4" w:name="_Toc9628"/>
      <w:r>
        <w:rPr>
          <w:sz w:val="24"/>
        </w:rPr>
        <w:t>2.1 Political</w:t>
      </w:r>
      <w:bookmarkEnd w:id="4"/>
      <w:r>
        <w:rPr>
          <w:sz w:val="24"/>
        </w:rPr>
        <w:t xml:space="preserve"> </w:t>
      </w:r>
    </w:p>
    <w:p>
      <w:pPr>
        <w:spacing w:line="360" w:lineRule="auto"/>
        <w:rPr>
          <w:sz w:val="24"/>
        </w:rPr>
      </w:pPr>
    </w:p>
    <w:p>
      <w:pPr>
        <w:spacing w:line="360" w:lineRule="auto"/>
        <w:rPr>
          <w:sz w:val="24"/>
        </w:rPr>
      </w:pPr>
      <w:r>
        <w:rPr>
          <w:sz w:val="24"/>
        </w:rPr>
        <w:t xml:space="preserve">As an international hotel group, Marriott is located in an unstable international political environment. Since the outbreak of Covid-19, relations between China and the United States, between NATO and Russia, and China and Australia, have all been deteriorating. In March 2022, Russia took military actions directly against Ukraine. This has caused almost all political and economic diplomatic ties between the United States and Russia to be broken. At a time when covid-19 still troubles the world, the assets of Marriott in Russia could be confiscated (Barklie, 2022). In addition, the Chinese government closed the Chinese website of Marriott by force for a week in 2018 after the US government asked multinational companies to condemn the Hong Kong and Xinjiang problem of China (Wood, 2018). It can be said that the international political environment is not stable, and the operation of Marriott in Russia, China and other countries may encounter more political risks. </w:t>
      </w:r>
    </w:p>
    <w:p>
      <w:pPr>
        <w:spacing w:line="360" w:lineRule="auto"/>
        <w:rPr>
          <w:sz w:val="24"/>
        </w:rPr>
      </w:pPr>
    </w:p>
    <w:p>
      <w:pPr>
        <w:pStyle w:val="3"/>
        <w:spacing w:line="360" w:lineRule="auto"/>
        <w:rPr>
          <w:sz w:val="24"/>
        </w:rPr>
      </w:pPr>
      <w:bookmarkStart w:id="5" w:name="_Toc32579"/>
      <w:r>
        <w:rPr>
          <w:sz w:val="24"/>
        </w:rPr>
        <w:t>2.2 Economic</w:t>
      </w:r>
      <w:bookmarkEnd w:id="5"/>
      <w:r>
        <w:rPr>
          <w:sz w:val="24"/>
        </w:rPr>
        <w:t xml:space="preserve"> </w:t>
      </w:r>
    </w:p>
    <w:p>
      <w:pPr>
        <w:spacing w:line="360" w:lineRule="auto"/>
        <w:rPr>
          <w:sz w:val="24"/>
        </w:rPr>
      </w:pPr>
    </w:p>
    <w:p>
      <w:pPr>
        <w:spacing w:line="360" w:lineRule="auto"/>
        <w:rPr>
          <w:sz w:val="24"/>
        </w:rPr>
      </w:pPr>
      <w:r>
        <w:rPr>
          <w:sz w:val="24"/>
        </w:rPr>
        <w:t xml:space="preserve">The potential global recession has created great uncertainty to the future performance of Marriott. After the social blockade in 2020, both developed countries in Europe and the United States, and developing countries in Asia, besides China, have experienced a period of sharp economic contraction (Sanchez, 2021). This comes with a decline in tourism and business travel. Since the second half of 2021, the active monetary policy implemented by developed countries in Europe and the United States in response to COVID-19 has led to a high global inflation. This leaves a danger for a further global recession. Once the Fed enters the rate hike channel, the global economy is likely to fall into stagflation (Cabello, 2022). Against this backdrop, the global hotel industry is likely to be hit harder in 2022 and 2023 compared to that in 2020. By then, people with sharply declined incomes will stop visiting luxury leisure hotels, and the performance of Marriott will decline. </w:t>
      </w:r>
    </w:p>
    <w:p>
      <w:pPr>
        <w:spacing w:line="360" w:lineRule="auto"/>
        <w:rPr>
          <w:color w:val="2E3033"/>
          <w:sz w:val="24"/>
          <w:shd w:val="clear" w:color="auto" w:fill="FFFFFF"/>
        </w:rPr>
      </w:pPr>
    </w:p>
    <w:p>
      <w:pPr>
        <w:pStyle w:val="3"/>
        <w:spacing w:line="360" w:lineRule="auto"/>
        <w:rPr>
          <w:sz w:val="24"/>
        </w:rPr>
      </w:pPr>
      <w:bookmarkStart w:id="6" w:name="_Toc30461"/>
      <w:r>
        <w:rPr>
          <w:sz w:val="24"/>
        </w:rPr>
        <w:t>2.3 Socio-cultural</w:t>
      </w:r>
      <w:bookmarkEnd w:id="6"/>
      <w:r>
        <w:rPr>
          <w:sz w:val="24"/>
        </w:rPr>
        <w:t xml:space="preserve"> </w:t>
      </w:r>
    </w:p>
    <w:p>
      <w:pPr>
        <w:spacing w:line="360" w:lineRule="auto"/>
        <w:rPr>
          <w:sz w:val="24"/>
        </w:rPr>
      </w:pPr>
    </w:p>
    <w:p>
      <w:pPr>
        <w:spacing w:line="360" w:lineRule="auto"/>
        <w:rPr>
          <w:sz w:val="24"/>
        </w:rPr>
      </w:pPr>
      <w:r>
        <w:rPr>
          <w:sz w:val="24"/>
        </w:rPr>
        <w:t xml:space="preserve">The prevalence of Covid-19 is quietly changing the way of life of people. People no longer like to make international travel, but begin to learn to enjoy their domestic scenery (University of Minnesota, 2021). However, this also provides an opportunity for the development of the domestic hotel industry in various countries. The large number of leisure properties held by Marriott, just can meet this social development trend. </w:t>
      </w:r>
    </w:p>
    <w:p>
      <w:pPr>
        <w:spacing w:line="360" w:lineRule="auto"/>
        <w:rPr>
          <w:sz w:val="24"/>
        </w:rPr>
      </w:pPr>
    </w:p>
    <w:p>
      <w:pPr>
        <w:pStyle w:val="3"/>
        <w:spacing w:line="360" w:lineRule="auto"/>
        <w:rPr>
          <w:sz w:val="24"/>
        </w:rPr>
      </w:pPr>
      <w:bookmarkStart w:id="7" w:name="_Toc21490"/>
      <w:r>
        <w:rPr>
          <w:sz w:val="24"/>
        </w:rPr>
        <w:t>2.4 Technological</w:t>
      </w:r>
      <w:bookmarkEnd w:id="7"/>
      <w:r>
        <w:rPr>
          <w:sz w:val="24"/>
        </w:rPr>
        <w:t xml:space="preserve"> </w:t>
      </w:r>
    </w:p>
    <w:p>
      <w:pPr>
        <w:spacing w:line="360" w:lineRule="auto"/>
        <w:rPr>
          <w:sz w:val="24"/>
        </w:rPr>
      </w:pPr>
    </w:p>
    <w:p>
      <w:pPr>
        <w:spacing w:line="360" w:lineRule="auto"/>
        <w:rPr>
          <w:sz w:val="24"/>
        </w:rPr>
      </w:pPr>
      <w:r>
        <w:rPr>
          <w:sz w:val="24"/>
        </w:rPr>
        <w:t xml:space="preserve">The major technological factor that can affect the development of Marriott is the in-depth application of Facebook-based social media in marketing. Overall, social media technology can reduce the marketing cost of the hotel industry, so it has a positive impact on the operation of Marriott. </w:t>
      </w:r>
    </w:p>
    <w:p>
      <w:pPr>
        <w:spacing w:line="360" w:lineRule="auto"/>
        <w:rPr>
          <w:sz w:val="24"/>
        </w:rPr>
      </w:pPr>
    </w:p>
    <w:p>
      <w:pPr>
        <w:pStyle w:val="3"/>
        <w:spacing w:line="360" w:lineRule="auto"/>
        <w:rPr>
          <w:sz w:val="24"/>
        </w:rPr>
      </w:pPr>
      <w:bookmarkStart w:id="8" w:name="_Toc14871"/>
      <w:r>
        <w:rPr>
          <w:sz w:val="24"/>
        </w:rPr>
        <w:t>2.5 Environmental</w:t>
      </w:r>
      <w:bookmarkEnd w:id="8"/>
      <w:r>
        <w:rPr>
          <w:sz w:val="24"/>
        </w:rPr>
        <w:t xml:space="preserve"> </w:t>
      </w:r>
    </w:p>
    <w:p>
      <w:pPr>
        <w:spacing w:line="360" w:lineRule="auto"/>
        <w:rPr>
          <w:sz w:val="24"/>
        </w:rPr>
      </w:pPr>
    </w:p>
    <w:p>
      <w:pPr>
        <w:spacing w:line="360" w:lineRule="auto"/>
        <w:rPr>
          <w:sz w:val="24"/>
        </w:rPr>
      </w:pPr>
      <w:r>
        <w:rPr>
          <w:sz w:val="24"/>
        </w:rPr>
        <w:t xml:space="preserve">The hotel industry not only needs consuming a lot of water and electricity, but also will produce a lot of waste water and household garbage. Therefore, Marriott faces the responsibility of saving resources and protecting the environment. </w:t>
      </w:r>
    </w:p>
    <w:p>
      <w:pPr>
        <w:spacing w:line="360" w:lineRule="auto"/>
        <w:rPr>
          <w:sz w:val="24"/>
        </w:rPr>
      </w:pPr>
    </w:p>
    <w:p>
      <w:pPr>
        <w:pStyle w:val="3"/>
        <w:spacing w:line="360" w:lineRule="auto"/>
        <w:rPr>
          <w:sz w:val="24"/>
        </w:rPr>
      </w:pPr>
      <w:bookmarkStart w:id="9" w:name="_Toc29768"/>
      <w:r>
        <w:rPr>
          <w:sz w:val="24"/>
        </w:rPr>
        <w:t>2.6 Legal</w:t>
      </w:r>
      <w:bookmarkEnd w:id="9"/>
      <w:r>
        <w:rPr>
          <w:sz w:val="24"/>
        </w:rPr>
        <w:t xml:space="preserve"> </w:t>
      </w:r>
    </w:p>
    <w:p>
      <w:pPr>
        <w:spacing w:line="360" w:lineRule="auto"/>
        <w:rPr>
          <w:sz w:val="24"/>
        </w:rPr>
      </w:pPr>
    </w:p>
    <w:p>
      <w:pPr>
        <w:spacing w:line="360" w:lineRule="auto"/>
        <w:rPr>
          <w:sz w:val="24"/>
        </w:rPr>
      </w:pPr>
      <w:r>
        <w:rPr>
          <w:sz w:val="24"/>
        </w:rPr>
        <w:t xml:space="preserve">In the context of the covid-19 epidemic, the hotel industry needs to comply with the epidemic prevention policies of various countries and regions. This could suspend the operation of Marriott and cause financial losses. </w:t>
      </w: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bookmarkStart w:id="29" w:name="_GoBack"/>
      <w:bookmarkEnd w:id="29"/>
    </w:p>
    <w:p>
      <w:pPr>
        <w:spacing w:line="360" w:lineRule="auto"/>
        <w:rPr>
          <w:sz w:val="24"/>
        </w:rPr>
      </w:pPr>
    </w:p>
    <w:p>
      <w:pPr>
        <w:pStyle w:val="2"/>
        <w:spacing w:line="360" w:lineRule="auto"/>
        <w:rPr>
          <w:sz w:val="24"/>
          <w:szCs w:val="24"/>
        </w:rPr>
      </w:pPr>
      <w:bookmarkStart w:id="10" w:name="_Toc5317"/>
      <w:r>
        <w:rPr>
          <w:sz w:val="24"/>
          <w:szCs w:val="24"/>
        </w:rPr>
        <w:t>3</w:t>
      </w:r>
      <w:r>
        <w:rPr>
          <w:rFonts w:hint="eastAsia" w:eastAsia="宋体"/>
          <w:sz w:val="24"/>
          <w:szCs w:val="24"/>
          <w:lang w:val="en-US" w:eastAsia="zh-CN"/>
        </w:rPr>
        <w:t>.0</w:t>
      </w:r>
      <w:r>
        <w:rPr>
          <w:sz w:val="24"/>
          <w:szCs w:val="24"/>
        </w:rPr>
        <w:t xml:space="preserve"> Porter’s 5 Forces analysis</w:t>
      </w:r>
      <w:bookmarkEnd w:id="10"/>
      <w:r>
        <w:rPr>
          <w:sz w:val="24"/>
          <w:szCs w:val="24"/>
        </w:rPr>
        <w:t xml:space="preserve"> </w:t>
      </w:r>
    </w:p>
    <w:p>
      <w:pPr>
        <w:spacing w:line="360" w:lineRule="auto"/>
        <w:rPr>
          <w:sz w:val="24"/>
        </w:rPr>
      </w:pPr>
    </w:p>
    <w:p>
      <w:pPr>
        <w:spacing w:line="360" w:lineRule="auto"/>
        <w:rPr>
          <w:sz w:val="24"/>
        </w:rPr>
      </w:pPr>
      <w:r>
        <w:rPr>
          <w:sz w:val="24"/>
        </w:rPr>
        <w:t xml:space="preserve">Porter's 5 Forces is a framework that can be used to analyze the situation within an industry. Marriott can not only use the framework to analyze its strategic position in the hotel industry, but also to explore new profit opportunities. This report will focus on discussing the impact of existing competitors on Marriott. </w:t>
      </w:r>
    </w:p>
    <w:p>
      <w:pPr>
        <w:spacing w:line="360" w:lineRule="auto"/>
        <w:rPr>
          <w:sz w:val="24"/>
        </w:rPr>
      </w:pPr>
    </w:p>
    <w:p>
      <w:pPr>
        <w:pStyle w:val="3"/>
        <w:spacing w:line="360" w:lineRule="auto"/>
        <w:rPr>
          <w:sz w:val="24"/>
        </w:rPr>
      </w:pPr>
      <w:bookmarkStart w:id="11" w:name="_Toc18258"/>
      <w:r>
        <w:rPr>
          <w:sz w:val="24"/>
        </w:rPr>
        <w:t>3.1Threat of New Entrants</w:t>
      </w:r>
      <w:bookmarkEnd w:id="11"/>
      <w:r>
        <w:rPr>
          <w:sz w:val="24"/>
        </w:rPr>
        <w:t xml:space="preserve"> </w:t>
      </w:r>
    </w:p>
    <w:p>
      <w:pPr>
        <w:spacing w:line="360" w:lineRule="auto"/>
        <w:rPr>
          <w:sz w:val="24"/>
        </w:rPr>
      </w:pPr>
    </w:p>
    <w:p>
      <w:pPr>
        <w:spacing w:line="360" w:lineRule="auto"/>
        <w:rPr>
          <w:sz w:val="24"/>
        </w:rPr>
      </w:pPr>
      <w:r>
        <w:rPr>
          <w:sz w:val="24"/>
        </w:rPr>
        <w:t xml:space="preserve">New market entrants may adopt new business models and have low operating costs. This will pose cost challenges for Marriott. For example, the birth and development of Airbnb, which provides short-term home-stay booking services on a global scale, once hit economy hotels (Mody &amp; Gomez, 2018). </w:t>
      </w:r>
    </w:p>
    <w:p>
      <w:pPr>
        <w:spacing w:line="360" w:lineRule="auto"/>
        <w:rPr>
          <w:color w:val="2E3033"/>
          <w:sz w:val="24"/>
          <w:shd w:val="clear" w:color="auto" w:fill="FFFFFF"/>
        </w:rPr>
      </w:pPr>
    </w:p>
    <w:p>
      <w:pPr>
        <w:pStyle w:val="3"/>
        <w:spacing w:line="360" w:lineRule="auto"/>
        <w:rPr>
          <w:sz w:val="24"/>
        </w:rPr>
      </w:pPr>
      <w:bookmarkStart w:id="12" w:name="_Toc12302"/>
      <w:r>
        <w:rPr>
          <w:sz w:val="24"/>
        </w:rPr>
        <w:t>3.2 Bargaining Power of Suppliers</w:t>
      </w:r>
      <w:bookmarkEnd w:id="12"/>
    </w:p>
    <w:p>
      <w:pPr>
        <w:spacing w:line="360" w:lineRule="auto"/>
        <w:rPr>
          <w:sz w:val="24"/>
        </w:rPr>
      </w:pPr>
    </w:p>
    <w:p>
      <w:pPr>
        <w:spacing w:line="360" w:lineRule="auto"/>
        <w:rPr>
          <w:sz w:val="24"/>
        </w:rPr>
      </w:pPr>
      <w:r>
        <w:rPr>
          <w:sz w:val="24"/>
        </w:rPr>
        <w:t xml:space="preserve">The bargaining power of suppliers in the hotel industry is not strong. This is mainly due to there are multiple substitutes in the hotel industry, and no supplier can control the market. In addition, Marriott, as a multinational company, has a large number of suppliers. As a result, the bargaining power of suppliers has less impact on Marriott.  </w:t>
      </w:r>
    </w:p>
    <w:p>
      <w:pPr>
        <w:spacing w:line="360" w:lineRule="auto"/>
        <w:rPr>
          <w:sz w:val="24"/>
        </w:rPr>
      </w:pPr>
    </w:p>
    <w:p>
      <w:pPr>
        <w:pStyle w:val="3"/>
        <w:spacing w:line="360" w:lineRule="auto"/>
        <w:rPr>
          <w:sz w:val="24"/>
        </w:rPr>
      </w:pPr>
      <w:bookmarkStart w:id="13" w:name="_Toc32610"/>
      <w:r>
        <w:rPr>
          <w:sz w:val="24"/>
        </w:rPr>
        <w:t>3.3 Bargaining Power of Buyers</w:t>
      </w:r>
      <w:bookmarkEnd w:id="13"/>
    </w:p>
    <w:p>
      <w:pPr>
        <w:spacing w:line="360" w:lineRule="auto"/>
        <w:rPr>
          <w:sz w:val="24"/>
        </w:rPr>
      </w:pPr>
    </w:p>
    <w:p>
      <w:pPr>
        <w:spacing w:line="360" w:lineRule="auto"/>
        <w:rPr>
          <w:sz w:val="24"/>
        </w:rPr>
      </w:pPr>
      <w:r>
        <w:rPr>
          <w:sz w:val="24"/>
        </w:rPr>
        <w:t xml:space="preserve">The bargaining power of buyers has an important impact on Marriott. Consumers in the hotel industry always want to get the best service with minimal cost. This has prompted most industry practitioners to strive to improve the comfort of rooms and supporting facilities (Sampaio, Hernández-Mogollón, &amp; Rodrigues, 2019, p.649). This has made consumers more picky and have a stronger bargaining power. If consumers are dissatisfied with a hotel brand, they have many alternative brands to choose from. Although Marriott has more than 13 million members worldwide, consumers will eventually abandon Marriott if the products and services offered by competitors are more valuable. Therefore, the strong bargaining power of buyers is an unavoidable problem for Marriott in its development. </w:t>
      </w:r>
    </w:p>
    <w:p>
      <w:pPr>
        <w:spacing w:line="360" w:lineRule="auto"/>
        <w:rPr>
          <w:sz w:val="24"/>
        </w:rPr>
      </w:pPr>
    </w:p>
    <w:p>
      <w:pPr>
        <w:pStyle w:val="3"/>
        <w:spacing w:line="360" w:lineRule="auto"/>
        <w:rPr>
          <w:sz w:val="24"/>
        </w:rPr>
      </w:pPr>
      <w:bookmarkStart w:id="14" w:name="_Toc5313"/>
      <w:r>
        <w:rPr>
          <w:sz w:val="24"/>
        </w:rPr>
        <w:t>3.4 Threat from Substitute Products</w:t>
      </w:r>
      <w:bookmarkEnd w:id="14"/>
    </w:p>
    <w:p>
      <w:pPr>
        <w:spacing w:line="360" w:lineRule="auto"/>
        <w:rPr>
          <w:sz w:val="24"/>
        </w:rPr>
      </w:pPr>
    </w:p>
    <w:p>
      <w:pPr>
        <w:spacing w:line="360" w:lineRule="auto"/>
        <w:rPr>
          <w:sz w:val="24"/>
        </w:rPr>
      </w:pPr>
      <w:r>
        <w:rPr>
          <w:sz w:val="24"/>
        </w:rPr>
        <w:t xml:space="preserve">Threats from substitute products did not significantly affect Marriott. Although substitute products like Airbnb have impacted the entire hotel industry, hotels like Marriott that offer luxury accommodation experiences to consumers were not significantly affected (Mody &amp; Gomez, 2018). Under the covid-19 pandemic, people mainly cut the demand for economy hotels, the luxury hotels existing for leisure, have begun to recover in the second quarter of 2021. The revenue of Marriott bucked the trend in 2021. In the fourth quarter of 2021, the hotel not only ceased to lose, but also turned out a profit compared to the previous year, realizing a surplus of $1.42 per share (Marriott International, 2022b). </w:t>
      </w:r>
    </w:p>
    <w:p>
      <w:pPr>
        <w:spacing w:line="360" w:lineRule="auto"/>
        <w:rPr>
          <w:sz w:val="24"/>
        </w:rPr>
      </w:pPr>
    </w:p>
    <w:p>
      <w:pPr>
        <w:pStyle w:val="3"/>
        <w:spacing w:line="360" w:lineRule="auto"/>
        <w:rPr>
          <w:sz w:val="24"/>
        </w:rPr>
      </w:pPr>
      <w:bookmarkStart w:id="15" w:name="_Toc10948"/>
      <w:r>
        <w:rPr>
          <w:sz w:val="24"/>
        </w:rPr>
        <w:t>3.5 Rivalry among the existing players</w:t>
      </w:r>
      <w:bookmarkEnd w:id="15"/>
    </w:p>
    <w:p>
      <w:pPr>
        <w:spacing w:line="360" w:lineRule="auto"/>
        <w:rPr>
          <w:sz w:val="24"/>
        </w:rPr>
      </w:pPr>
    </w:p>
    <w:p>
      <w:pPr>
        <w:spacing w:line="360" w:lineRule="auto"/>
        <w:rPr>
          <w:sz w:val="24"/>
        </w:rPr>
      </w:pPr>
      <w:r>
        <w:rPr>
          <w:sz w:val="24"/>
        </w:rPr>
        <w:t xml:space="preserve">Marriott faces fierce competition from competitors. The global hotel industry shows an oversupply pattern as a whole, which is more obvious in the context of the shrinking demand caused by covid-19 (Singh, 2021). Therefore, although Marriott is already a leader in the international hotel industry, the company still faces serious competitive challenges. Currently, strong competitors of the company in the international market include Hilton Hotel and Resorts, IHG (Intercontinental Hotel Groups), Wyndham Hotels and Resorts and Hyatt Hotel Corporations. The basic situation of these competitors is shown in Table 1. </w:t>
      </w:r>
    </w:p>
    <w:p>
      <w:pPr>
        <w:spacing w:line="360" w:lineRule="auto"/>
        <w:rPr>
          <w:sz w:val="24"/>
        </w:rPr>
      </w:pPr>
    </w:p>
    <w:p>
      <w:pPr>
        <w:spacing w:line="360" w:lineRule="auto"/>
        <w:rPr>
          <w:sz w:val="24"/>
        </w:rPr>
      </w:pPr>
    </w:p>
    <w:p>
      <w:pPr>
        <w:pStyle w:val="4"/>
        <w:spacing w:line="360" w:lineRule="auto"/>
        <w:rPr>
          <w:sz w:val="24"/>
        </w:rPr>
      </w:pPr>
      <w:bookmarkStart w:id="16" w:name="_Toc1480"/>
      <w:r>
        <w:rPr>
          <w:sz w:val="24"/>
        </w:rPr>
        <w:t>Table 1: Core competitors of Marriott</w:t>
      </w:r>
      <w:bookmarkEnd w:id="16"/>
    </w:p>
    <w:p>
      <w:pPr>
        <w:spacing w:line="360" w:lineRule="auto"/>
        <w:rPr>
          <w:color w:val="16181A"/>
          <w:sz w:val="24"/>
          <w:shd w:val="clear" w:color="auto" w:fill="FFFFFF"/>
        </w:rPr>
      </w:pPr>
    </w:p>
    <w:tbl>
      <w:tblPr>
        <w:tblStyle w:val="19"/>
        <w:tblW w:w="8691" w:type="dxa"/>
        <w:tblInd w:w="93" w:type="dxa"/>
        <w:tblLayout w:type="autofit"/>
        <w:tblCellMar>
          <w:top w:w="0" w:type="dxa"/>
          <w:left w:w="108" w:type="dxa"/>
          <w:bottom w:w="0" w:type="dxa"/>
          <w:right w:w="108" w:type="dxa"/>
        </w:tblCellMar>
      </w:tblPr>
      <w:tblGrid>
        <w:gridCol w:w="3742"/>
        <w:gridCol w:w="896"/>
        <w:gridCol w:w="2036"/>
        <w:gridCol w:w="2324"/>
      </w:tblGrid>
      <w:tr>
        <w:tblPrEx>
          <w:tblCellMar>
            <w:top w:w="0" w:type="dxa"/>
            <w:left w:w="108" w:type="dxa"/>
            <w:bottom w:w="0" w:type="dxa"/>
            <w:right w:w="108" w:type="dxa"/>
          </w:tblCellMar>
        </w:tblPrEx>
        <w:trPr>
          <w:trHeight w:val="315" w:hRule="atLeast"/>
        </w:trPr>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center"/>
              <w:textAlignment w:val="center"/>
              <w:rPr>
                <w:color w:val="000000"/>
                <w:sz w:val="24"/>
              </w:rPr>
            </w:pPr>
            <w:r>
              <w:rPr>
                <w:color w:val="000000"/>
                <w:kern w:val="0"/>
                <w:sz w:val="24"/>
                <w:lang w:bidi="ar"/>
              </w:rPr>
              <w:t>Name</w:t>
            </w:r>
          </w:p>
        </w:tc>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center"/>
              <w:textAlignment w:val="center"/>
              <w:rPr>
                <w:color w:val="000000"/>
                <w:sz w:val="24"/>
              </w:rPr>
            </w:pPr>
            <w:r>
              <w:rPr>
                <w:color w:val="000000"/>
                <w:kern w:val="0"/>
                <w:sz w:val="24"/>
                <w:lang w:bidi="ar"/>
              </w:rPr>
              <w:t>Brands</w:t>
            </w:r>
          </w:p>
        </w:tc>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center"/>
              <w:textAlignment w:val="center"/>
              <w:rPr>
                <w:color w:val="000000"/>
                <w:sz w:val="24"/>
              </w:rPr>
            </w:pPr>
            <w:r>
              <w:rPr>
                <w:color w:val="000000"/>
                <w:kern w:val="0"/>
                <w:sz w:val="24"/>
                <w:lang w:bidi="ar"/>
              </w:rPr>
              <w:t>Property portfolios</w:t>
            </w:r>
          </w:p>
        </w:tc>
        <w:tc>
          <w:tcPr>
            <w:tcW w:w="2324" w:type="dxa"/>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center"/>
              <w:textAlignment w:val="center"/>
              <w:rPr>
                <w:color w:val="000000"/>
                <w:sz w:val="24"/>
              </w:rPr>
            </w:pPr>
            <w:r>
              <w:rPr>
                <w:color w:val="000000"/>
                <w:kern w:val="0"/>
                <w:sz w:val="24"/>
                <w:lang w:bidi="ar"/>
              </w:rPr>
              <w:t>Revenue</w:t>
            </w:r>
            <w:r>
              <w:rPr>
                <w:rStyle w:val="48"/>
                <w:rFonts w:hint="default" w:ascii="Times New Roman" w:hAnsi="Times New Roman" w:cs="Times New Roman"/>
                <w:lang w:bidi="ar"/>
              </w:rPr>
              <w:t>（</w:t>
            </w:r>
            <w:r>
              <w:rPr>
                <w:rStyle w:val="49"/>
                <w:lang w:bidi="ar"/>
              </w:rPr>
              <w:t>$</w:t>
            </w:r>
            <w:r>
              <w:rPr>
                <w:rStyle w:val="48"/>
                <w:rFonts w:hint="default" w:ascii="Times New Roman" w:hAnsi="Times New Roman" w:cs="Times New Roman"/>
                <w:lang w:bidi="ar"/>
              </w:rPr>
              <w:t>）</w:t>
            </w:r>
          </w:p>
        </w:tc>
      </w:tr>
      <w:tr>
        <w:tblPrEx>
          <w:tblCellMar>
            <w:top w:w="0" w:type="dxa"/>
            <w:left w:w="108" w:type="dxa"/>
            <w:bottom w:w="0" w:type="dxa"/>
            <w:right w:w="108" w:type="dxa"/>
          </w:tblCellMar>
        </w:tblPrEx>
        <w:trPr>
          <w:trHeight w:val="315" w:hRule="atLeast"/>
        </w:trPr>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textAlignment w:val="center"/>
              <w:rPr>
                <w:color w:val="2E3033"/>
                <w:sz w:val="24"/>
              </w:rPr>
            </w:pPr>
            <w:r>
              <w:rPr>
                <w:color w:val="2E3033"/>
                <w:kern w:val="0"/>
                <w:sz w:val="24"/>
                <w:lang w:bidi="ar"/>
              </w:rPr>
              <w:t>Marriott International</w:t>
            </w:r>
          </w:p>
        </w:tc>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right"/>
              <w:textAlignment w:val="center"/>
              <w:rPr>
                <w:color w:val="000000"/>
                <w:sz w:val="24"/>
              </w:rPr>
            </w:pPr>
            <w:r>
              <w:rPr>
                <w:color w:val="000000"/>
                <w:kern w:val="0"/>
                <w:sz w:val="24"/>
                <w:lang w:bidi="ar"/>
              </w:rPr>
              <w:t>30</w:t>
            </w:r>
          </w:p>
        </w:tc>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right"/>
              <w:textAlignment w:val="center"/>
              <w:rPr>
                <w:color w:val="000000"/>
                <w:sz w:val="24"/>
              </w:rPr>
            </w:pPr>
            <w:r>
              <w:rPr>
                <w:color w:val="000000"/>
                <w:kern w:val="0"/>
                <w:sz w:val="24"/>
                <w:lang w:bidi="ar"/>
              </w:rPr>
              <w:t>8000</w:t>
            </w:r>
          </w:p>
        </w:tc>
        <w:tc>
          <w:tcPr>
            <w:tcW w:w="2324" w:type="dxa"/>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left"/>
              <w:textAlignment w:val="center"/>
              <w:rPr>
                <w:color w:val="000000"/>
                <w:sz w:val="24"/>
              </w:rPr>
            </w:pPr>
            <w:r>
              <w:rPr>
                <w:color w:val="000000"/>
                <w:kern w:val="0"/>
                <w:sz w:val="24"/>
                <w:lang w:bidi="ar"/>
              </w:rPr>
              <w:t>About 13.8billion</w:t>
            </w:r>
          </w:p>
        </w:tc>
      </w:tr>
      <w:tr>
        <w:tblPrEx>
          <w:tblCellMar>
            <w:top w:w="0" w:type="dxa"/>
            <w:left w:w="108" w:type="dxa"/>
            <w:bottom w:w="0" w:type="dxa"/>
            <w:right w:w="108" w:type="dxa"/>
          </w:tblCellMar>
        </w:tblPrEx>
        <w:trPr>
          <w:trHeight w:val="315" w:hRule="atLeast"/>
        </w:trPr>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left"/>
              <w:textAlignment w:val="center"/>
              <w:rPr>
                <w:color w:val="16181A"/>
                <w:sz w:val="24"/>
              </w:rPr>
            </w:pPr>
            <w:r>
              <w:rPr>
                <w:color w:val="16181A"/>
                <w:kern w:val="0"/>
                <w:sz w:val="24"/>
                <w:lang w:bidi="ar"/>
              </w:rPr>
              <w:t xml:space="preserve">Hilton Hotel and Resorts </w:t>
            </w:r>
          </w:p>
        </w:tc>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right"/>
              <w:textAlignment w:val="center"/>
              <w:rPr>
                <w:color w:val="000000"/>
                <w:sz w:val="24"/>
              </w:rPr>
            </w:pPr>
            <w:r>
              <w:rPr>
                <w:color w:val="000000"/>
                <w:kern w:val="0"/>
                <w:sz w:val="24"/>
                <w:lang w:bidi="ar"/>
              </w:rPr>
              <w:t>19</w:t>
            </w:r>
          </w:p>
        </w:tc>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right"/>
              <w:textAlignment w:val="center"/>
              <w:rPr>
                <w:color w:val="000000"/>
                <w:sz w:val="24"/>
              </w:rPr>
            </w:pPr>
            <w:r>
              <w:rPr>
                <w:color w:val="000000"/>
                <w:kern w:val="0"/>
                <w:sz w:val="24"/>
                <w:lang w:bidi="ar"/>
              </w:rPr>
              <w:t>6110</w:t>
            </w:r>
          </w:p>
        </w:tc>
        <w:tc>
          <w:tcPr>
            <w:tcW w:w="2324" w:type="dxa"/>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left"/>
              <w:textAlignment w:val="center"/>
              <w:rPr>
                <w:color w:val="000000"/>
                <w:sz w:val="24"/>
              </w:rPr>
            </w:pPr>
            <w:r>
              <w:rPr>
                <w:color w:val="000000"/>
                <w:kern w:val="0"/>
                <w:sz w:val="24"/>
                <w:lang w:bidi="ar"/>
              </w:rPr>
              <w:t>About 9billion</w:t>
            </w:r>
          </w:p>
        </w:tc>
      </w:tr>
      <w:tr>
        <w:tblPrEx>
          <w:tblCellMar>
            <w:top w:w="0" w:type="dxa"/>
            <w:left w:w="108" w:type="dxa"/>
            <w:bottom w:w="0" w:type="dxa"/>
            <w:right w:w="108" w:type="dxa"/>
          </w:tblCellMar>
        </w:tblPrEx>
        <w:trPr>
          <w:trHeight w:val="315" w:hRule="atLeast"/>
        </w:trPr>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left"/>
              <w:textAlignment w:val="center"/>
              <w:rPr>
                <w:color w:val="000000"/>
                <w:sz w:val="24"/>
              </w:rPr>
            </w:pPr>
            <w:r>
              <w:rPr>
                <w:color w:val="000000"/>
                <w:kern w:val="0"/>
                <w:sz w:val="24"/>
                <w:lang w:bidi="ar"/>
              </w:rPr>
              <w:t>IHG (Intercontinental Hotel Groups)</w:t>
            </w:r>
          </w:p>
        </w:tc>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right"/>
              <w:textAlignment w:val="center"/>
              <w:rPr>
                <w:color w:val="000000"/>
                <w:sz w:val="24"/>
              </w:rPr>
            </w:pPr>
            <w:r>
              <w:rPr>
                <w:color w:val="000000"/>
                <w:kern w:val="0"/>
                <w:sz w:val="24"/>
                <w:lang w:bidi="ar"/>
              </w:rPr>
              <w:t>18</w:t>
            </w:r>
          </w:p>
        </w:tc>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right"/>
              <w:textAlignment w:val="center"/>
              <w:rPr>
                <w:color w:val="000000"/>
                <w:sz w:val="24"/>
              </w:rPr>
            </w:pPr>
            <w:r>
              <w:rPr>
                <w:color w:val="000000"/>
                <w:kern w:val="0"/>
                <w:sz w:val="24"/>
                <w:lang w:bidi="ar"/>
              </w:rPr>
              <w:t>5991</w:t>
            </w:r>
          </w:p>
        </w:tc>
        <w:tc>
          <w:tcPr>
            <w:tcW w:w="2324" w:type="dxa"/>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left"/>
              <w:textAlignment w:val="center"/>
              <w:rPr>
                <w:color w:val="000000"/>
                <w:sz w:val="24"/>
              </w:rPr>
            </w:pPr>
            <w:r>
              <w:rPr>
                <w:color w:val="000000"/>
                <w:kern w:val="0"/>
                <w:sz w:val="24"/>
                <w:lang w:bidi="ar"/>
              </w:rPr>
              <w:t>About19.4billion</w:t>
            </w:r>
          </w:p>
        </w:tc>
      </w:tr>
      <w:tr>
        <w:tblPrEx>
          <w:tblCellMar>
            <w:top w:w="0" w:type="dxa"/>
            <w:left w:w="108" w:type="dxa"/>
            <w:bottom w:w="0" w:type="dxa"/>
            <w:right w:w="108" w:type="dxa"/>
          </w:tblCellMar>
        </w:tblPrEx>
        <w:trPr>
          <w:trHeight w:val="315" w:hRule="atLeast"/>
        </w:trPr>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left"/>
              <w:textAlignment w:val="center"/>
              <w:rPr>
                <w:color w:val="16181A"/>
                <w:sz w:val="24"/>
              </w:rPr>
            </w:pPr>
            <w:r>
              <w:rPr>
                <w:color w:val="16181A"/>
                <w:kern w:val="0"/>
                <w:sz w:val="24"/>
                <w:lang w:bidi="ar"/>
              </w:rPr>
              <w:t xml:space="preserve">Wyndham Hotels and Resorts </w:t>
            </w:r>
          </w:p>
        </w:tc>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right"/>
              <w:textAlignment w:val="center"/>
              <w:rPr>
                <w:color w:val="000000"/>
                <w:sz w:val="24"/>
              </w:rPr>
            </w:pPr>
            <w:r>
              <w:rPr>
                <w:color w:val="000000"/>
                <w:kern w:val="0"/>
                <w:sz w:val="24"/>
                <w:lang w:bidi="ar"/>
              </w:rPr>
              <w:t>19</w:t>
            </w:r>
          </w:p>
        </w:tc>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right"/>
              <w:textAlignment w:val="center"/>
              <w:rPr>
                <w:color w:val="000000"/>
                <w:sz w:val="24"/>
              </w:rPr>
            </w:pPr>
            <w:r>
              <w:rPr>
                <w:color w:val="000000"/>
                <w:kern w:val="0"/>
                <w:sz w:val="24"/>
                <w:lang w:bidi="ar"/>
              </w:rPr>
              <w:t>9200</w:t>
            </w:r>
          </w:p>
        </w:tc>
        <w:tc>
          <w:tcPr>
            <w:tcW w:w="2324" w:type="dxa"/>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left"/>
              <w:textAlignment w:val="center"/>
              <w:rPr>
                <w:color w:val="000000"/>
                <w:sz w:val="24"/>
              </w:rPr>
            </w:pPr>
            <w:r>
              <w:rPr>
                <w:color w:val="000000"/>
                <w:kern w:val="0"/>
                <w:sz w:val="24"/>
                <w:lang w:bidi="ar"/>
              </w:rPr>
              <w:t>About 2billion</w:t>
            </w:r>
          </w:p>
        </w:tc>
      </w:tr>
      <w:tr>
        <w:tblPrEx>
          <w:tblCellMar>
            <w:top w:w="0" w:type="dxa"/>
            <w:left w:w="108" w:type="dxa"/>
            <w:bottom w:w="0" w:type="dxa"/>
            <w:right w:w="108" w:type="dxa"/>
          </w:tblCellMar>
        </w:tblPrEx>
        <w:trPr>
          <w:trHeight w:val="315" w:hRule="atLeast"/>
        </w:trPr>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left"/>
              <w:textAlignment w:val="center"/>
              <w:rPr>
                <w:color w:val="16181A"/>
                <w:sz w:val="24"/>
              </w:rPr>
            </w:pPr>
            <w:r>
              <w:rPr>
                <w:color w:val="16181A"/>
                <w:kern w:val="0"/>
                <w:sz w:val="24"/>
                <w:lang w:bidi="ar"/>
              </w:rPr>
              <w:t>Hyatt Hotel Corporations</w:t>
            </w:r>
          </w:p>
        </w:tc>
        <w:tc>
          <w:tcPr>
            <w:tcW w:w="0" w:type="auto"/>
            <w:tcBorders>
              <w:top w:val="single" w:color="000000" w:sz="4" w:space="0"/>
              <w:left w:val="single" w:color="000000" w:sz="4" w:space="0"/>
              <w:bottom w:val="single" w:color="000000" w:sz="4" w:space="0"/>
              <w:right w:val="single" w:color="000000" w:sz="4" w:space="0"/>
            </w:tcBorders>
            <w:noWrap/>
            <w:vAlign w:val="center"/>
          </w:tcPr>
          <w:p>
            <w:pPr>
              <w:spacing w:line="360" w:lineRule="auto"/>
              <w:rPr>
                <w:color w:val="000000"/>
                <w:sz w:val="24"/>
              </w:rPr>
            </w:pPr>
          </w:p>
        </w:tc>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right"/>
              <w:textAlignment w:val="center"/>
              <w:rPr>
                <w:color w:val="000000"/>
                <w:sz w:val="24"/>
              </w:rPr>
            </w:pPr>
            <w:r>
              <w:rPr>
                <w:color w:val="000000"/>
                <w:kern w:val="0"/>
                <w:sz w:val="24"/>
                <w:lang w:bidi="ar"/>
              </w:rPr>
              <w:t>600</w:t>
            </w:r>
          </w:p>
        </w:tc>
        <w:tc>
          <w:tcPr>
            <w:tcW w:w="2324" w:type="dxa"/>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left"/>
              <w:textAlignment w:val="center"/>
              <w:rPr>
                <w:color w:val="000000"/>
                <w:sz w:val="24"/>
              </w:rPr>
            </w:pPr>
            <w:r>
              <w:rPr>
                <w:color w:val="000000"/>
                <w:kern w:val="0"/>
                <w:sz w:val="24"/>
                <w:lang w:bidi="ar"/>
              </w:rPr>
              <w:t>About 3billion</w:t>
            </w:r>
          </w:p>
        </w:tc>
      </w:tr>
    </w:tbl>
    <w:p>
      <w:pPr>
        <w:spacing w:line="360" w:lineRule="auto"/>
        <w:rPr>
          <w:sz w:val="24"/>
        </w:rPr>
      </w:pPr>
      <w:r>
        <w:rPr>
          <w:sz w:val="24"/>
        </w:rPr>
        <w:t xml:space="preserve">Source: IHG, 2021; Wyndham Hotels &amp; Resorts, Inc., 2022; Hyatt Hotel Corporations, 2022; Marriott International, 2022c; Hilton Hotel and Resorts, 2022. </w:t>
      </w:r>
    </w:p>
    <w:p>
      <w:pPr>
        <w:spacing w:line="360" w:lineRule="auto"/>
        <w:rPr>
          <w:sz w:val="24"/>
        </w:rPr>
      </w:pPr>
    </w:p>
    <w:p>
      <w:pPr>
        <w:spacing w:line="360" w:lineRule="auto"/>
        <w:rPr>
          <w:sz w:val="24"/>
        </w:rPr>
      </w:pPr>
      <w:r>
        <w:rPr>
          <w:sz w:val="24"/>
        </w:rPr>
        <w:t xml:space="preserve">The above analysis shows that Marriott has the largest number of brands among all the core players in the market. However, the company has less property portfolios than Wyndham Hotels and Resorts and less revenue than IHG. In general, Marriott occupies an important position in the hotel industry. However, several other core competitors are likely to fully surpass it at any time. The advantage of IHG in sales may gradually translate into an advantage in property portfolios. The advantage of Wyndham Hotels and Resorts in property portfolios may translate into a number advantage of loyal consumers in the future. Marriott is facing fierce competition within the industry. </w:t>
      </w:r>
    </w:p>
    <w:p>
      <w:pPr>
        <w:spacing w:line="360" w:lineRule="auto"/>
        <w:rPr>
          <w:sz w:val="24"/>
        </w:rPr>
      </w:pPr>
    </w:p>
    <w:p>
      <w:pPr>
        <w:spacing w:line="360" w:lineRule="auto"/>
        <w:rPr>
          <w:color w:val="000000"/>
          <w:kern w:val="0"/>
          <w:sz w:val="24"/>
          <w:lang w:bidi="ar"/>
        </w:rPr>
      </w:pPr>
      <w:r>
        <w:rPr>
          <w:color w:val="000000"/>
          <w:kern w:val="0"/>
          <w:sz w:val="24"/>
          <w:lang w:bidi="ar"/>
        </w:rPr>
        <w:t>In addition, hotels adopting new business models like Airbnb will inevitably become competitors to Marriott. The advantage of Airbnb is the ability to allow travelers on vacation to feel the warmth of home in a low-cost way (</w:t>
      </w:r>
      <w:r>
        <w:rPr>
          <w:sz w:val="24"/>
        </w:rPr>
        <w:t>Airbnb, 2019</w:t>
      </w:r>
      <w:r>
        <w:rPr>
          <w:color w:val="000000"/>
          <w:kern w:val="0"/>
          <w:sz w:val="24"/>
          <w:lang w:bidi="ar"/>
        </w:rPr>
        <w:t>). This coincides with some of the service experiences that Marriott has created. In 2021, the performance growth of Airbnb was much higher than the average level of the hotel industry, in the context that the global hotel industry was under a recovery as a whole (</w:t>
      </w:r>
      <w:r>
        <w:rPr>
          <w:sz w:val="24"/>
        </w:rPr>
        <w:t>Singh, 2021</w:t>
      </w:r>
      <w:r>
        <w:rPr>
          <w:color w:val="000000"/>
          <w:kern w:val="0"/>
          <w:sz w:val="24"/>
          <w:lang w:bidi="ar"/>
        </w:rPr>
        <w:t xml:space="preserve">). Some target consumers of Marriott eventually became the consumers of Airbnb due to their changed spending habits. Therefore, Marriott also faces competition from Airbnb. </w:t>
      </w:r>
    </w:p>
    <w:p>
      <w:pPr>
        <w:spacing w:line="360" w:lineRule="auto"/>
        <w:rPr>
          <w:color w:val="000000"/>
          <w:kern w:val="0"/>
          <w:sz w:val="24"/>
          <w:lang w:bidi="ar"/>
        </w:rPr>
      </w:pPr>
    </w:p>
    <w:p>
      <w:pPr>
        <w:pStyle w:val="2"/>
        <w:spacing w:line="360" w:lineRule="auto"/>
        <w:rPr>
          <w:sz w:val="24"/>
          <w:szCs w:val="24"/>
          <w:lang w:bidi="ar"/>
        </w:rPr>
      </w:pPr>
      <w:bookmarkStart w:id="17" w:name="_Toc32580"/>
      <w:r>
        <w:rPr>
          <w:sz w:val="24"/>
          <w:szCs w:val="24"/>
          <w:lang w:bidi="ar"/>
        </w:rPr>
        <w:t>4</w:t>
      </w:r>
      <w:r>
        <w:rPr>
          <w:rFonts w:hint="eastAsia" w:eastAsia="宋体"/>
          <w:sz w:val="24"/>
          <w:szCs w:val="24"/>
          <w:lang w:eastAsia="zh-CN" w:bidi="ar"/>
        </w:rPr>
        <w:t>.</w:t>
      </w:r>
      <w:r>
        <w:rPr>
          <w:rFonts w:hint="eastAsia" w:eastAsia="宋体"/>
          <w:sz w:val="24"/>
          <w:szCs w:val="24"/>
          <w:lang w:val="en-US" w:eastAsia="zh-CN" w:bidi="ar"/>
        </w:rPr>
        <w:t>0</w:t>
      </w:r>
      <w:r>
        <w:rPr>
          <w:sz w:val="24"/>
          <w:szCs w:val="24"/>
          <w:lang w:bidi="ar"/>
        </w:rPr>
        <w:t xml:space="preserve"> Value chain analysis</w:t>
      </w:r>
      <w:bookmarkEnd w:id="17"/>
      <w:r>
        <w:rPr>
          <w:sz w:val="24"/>
          <w:szCs w:val="24"/>
          <w:lang w:bidi="ar"/>
        </w:rPr>
        <w:t xml:space="preserve"> </w:t>
      </w:r>
    </w:p>
    <w:p>
      <w:pPr>
        <w:spacing w:line="360" w:lineRule="auto"/>
        <w:rPr>
          <w:sz w:val="24"/>
        </w:rPr>
      </w:pPr>
    </w:p>
    <w:p>
      <w:pPr>
        <w:spacing w:line="360" w:lineRule="auto"/>
        <w:rPr>
          <w:sz w:val="24"/>
        </w:rPr>
      </w:pPr>
      <w:r>
        <w:rPr>
          <w:sz w:val="24"/>
        </w:rPr>
        <w:t xml:space="preserve">Porter's value chain consists of two parts, namely, primary activities and support activities. The former involves inbound logistics, product or service production, outbound logistics, marketing and sales, and service and aftercare. The latter involves infrastructure construction, human resource management, technology research and development, process management, etc. Studying the value chain can help Marriott identify its strengths and weaknesses. </w:t>
      </w:r>
    </w:p>
    <w:p>
      <w:pPr>
        <w:spacing w:line="360" w:lineRule="auto"/>
        <w:rPr>
          <w:sz w:val="24"/>
        </w:rPr>
      </w:pPr>
    </w:p>
    <w:p>
      <w:pPr>
        <w:pStyle w:val="3"/>
        <w:spacing w:line="360" w:lineRule="auto"/>
        <w:rPr>
          <w:sz w:val="24"/>
        </w:rPr>
      </w:pPr>
      <w:bookmarkStart w:id="18" w:name="_Toc3619"/>
      <w:r>
        <w:rPr>
          <w:sz w:val="24"/>
        </w:rPr>
        <w:t>4.1 Primary activities</w:t>
      </w:r>
      <w:bookmarkEnd w:id="18"/>
    </w:p>
    <w:p>
      <w:pPr>
        <w:spacing w:line="360" w:lineRule="auto"/>
        <w:rPr>
          <w:sz w:val="24"/>
        </w:rPr>
      </w:pPr>
    </w:p>
    <w:p>
      <w:pPr>
        <w:spacing w:line="360" w:lineRule="auto"/>
        <w:rPr>
          <w:sz w:val="24"/>
        </w:rPr>
      </w:pPr>
      <w:r>
        <w:rPr>
          <w:sz w:val="24"/>
        </w:rPr>
        <w:t xml:space="preserve">For Marriott, the provision of services is the core activity that determines the competitive advantage of the company. Marriott belongs to the service industry. It does not produce products, but only provides services. At the core of these services is to provide consumers with super-value experiences, including accommodation experiences and leisure experiences. To improve consumer experiences, Marriott has only one standard for hiring employees, that is, to hire those people who put others at the first place. As long as employees can put the needs of consumers first in the job, then they can provide excellent service to customers. Even if these employees do not have any service skills at the interview, it does not prevent them from being a core employee of Marriott (Gibbons, 2020). Therefore, consumers can experience excellent service as they come to the hotels of Marriott. This is not only reflected in the sincere smile and timely request response of the service staff, but also in their ability to predict the potential needs of customers. The experience makes customers really feel that they are the God. This can be done only by those who really put others first. </w:t>
      </w:r>
    </w:p>
    <w:p>
      <w:pPr>
        <w:spacing w:line="360" w:lineRule="auto"/>
        <w:rPr>
          <w:sz w:val="24"/>
        </w:rPr>
      </w:pPr>
    </w:p>
    <w:p>
      <w:pPr>
        <w:pStyle w:val="3"/>
        <w:spacing w:line="360" w:lineRule="auto"/>
        <w:rPr>
          <w:sz w:val="24"/>
        </w:rPr>
      </w:pPr>
      <w:bookmarkStart w:id="19" w:name="_Toc24256"/>
      <w:r>
        <w:rPr>
          <w:sz w:val="24"/>
        </w:rPr>
        <w:t>4.2 Support activities</w:t>
      </w:r>
      <w:bookmarkEnd w:id="19"/>
    </w:p>
    <w:p>
      <w:pPr>
        <w:spacing w:line="360" w:lineRule="auto"/>
        <w:rPr>
          <w:sz w:val="24"/>
        </w:rPr>
      </w:pPr>
    </w:p>
    <w:p>
      <w:pPr>
        <w:spacing w:line="360" w:lineRule="auto"/>
        <w:rPr>
          <w:sz w:val="24"/>
        </w:rPr>
      </w:pPr>
      <w:r>
        <w:rPr>
          <w:sz w:val="24"/>
        </w:rPr>
        <w:t>Some support activities of Marriott play a bigger role in the value chain of Marriott compared to its main activities. One of the most important support activities is human resource management. There is no doubt that the hotel industry, in order to provide good service experiences to customers, must pay attention to human resource management. The hotel industry is an industry with a high employee turnover rate, which is related to its characteristic as a basic service industry. In order to solve the problem of human resource management, Marriott put forward the "put people first" human resource development concept (Marriott International, 2022d). Under this philosophy, every employee is regarded as an important part of the group. The HR management department of Marriott not only specifically seeks candidates who put others first, but also offers complete training programs to new employees. This allows employees to develop basic service skills shortly after being hired. To retain excellent talents, Marriott has developed benefit packages and personal career development plans for employees. In terms of benefit packages, the most popular element among employees is the accommodation discount they can enjoy during travel. In terms of career development plans, the most appreciated elements by the employees are the career development opportunities and team spirit they develop during the 15-minute daily meeting (</w:t>
      </w:r>
      <w:r>
        <w:rPr>
          <w:color w:val="616161"/>
          <w:sz w:val="24"/>
          <w:shd w:val="clear" w:color="auto" w:fill="FFFFFF"/>
        </w:rPr>
        <w:t>Gerhart, 2021</w:t>
      </w:r>
      <w:r>
        <w:rPr>
          <w:sz w:val="24"/>
        </w:rPr>
        <w:t xml:space="preserve">). In addition, Marriott is a group that fights against racism and promotes social equality and justice. It won the award of DiversityInc Top 50 Ranking: No. 1 in 2020 (Marriott International, 2021). This is of great significance for building a diversified team and improving service quality. </w:t>
      </w: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pStyle w:val="2"/>
        <w:spacing w:line="360" w:lineRule="auto"/>
        <w:rPr>
          <w:sz w:val="24"/>
          <w:szCs w:val="24"/>
        </w:rPr>
      </w:pPr>
      <w:bookmarkStart w:id="20" w:name="_Toc26539"/>
      <w:r>
        <w:rPr>
          <w:sz w:val="24"/>
          <w:szCs w:val="24"/>
        </w:rPr>
        <w:t>5</w:t>
      </w:r>
      <w:r>
        <w:rPr>
          <w:rFonts w:hint="eastAsia" w:eastAsia="宋体"/>
          <w:sz w:val="24"/>
          <w:szCs w:val="24"/>
          <w:lang w:val="en-US" w:eastAsia="zh-CN"/>
        </w:rPr>
        <w:t>.0</w:t>
      </w:r>
      <w:r>
        <w:rPr>
          <w:sz w:val="24"/>
          <w:szCs w:val="24"/>
        </w:rPr>
        <w:t xml:space="preserve"> SWOT analysis</w:t>
      </w:r>
      <w:bookmarkEnd w:id="20"/>
      <w:r>
        <w:rPr>
          <w:sz w:val="24"/>
          <w:szCs w:val="24"/>
        </w:rPr>
        <w:t xml:space="preserve"> </w:t>
      </w:r>
    </w:p>
    <w:p>
      <w:pPr>
        <w:spacing w:line="360" w:lineRule="auto"/>
        <w:rPr>
          <w:sz w:val="24"/>
        </w:rPr>
      </w:pPr>
    </w:p>
    <w:p>
      <w:pPr>
        <w:spacing w:line="360" w:lineRule="auto"/>
        <w:rPr>
          <w:sz w:val="24"/>
        </w:rPr>
      </w:pPr>
      <w:r>
        <w:rPr>
          <w:sz w:val="24"/>
        </w:rPr>
        <w:t xml:space="preserve">The contents of SWOT analysis are organizational strengths, weaknesses, opportunities, and threats. It can help Marriott comprehensively summarize and evaluate its internal and external environment. Table 2 is the SWOT analysis of Marriott. </w:t>
      </w:r>
    </w:p>
    <w:p>
      <w:pPr>
        <w:spacing w:line="360" w:lineRule="auto"/>
        <w:rPr>
          <w:sz w:val="24"/>
          <w:highlight w:val="green"/>
        </w:rPr>
      </w:pPr>
    </w:p>
    <w:p>
      <w:pPr>
        <w:pStyle w:val="4"/>
        <w:spacing w:line="360" w:lineRule="auto"/>
        <w:rPr>
          <w:sz w:val="24"/>
        </w:rPr>
      </w:pPr>
      <w:bookmarkStart w:id="21" w:name="_Toc17747"/>
      <w:r>
        <w:rPr>
          <w:sz w:val="24"/>
        </w:rPr>
        <w:t>Table 2: SWOT analysis of Marriott</w:t>
      </w:r>
      <w:bookmarkEnd w:id="21"/>
    </w:p>
    <w:tbl>
      <w:tblPr>
        <w:tblStyle w:val="19"/>
        <w:tblW w:w="8446" w:type="dxa"/>
        <w:tblInd w:w="93" w:type="dxa"/>
        <w:tblLayout w:type="autofit"/>
        <w:tblCellMar>
          <w:top w:w="0" w:type="dxa"/>
          <w:left w:w="108" w:type="dxa"/>
          <w:bottom w:w="0" w:type="dxa"/>
          <w:right w:w="108" w:type="dxa"/>
        </w:tblCellMar>
      </w:tblPr>
      <w:tblGrid>
        <w:gridCol w:w="4126"/>
        <w:gridCol w:w="4320"/>
      </w:tblGrid>
      <w:tr>
        <w:trPr>
          <w:trHeight w:val="285" w:hRule="atLeast"/>
        </w:trPr>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center"/>
              <w:textAlignment w:val="center"/>
              <w:rPr>
                <w:b/>
                <w:bCs/>
                <w:color w:val="000000"/>
                <w:sz w:val="24"/>
              </w:rPr>
            </w:pPr>
            <w:r>
              <w:rPr>
                <w:b/>
                <w:bCs/>
                <w:color w:val="000000"/>
                <w:sz w:val="24"/>
              </w:rPr>
              <w:t>Strengths</w:t>
            </w:r>
          </w:p>
        </w:tc>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center"/>
              <w:textAlignment w:val="center"/>
              <w:rPr>
                <w:b/>
                <w:bCs/>
                <w:color w:val="000000"/>
                <w:sz w:val="24"/>
              </w:rPr>
            </w:pPr>
            <w:r>
              <w:rPr>
                <w:b/>
                <w:bCs/>
                <w:color w:val="000000"/>
                <w:sz w:val="24"/>
              </w:rPr>
              <w:t>Weaknesses</w:t>
            </w:r>
          </w:p>
        </w:tc>
      </w:tr>
      <w:tr>
        <w:tblPrEx>
          <w:tblCellMar>
            <w:top w:w="0" w:type="dxa"/>
            <w:left w:w="108" w:type="dxa"/>
            <w:bottom w:w="0" w:type="dxa"/>
            <w:right w:w="108" w:type="dxa"/>
          </w:tblCellMar>
        </w:tblPrEx>
        <w:trPr>
          <w:trHeight w:val="2059" w:hRule="atLeast"/>
        </w:trPr>
        <w:tc>
          <w:tcPr>
            <w:tcW w:w="0" w:type="auto"/>
            <w:tcBorders>
              <w:top w:val="single" w:color="000000" w:sz="4" w:space="0"/>
              <w:left w:val="single" w:color="000000" w:sz="4" w:space="0"/>
              <w:bottom w:val="single" w:color="000000" w:sz="4" w:space="0"/>
              <w:right w:val="single" w:color="000000" w:sz="4" w:space="0"/>
            </w:tcBorders>
            <w:vAlign w:val="center"/>
          </w:tcPr>
          <w:p>
            <w:pPr>
              <w:pStyle w:val="50"/>
              <w:widowControl/>
              <w:numPr>
                <w:ilvl w:val="0"/>
                <w:numId w:val="1"/>
              </w:numPr>
              <w:spacing w:line="360" w:lineRule="auto"/>
              <w:ind w:firstLineChars="0"/>
              <w:textAlignment w:val="center"/>
              <w:rPr>
                <w:color w:val="000000"/>
                <w:sz w:val="24"/>
              </w:rPr>
            </w:pPr>
            <w:r>
              <w:rPr>
                <w:color w:val="000000"/>
                <w:kern w:val="0"/>
                <w:sz w:val="24"/>
                <w:lang w:bidi="ar"/>
              </w:rPr>
              <w:t>Human Resource Management;</w:t>
            </w:r>
          </w:p>
          <w:p>
            <w:pPr>
              <w:pStyle w:val="50"/>
              <w:widowControl/>
              <w:numPr>
                <w:ilvl w:val="0"/>
                <w:numId w:val="1"/>
              </w:numPr>
              <w:spacing w:line="360" w:lineRule="auto"/>
              <w:ind w:firstLineChars="0"/>
              <w:textAlignment w:val="center"/>
              <w:rPr>
                <w:color w:val="000000"/>
                <w:sz w:val="24"/>
              </w:rPr>
            </w:pPr>
            <w:r>
              <w:rPr>
                <w:color w:val="000000"/>
                <w:kern w:val="0"/>
                <w:sz w:val="24"/>
                <w:lang w:bidi="ar"/>
              </w:rPr>
              <w:t xml:space="preserve">Resource Integration Ability; </w:t>
            </w:r>
          </w:p>
          <w:p>
            <w:pPr>
              <w:pStyle w:val="50"/>
              <w:widowControl/>
              <w:numPr>
                <w:ilvl w:val="0"/>
                <w:numId w:val="1"/>
              </w:numPr>
              <w:spacing w:line="360" w:lineRule="auto"/>
              <w:ind w:firstLineChars="0"/>
              <w:textAlignment w:val="center"/>
              <w:rPr>
                <w:color w:val="000000"/>
                <w:sz w:val="24"/>
              </w:rPr>
            </w:pPr>
            <w:r>
              <w:rPr>
                <w:color w:val="000000"/>
                <w:kern w:val="0"/>
                <w:sz w:val="24"/>
                <w:lang w:bidi="ar"/>
              </w:rPr>
              <w:t>Loyal customers;</w:t>
            </w:r>
          </w:p>
          <w:p>
            <w:pPr>
              <w:pStyle w:val="50"/>
              <w:widowControl/>
              <w:numPr>
                <w:ilvl w:val="0"/>
                <w:numId w:val="1"/>
              </w:numPr>
              <w:spacing w:line="360" w:lineRule="auto"/>
              <w:ind w:firstLineChars="0"/>
              <w:textAlignment w:val="center"/>
              <w:rPr>
                <w:color w:val="000000"/>
                <w:sz w:val="24"/>
              </w:rPr>
            </w:pPr>
            <w:r>
              <w:rPr>
                <w:color w:val="000000"/>
                <w:kern w:val="0"/>
                <w:sz w:val="24"/>
                <w:lang w:bidi="ar"/>
              </w:rPr>
              <w:t>Profitability</w:t>
            </w:r>
          </w:p>
        </w:tc>
        <w:tc>
          <w:tcPr>
            <w:tcW w:w="0" w:type="auto"/>
            <w:tcBorders>
              <w:top w:val="single" w:color="000000" w:sz="4" w:space="0"/>
              <w:left w:val="single" w:color="000000" w:sz="4" w:space="0"/>
              <w:bottom w:val="single" w:color="000000" w:sz="4" w:space="0"/>
              <w:right w:val="single" w:color="000000" w:sz="4" w:space="0"/>
            </w:tcBorders>
            <w:vAlign w:val="center"/>
          </w:tcPr>
          <w:p>
            <w:pPr>
              <w:pStyle w:val="50"/>
              <w:widowControl/>
              <w:numPr>
                <w:ilvl w:val="0"/>
                <w:numId w:val="1"/>
              </w:numPr>
              <w:spacing w:line="360" w:lineRule="auto"/>
              <w:ind w:firstLineChars="0"/>
              <w:jc w:val="left"/>
              <w:textAlignment w:val="center"/>
              <w:rPr>
                <w:color w:val="000000"/>
                <w:kern w:val="0"/>
                <w:sz w:val="24"/>
                <w:lang w:bidi="ar"/>
              </w:rPr>
            </w:pPr>
            <w:r>
              <w:rPr>
                <w:color w:val="000000"/>
                <w:kern w:val="0"/>
                <w:sz w:val="24"/>
                <w:lang w:bidi="ar"/>
              </w:rPr>
              <w:t>Bad public relations marketing;</w:t>
            </w:r>
          </w:p>
          <w:p>
            <w:pPr>
              <w:pStyle w:val="50"/>
              <w:widowControl/>
              <w:numPr>
                <w:ilvl w:val="0"/>
                <w:numId w:val="1"/>
              </w:numPr>
              <w:spacing w:line="360" w:lineRule="auto"/>
              <w:ind w:firstLineChars="0"/>
              <w:jc w:val="left"/>
              <w:textAlignment w:val="center"/>
              <w:rPr>
                <w:color w:val="000000"/>
                <w:sz w:val="24"/>
              </w:rPr>
            </w:pPr>
            <w:r>
              <w:rPr>
                <w:color w:val="000000"/>
                <w:kern w:val="0"/>
                <w:sz w:val="24"/>
                <w:lang w:bidi="ar"/>
              </w:rPr>
              <w:t xml:space="preserve">Employee strike. </w:t>
            </w:r>
          </w:p>
        </w:tc>
      </w:tr>
      <w:tr>
        <w:tblPrEx>
          <w:tblCellMar>
            <w:top w:w="0" w:type="dxa"/>
            <w:left w:w="108" w:type="dxa"/>
            <w:bottom w:w="0" w:type="dxa"/>
            <w:right w:w="108" w:type="dxa"/>
          </w:tblCellMar>
        </w:tblPrEx>
        <w:trPr>
          <w:trHeight w:val="285" w:hRule="atLeast"/>
        </w:trPr>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center"/>
              <w:textAlignment w:val="center"/>
              <w:rPr>
                <w:b/>
                <w:bCs/>
                <w:color w:val="000000"/>
                <w:sz w:val="24"/>
              </w:rPr>
            </w:pPr>
            <w:r>
              <w:rPr>
                <w:b/>
                <w:bCs/>
                <w:color w:val="000000"/>
                <w:sz w:val="24"/>
              </w:rPr>
              <w:t>Opportunities</w:t>
            </w:r>
          </w:p>
        </w:tc>
        <w:tc>
          <w:tcPr>
            <w:tcW w:w="0" w:type="auto"/>
            <w:tcBorders>
              <w:top w:val="single" w:color="000000" w:sz="4" w:space="0"/>
              <w:left w:val="single" w:color="000000" w:sz="4" w:space="0"/>
              <w:bottom w:val="single" w:color="000000" w:sz="4" w:space="0"/>
              <w:right w:val="single" w:color="000000" w:sz="4" w:space="0"/>
            </w:tcBorders>
            <w:noWrap/>
            <w:vAlign w:val="center"/>
          </w:tcPr>
          <w:p>
            <w:pPr>
              <w:widowControl/>
              <w:spacing w:line="360" w:lineRule="auto"/>
              <w:jc w:val="center"/>
              <w:textAlignment w:val="center"/>
              <w:rPr>
                <w:b/>
                <w:bCs/>
                <w:color w:val="000000"/>
                <w:sz w:val="24"/>
              </w:rPr>
            </w:pPr>
            <w:r>
              <w:rPr>
                <w:b/>
                <w:bCs/>
                <w:color w:val="000000"/>
                <w:sz w:val="24"/>
              </w:rPr>
              <w:t>Threats</w:t>
            </w:r>
          </w:p>
        </w:tc>
      </w:tr>
      <w:tr>
        <w:tblPrEx>
          <w:tblCellMar>
            <w:top w:w="0" w:type="dxa"/>
            <w:left w:w="108" w:type="dxa"/>
            <w:bottom w:w="0" w:type="dxa"/>
            <w:right w:w="108" w:type="dxa"/>
          </w:tblCellMar>
        </w:tblPrEx>
        <w:trPr>
          <w:trHeight w:val="1428" w:hRule="atLeast"/>
        </w:trPr>
        <w:tc>
          <w:tcPr>
            <w:tcW w:w="0" w:type="auto"/>
            <w:tcBorders>
              <w:top w:val="single" w:color="000000" w:sz="4" w:space="0"/>
              <w:left w:val="single" w:color="000000" w:sz="4" w:space="0"/>
              <w:bottom w:val="single" w:color="000000" w:sz="4" w:space="0"/>
              <w:right w:val="single" w:color="000000" w:sz="4" w:space="0"/>
            </w:tcBorders>
            <w:vAlign w:val="center"/>
          </w:tcPr>
          <w:p>
            <w:pPr>
              <w:pStyle w:val="50"/>
              <w:widowControl/>
              <w:numPr>
                <w:ilvl w:val="0"/>
                <w:numId w:val="2"/>
              </w:numPr>
              <w:spacing w:line="360" w:lineRule="auto"/>
              <w:ind w:firstLineChars="0"/>
              <w:jc w:val="left"/>
              <w:textAlignment w:val="center"/>
              <w:rPr>
                <w:color w:val="000000"/>
                <w:kern w:val="0"/>
                <w:sz w:val="24"/>
                <w:lang w:bidi="ar"/>
              </w:rPr>
            </w:pPr>
            <w:r>
              <w:rPr>
                <w:color w:val="000000"/>
                <w:kern w:val="0"/>
                <w:sz w:val="24"/>
                <w:lang w:bidi="ar"/>
              </w:rPr>
              <w:t>Countries start to release epidemic controls;</w:t>
            </w:r>
          </w:p>
          <w:p>
            <w:pPr>
              <w:pStyle w:val="50"/>
              <w:widowControl/>
              <w:numPr>
                <w:ilvl w:val="0"/>
                <w:numId w:val="2"/>
              </w:numPr>
              <w:spacing w:line="360" w:lineRule="auto"/>
              <w:ind w:firstLineChars="0"/>
              <w:jc w:val="left"/>
              <w:textAlignment w:val="center"/>
              <w:rPr>
                <w:color w:val="000000"/>
                <w:sz w:val="24"/>
              </w:rPr>
            </w:pPr>
            <w:r>
              <w:rPr>
                <w:color w:val="000000"/>
                <w:kern w:val="0"/>
                <w:sz w:val="24"/>
                <w:lang w:bidi="ar"/>
              </w:rPr>
              <w:t>Chinese market.</w:t>
            </w:r>
          </w:p>
        </w:tc>
        <w:tc>
          <w:tcPr>
            <w:tcW w:w="0" w:type="auto"/>
            <w:tcBorders>
              <w:top w:val="single" w:color="000000" w:sz="4" w:space="0"/>
              <w:left w:val="single" w:color="000000" w:sz="4" w:space="0"/>
              <w:bottom w:val="single" w:color="000000" w:sz="4" w:space="0"/>
              <w:right w:val="single" w:color="000000" w:sz="4" w:space="0"/>
            </w:tcBorders>
            <w:vAlign w:val="center"/>
          </w:tcPr>
          <w:p>
            <w:pPr>
              <w:pStyle w:val="50"/>
              <w:widowControl/>
              <w:numPr>
                <w:ilvl w:val="0"/>
                <w:numId w:val="2"/>
              </w:numPr>
              <w:spacing w:line="360" w:lineRule="auto"/>
              <w:ind w:firstLineChars="0"/>
              <w:jc w:val="left"/>
              <w:textAlignment w:val="center"/>
              <w:rPr>
                <w:color w:val="000000"/>
                <w:kern w:val="0"/>
                <w:sz w:val="24"/>
                <w:lang w:bidi="ar"/>
              </w:rPr>
            </w:pPr>
            <w:r>
              <w:rPr>
                <w:color w:val="000000"/>
                <w:kern w:val="0"/>
                <w:sz w:val="24"/>
                <w:lang w:bidi="ar"/>
              </w:rPr>
              <w:t>A new round of epidemic;</w:t>
            </w:r>
          </w:p>
          <w:p>
            <w:pPr>
              <w:pStyle w:val="50"/>
              <w:widowControl/>
              <w:numPr>
                <w:ilvl w:val="0"/>
                <w:numId w:val="2"/>
              </w:numPr>
              <w:spacing w:line="360" w:lineRule="auto"/>
              <w:ind w:firstLineChars="0"/>
              <w:jc w:val="left"/>
              <w:textAlignment w:val="center"/>
              <w:rPr>
                <w:color w:val="000000"/>
                <w:kern w:val="0"/>
                <w:sz w:val="24"/>
                <w:lang w:bidi="ar"/>
              </w:rPr>
            </w:pPr>
            <w:r>
              <w:rPr>
                <w:color w:val="000000"/>
                <w:kern w:val="0"/>
                <w:sz w:val="24"/>
                <w:lang w:bidi="ar"/>
              </w:rPr>
              <w:t>High inflation;</w:t>
            </w:r>
          </w:p>
          <w:p>
            <w:pPr>
              <w:pStyle w:val="50"/>
              <w:widowControl/>
              <w:numPr>
                <w:ilvl w:val="0"/>
                <w:numId w:val="2"/>
              </w:numPr>
              <w:spacing w:line="360" w:lineRule="auto"/>
              <w:ind w:firstLineChars="0"/>
              <w:jc w:val="left"/>
              <w:textAlignment w:val="center"/>
              <w:rPr>
                <w:color w:val="000000"/>
                <w:kern w:val="0"/>
                <w:sz w:val="24"/>
                <w:lang w:bidi="ar"/>
              </w:rPr>
            </w:pPr>
            <w:r>
              <w:rPr>
                <w:color w:val="000000"/>
                <w:kern w:val="0"/>
                <w:sz w:val="24"/>
                <w:lang w:bidi="ar"/>
              </w:rPr>
              <w:t>The war between Russia and Ukraine;</w:t>
            </w:r>
          </w:p>
          <w:p>
            <w:pPr>
              <w:pStyle w:val="50"/>
              <w:widowControl/>
              <w:numPr>
                <w:ilvl w:val="0"/>
                <w:numId w:val="2"/>
              </w:numPr>
              <w:spacing w:line="360" w:lineRule="auto"/>
              <w:ind w:firstLineChars="0"/>
              <w:jc w:val="left"/>
              <w:textAlignment w:val="center"/>
              <w:rPr>
                <w:color w:val="000000"/>
                <w:kern w:val="0"/>
                <w:sz w:val="24"/>
                <w:lang w:bidi="ar"/>
              </w:rPr>
            </w:pPr>
            <w:r>
              <w:rPr>
                <w:color w:val="000000"/>
                <w:kern w:val="0"/>
                <w:sz w:val="24"/>
                <w:lang w:bidi="ar"/>
              </w:rPr>
              <w:t>Tensions between China and the United States;</w:t>
            </w:r>
          </w:p>
          <w:p>
            <w:pPr>
              <w:pStyle w:val="50"/>
              <w:widowControl/>
              <w:numPr>
                <w:ilvl w:val="0"/>
                <w:numId w:val="2"/>
              </w:numPr>
              <w:spacing w:line="360" w:lineRule="auto"/>
              <w:ind w:firstLineChars="0"/>
              <w:jc w:val="left"/>
              <w:textAlignment w:val="center"/>
              <w:rPr>
                <w:color w:val="000000"/>
                <w:sz w:val="24"/>
              </w:rPr>
            </w:pPr>
            <w:r>
              <w:rPr>
                <w:color w:val="000000"/>
                <w:kern w:val="0"/>
                <w:sz w:val="24"/>
                <w:lang w:bidi="ar"/>
              </w:rPr>
              <w:t xml:space="preserve">A brutal competitive environment. </w:t>
            </w:r>
          </w:p>
        </w:tc>
      </w:tr>
    </w:tbl>
    <w:p>
      <w:pPr>
        <w:spacing w:line="360" w:lineRule="auto"/>
        <w:rPr>
          <w:color w:val="2E3033"/>
          <w:sz w:val="24"/>
          <w:shd w:val="clear" w:color="auto" w:fill="FFFFFF"/>
        </w:rPr>
      </w:pPr>
    </w:p>
    <w:p>
      <w:pPr>
        <w:pStyle w:val="3"/>
        <w:spacing w:line="360" w:lineRule="auto"/>
        <w:rPr>
          <w:sz w:val="24"/>
          <w:shd w:val="clear" w:color="auto" w:fill="FFFFFF"/>
        </w:rPr>
      </w:pPr>
      <w:bookmarkStart w:id="22" w:name="_Toc18707"/>
      <w:r>
        <w:rPr>
          <w:sz w:val="24"/>
          <w:shd w:val="clear" w:color="auto" w:fill="FFFFFF"/>
        </w:rPr>
        <w:t>5.1 Strengths</w:t>
      </w:r>
      <w:bookmarkEnd w:id="22"/>
      <w:r>
        <w:rPr>
          <w:sz w:val="24"/>
          <w:shd w:val="clear" w:color="auto" w:fill="FFFFFF"/>
        </w:rPr>
        <w:t xml:space="preserve"> </w:t>
      </w:r>
    </w:p>
    <w:p>
      <w:pPr>
        <w:spacing w:line="360" w:lineRule="auto"/>
        <w:rPr>
          <w:sz w:val="24"/>
        </w:rPr>
      </w:pPr>
    </w:p>
    <w:p>
      <w:pPr>
        <w:spacing w:line="360" w:lineRule="auto"/>
        <w:rPr>
          <w:sz w:val="24"/>
        </w:rPr>
      </w:pPr>
      <w:r>
        <w:rPr>
          <w:sz w:val="24"/>
        </w:rPr>
        <w:t xml:space="preserve">In addition to the strength in human resource management, the resource integration ability of Marriott is also very outstanding. In 2021, the company increased a record total of 86,000 rooms and 517 properties, achieving a net room growth of approximately 4% in the year (Bethesda, 2022). In addition, as analyzed above, the company has 1300 million members. The company turns most of its members into loyal customers through a series of incentives. </w:t>
      </w:r>
    </w:p>
    <w:p>
      <w:pPr>
        <w:spacing w:line="360" w:lineRule="auto"/>
        <w:rPr>
          <w:sz w:val="24"/>
        </w:rPr>
      </w:pPr>
    </w:p>
    <w:p>
      <w:pPr>
        <w:pStyle w:val="3"/>
        <w:spacing w:line="360" w:lineRule="auto"/>
        <w:rPr>
          <w:sz w:val="24"/>
        </w:rPr>
      </w:pPr>
      <w:bookmarkStart w:id="23" w:name="_Toc5601"/>
      <w:r>
        <w:rPr>
          <w:sz w:val="24"/>
        </w:rPr>
        <w:t>5.2 Weaknesses</w:t>
      </w:r>
      <w:bookmarkEnd w:id="23"/>
      <w:r>
        <w:rPr>
          <w:sz w:val="24"/>
        </w:rPr>
        <w:t xml:space="preserve"> </w:t>
      </w:r>
    </w:p>
    <w:p>
      <w:pPr>
        <w:spacing w:line="360" w:lineRule="auto"/>
        <w:rPr>
          <w:sz w:val="24"/>
          <w:highlight w:val="none"/>
        </w:rPr>
      </w:pPr>
    </w:p>
    <w:p>
      <w:pPr>
        <w:spacing w:line="360" w:lineRule="auto"/>
        <w:rPr>
          <w:sz w:val="24"/>
        </w:rPr>
      </w:pPr>
      <w:r>
        <w:rPr>
          <w:sz w:val="24"/>
          <w:highlight w:val="none"/>
        </w:rPr>
        <w:t xml:space="preserve">The weaknesses of </w:t>
      </w:r>
      <w:r>
        <w:rPr>
          <w:sz w:val="24"/>
        </w:rPr>
        <w:t xml:space="preserve">Marriott are also very obvious. The first weakness is the poor public relations management. In 2017, Hurricane Irma hit Saint Thomas Island in the Caribbean. The yachts of Marriott only served customers of the hotel, but ignored other tourists. The incident subjected Marriott to widespread public condemnation (Berr, 2017). In 2020, Marriott listed Tibet and Hong Kong as countries, causing the official website to be closed by the Chinese government for one week (Marriott International, 2022a). These events have greatly damaged the brand image of Marriott. In the future, Marriott needs to learn how to manage public relations. </w:t>
      </w:r>
    </w:p>
    <w:p>
      <w:pPr>
        <w:spacing w:line="360" w:lineRule="auto"/>
        <w:rPr>
          <w:sz w:val="24"/>
        </w:rPr>
      </w:pPr>
    </w:p>
    <w:p>
      <w:pPr>
        <w:spacing w:line="360" w:lineRule="auto"/>
        <w:rPr>
          <w:sz w:val="24"/>
        </w:rPr>
      </w:pPr>
      <w:r>
        <w:rPr>
          <w:sz w:val="24"/>
        </w:rPr>
        <w:t xml:space="preserve">In addition, more than 7,700 Marriott employees struck in the United States in 2018 (Gibson, 2018). The incident has sounded the alarm to the salary system of Marriott. Marriott should reflect on what attitude it should take to balance the relationship between profits and hiring costs. </w:t>
      </w:r>
    </w:p>
    <w:p>
      <w:pPr>
        <w:spacing w:line="360" w:lineRule="auto"/>
        <w:rPr>
          <w:sz w:val="24"/>
        </w:rPr>
      </w:pPr>
    </w:p>
    <w:p>
      <w:pPr>
        <w:pStyle w:val="3"/>
        <w:spacing w:line="360" w:lineRule="auto"/>
        <w:rPr>
          <w:sz w:val="24"/>
        </w:rPr>
      </w:pPr>
      <w:bookmarkStart w:id="24" w:name="_Toc23738"/>
      <w:r>
        <w:rPr>
          <w:sz w:val="24"/>
        </w:rPr>
        <w:t>5.3 Opportunities</w:t>
      </w:r>
      <w:bookmarkEnd w:id="24"/>
      <w:r>
        <w:rPr>
          <w:sz w:val="24"/>
        </w:rPr>
        <w:t xml:space="preserve"> </w:t>
      </w:r>
    </w:p>
    <w:p>
      <w:pPr>
        <w:spacing w:line="360" w:lineRule="auto"/>
        <w:rPr>
          <w:sz w:val="24"/>
        </w:rPr>
      </w:pPr>
    </w:p>
    <w:p>
      <w:pPr>
        <w:spacing w:line="360" w:lineRule="auto"/>
        <w:rPr>
          <w:sz w:val="24"/>
        </w:rPr>
      </w:pPr>
      <w:r>
        <w:rPr>
          <w:sz w:val="24"/>
        </w:rPr>
        <w:t xml:space="preserve">In 2022, one of the opportunities of Marriott is the gradual deregulation of the epidemic control in Europe and the United States. This will provide more opportunities for Marriott to grow. In addition, the Chinese economy has shown strong resilience since the outbreak of covid-19 (Sebastian, 2021). In the future, the Chinese market may provide more room for Marriott to grow. </w:t>
      </w:r>
    </w:p>
    <w:p>
      <w:pPr>
        <w:spacing w:line="360" w:lineRule="auto"/>
        <w:rPr>
          <w:sz w:val="24"/>
        </w:rPr>
      </w:pPr>
    </w:p>
    <w:p>
      <w:pPr>
        <w:pStyle w:val="3"/>
        <w:spacing w:line="360" w:lineRule="auto"/>
        <w:rPr>
          <w:sz w:val="24"/>
        </w:rPr>
      </w:pPr>
      <w:bookmarkStart w:id="25" w:name="_Toc8210"/>
      <w:r>
        <w:rPr>
          <w:sz w:val="24"/>
        </w:rPr>
        <w:t>5.4 Threats</w:t>
      </w:r>
      <w:bookmarkEnd w:id="25"/>
      <w:r>
        <w:rPr>
          <w:sz w:val="24"/>
        </w:rPr>
        <w:t xml:space="preserve"> </w:t>
      </w:r>
    </w:p>
    <w:p>
      <w:pPr>
        <w:spacing w:line="360" w:lineRule="auto"/>
        <w:rPr>
          <w:sz w:val="24"/>
        </w:rPr>
      </w:pPr>
    </w:p>
    <w:p>
      <w:pPr>
        <w:spacing w:line="360" w:lineRule="auto"/>
        <w:rPr>
          <w:sz w:val="24"/>
        </w:rPr>
      </w:pPr>
      <w:r>
        <w:rPr>
          <w:sz w:val="24"/>
        </w:rPr>
        <w:t xml:space="preserve">As shown in Table 2, the external threats of Marriott, besides the possible next wave of epidemic, also include tense international political relations, high inflation and competition within the industry etc. </w:t>
      </w: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pStyle w:val="2"/>
        <w:spacing w:line="360" w:lineRule="auto"/>
        <w:rPr>
          <w:sz w:val="24"/>
          <w:szCs w:val="24"/>
        </w:rPr>
      </w:pPr>
      <w:bookmarkStart w:id="26" w:name="_Toc28497"/>
      <w:r>
        <w:rPr>
          <w:sz w:val="24"/>
          <w:szCs w:val="24"/>
        </w:rPr>
        <w:t>6</w:t>
      </w:r>
      <w:r>
        <w:rPr>
          <w:rFonts w:hint="eastAsia" w:eastAsia="宋体"/>
          <w:sz w:val="24"/>
          <w:szCs w:val="24"/>
          <w:lang w:val="en-US" w:eastAsia="zh-CN"/>
        </w:rPr>
        <w:t>.0</w:t>
      </w:r>
      <w:r>
        <w:rPr>
          <w:sz w:val="24"/>
          <w:szCs w:val="24"/>
        </w:rPr>
        <w:t xml:space="preserve"> Recommendations</w:t>
      </w:r>
      <w:bookmarkEnd w:id="26"/>
    </w:p>
    <w:p>
      <w:pPr>
        <w:spacing w:line="360" w:lineRule="auto"/>
        <w:rPr>
          <w:sz w:val="24"/>
        </w:rPr>
      </w:pPr>
    </w:p>
    <w:p>
      <w:pPr>
        <w:spacing w:line="360" w:lineRule="auto"/>
        <w:rPr>
          <w:sz w:val="24"/>
        </w:rPr>
      </w:pPr>
      <w:r>
        <w:rPr>
          <w:sz w:val="24"/>
        </w:rPr>
        <w:t xml:space="preserve">Based on the above analysis, this report provides the following recommendations for the future development of Marriott. </w:t>
      </w:r>
    </w:p>
    <w:p>
      <w:pPr>
        <w:spacing w:line="360" w:lineRule="auto"/>
        <w:rPr>
          <w:sz w:val="24"/>
        </w:rPr>
      </w:pPr>
    </w:p>
    <w:p>
      <w:pPr>
        <w:spacing w:line="360" w:lineRule="auto"/>
        <w:rPr>
          <w:sz w:val="24"/>
        </w:rPr>
      </w:pPr>
      <w:r>
        <w:rPr>
          <w:sz w:val="24"/>
        </w:rPr>
        <w:t xml:space="preserve">First, improve the ability of public relations management. The board of Marriott should establish public emergency teams and develop internal behavior rules for public relations management. Second, work with trade unions and listen to the employees. Through negotiation, develop a salary system that can satisfy both Marriott and its employees. Thirdly, seize potential opportunities in the market, and use its own human resources management and integration advantages, to create a differentiated development path. This can effectively resist market competition. Finally, continue to invest in the membership system to maintain consumer loyalty. </w:t>
      </w: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pStyle w:val="2"/>
        <w:spacing w:line="360" w:lineRule="auto"/>
        <w:rPr>
          <w:sz w:val="24"/>
          <w:szCs w:val="24"/>
        </w:rPr>
      </w:pPr>
      <w:bookmarkStart w:id="27" w:name="_Toc21236"/>
      <w:r>
        <w:rPr>
          <w:sz w:val="24"/>
          <w:szCs w:val="24"/>
        </w:rPr>
        <w:t>7</w:t>
      </w:r>
      <w:r>
        <w:rPr>
          <w:rFonts w:hint="eastAsia" w:eastAsia="宋体"/>
          <w:sz w:val="24"/>
          <w:szCs w:val="24"/>
          <w:lang w:val="en-US" w:eastAsia="zh-CN"/>
        </w:rPr>
        <w:t>.0</w:t>
      </w:r>
      <w:r>
        <w:rPr>
          <w:sz w:val="24"/>
          <w:szCs w:val="24"/>
        </w:rPr>
        <w:t xml:space="preserve"> Conclusions</w:t>
      </w:r>
      <w:bookmarkEnd w:id="27"/>
    </w:p>
    <w:p>
      <w:pPr>
        <w:spacing w:line="360" w:lineRule="auto"/>
        <w:rPr>
          <w:sz w:val="24"/>
        </w:rPr>
      </w:pPr>
    </w:p>
    <w:p>
      <w:pPr>
        <w:spacing w:line="360" w:lineRule="auto"/>
        <w:rPr>
          <w:sz w:val="24"/>
        </w:rPr>
      </w:pPr>
      <w:r>
        <w:rPr>
          <w:sz w:val="24"/>
        </w:rPr>
        <w:t xml:space="preserve">This report used four environmental analysis frameworks, and mainly discussed five environmental factors of Marriott, namely politics, economy, competitors, service provision in the value chain and human resource management. This report found that Marriott is in a harsh political and economic environment, with fierce competition in the industry. However, Marriott has excellent service provision and resource integration capabilities, which lays a foundation for the company to withstand harsh external environments and seize potential market opportunities. </w:t>
      </w: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spacing w:line="360" w:lineRule="auto"/>
        <w:rPr>
          <w:sz w:val="24"/>
        </w:rPr>
      </w:pPr>
    </w:p>
    <w:p>
      <w:pPr>
        <w:pStyle w:val="2"/>
        <w:spacing w:line="360" w:lineRule="auto"/>
        <w:rPr>
          <w:sz w:val="24"/>
          <w:szCs w:val="24"/>
        </w:rPr>
      </w:pPr>
      <w:bookmarkStart w:id="28" w:name="_Toc7260"/>
      <w:r>
        <w:rPr>
          <w:sz w:val="24"/>
          <w:szCs w:val="24"/>
        </w:rPr>
        <w:t>8</w:t>
      </w:r>
      <w:r>
        <w:rPr>
          <w:rFonts w:hint="eastAsia" w:eastAsia="宋体"/>
          <w:sz w:val="24"/>
          <w:szCs w:val="24"/>
          <w:lang w:val="en-US" w:eastAsia="zh-CN"/>
        </w:rPr>
        <w:t>.0</w:t>
      </w:r>
      <w:r>
        <w:rPr>
          <w:sz w:val="24"/>
          <w:szCs w:val="24"/>
        </w:rPr>
        <w:t xml:space="preserve"> Reference List</w:t>
      </w:r>
      <w:bookmarkEnd w:id="28"/>
      <w:r>
        <w:rPr>
          <w:sz w:val="24"/>
          <w:szCs w:val="24"/>
        </w:rPr>
        <w:t xml:space="preserve"> </w:t>
      </w:r>
    </w:p>
    <w:p>
      <w:pPr>
        <w:spacing w:line="360" w:lineRule="auto"/>
        <w:rPr>
          <w:sz w:val="24"/>
        </w:rPr>
      </w:pPr>
    </w:p>
    <w:p>
      <w:pPr>
        <w:spacing w:line="360" w:lineRule="auto"/>
        <w:rPr>
          <w:sz w:val="24"/>
        </w:rPr>
      </w:pPr>
      <w:r>
        <w:rPr>
          <w:rFonts w:hint="eastAsia"/>
          <w:b w:val="0"/>
          <w:bCs w:val="0"/>
          <w:sz w:val="24"/>
          <w:szCs w:val="24"/>
          <w:lang w:val="en-US" w:eastAsia="zh-CN"/>
        </w:rPr>
        <w:t xml:space="preserve">[1]. </w:t>
      </w:r>
      <w:r>
        <w:rPr>
          <w:sz w:val="24"/>
        </w:rPr>
        <w:t xml:space="preserve">Airbnb (2019) </w:t>
      </w:r>
      <w:r>
        <w:rPr>
          <w:i/>
          <w:iCs/>
          <w:sz w:val="24"/>
        </w:rPr>
        <w:t>New Data: The Airbnb Advantage</w:t>
      </w:r>
      <w:r>
        <w:rPr>
          <w:sz w:val="24"/>
        </w:rPr>
        <w:t>. Available at: https://news.airbnb.com/new-data-the-airbnb-advantage/ (Accessed: 16 March 2022).</w:t>
      </w:r>
    </w:p>
    <w:p>
      <w:pPr>
        <w:spacing w:line="360" w:lineRule="auto"/>
        <w:rPr>
          <w:sz w:val="24"/>
        </w:rPr>
      </w:pPr>
    </w:p>
    <w:p>
      <w:pPr>
        <w:spacing w:line="360" w:lineRule="auto"/>
        <w:rPr>
          <w:sz w:val="24"/>
        </w:rPr>
      </w:pPr>
      <w:r>
        <w:rPr>
          <w:rFonts w:hint="eastAsia"/>
          <w:b w:val="0"/>
          <w:bCs w:val="0"/>
          <w:sz w:val="24"/>
          <w:szCs w:val="24"/>
          <w:lang w:val="en-US" w:eastAsia="zh-CN"/>
        </w:rPr>
        <w:t xml:space="preserve">[2]. </w:t>
      </w:r>
      <w:r>
        <w:rPr>
          <w:sz w:val="24"/>
        </w:rPr>
        <w:t xml:space="preserve">Berr, J. (2017) </w:t>
      </w:r>
      <w:r>
        <w:rPr>
          <w:i/>
          <w:iCs/>
          <w:sz w:val="24"/>
        </w:rPr>
        <w:t>Marriott slammed after leaving Irma refugees stranded</w:t>
      </w:r>
      <w:r>
        <w:rPr>
          <w:sz w:val="24"/>
        </w:rPr>
        <w:t>. Available at: https://www.cbsnews.com/news/marriott-hurricane-irma-rescue-st-thomas-stranded-tourists/ (Accessed: 16 March 2022).</w:t>
      </w:r>
    </w:p>
    <w:p>
      <w:pPr>
        <w:spacing w:line="360" w:lineRule="auto"/>
        <w:rPr>
          <w:sz w:val="24"/>
        </w:rPr>
      </w:pPr>
    </w:p>
    <w:p>
      <w:pPr>
        <w:spacing w:line="360" w:lineRule="auto"/>
        <w:rPr>
          <w:sz w:val="24"/>
        </w:rPr>
      </w:pPr>
      <w:r>
        <w:rPr>
          <w:rFonts w:hint="eastAsia"/>
          <w:b w:val="0"/>
          <w:bCs w:val="0"/>
          <w:sz w:val="24"/>
          <w:szCs w:val="24"/>
          <w:lang w:val="en-US" w:eastAsia="zh-CN"/>
        </w:rPr>
        <w:t xml:space="preserve">[3]. </w:t>
      </w:r>
      <w:r>
        <w:rPr>
          <w:sz w:val="24"/>
        </w:rPr>
        <w:t>Bethesda, M. (2022)</w:t>
      </w:r>
      <w:r>
        <w:rPr>
          <w:i/>
          <w:iCs/>
          <w:sz w:val="24"/>
        </w:rPr>
        <w:t xml:space="preserve"> Marriott International Provides an Update on Development Progress in 2021 and Overview of Key Trends Currently Shaping Hospitality Development</w:t>
      </w:r>
      <w:r>
        <w:rPr>
          <w:sz w:val="24"/>
        </w:rPr>
        <w:t xml:space="preserve">. Available at: </w:t>
      </w:r>
    </w:p>
    <w:p>
      <w:pPr>
        <w:spacing w:line="360" w:lineRule="auto"/>
        <w:rPr>
          <w:sz w:val="24"/>
        </w:rPr>
      </w:pPr>
      <w:r>
        <w:rPr>
          <w:sz w:val="24"/>
        </w:rPr>
        <w:t xml:space="preserve">https://news.marriott.com/news/2022/01/20/marriott-international-provides-an-update-on-development-progress-in-2021-and-overview-of-key-trends-currently-shaping-hospitality-development (Accessed: 16 March 2022). </w:t>
      </w:r>
    </w:p>
    <w:p>
      <w:pPr>
        <w:spacing w:line="360" w:lineRule="auto"/>
        <w:rPr>
          <w:sz w:val="24"/>
        </w:rPr>
      </w:pPr>
    </w:p>
    <w:p>
      <w:pPr>
        <w:spacing w:line="360" w:lineRule="auto"/>
        <w:rPr>
          <w:sz w:val="24"/>
        </w:rPr>
      </w:pPr>
      <w:r>
        <w:rPr>
          <w:rFonts w:hint="eastAsia"/>
          <w:b w:val="0"/>
          <w:bCs w:val="0"/>
          <w:sz w:val="24"/>
          <w:szCs w:val="24"/>
          <w:lang w:val="en-US" w:eastAsia="zh-CN"/>
        </w:rPr>
        <w:t xml:space="preserve">[4]. </w:t>
      </w:r>
      <w:r>
        <w:rPr>
          <w:sz w:val="24"/>
        </w:rPr>
        <w:t xml:space="preserve">Barklie, G. (2022) </w:t>
      </w:r>
      <w:r>
        <w:rPr>
          <w:i/>
          <w:iCs/>
          <w:sz w:val="24"/>
        </w:rPr>
        <w:t>The impact of the Russia-Ukraine conflict on trade</w:t>
      </w:r>
      <w:r>
        <w:rPr>
          <w:sz w:val="24"/>
        </w:rPr>
        <w:t>. Available at: https://www.offshore-technology.com/special-focus/ukraine-russia-conflict-impact-trade/ (Accessed: 16 March 2022).</w:t>
      </w:r>
    </w:p>
    <w:p>
      <w:pPr>
        <w:spacing w:line="360" w:lineRule="auto"/>
        <w:rPr>
          <w:sz w:val="24"/>
        </w:rPr>
      </w:pPr>
    </w:p>
    <w:p>
      <w:pPr>
        <w:spacing w:line="360" w:lineRule="auto"/>
        <w:rPr>
          <w:sz w:val="24"/>
        </w:rPr>
      </w:pPr>
      <w:r>
        <w:rPr>
          <w:rFonts w:hint="eastAsia"/>
          <w:b w:val="0"/>
          <w:bCs w:val="0"/>
          <w:sz w:val="24"/>
          <w:szCs w:val="24"/>
          <w:lang w:val="en-US" w:eastAsia="zh-CN"/>
        </w:rPr>
        <w:t xml:space="preserve">[5]. </w:t>
      </w:r>
      <w:r>
        <w:rPr>
          <w:sz w:val="24"/>
        </w:rPr>
        <w:t xml:space="preserve">Cabello, M. (2022) </w:t>
      </w:r>
      <w:r>
        <w:rPr>
          <w:i/>
          <w:iCs/>
          <w:sz w:val="24"/>
        </w:rPr>
        <w:t>Inflation Rises 7.9%, Hitting 40-Year High for Food, Rent and Gas Prices. What's Next?</w:t>
      </w:r>
      <w:r>
        <w:rPr>
          <w:sz w:val="24"/>
        </w:rPr>
        <w:t xml:space="preserve"> Available at: https://www.cnet.com/personal-finance/banking/how-raising-interest-rates-could-slow-inflation-as-gas-and-food-prices-soar/ (Accessed: 16 March 2022).</w:t>
      </w:r>
    </w:p>
    <w:p>
      <w:pPr>
        <w:spacing w:line="360" w:lineRule="auto"/>
        <w:rPr>
          <w:sz w:val="24"/>
        </w:rPr>
      </w:pPr>
    </w:p>
    <w:p>
      <w:pPr>
        <w:spacing w:line="360" w:lineRule="auto"/>
        <w:rPr>
          <w:i/>
          <w:iCs/>
          <w:sz w:val="24"/>
        </w:rPr>
      </w:pPr>
      <w:r>
        <w:rPr>
          <w:rFonts w:hint="eastAsia"/>
          <w:b w:val="0"/>
          <w:bCs w:val="0"/>
          <w:sz w:val="24"/>
          <w:szCs w:val="24"/>
          <w:lang w:val="en-US" w:eastAsia="zh-CN"/>
        </w:rPr>
        <w:t xml:space="preserve">[6]. </w:t>
      </w:r>
      <w:r>
        <w:rPr>
          <w:sz w:val="24"/>
        </w:rPr>
        <w:t xml:space="preserve">Gibbons, S. (2020) </w:t>
      </w:r>
      <w:r>
        <w:rPr>
          <w:i/>
          <w:iCs/>
          <w:sz w:val="24"/>
        </w:rPr>
        <w:t>3 Things You Can Learn from Marriott About Taking Care of Employees</w:t>
      </w:r>
    </w:p>
    <w:p>
      <w:pPr>
        <w:spacing w:line="360" w:lineRule="auto"/>
        <w:rPr>
          <w:sz w:val="24"/>
        </w:rPr>
      </w:pPr>
      <w:r>
        <w:rPr>
          <w:i/>
          <w:iCs/>
          <w:sz w:val="24"/>
        </w:rPr>
        <w:t>Serenity</w:t>
      </w:r>
      <w:r>
        <w:rPr>
          <w:sz w:val="24"/>
        </w:rPr>
        <w:t>. Available at: https://www.forbes.com/sites/serenitygibbons/2020/04/30/3-things-you-can-learn-from-marriott-about-taking-care-of-employees/ (Accessed: 16 March 2022).</w:t>
      </w:r>
    </w:p>
    <w:p>
      <w:pPr>
        <w:spacing w:line="360" w:lineRule="auto"/>
        <w:rPr>
          <w:sz w:val="24"/>
        </w:rPr>
      </w:pPr>
    </w:p>
    <w:p>
      <w:pPr>
        <w:spacing w:line="360" w:lineRule="auto"/>
        <w:rPr>
          <w:sz w:val="24"/>
        </w:rPr>
      </w:pPr>
      <w:r>
        <w:rPr>
          <w:rFonts w:hint="eastAsia"/>
          <w:b w:val="0"/>
          <w:bCs w:val="0"/>
          <w:sz w:val="24"/>
          <w:szCs w:val="24"/>
          <w:lang w:val="en-US" w:eastAsia="zh-CN"/>
        </w:rPr>
        <w:t xml:space="preserve">[7]. </w:t>
      </w:r>
      <w:r>
        <w:rPr>
          <w:sz w:val="24"/>
        </w:rPr>
        <w:t xml:space="preserve">Gibson, M. (2018) </w:t>
      </w:r>
      <w:r>
        <w:rPr>
          <w:i/>
          <w:iCs/>
          <w:sz w:val="24"/>
        </w:rPr>
        <w:t>Marriott hotel strike leads to mass employee walkouts</w:t>
      </w:r>
      <w:r>
        <w:rPr>
          <w:sz w:val="24"/>
        </w:rPr>
        <w:t>. Available at: https://www.cbsnews.com/news/marriott-hotel-strike-leads-to-mass-employee-walkouts/ (Accessed: 16 March 2022).</w:t>
      </w:r>
    </w:p>
    <w:p>
      <w:pPr>
        <w:spacing w:line="360" w:lineRule="auto"/>
        <w:rPr>
          <w:sz w:val="24"/>
        </w:rPr>
      </w:pPr>
    </w:p>
    <w:p>
      <w:pPr>
        <w:spacing w:line="360" w:lineRule="auto"/>
        <w:rPr>
          <w:color w:val="auto"/>
          <w:sz w:val="24"/>
        </w:rPr>
      </w:pPr>
      <w:r>
        <w:rPr>
          <w:rFonts w:hint="eastAsia"/>
          <w:b w:val="0"/>
          <w:bCs w:val="0"/>
          <w:sz w:val="24"/>
          <w:szCs w:val="24"/>
          <w:lang w:val="en-US" w:eastAsia="zh-CN"/>
        </w:rPr>
        <w:t xml:space="preserve">[8]. </w:t>
      </w:r>
      <w:r>
        <w:rPr>
          <w:color w:val="auto"/>
          <w:sz w:val="24"/>
          <w:shd w:val="clear" w:color="auto" w:fill="FFFFFF"/>
        </w:rPr>
        <w:t xml:space="preserve">Gerhart, B. (2021) </w:t>
      </w:r>
      <w:r>
        <w:rPr>
          <w:i/>
          <w:iCs/>
          <w:color w:val="auto"/>
          <w:sz w:val="24"/>
        </w:rPr>
        <w:t>Marriott Hires People Who Put Others First What makes human resource management</w:t>
      </w:r>
      <w:r>
        <w:rPr>
          <w:color w:val="auto"/>
          <w:sz w:val="24"/>
        </w:rPr>
        <w:t xml:space="preserve">. Available at: https://myassignmentninja.com/2021/09/30/marriott-hires-people-who-put-others-firstwhat-makes-human-resource-management/ (Accessed: 16 March 2022). </w:t>
      </w:r>
    </w:p>
    <w:p>
      <w:pPr>
        <w:spacing w:line="360" w:lineRule="auto"/>
        <w:rPr>
          <w:sz w:val="24"/>
        </w:rPr>
      </w:pPr>
    </w:p>
    <w:p>
      <w:pPr>
        <w:spacing w:line="360" w:lineRule="auto"/>
        <w:rPr>
          <w:sz w:val="24"/>
        </w:rPr>
      </w:pPr>
      <w:r>
        <w:rPr>
          <w:rFonts w:hint="eastAsia"/>
          <w:b w:val="0"/>
          <w:bCs w:val="0"/>
          <w:sz w:val="24"/>
          <w:szCs w:val="24"/>
          <w:lang w:val="en-US" w:eastAsia="zh-CN"/>
        </w:rPr>
        <w:t xml:space="preserve">[9]. </w:t>
      </w:r>
      <w:r>
        <w:rPr>
          <w:sz w:val="24"/>
        </w:rPr>
        <w:t xml:space="preserve">Harris, J. (2022) </w:t>
      </w:r>
      <w:r>
        <w:rPr>
          <w:i/>
          <w:iCs/>
          <w:sz w:val="24"/>
        </w:rPr>
        <w:t>Marriott International</w:t>
      </w:r>
      <w:r>
        <w:rPr>
          <w:sz w:val="24"/>
        </w:rPr>
        <w:t xml:space="preserve">. Available at: https://Scw-Mag.Com/Profiles/862-Marriott-International/ (Accessed: 16 March 2022). </w:t>
      </w:r>
    </w:p>
    <w:p>
      <w:pPr>
        <w:spacing w:line="360" w:lineRule="auto"/>
        <w:rPr>
          <w:sz w:val="24"/>
        </w:rPr>
      </w:pPr>
    </w:p>
    <w:p>
      <w:pPr>
        <w:spacing w:line="360" w:lineRule="auto"/>
        <w:rPr>
          <w:sz w:val="24"/>
        </w:rPr>
      </w:pPr>
      <w:r>
        <w:rPr>
          <w:rFonts w:hint="eastAsia"/>
          <w:b w:val="0"/>
          <w:bCs w:val="0"/>
          <w:sz w:val="24"/>
          <w:szCs w:val="24"/>
          <w:lang w:val="en-US" w:eastAsia="zh-CN"/>
        </w:rPr>
        <w:t xml:space="preserve">[10]. </w:t>
      </w:r>
      <w:r>
        <w:rPr>
          <w:sz w:val="24"/>
        </w:rPr>
        <w:t xml:space="preserve">Hyatt Hotel Corporations (2022) </w:t>
      </w:r>
      <w:r>
        <w:rPr>
          <w:i/>
          <w:iCs/>
          <w:sz w:val="24"/>
        </w:rPr>
        <w:t>Investor relations</w:t>
      </w:r>
      <w:r>
        <w:rPr>
          <w:sz w:val="24"/>
        </w:rPr>
        <w:t xml:space="preserve">. Available at: https://investors.hyatt.com/investor-relations/financial-reporting/annual-reports/default.aspx (Accessed: 16 March 2022). </w:t>
      </w:r>
    </w:p>
    <w:p>
      <w:pPr>
        <w:spacing w:line="360" w:lineRule="auto"/>
        <w:rPr>
          <w:sz w:val="24"/>
        </w:rPr>
      </w:pPr>
    </w:p>
    <w:p>
      <w:pPr>
        <w:spacing w:line="360" w:lineRule="auto"/>
        <w:rPr>
          <w:sz w:val="24"/>
        </w:rPr>
      </w:pPr>
      <w:r>
        <w:rPr>
          <w:rFonts w:hint="eastAsia"/>
          <w:b w:val="0"/>
          <w:bCs w:val="0"/>
          <w:sz w:val="24"/>
          <w:szCs w:val="24"/>
          <w:lang w:val="en-US" w:eastAsia="zh-CN"/>
        </w:rPr>
        <w:t xml:space="preserve">[11]. </w:t>
      </w:r>
      <w:r>
        <w:rPr>
          <w:sz w:val="24"/>
        </w:rPr>
        <w:t xml:space="preserve">Hilton Hotel and Resorts (2022) </w:t>
      </w:r>
      <w:r>
        <w:rPr>
          <w:i/>
          <w:iCs/>
          <w:sz w:val="24"/>
        </w:rPr>
        <w:t>2021 Annual report of Hilton</w:t>
      </w:r>
      <w:r>
        <w:rPr>
          <w:sz w:val="24"/>
        </w:rPr>
        <w:t>. Available at: https://www.corporatereport.com/hilton/2020/ar/downloads/hilton_2021_proxy.pdf (Accessed: 16 March 2022).</w:t>
      </w:r>
    </w:p>
    <w:p>
      <w:pPr>
        <w:spacing w:line="360" w:lineRule="auto"/>
        <w:rPr>
          <w:sz w:val="24"/>
        </w:rPr>
      </w:pPr>
    </w:p>
    <w:p>
      <w:pPr>
        <w:spacing w:line="360" w:lineRule="auto"/>
        <w:rPr>
          <w:sz w:val="24"/>
        </w:rPr>
      </w:pPr>
      <w:r>
        <w:rPr>
          <w:rFonts w:hint="eastAsia"/>
          <w:b w:val="0"/>
          <w:bCs w:val="0"/>
          <w:sz w:val="24"/>
          <w:szCs w:val="24"/>
          <w:lang w:val="en-US" w:eastAsia="zh-CN"/>
        </w:rPr>
        <w:t xml:space="preserve">[12]. </w:t>
      </w:r>
      <w:r>
        <w:rPr>
          <w:sz w:val="24"/>
        </w:rPr>
        <w:t xml:space="preserve">IHG (2021) </w:t>
      </w:r>
      <w:r>
        <w:rPr>
          <w:i/>
          <w:iCs/>
          <w:sz w:val="24"/>
        </w:rPr>
        <w:t>Our brands</w:t>
      </w:r>
      <w:r>
        <w:rPr>
          <w:sz w:val="24"/>
        </w:rPr>
        <w:t xml:space="preserve">. Available at: https://www.ihgplc.com/en/our-brands (Accessed: 16 March 2022). </w:t>
      </w:r>
    </w:p>
    <w:p>
      <w:pPr>
        <w:spacing w:line="360" w:lineRule="auto"/>
        <w:rPr>
          <w:sz w:val="24"/>
        </w:rPr>
      </w:pPr>
    </w:p>
    <w:p>
      <w:pPr>
        <w:spacing w:line="360" w:lineRule="auto"/>
        <w:rPr>
          <w:sz w:val="24"/>
        </w:rPr>
      </w:pPr>
      <w:r>
        <w:rPr>
          <w:rFonts w:hint="eastAsia"/>
          <w:b w:val="0"/>
          <w:bCs w:val="0"/>
          <w:sz w:val="24"/>
          <w:szCs w:val="24"/>
          <w:lang w:val="en-US" w:eastAsia="zh-CN"/>
        </w:rPr>
        <w:t xml:space="preserve">[13]. </w:t>
      </w:r>
      <w:r>
        <w:rPr>
          <w:sz w:val="24"/>
        </w:rPr>
        <w:t xml:space="preserve">Marriott International (2022a) </w:t>
      </w:r>
      <w:r>
        <w:rPr>
          <w:i/>
          <w:iCs/>
          <w:sz w:val="24"/>
        </w:rPr>
        <w:t>We Are Marriott International</w:t>
      </w:r>
      <w:r>
        <w:rPr>
          <w:sz w:val="24"/>
        </w:rPr>
        <w:t xml:space="preserve">. Available at: https://www.marriott.com/marriott/aboutmarriott.mi (Accessed: 16 March 2022). </w:t>
      </w:r>
    </w:p>
    <w:p>
      <w:pPr>
        <w:spacing w:line="360" w:lineRule="auto"/>
        <w:rPr>
          <w:sz w:val="24"/>
        </w:rPr>
      </w:pPr>
    </w:p>
    <w:p>
      <w:pPr>
        <w:spacing w:line="360" w:lineRule="auto"/>
        <w:rPr>
          <w:sz w:val="24"/>
        </w:rPr>
      </w:pPr>
      <w:r>
        <w:rPr>
          <w:rFonts w:hint="eastAsia"/>
          <w:b w:val="0"/>
          <w:bCs w:val="0"/>
          <w:sz w:val="24"/>
          <w:szCs w:val="24"/>
          <w:lang w:val="en-US" w:eastAsia="zh-CN"/>
        </w:rPr>
        <w:t xml:space="preserve">[14]. </w:t>
      </w:r>
      <w:r>
        <w:rPr>
          <w:sz w:val="24"/>
        </w:rPr>
        <w:t>Marriott International (2022b)</w:t>
      </w:r>
      <w:r>
        <w:rPr>
          <w:i/>
          <w:iCs/>
          <w:sz w:val="24"/>
        </w:rPr>
        <w:t xml:space="preserve"> Marriott International Reports Fourth Quarter 2021 Results</w:t>
      </w:r>
      <w:r>
        <w:rPr>
          <w:sz w:val="24"/>
        </w:rPr>
        <w:t xml:space="preserve">. Available at: https://Marriott.Gcs-Web.Com/News-Releases/News-Release-Details/Marriott-International-Reports-Fourth-Quarter-2021-Results (Accessed: 16 March 2022). </w:t>
      </w:r>
    </w:p>
    <w:p>
      <w:pPr>
        <w:spacing w:line="360" w:lineRule="auto"/>
        <w:rPr>
          <w:sz w:val="24"/>
        </w:rPr>
      </w:pPr>
    </w:p>
    <w:p>
      <w:pPr>
        <w:spacing w:line="360" w:lineRule="auto"/>
        <w:rPr>
          <w:sz w:val="24"/>
        </w:rPr>
      </w:pPr>
      <w:r>
        <w:rPr>
          <w:rFonts w:hint="eastAsia"/>
          <w:b w:val="0"/>
          <w:bCs w:val="0"/>
          <w:sz w:val="24"/>
          <w:szCs w:val="24"/>
          <w:lang w:val="en-US" w:eastAsia="zh-CN"/>
        </w:rPr>
        <w:t xml:space="preserve">[15]. </w:t>
      </w:r>
      <w:r>
        <w:rPr>
          <w:sz w:val="24"/>
        </w:rPr>
        <w:t xml:space="preserve">Marriott International (2021) </w:t>
      </w:r>
      <w:r>
        <w:rPr>
          <w:i/>
          <w:iCs/>
          <w:sz w:val="24"/>
        </w:rPr>
        <w:t>Hall of Fame | Marriott International</w:t>
      </w:r>
      <w:r>
        <w:rPr>
          <w:sz w:val="24"/>
        </w:rPr>
        <w:t xml:space="preserve">. Available at: https://www.diversityinc.com/marriott-international-2021/ (Accessed: 16 March 2022). </w:t>
      </w:r>
    </w:p>
    <w:p>
      <w:pPr>
        <w:spacing w:line="360" w:lineRule="auto"/>
        <w:rPr>
          <w:sz w:val="24"/>
        </w:rPr>
      </w:pPr>
    </w:p>
    <w:p>
      <w:pPr>
        <w:spacing w:line="360" w:lineRule="auto"/>
        <w:rPr>
          <w:sz w:val="24"/>
        </w:rPr>
      </w:pPr>
      <w:r>
        <w:rPr>
          <w:rFonts w:hint="eastAsia"/>
          <w:b w:val="0"/>
          <w:bCs w:val="0"/>
          <w:sz w:val="24"/>
          <w:szCs w:val="24"/>
          <w:lang w:val="en-US" w:eastAsia="zh-CN"/>
        </w:rPr>
        <w:t xml:space="preserve">[16]. </w:t>
      </w:r>
      <w:r>
        <w:rPr>
          <w:sz w:val="24"/>
        </w:rPr>
        <w:t xml:space="preserve">Marriott International (2022c) </w:t>
      </w:r>
      <w:r>
        <w:rPr>
          <w:i/>
          <w:iCs/>
          <w:sz w:val="24"/>
        </w:rPr>
        <w:t>2021 Annual Report</w:t>
      </w:r>
      <w:r>
        <w:rPr>
          <w:sz w:val="24"/>
        </w:rPr>
        <w:t xml:space="preserve">. Available at: https://marriott.gcs-web.com/static-files/621fefe9-1305-4d73-9a6d-560ff19b826f (Accessed: 16 March 2022). </w:t>
      </w:r>
    </w:p>
    <w:p>
      <w:pPr>
        <w:spacing w:line="360" w:lineRule="auto"/>
        <w:rPr>
          <w:sz w:val="24"/>
        </w:rPr>
      </w:pPr>
    </w:p>
    <w:p>
      <w:pPr>
        <w:spacing w:line="360" w:lineRule="auto"/>
        <w:rPr>
          <w:sz w:val="24"/>
        </w:rPr>
      </w:pPr>
      <w:r>
        <w:rPr>
          <w:rFonts w:hint="eastAsia"/>
          <w:b w:val="0"/>
          <w:bCs w:val="0"/>
          <w:sz w:val="24"/>
          <w:szCs w:val="24"/>
          <w:lang w:val="en-US" w:eastAsia="zh-CN"/>
        </w:rPr>
        <w:t xml:space="preserve">[17]. </w:t>
      </w:r>
      <w:r>
        <w:rPr>
          <w:sz w:val="24"/>
        </w:rPr>
        <w:t xml:space="preserve">Marriott International (2022d) </w:t>
      </w:r>
      <w:r>
        <w:rPr>
          <w:i/>
          <w:iCs/>
          <w:sz w:val="24"/>
        </w:rPr>
        <w:t>Core Values &amp; Heritage</w:t>
      </w:r>
      <w:r>
        <w:rPr>
          <w:sz w:val="24"/>
        </w:rPr>
        <w:t>. Available at: https://www.marriott.com/culture-and-values/core-values.mi#:~:text=We%20Put%20People%20First%20%22Take%20care%20of%20associates,place%20to%20work%20for%20more%20than%2085%20years. (Accessed: 16 March 2022).</w:t>
      </w:r>
    </w:p>
    <w:p>
      <w:pPr>
        <w:spacing w:line="360" w:lineRule="auto"/>
        <w:rPr>
          <w:sz w:val="24"/>
        </w:rPr>
      </w:pPr>
    </w:p>
    <w:p>
      <w:pPr>
        <w:spacing w:line="360" w:lineRule="auto"/>
        <w:rPr>
          <w:sz w:val="24"/>
        </w:rPr>
      </w:pPr>
      <w:r>
        <w:rPr>
          <w:rFonts w:hint="eastAsia"/>
          <w:b w:val="0"/>
          <w:bCs w:val="0"/>
          <w:sz w:val="24"/>
          <w:szCs w:val="24"/>
          <w:lang w:val="en-US" w:eastAsia="zh-CN"/>
        </w:rPr>
        <w:t xml:space="preserve">[18]. </w:t>
      </w:r>
      <w:r>
        <w:rPr>
          <w:sz w:val="24"/>
        </w:rPr>
        <w:t xml:space="preserve">Mody, M. &amp; Gomez, M. (2018) </w:t>
      </w:r>
      <w:r>
        <w:rPr>
          <w:i/>
          <w:iCs/>
          <w:sz w:val="24"/>
        </w:rPr>
        <w:t>Airbnb and the Hotel Industry: The Past, Present, and Future of Sales, Marketing, Branding, and Revenue Management</w:t>
      </w:r>
      <w:r>
        <w:rPr>
          <w:sz w:val="24"/>
        </w:rPr>
        <w:t>. Available at: https://www.bu.edu/bhr/2018/10/31/airbnb-and-the-hotel-industry-the-past-present-and-future-of-sales-marketing-branding-and-revenue-management/#:~:text=Airbnb%E2%80%99s%20disruption%20of%20the%20hotel%20industry%20is%20significant%2C,hotel%20RevPAR%20to%20decease%200.02%25%20across%20all%20segments. (Accessed: 16 March 2022).</w:t>
      </w:r>
    </w:p>
    <w:p>
      <w:pPr>
        <w:spacing w:line="360" w:lineRule="auto"/>
        <w:rPr>
          <w:sz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r>
        <w:rPr>
          <w:rFonts w:hint="eastAsia"/>
          <w:b w:val="0"/>
          <w:bCs w:val="0"/>
          <w:sz w:val="24"/>
          <w:szCs w:val="24"/>
          <w:lang w:val="en-US" w:eastAsia="zh-CN"/>
        </w:rPr>
        <w:t xml:space="preserve">[19]. </w:t>
      </w:r>
      <w:r>
        <w:rPr>
          <w:rFonts w:hint="default" w:ascii="Times New Roman" w:hAnsi="Times New Roman" w:eastAsia="sans-serif" w:cs="Times New Roman"/>
          <w:i w:val="0"/>
          <w:iCs w:val="0"/>
          <w:caps w:val="0"/>
          <w:color w:val="282828"/>
          <w:spacing w:val="0"/>
          <w:sz w:val="24"/>
          <w:szCs w:val="24"/>
          <w:shd w:val="clear" w:fill="FFFFFF"/>
        </w:rPr>
        <w:t xml:space="preserve">RACHEL COOPER, </w:t>
      </w:r>
      <w:r>
        <w:rPr>
          <w:rFonts w:hint="eastAsia" w:cs="Times New Roman"/>
          <w:i w:val="0"/>
          <w:iCs w:val="0"/>
          <w:caps w:val="0"/>
          <w:color w:val="282828"/>
          <w:spacing w:val="0"/>
          <w:sz w:val="24"/>
          <w:szCs w:val="24"/>
          <w:shd w:val="clear" w:fill="FFFFFF"/>
          <w:lang w:val="en-US" w:eastAsia="zh-CN"/>
        </w:rPr>
        <w:t>(</w:t>
      </w:r>
      <w:r>
        <w:rPr>
          <w:rFonts w:hint="default" w:ascii="Times New Roman" w:hAnsi="Times New Roman" w:eastAsia="sans-serif" w:cs="Times New Roman"/>
          <w:i w:val="0"/>
          <w:iCs w:val="0"/>
          <w:caps w:val="0"/>
          <w:color w:val="282828"/>
          <w:spacing w:val="0"/>
          <w:sz w:val="24"/>
          <w:szCs w:val="24"/>
          <w:shd w:val="clear" w:fill="FFFFFF"/>
        </w:rPr>
        <w:t>2020</w:t>
      </w:r>
      <w:r>
        <w:rPr>
          <w:rFonts w:hint="eastAsia" w:cs="Times New Roman"/>
          <w:i w:val="0"/>
          <w:iCs w:val="0"/>
          <w:caps w:val="0"/>
          <w:color w:val="282828"/>
          <w:spacing w:val="0"/>
          <w:sz w:val="24"/>
          <w:szCs w:val="24"/>
          <w:shd w:val="clear" w:fill="FFFFFF"/>
          <w:lang w:val="en-US" w:eastAsia="zh-CN"/>
        </w:rPr>
        <w:t>)</w:t>
      </w:r>
      <w:r>
        <w:rPr>
          <w:rFonts w:hint="default" w:ascii="Times New Roman" w:hAnsi="Times New Roman" w:eastAsia="sans-serif" w:cs="Times New Roman"/>
          <w:i w:val="0"/>
          <w:iCs w:val="0"/>
          <w:caps w:val="0"/>
          <w:color w:val="282828"/>
          <w:spacing w:val="0"/>
          <w:sz w:val="24"/>
          <w:szCs w:val="24"/>
          <w:shd w:val="clear" w:fill="FFFFFF"/>
        </w:rPr>
        <w:t> </w:t>
      </w:r>
      <w:r>
        <w:rPr>
          <w:rStyle w:val="22"/>
          <w:rFonts w:hint="default" w:ascii="Times New Roman" w:hAnsi="Times New Roman" w:eastAsia="sans-serif" w:cs="Times New Roman"/>
          <w:caps w:val="0"/>
          <w:color w:val="282828"/>
          <w:spacing w:val="0"/>
          <w:sz w:val="24"/>
          <w:szCs w:val="24"/>
          <w:shd w:val="clear" w:fill="FFFFFF"/>
        </w:rPr>
        <w:t>Marriott Hotels: An Overview of Brands in the Capital Region.</w:t>
      </w:r>
      <w:r>
        <w:rPr>
          <w:rStyle w:val="22"/>
          <w:rFonts w:hint="eastAsia" w:cs="Times New Roman"/>
          <w:caps w:val="0"/>
          <w:color w:val="282828"/>
          <w:spacing w:val="0"/>
          <w:sz w:val="24"/>
          <w:szCs w:val="24"/>
          <w:shd w:val="clear" w:fill="FFFFFF"/>
          <w:lang w:val="en-US" w:eastAsia="zh-CN"/>
        </w:rPr>
        <w:t xml:space="preserve"> </w:t>
      </w:r>
      <w:r>
        <w:rPr>
          <w:rStyle w:val="22"/>
          <w:rFonts w:hint="default" w:ascii="Times New Roman" w:hAnsi="Times New Roman" w:eastAsia="sans-serif" w:cs="Times New Roman"/>
          <w:i w:val="0"/>
          <w:iCs/>
          <w:caps w:val="0"/>
          <w:color w:val="282828"/>
          <w:spacing w:val="0"/>
          <w:sz w:val="24"/>
          <w:szCs w:val="24"/>
          <w:shd w:val="clear" w:fill="FFFFFF"/>
        </w:rPr>
        <w:t>Available at: </w:t>
      </w:r>
      <w:r>
        <w:rPr>
          <w:rStyle w:val="22"/>
          <w:rFonts w:hint="default" w:ascii="Times New Roman" w:hAnsi="Times New Roman" w:eastAsia="sans-serif" w:cs="Times New Roman"/>
          <w:i w:val="0"/>
          <w:iCs/>
          <w:caps w:val="0"/>
          <w:color w:val="282828"/>
          <w:spacing w:val="0"/>
          <w:sz w:val="24"/>
          <w:szCs w:val="24"/>
          <w:u w:val="none"/>
          <w:shd w:val="clear" w:fill="FFFFFF"/>
        </w:rPr>
        <w:t>https://www.tripsavvy.com/marriott-hotel-brands-and-locations-1039114</w:t>
      </w:r>
      <w:r>
        <w:rPr>
          <w:rStyle w:val="22"/>
          <w:rFonts w:hint="default" w:ascii="Times New Roman" w:hAnsi="Times New Roman" w:eastAsia="sans-serif" w:cs="Times New Roman"/>
          <w:i w:val="0"/>
          <w:iCs/>
          <w:caps w:val="0"/>
          <w:color w:val="282828"/>
          <w:spacing w:val="0"/>
          <w:sz w:val="24"/>
          <w:szCs w:val="24"/>
          <w:u w:val="none"/>
          <w:shd w:val="clear" w:fill="FFFFFF"/>
        </w:rPr>
        <w:br w:type="textWrapping"/>
      </w:r>
      <w:r>
        <w:rPr>
          <w:rStyle w:val="22"/>
          <w:rFonts w:hint="eastAsia" w:cs="Times New Roman"/>
          <w:i w:val="0"/>
          <w:iCs/>
          <w:caps w:val="0"/>
          <w:color w:val="282828"/>
          <w:spacing w:val="0"/>
          <w:sz w:val="24"/>
          <w:szCs w:val="24"/>
          <w:u w:val="none"/>
          <w:shd w:val="clear" w:fill="FFFFFF"/>
          <w:lang w:val="en-US" w:eastAsia="zh-CN"/>
        </w:rPr>
        <w:t>(</w:t>
      </w:r>
      <w:r>
        <w:rPr>
          <w:rStyle w:val="22"/>
          <w:rFonts w:hint="default" w:ascii="Times New Roman" w:hAnsi="Times New Roman" w:eastAsia="sans-serif" w:cs="Times New Roman"/>
          <w:i w:val="0"/>
          <w:iCs/>
          <w:caps w:val="0"/>
          <w:color w:val="282828"/>
          <w:spacing w:val="0"/>
          <w:sz w:val="24"/>
          <w:szCs w:val="24"/>
          <w:u w:val="none"/>
          <w:shd w:val="clear" w:fill="FFFFFF"/>
        </w:rPr>
        <w:t>Accessed 16 March 202</w:t>
      </w:r>
      <w:r>
        <w:rPr>
          <w:rStyle w:val="22"/>
          <w:rFonts w:hint="eastAsia" w:cs="Times New Roman"/>
          <w:i w:val="0"/>
          <w:iCs/>
          <w:caps w:val="0"/>
          <w:color w:val="282828"/>
          <w:spacing w:val="0"/>
          <w:sz w:val="24"/>
          <w:szCs w:val="24"/>
          <w:u w:val="none"/>
          <w:shd w:val="clear" w:fill="FFFFFF"/>
          <w:lang w:val="en-US" w:eastAsia="zh-CN"/>
        </w:rPr>
        <w:t>2</w:t>
      </w:r>
      <w:r>
        <w:rPr>
          <w:rStyle w:val="22"/>
          <w:rFonts w:hint="eastAsia" w:cs="Times New Roman"/>
          <w:i w:val="0"/>
          <w:iCs/>
          <w:caps w:val="0"/>
          <w:color w:val="282828"/>
          <w:spacing w:val="0"/>
          <w:sz w:val="24"/>
          <w:szCs w:val="24"/>
          <w:u w:val="none"/>
          <w:shd w:val="clear" w:fill="FFFFFF"/>
          <w:lang w:eastAsia="zh-CN"/>
        </w:rPr>
        <w:t>）</w:t>
      </w:r>
      <w:r>
        <w:rPr>
          <w:rStyle w:val="22"/>
          <w:rFonts w:hint="default" w:ascii="Times New Roman" w:hAnsi="Times New Roman" w:eastAsia="sans-serif" w:cs="Times New Roman"/>
          <w:i w:val="0"/>
          <w:iCs/>
          <w:caps w:val="0"/>
          <w:color w:val="282828"/>
          <w:spacing w:val="0"/>
          <w:sz w:val="24"/>
          <w:szCs w:val="24"/>
          <w:u w:val="none"/>
          <w:shd w:val="clear" w:fill="FFFFFF"/>
        </w:rPr>
        <w:t>.</w:t>
      </w:r>
    </w:p>
    <w:p>
      <w:pPr>
        <w:spacing w:line="360" w:lineRule="auto"/>
        <w:rPr>
          <w:sz w:val="24"/>
        </w:rPr>
      </w:pPr>
    </w:p>
    <w:p>
      <w:pPr>
        <w:spacing w:line="360" w:lineRule="auto"/>
        <w:rPr>
          <w:sz w:val="24"/>
        </w:rPr>
      </w:pPr>
      <w:r>
        <w:rPr>
          <w:rFonts w:hint="eastAsia"/>
          <w:b w:val="0"/>
          <w:bCs w:val="0"/>
          <w:sz w:val="24"/>
          <w:szCs w:val="24"/>
          <w:lang w:val="en-US" w:eastAsia="zh-CN"/>
        </w:rPr>
        <w:t xml:space="preserve">[20]. </w:t>
      </w:r>
      <w:r>
        <w:rPr>
          <w:sz w:val="24"/>
        </w:rPr>
        <w:t xml:space="preserve">Sanchez, J. (2021) </w:t>
      </w:r>
      <w:r>
        <w:rPr>
          <w:i/>
          <w:iCs/>
          <w:sz w:val="24"/>
        </w:rPr>
        <w:t>COVID-19’s Economic Impact around the World</w:t>
      </w:r>
      <w:r>
        <w:rPr>
          <w:sz w:val="24"/>
        </w:rPr>
        <w:t>. Available at: https://www.stlouisfed.org/publications/regional-economist/third-quarter-2021/covid19s-economic-impact-world (Accessed: 16 March 2022).</w:t>
      </w:r>
    </w:p>
    <w:p>
      <w:pPr>
        <w:spacing w:line="360" w:lineRule="auto"/>
        <w:rPr>
          <w:sz w:val="24"/>
        </w:rPr>
      </w:pPr>
    </w:p>
    <w:p>
      <w:pPr>
        <w:spacing w:line="360" w:lineRule="auto"/>
        <w:rPr>
          <w:sz w:val="24"/>
        </w:rPr>
      </w:pPr>
      <w:r>
        <w:rPr>
          <w:rFonts w:hint="eastAsia"/>
          <w:b w:val="0"/>
          <w:bCs w:val="0"/>
          <w:sz w:val="24"/>
          <w:szCs w:val="24"/>
          <w:lang w:val="en-US" w:eastAsia="zh-CN"/>
        </w:rPr>
        <w:t xml:space="preserve">[21]. </w:t>
      </w:r>
      <w:r>
        <w:rPr>
          <w:sz w:val="24"/>
        </w:rPr>
        <w:t>Sampaio, C.A.F., Hernández-Mogollón, J.M. &amp; Rodrigues, R.G. (2019) ‘Assessing the relationship between market orientation and business performance in the hotel industry – the mediating role of service quality’, </w:t>
      </w:r>
      <w:r>
        <w:rPr>
          <w:i/>
          <w:iCs/>
          <w:sz w:val="24"/>
        </w:rPr>
        <w:t>Journal of knowledge management,</w:t>
      </w:r>
      <w:r>
        <w:rPr>
          <w:sz w:val="24"/>
        </w:rPr>
        <w:t xml:space="preserve"> 23(4), pp.644–663. </w:t>
      </w:r>
    </w:p>
    <w:p>
      <w:pPr>
        <w:spacing w:line="360" w:lineRule="auto"/>
        <w:rPr>
          <w:sz w:val="24"/>
        </w:rPr>
      </w:pPr>
    </w:p>
    <w:p>
      <w:pPr>
        <w:spacing w:line="360" w:lineRule="auto"/>
        <w:rPr>
          <w:sz w:val="24"/>
        </w:rPr>
      </w:pPr>
      <w:r>
        <w:rPr>
          <w:rFonts w:hint="eastAsia"/>
          <w:b w:val="0"/>
          <w:bCs w:val="0"/>
          <w:sz w:val="24"/>
          <w:szCs w:val="24"/>
          <w:lang w:val="en-US" w:eastAsia="zh-CN"/>
        </w:rPr>
        <w:t xml:space="preserve">[22]. </w:t>
      </w:r>
      <w:r>
        <w:rPr>
          <w:sz w:val="24"/>
        </w:rPr>
        <w:t>Singh, J. (2021)</w:t>
      </w:r>
      <w:r>
        <w:rPr>
          <w:i/>
          <w:iCs/>
          <w:sz w:val="24"/>
        </w:rPr>
        <w:t xml:space="preserve"> Impact of COVID-19 on the Hospitality Industry and Implication for Operations and Asset Management</w:t>
      </w:r>
      <w:r>
        <w:rPr>
          <w:sz w:val="24"/>
        </w:rPr>
        <w:t xml:space="preserve">. Available at: https://www.bu.edu/bhr/2021/05/31/impact-of-covid-19-on-the-hospitality-industry-and-implication-for-operations-and-asset-management/ (Accessed: 16 March 2022). </w:t>
      </w:r>
    </w:p>
    <w:p>
      <w:pPr>
        <w:spacing w:line="360" w:lineRule="auto"/>
        <w:rPr>
          <w:sz w:val="24"/>
        </w:rPr>
      </w:pPr>
    </w:p>
    <w:p>
      <w:pPr>
        <w:spacing w:line="360" w:lineRule="auto"/>
        <w:rPr>
          <w:sz w:val="24"/>
        </w:rPr>
      </w:pPr>
      <w:r>
        <w:rPr>
          <w:rFonts w:hint="eastAsia"/>
          <w:b w:val="0"/>
          <w:bCs w:val="0"/>
          <w:sz w:val="24"/>
          <w:szCs w:val="24"/>
          <w:lang w:val="en-US" w:eastAsia="zh-CN"/>
        </w:rPr>
        <w:t xml:space="preserve">[23]. </w:t>
      </w:r>
      <w:r>
        <w:rPr>
          <w:sz w:val="24"/>
        </w:rPr>
        <w:t xml:space="preserve">University of Minnesota (2021) </w:t>
      </w:r>
      <w:r>
        <w:rPr>
          <w:i/>
          <w:iCs/>
          <w:sz w:val="24"/>
        </w:rPr>
        <w:t xml:space="preserve">How will the tourism economy recover from COVID-19? </w:t>
      </w:r>
      <w:r>
        <w:rPr>
          <w:sz w:val="24"/>
        </w:rPr>
        <w:t>Available at: https://extension.umn.edu/community-development-news/how-will-tourism-economy-recover-covid-19 (Accessed: 16 March 2022).</w:t>
      </w:r>
    </w:p>
    <w:p>
      <w:pPr>
        <w:spacing w:line="360" w:lineRule="auto"/>
        <w:rPr>
          <w:sz w:val="24"/>
        </w:rPr>
      </w:pPr>
    </w:p>
    <w:p>
      <w:pPr>
        <w:spacing w:line="360" w:lineRule="auto"/>
        <w:rPr>
          <w:sz w:val="24"/>
        </w:rPr>
      </w:pPr>
      <w:r>
        <w:rPr>
          <w:rFonts w:hint="eastAsia"/>
          <w:b w:val="0"/>
          <w:bCs w:val="0"/>
          <w:sz w:val="24"/>
          <w:szCs w:val="24"/>
          <w:lang w:val="en-US" w:eastAsia="zh-CN"/>
        </w:rPr>
        <w:t xml:space="preserve">[24]. </w:t>
      </w:r>
      <w:r>
        <w:rPr>
          <w:sz w:val="24"/>
        </w:rPr>
        <w:t>Wyndham Hotels &amp; Resorts, Inc. (2022)</w:t>
      </w:r>
      <w:r>
        <w:rPr>
          <w:i/>
          <w:iCs/>
          <w:sz w:val="24"/>
        </w:rPr>
        <w:t xml:space="preserve"> About us</w:t>
      </w:r>
      <w:r>
        <w:rPr>
          <w:sz w:val="24"/>
        </w:rPr>
        <w:t xml:space="preserve">. Available at: https://www.annualreports.com/Company/wyndham-hotels-resorts-inc (Accessed: 16 March 2022). </w:t>
      </w:r>
    </w:p>
    <w:p>
      <w:pPr>
        <w:spacing w:line="360" w:lineRule="auto"/>
        <w:rPr>
          <w:sz w:val="24"/>
        </w:rPr>
      </w:pPr>
    </w:p>
    <w:p>
      <w:pPr>
        <w:spacing w:line="360" w:lineRule="auto"/>
        <w:rPr>
          <w:sz w:val="24"/>
        </w:rPr>
      </w:pPr>
      <w:r>
        <w:rPr>
          <w:rFonts w:hint="eastAsia"/>
          <w:b w:val="0"/>
          <w:bCs w:val="0"/>
          <w:sz w:val="24"/>
          <w:szCs w:val="24"/>
          <w:lang w:val="en-US" w:eastAsia="zh-CN"/>
        </w:rPr>
        <w:t xml:space="preserve">[25]. </w:t>
      </w:r>
      <w:r>
        <w:rPr>
          <w:sz w:val="24"/>
        </w:rPr>
        <w:t xml:space="preserve">Wood, D. (2018) </w:t>
      </w:r>
      <w:r>
        <w:rPr>
          <w:i/>
          <w:iCs/>
          <w:sz w:val="24"/>
        </w:rPr>
        <w:t>China Shuts Down Marriott Website</w:t>
      </w:r>
      <w:r>
        <w:rPr>
          <w:sz w:val="24"/>
        </w:rPr>
        <w:t>. Available at: https://www.travelpulse.com/news/impacting-travel/china-shuts-down-marriott-website.html#:~:text=Marriott%20International%27s%20Chinese%20website%20is%20officially%20shut%20down.,and%20Taiwan%20as%20separate%20countries%20in%20a%20questionnaire. (Accessed: 16 March 2022).</w:t>
      </w:r>
    </w:p>
    <w:p>
      <w:pPr>
        <w:spacing w:line="360" w:lineRule="auto"/>
        <w:rPr>
          <w:sz w:val="24"/>
        </w:rPr>
      </w:pPr>
    </w:p>
    <w:p>
      <w:pPr>
        <w:spacing w:line="360" w:lineRule="auto"/>
        <w:rPr>
          <w:sz w:val="24"/>
        </w:rPr>
      </w:pPr>
    </w:p>
    <w:p>
      <w:pPr>
        <w:spacing w:line="360" w:lineRule="auto"/>
        <w:rPr>
          <w:sz w:val="24"/>
        </w:rPr>
      </w:pPr>
    </w:p>
    <w:sectPr>
      <w:footerReference r:id="rId5" w:type="default"/>
      <w:pgSz w:w="11906" w:h="16838"/>
      <w:pgMar w:top="1440" w:right="1800" w:bottom="1440" w:left="1800" w:header="851" w:footer="992" w:gutter="0"/>
      <w:pgNumType w:fmt="decimal"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3"/>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13"/>
                    </w:pPr>
                    <w:r>
                      <w:fldChar w:fldCharType="begin"/>
                    </w:r>
                    <w:r>
                      <w:instrText xml:space="preserve"> PAGE  \* MERGEFORMAT </w:instrText>
                    </w:r>
                    <w:r>
                      <w:fldChar w:fldCharType="separate"/>
                    </w:r>
                    <w:r>
                      <w:t>2</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8F543CF"/>
    <w:multiLevelType w:val="multilevel"/>
    <w:tmpl w:val="38F543CF"/>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1">
    <w:nsid w:val="4CFE7DD2"/>
    <w:multiLevelType w:val="multilevel"/>
    <w:tmpl w:val="4CFE7DD2"/>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isplayBackgroundShape w:val="1"/>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78E2"/>
    <w:rsid w:val="00005126"/>
    <w:rsid w:val="000052A4"/>
    <w:rsid w:val="0001414C"/>
    <w:rsid w:val="00016C16"/>
    <w:rsid w:val="00017462"/>
    <w:rsid w:val="0002046B"/>
    <w:rsid w:val="00024C2A"/>
    <w:rsid w:val="00025179"/>
    <w:rsid w:val="0002559F"/>
    <w:rsid w:val="000257C4"/>
    <w:rsid w:val="000261A5"/>
    <w:rsid w:val="00026795"/>
    <w:rsid w:val="0003091B"/>
    <w:rsid w:val="00034512"/>
    <w:rsid w:val="00037571"/>
    <w:rsid w:val="000400B9"/>
    <w:rsid w:val="00040E1B"/>
    <w:rsid w:val="00044F02"/>
    <w:rsid w:val="00046529"/>
    <w:rsid w:val="000515CC"/>
    <w:rsid w:val="00055261"/>
    <w:rsid w:val="00055E12"/>
    <w:rsid w:val="00056DF2"/>
    <w:rsid w:val="000618BD"/>
    <w:rsid w:val="00062260"/>
    <w:rsid w:val="00066327"/>
    <w:rsid w:val="00071DBC"/>
    <w:rsid w:val="000726ED"/>
    <w:rsid w:val="00073F34"/>
    <w:rsid w:val="0008223C"/>
    <w:rsid w:val="00087D46"/>
    <w:rsid w:val="00093D51"/>
    <w:rsid w:val="000948A7"/>
    <w:rsid w:val="00097531"/>
    <w:rsid w:val="000A2101"/>
    <w:rsid w:val="000A4005"/>
    <w:rsid w:val="000B424D"/>
    <w:rsid w:val="000B4593"/>
    <w:rsid w:val="000B6610"/>
    <w:rsid w:val="000B6EEE"/>
    <w:rsid w:val="000C1DED"/>
    <w:rsid w:val="000C47BC"/>
    <w:rsid w:val="000C5C79"/>
    <w:rsid w:val="000D0748"/>
    <w:rsid w:val="000D08A6"/>
    <w:rsid w:val="000D3687"/>
    <w:rsid w:val="000E00A5"/>
    <w:rsid w:val="000E049D"/>
    <w:rsid w:val="000E4CEB"/>
    <w:rsid w:val="000E613D"/>
    <w:rsid w:val="000E7912"/>
    <w:rsid w:val="000F09BE"/>
    <w:rsid w:val="000F416A"/>
    <w:rsid w:val="000F4306"/>
    <w:rsid w:val="000F5CF2"/>
    <w:rsid w:val="000F662A"/>
    <w:rsid w:val="000F6D5C"/>
    <w:rsid w:val="00100FCF"/>
    <w:rsid w:val="00102C36"/>
    <w:rsid w:val="001126E4"/>
    <w:rsid w:val="00113BBF"/>
    <w:rsid w:val="00116332"/>
    <w:rsid w:val="00117772"/>
    <w:rsid w:val="001204D6"/>
    <w:rsid w:val="001242DC"/>
    <w:rsid w:val="00124945"/>
    <w:rsid w:val="0012686F"/>
    <w:rsid w:val="00127B8D"/>
    <w:rsid w:val="00127D33"/>
    <w:rsid w:val="0013052D"/>
    <w:rsid w:val="0013266B"/>
    <w:rsid w:val="0014335C"/>
    <w:rsid w:val="00144A3B"/>
    <w:rsid w:val="0014617C"/>
    <w:rsid w:val="00151914"/>
    <w:rsid w:val="00151CD8"/>
    <w:rsid w:val="001534F8"/>
    <w:rsid w:val="00154DB6"/>
    <w:rsid w:val="001553F4"/>
    <w:rsid w:val="001558F1"/>
    <w:rsid w:val="00161165"/>
    <w:rsid w:val="00161A3A"/>
    <w:rsid w:val="00161D1C"/>
    <w:rsid w:val="00163E5D"/>
    <w:rsid w:val="0016420F"/>
    <w:rsid w:val="00172E21"/>
    <w:rsid w:val="00174E95"/>
    <w:rsid w:val="00176547"/>
    <w:rsid w:val="001813D2"/>
    <w:rsid w:val="00181497"/>
    <w:rsid w:val="00187D7B"/>
    <w:rsid w:val="00187E5B"/>
    <w:rsid w:val="001920B9"/>
    <w:rsid w:val="00194085"/>
    <w:rsid w:val="00196D78"/>
    <w:rsid w:val="001A5AFB"/>
    <w:rsid w:val="001A7711"/>
    <w:rsid w:val="001A7DBC"/>
    <w:rsid w:val="001B38DB"/>
    <w:rsid w:val="001B3A17"/>
    <w:rsid w:val="001B40FD"/>
    <w:rsid w:val="001B6068"/>
    <w:rsid w:val="001C3D58"/>
    <w:rsid w:val="001C4DDC"/>
    <w:rsid w:val="001C6751"/>
    <w:rsid w:val="001C7015"/>
    <w:rsid w:val="001D27F7"/>
    <w:rsid w:val="001D4334"/>
    <w:rsid w:val="001D4F0D"/>
    <w:rsid w:val="001D5C10"/>
    <w:rsid w:val="001D748A"/>
    <w:rsid w:val="001D74F5"/>
    <w:rsid w:val="001E275A"/>
    <w:rsid w:val="001E3ABB"/>
    <w:rsid w:val="001E4C90"/>
    <w:rsid w:val="001E6D3F"/>
    <w:rsid w:val="001F3824"/>
    <w:rsid w:val="001F5A36"/>
    <w:rsid w:val="00203F2E"/>
    <w:rsid w:val="00207986"/>
    <w:rsid w:val="00214BE6"/>
    <w:rsid w:val="00214ED6"/>
    <w:rsid w:val="00223153"/>
    <w:rsid w:val="00225707"/>
    <w:rsid w:val="002265C0"/>
    <w:rsid w:val="00230BA4"/>
    <w:rsid w:val="002321BF"/>
    <w:rsid w:val="00232327"/>
    <w:rsid w:val="00234A5E"/>
    <w:rsid w:val="00234AF5"/>
    <w:rsid w:val="00234CBB"/>
    <w:rsid w:val="00235565"/>
    <w:rsid w:val="002358AF"/>
    <w:rsid w:val="00236C1B"/>
    <w:rsid w:val="0024010C"/>
    <w:rsid w:val="00240328"/>
    <w:rsid w:val="0024038C"/>
    <w:rsid w:val="00243257"/>
    <w:rsid w:val="00243947"/>
    <w:rsid w:val="002444A5"/>
    <w:rsid w:val="0024496E"/>
    <w:rsid w:val="0024657A"/>
    <w:rsid w:val="00252D84"/>
    <w:rsid w:val="00252DC6"/>
    <w:rsid w:val="00255DEB"/>
    <w:rsid w:val="0026083A"/>
    <w:rsid w:val="00261553"/>
    <w:rsid w:val="002618F9"/>
    <w:rsid w:val="00267183"/>
    <w:rsid w:val="00271012"/>
    <w:rsid w:val="00271847"/>
    <w:rsid w:val="002718AE"/>
    <w:rsid w:val="00271C79"/>
    <w:rsid w:val="00271E41"/>
    <w:rsid w:val="00277CCF"/>
    <w:rsid w:val="00281629"/>
    <w:rsid w:val="00283E49"/>
    <w:rsid w:val="00285044"/>
    <w:rsid w:val="00293609"/>
    <w:rsid w:val="00297817"/>
    <w:rsid w:val="002A219A"/>
    <w:rsid w:val="002A56BB"/>
    <w:rsid w:val="002B249C"/>
    <w:rsid w:val="002B52F6"/>
    <w:rsid w:val="002C08ED"/>
    <w:rsid w:val="002C6145"/>
    <w:rsid w:val="002C6153"/>
    <w:rsid w:val="002C7F4A"/>
    <w:rsid w:val="002D2290"/>
    <w:rsid w:val="002E13DC"/>
    <w:rsid w:val="002E3562"/>
    <w:rsid w:val="002E3760"/>
    <w:rsid w:val="002E3789"/>
    <w:rsid w:val="002E3DA9"/>
    <w:rsid w:val="002E3FEF"/>
    <w:rsid w:val="002E6057"/>
    <w:rsid w:val="002E790F"/>
    <w:rsid w:val="002F29DE"/>
    <w:rsid w:val="002F3912"/>
    <w:rsid w:val="002F5F63"/>
    <w:rsid w:val="00303F50"/>
    <w:rsid w:val="00313573"/>
    <w:rsid w:val="00315E1B"/>
    <w:rsid w:val="0032126E"/>
    <w:rsid w:val="003216DC"/>
    <w:rsid w:val="00321AB7"/>
    <w:rsid w:val="00321E20"/>
    <w:rsid w:val="003224AE"/>
    <w:rsid w:val="00330B58"/>
    <w:rsid w:val="00333DE3"/>
    <w:rsid w:val="003413B4"/>
    <w:rsid w:val="00343E05"/>
    <w:rsid w:val="003440FB"/>
    <w:rsid w:val="00347475"/>
    <w:rsid w:val="003475C4"/>
    <w:rsid w:val="0035037C"/>
    <w:rsid w:val="003503E6"/>
    <w:rsid w:val="00354CFD"/>
    <w:rsid w:val="003559EA"/>
    <w:rsid w:val="00362A3B"/>
    <w:rsid w:val="00362C86"/>
    <w:rsid w:val="00371D8D"/>
    <w:rsid w:val="00380D8E"/>
    <w:rsid w:val="00381841"/>
    <w:rsid w:val="0038226E"/>
    <w:rsid w:val="00385F37"/>
    <w:rsid w:val="00386567"/>
    <w:rsid w:val="003907EA"/>
    <w:rsid w:val="003909E3"/>
    <w:rsid w:val="00397E82"/>
    <w:rsid w:val="003A1710"/>
    <w:rsid w:val="003B01B8"/>
    <w:rsid w:val="003B4596"/>
    <w:rsid w:val="003B461F"/>
    <w:rsid w:val="003C196B"/>
    <w:rsid w:val="003C3C6E"/>
    <w:rsid w:val="003C65CC"/>
    <w:rsid w:val="003D2104"/>
    <w:rsid w:val="003D5509"/>
    <w:rsid w:val="003E2E57"/>
    <w:rsid w:val="003E3943"/>
    <w:rsid w:val="003E42BE"/>
    <w:rsid w:val="003F0E51"/>
    <w:rsid w:val="003F2765"/>
    <w:rsid w:val="003F2892"/>
    <w:rsid w:val="003F6F6C"/>
    <w:rsid w:val="00400A13"/>
    <w:rsid w:val="004036B6"/>
    <w:rsid w:val="00407FB8"/>
    <w:rsid w:val="00410AB6"/>
    <w:rsid w:val="0041104A"/>
    <w:rsid w:val="00414E78"/>
    <w:rsid w:val="00415A51"/>
    <w:rsid w:val="0041673C"/>
    <w:rsid w:val="00417BCD"/>
    <w:rsid w:val="00420EB7"/>
    <w:rsid w:val="00420F3F"/>
    <w:rsid w:val="00422CCB"/>
    <w:rsid w:val="004232C8"/>
    <w:rsid w:val="00423A4D"/>
    <w:rsid w:val="00424B25"/>
    <w:rsid w:val="004275D1"/>
    <w:rsid w:val="0043034E"/>
    <w:rsid w:val="00430393"/>
    <w:rsid w:val="00430A5A"/>
    <w:rsid w:val="00433455"/>
    <w:rsid w:val="004352E5"/>
    <w:rsid w:val="004356C7"/>
    <w:rsid w:val="00435E9E"/>
    <w:rsid w:val="0044283A"/>
    <w:rsid w:val="00444370"/>
    <w:rsid w:val="00444B15"/>
    <w:rsid w:val="004451E1"/>
    <w:rsid w:val="00445D33"/>
    <w:rsid w:val="0045005C"/>
    <w:rsid w:val="00453B34"/>
    <w:rsid w:val="00455965"/>
    <w:rsid w:val="00461D6C"/>
    <w:rsid w:val="0046211C"/>
    <w:rsid w:val="00465611"/>
    <w:rsid w:val="00472C29"/>
    <w:rsid w:val="00474755"/>
    <w:rsid w:val="00477CFC"/>
    <w:rsid w:val="00480C8E"/>
    <w:rsid w:val="004818D1"/>
    <w:rsid w:val="004823DB"/>
    <w:rsid w:val="00485B5E"/>
    <w:rsid w:val="00490554"/>
    <w:rsid w:val="004A324A"/>
    <w:rsid w:val="004A4D97"/>
    <w:rsid w:val="004A5E06"/>
    <w:rsid w:val="004A5E37"/>
    <w:rsid w:val="004A6334"/>
    <w:rsid w:val="004B30C9"/>
    <w:rsid w:val="004B3D95"/>
    <w:rsid w:val="004B4064"/>
    <w:rsid w:val="004B40BC"/>
    <w:rsid w:val="004B64F9"/>
    <w:rsid w:val="004B67B8"/>
    <w:rsid w:val="004B79E4"/>
    <w:rsid w:val="004C184F"/>
    <w:rsid w:val="004C3432"/>
    <w:rsid w:val="004C7B3C"/>
    <w:rsid w:val="004D03BF"/>
    <w:rsid w:val="004D1803"/>
    <w:rsid w:val="004D5703"/>
    <w:rsid w:val="004D6068"/>
    <w:rsid w:val="004E0535"/>
    <w:rsid w:val="004E3267"/>
    <w:rsid w:val="004E79D6"/>
    <w:rsid w:val="004F0467"/>
    <w:rsid w:val="004F11F3"/>
    <w:rsid w:val="004F29DF"/>
    <w:rsid w:val="004F64AD"/>
    <w:rsid w:val="004F749E"/>
    <w:rsid w:val="004F7D3D"/>
    <w:rsid w:val="005025F0"/>
    <w:rsid w:val="00507DA6"/>
    <w:rsid w:val="0051391A"/>
    <w:rsid w:val="005150A5"/>
    <w:rsid w:val="00515B48"/>
    <w:rsid w:val="00520A9F"/>
    <w:rsid w:val="005246BB"/>
    <w:rsid w:val="005272D7"/>
    <w:rsid w:val="00530B28"/>
    <w:rsid w:val="0053415A"/>
    <w:rsid w:val="005365DD"/>
    <w:rsid w:val="005407E1"/>
    <w:rsid w:val="00540A19"/>
    <w:rsid w:val="00542FE3"/>
    <w:rsid w:val="00543585"/>
    <w:rsid w:val="00544D0E"/>
    <w:rsid w:val="00552633"/>
    <w:rsid w:val="00554C47"/>
    <w:rsid w:val="00557D3F"/>
    <w:rsid w:val="0056214A"/>
    <w:rsid w:val="00563960"/>
    <w:rsid w:val="00563BB6"/>
    <w:rsid w:val="00564226"/>
    <w:rsid w:val="00566D5F"/>
    <w:rsid w:val="00572557"/>
    <w:rsid w:val="00573ECA"/>
    <w:rsid w:val="00576EB2"/>
    <w:rsid w:val="0058380D"/>
    <w:rsid w:val="00596416"/>
    <w:rsid w:val="00597F9F"/>
    <w:rsid w:val="005A26D3"/>
    <w:rsid w:val="005A367B"/>
    <w:rsid w:val="005A51A2"/>
    <w:rsid w:val="005B06A2"/>
    <w:rsid w:val="005B347B"/>
    <w:rsid w:val="005B6B59"/>
    <w:rsid w:val="005C188B"/>
    <w:rsid w:val="005C38BE"/>
    <w:rsid w:val="005D1B2B"/>
    <w:rsid w:val="005D2F46"/>
    <w:rsid w:val="005D38E3"/>
    <w:rsid w:val="005E1080"/>
    <w:rsid w:val="005E21BA"/>
    <w:rsid w:val="005F3CA2"/>
    <w:rsid w:val="005F51DF"/>
    <w:rsid w:val="00601CC2"/>
    <w:rsid w:val="0060288B"/>
    <w:rsid w:val="00612112"/>
    <w:rsid w:val="00613C2E"/>
    <w:rsid w:val="00623CC6"/>
    <w:rsid w:val="00624A96"/>
    <w:rsid w:val="006252C4"/>
    <w:rsid w:val="00625467"/>
    <w:rsid w:val="00626133"/>
    <w:rsid w:val="00626157"/>
    <w:rsid w:val="00632094"/>
    <w:rsid w:val="006341EC"/>
    <w:rsid w:val="00636F53"/>
    <w:rsid w:val="006446FD"/>
    <w:rsid w:val="006465C4"/>
    <w:rsid w:val="006468AE"/>
    <w:rsid w:val="00652E8C"/>
    <w:rsid w:val="00657EA0"/>
    <w:rsid w:val="0066539C"/>
    <w:rsid w:val="00665872"/>
    <w:rsid w:val="006661DD"/>
    <w:rsid w:val="00671B94"/>
    <w:rsid w:val="00671CB3"/>
    <w:rsid w:val="006729CE"/>
    <w:rsid w:val="00677B7E"/>
    <w:rsid w:val="00682631"/>
    <w:rsid w:val="00683F53"/>
    <w:rsid w:val="00686190"/>
    <w:rsid w:val="0069147E"/>
    <w:rsid w:val="00696625"/>
    <w:rsid w:val="006A187E"/>
    <w:rsid w:val="006A2B07"/>
    <w:rsid w:val="006A3954"/>
    <w:rsid w:val="006B3A11"/>
    <w:rsid w:val="006B4FA1"/>
    <w:rsid w:val="006B53F0"/>
    <w:rsid w:val="006C2C99"/>
    <w:rsid w:val="006C35C4"/>
    <w:rsid w:val="006C49AF"/>
    <w:rsid w:val="006C7FB4"/>
    <w:rsid w:val="006D1AE2"/>
    <w:rsid w:val="006D3547"/>
    <w:rsid w:val="006D5EB2"/>
    <w:rsid w:val="006D74C8"/>
    <w:rsid w:val="006E20BC"/>
    <w:rsid w:val="006E4843"/>
    <w:rsid w:val="006E5F4B"/>
    <w:rsid w:val="006F0892"/>
    <w:rsid w:val="006F392A"/>
    <w:rsid w:val="006F39C5"/>
    <w:rsid w:val="006F4C37"/>
    <w:rsid w:val="006F512A"/>
    <w:rsid w:val="006F6A09"/>
    <w:rsid w:val="006F7642"/>
    <w:rsid w:val="007031E4"/>
    <w:rsid w:val="00707FB9"/>
    <w:rsid w:val="0071129B"/>
    <w:rsid w:val="00712EA7"/>
    <w:rsid w:val="00722E61"/>
    <w:rsid w:val="00723D88"/>
    <w:rsid w:val="0072625F"/>
    <w:rsid w:val="007267DD"/>
    <w:rsid w:val="007303B2"/>
    <w:rsid w:val="007306F7"/>
    <w:rsid w:val="007313FD"/>
    <w:rsid w:val="00736F2B"/>
    <w:rsid w:val="00740AD6"/>
    <w:rsid w:val="0074525A"/>
    <w:rsid w:val="00745815"/>
    <w:rsid w:val="007470AC"/>
    <w:rsid w:val="00750753"/>
    <w:rsid w:val="007507FF"/>
    <w:rsid w:val="007511EB"/>
    <w:rsid w:val="00753194"/>
    <w:rsid w:val="0075697F"/>
    <w:rsid w:val="0075772B"/>
    <w:rsid w:val="00763B65"/>
    <w:rsid w:val="0077065E"/>
    <w:rsid w:val="00777257"/>
    <w:rsid w:val="007778A7"/>
    <w:rsid w:val="00780B7B"/>
    <w:rsid w:val="0078195C"/>
    <w:rsid w:val="007827AA"/>
    <w:rsid w:val="00785F1F"/>
    <w:rsid w:val="00791009"/>
    <w:rsid w:val="00793596"/>
    <w:rsid w:val="0079406E"/>
    <w:rsid w:val="007A0C61"/>
    <w:rsid w:val="007A121D"/>
    <w:rsid w:val="007A25B1"/>
    <w:rsid w:val="007A3247"/>
    <w:rsid w:val="007A3E2C"/>
    <w:rsid w:val="007A4302"/>
    <w:rsid w:val="007A440B"/>
    <w:rsid w:val="007A4942"/>
    <w:rsid w:val="007A4CBE"/>
    <w:rsid w:val="007B01F6"/>
    <w:rsid w:val="007B186D"/>
    <w:rsid w:val="007B6023"/>
    <w:rsid w:val="007B63A1"/>
    <w:rsid w:val="007C6C6A"/>
    <w:rsid w:val="007D1001"/>
    <w:rsid w:val="007D1915"/>
    <w:rsid w:val="007D5BF4"/>
    <w:rsid w:val="007D5D67"/>
    <w:rsid w:val="007E0454"/>
    <w:rsid w:val="007E1B9A"/>
    <w:rsid w:val="007E5958"/>
    <w:rsid w:val="007F129F"/>
    <w:rsid w:val="007F6EFE"/>
    <w:rsid w:val="007F71ED"/>
    <w:rsid w:val="00801C32"/>
    <w:rsid w:val="008039F0"/>
    <w:rsid w:val="00803C3D"/>
    <w:rsid w:val="008041F5"/>
    <w:rsid w:val="00805869"/>
    <w:rsid w:val="00805A92"/>
    <w:rsid w:val="008074E4"/>
    <w:rsid w:val="00810BE8"/>
    <w:rsid w:val="008119E6"/>
    <w:rsid w:val="00811EAB"/>
    <w:rsid w:val="008144B5"/>
    <w:rsid w:val="00814EA8"/>
    <w:rsid w:val="0081791E"/>
    <w:rsid w:val="00822C2B"/>
    <w:rsid w:val="008345CD"/>
    <w:rsid w:val="00835909"/>
    <w:rsid w:val="008379E2"/>
    <w:rsid w:val="00841D8E"/>
    <w:rsid w:val="00847E42"/>
    <w:rsid w:val="00861F0D"/>
    <w:rsid w:val="008620E0"/>
    <w:rsid w:val="00864C94"/>
    <w:rsid w:val="00867EC6"/>
    <w:rsid w:val="00871D91"/>
    <w:rsid w:val="00872311"/>
    <w:rsid w:val="008726B0"/>
    <w:rsid w:val="00880618"/>
    <w:rsid w:val="00880F7B"/>
    <w:rsid w:val="0088190F"/>
    <w:rsid w:val="00886DDC"/>
    <w:rsid w:val="00893A90"/>
    <w:rsid w:val="008B445C"/>
    <w:rsid w:val="008B48EA"/>
    <w:rsid w:val="008B70B2"/>
    <w:rsid w:val="008C06F0"/>
    <w:rsid w:val="008C1736"/>
    <w:rsid w:val="008C301C"/>
    <w:rsid w:val="008C354E"/>
    <w:rsid w:val="008C7AD1"/>
    <w:rsid w:val="008D0981"/>
    <w:rsid w:val="008D22D0"/>
    <w:rsid w:val="008D2AC7"/>
    <w:rsid w:val="008D2B44"/>
    <w:rsid w:val="008D6C11"/>
    <w:rsid w:val="008D6D0D"/>
    <w:rsid w:val="008E07F6"/>
    <w:rsid w:val="008E1A22"/>
    <w:rsid w:val="008E1C34"/>
    <w:rsid w:val="008E1E97"/>
    <w:rsid w:val="008E5DB9"/>
    <w:rsid w:val="008E7689"/>
    <w:rsid w:val="008F1498"/>
    <w:rsid w:val="008F6758"/>
    <w:rsid w:val="008F7A1B"/>
    <w:rsid w:val="00902613"/>
    <w:rsid w:val="00912B17"/>
    <w:rsid w:val="00913D3D"/>
    <w:rsid w:val="00926229"/>
    <w:rsid w:val="00927188"/>
    <w:rsid w:val="00930A69"/>
    <w:rsid w:val="0093418A"/>
    <w:rsid w:val="00934C3B"/>
    <w:rsid w:val="009421A2"/>
    <w:rsid w:val="00944CAA"/>
    <w:rsid w:val="00946349"/>
    <w:rsid w:val="00946BBB"/>
    <w:rsid w:val="00947E08"/>
    <w:rsid w:val="00952AC4"/>
    <w:rsid w:val="009538A4"/>
    <w:rsid w:val="00954318"/>
    <w:rsid w:val="0095433F"/>
    <w:rsid w:val="00954F0E"/>
    <w:rsid w:val="009551A3"/>
    <w:rsid w:val="00956123"/>
    <w:rsid w:val="00962CE4"/>
    <w:rsid w:val="0096681D"/>
    <w:rsid w:val="0096749A"/>
    <w:rsid w:val="0097036C"/>
    <w:rsid w:val="00975AB5"/>
    <w:rsid w:val="00976910"/>
    <w:rsid w:val="00981E8C"/>
    <w:rsid w:val="0098457F"/>
    <w:rsid w:val="009847F9"/>
    <w:rsid w:val="009857DB"/>
    <w:rsid w:val="0098586E"/>
    <w:rsid w:val="00990CFE"/>
    <w:rsid w:val="00993F6D"/>
    <w:rsid w:val="00996CE6"/>
    <w:rsid w:val="009A0B5E"/>
    <w:rsid w:val="009A2287"/>
    <w:rsid w:val="009A2842"/>
    <w:rsid w:val="009B2A4A"/>
    <w:rsid w:val="009B3B20"/>
    <w:rsid w:val="009B3D56"/>
    <w:rsid w:val="009B437D"/>
    <w:rsid w:val="009B493C"/>
    <w:rsid w:val="009B5C36"/>
    <w:rsid w:val="009B5F4F"/>
    <w:rsid w:val="009C1411"/>
    <w:rsid w:val="009C788B"/>
    <w:rsid w:val="009D1689"/>
    <w:rsid w:val="009D2297"/>
    <w:rsid w:val="009D4621"/>
    <w:rsid w:val="009D5C60"/>
    <w:rsid w:val="009E0E05"/>
    <w:rsid w:val="009E1ECB"/>
    <w:rsid w:val="009E2840"/>
    <w:rsid w:val="009E2D96"/>
    <w:rsid w:val="009E3E80"/>
    <w:rsid w:val="009E52B4"/>
    <w:rsid w:val="009E539E"/>
    <w:rsid w:val="009E6670"/>
    <w:rsid w:val="009F6C4E"/>
    <w:rsid w:val="009F732C"/>
    <w:rsid w:val="00A023CE"/>
    <w:rsid w:val="00A02A95"/>
    <w:rsid w:val="00A03305"/>
    <w:rsid w:val="00A042C1"/>
    <w:rsid w:val="00A11286"/>
    <w:rsid w:val="00A12EDA"/>
    <w:rsid w:val="00A15686"/>
    <w:rsid w:val="00A16D4D"/>
    <w:rsid w:val="00A215B9"/>
    <w:rsid w:val="00A21E4E"/>
    <w:rsid w:val="00A2271E"/>
    <w:rsid w:val="00A31946"/>
    <w:rsid w:val="00A31F24"/>
    <w:rsid w:val="00A32443"/>
    <w:rsid w:val="00A358C2"/>
    <w:rsid w:val="00A41A47"/>
    <w:rsid w:val="00A43894"/>
    <w:rsid w:val="00A44725"/>
    <w:rsid w:val="00A50B72"/>
    <w:rsid w:val="00A50BFA"/>
    <w:rsid w:val="00A52ADE"/>
    <w:rsid w:val="00A610BB"/>
    <w:rsid w:val="00A626A7"/>
    <w:rsid w:val="00A63DD6"/>
    <w:rsid w:val="00A64019"/>
    <w:rsid w:val="00A645CA"/>
    <w:rsid w:val="00A6603E"/>
    <w:rsid w:val="00A662A6"/>
    <w:rsid w:val="00A677EC"/>
    <w:rsid w:val="00A70C63"/>
    <w:rsid w:val="00A72B8E"/>
    <w:rsid w:val="00A730F7"/>
    <w:rsid w:val="00A732A3"/>
    <w:rsid w:val="00A737F4"/>
    <w:rsid w:val="00A73B24"/>
    <w:rsid w:val="00A74657"/>
    <w:rsid w:val="00A7573C"/>
    <w:rsid w:val="00A759EA"/>
    <w:rsid w:val="00A75A99"/>
    <w:rsid w:val="00A7620F"/>
    <w:rsid w:val="00A77A71"/>
    <w:rsid w:val="00A77AFF"/>
    <w:rsid w:val="00A83E1A"/>
    <w:rsid w:val="00A92576"/>
    <w:rsid w:val="00A93473"/>
    <w:rsid w:val="00A955CF"/>
    <w:rsid w:val="00A978E2"/>
    <w:rsid w:val="00AA07D1"/>
    <w:rsid w:val="00AA12A5"/>
    <w:rsid w:val="00AB00E6"/>
    <w:rsid w:val="00AB225F"/>
    <w:rsid w:val="00AB4A73"/>
    <w:rsid w:val="00AC041C"/>
    <w:rsid w:val="00AC2767"/>
    <w:rsid w:val="00AC6430"/>
    <w:rsid w:val="00AC7BA9"/>
    <w:rsid w:val="00AE6091"/>
    <w:rsid w:val="00AE7962"/>
    <w:rsid w:val="00AF11AE"/>
    <w:rsid w:val="00B008A5"/>
    <w:rsid w:val="00B01717"/>
    <w:rsid w:val="00B055C9"/>
    <w:rsid w:val="00B11D4C"/>
    <w:rsid w:val="00B173E5"/>
    <w:rsid w:val="00B17E9B"/>
    <w:rsid w:val="00B22C5D"/>
    <w:rsid w:val="00B23066"/>
    <w:rsid w:val="00B2446F"/>
    <w:rsid w:val="00B258E1"/>
    <w:rsid w:val="00B25FD3"/>
    <w:rsid w:val="00B26526"/>
    <w:rsid w:val="00B26CC8"/>
    <w:rsid w:val="00B2703D"/>
    <w:rsid w:val="00B27185"/>
    <w:rsid w:val="00B272FF"/>
    <w:rsid w:val="00B30FB0"/>
    <w:rsid w:val="00B3117F"/>
    <w:rsid w:val="00B35E4E"/>
    <w:rsid w:val="00B36969"/>
    <w:rsid w:val="00B40FA3"/>
    <w:rsid w:val="00B45185"/>
    <w:rsid w:val="00B45841"/>
    <w:rsid w:val="00B465DA"/>
    <w:rsid w:val="00B47BE2"/>
    <w:rsid w:val="00B50184"/>
    <w:rsid w:val="00B51E2A"/>
    <w:rsid w:val="00B53E04"/>
    <w:rsid w:val="00B56EC4"/>
    <w:rsid w:val="00B614AF"/>
    <w:rsid w:val="00B62A58"/>
    <w:rsid w:val="00B655C3"/>
    <w:rsid w:val="00B70C0B"/>
    <w:rsid w:val="00B733AE"/>
    <w:rsid w:val="00B743CA"/>
    <w:rsid w:val="00B74869"/>
    <w:rsid w:val="00B750CC"/>
    <w:rsid w:val="00B75B5A"/>
    <w:rsid w:val="00B82073"/>
    <w:rsid w:val="00B96314"/>
    <w:rsid w:val="00B9670E"/>
    <w:rsid w:val="00B977D8"/>
    <w:rsid w:val="00BA158E"/>
    <w:rsid w:val="00BA18A3"/>
    <w:rsid w:val="00BA24D9"/>
    <w:rsid w:val="00BA2BE7"/>
    <w:rsid w:val="00BA2F47"/>
    <w:rsid w:val="00BA52F1"/>
    <w:rsid w:val="00BA73CF"/>
    <w:rsid w:val="00BB3924"/>
    <w:rsid w:val="00BB405F"/>
    <w:rsid w:val="00BC02F1"/>
    <w:rsid w:val="00BC31D4"/>
    <w:rsid w:val="00BC75B3"/>
    <w:rsid w:val="00BD3DE9"/>
    <w:rsid w:val="00BD4233"/>
    <w:rsid w:val="00BE3689"/>
    <w:rsid w:val="00BE6FD6"/>
    <w:rsid w:val="00BF44E5"/>
    <w:rsid w:val="00BF6295"/>
    <w:rsid w:val="00C00379"/>
    <w:rsid w:val="00C0182F"/>
    <w:rsid w:val="00C035D8"/>
    <w:rsid w:val="00C16AD8"/>
    <w:rsid w:val="00C201F8"/>
    <w:rsid w:val="00C215BA"/>
    <w:rsid w:val="00C2458C"/>
    <w:rsid w:val="00C249A5"/>
    <w:rsid w:val="00C24EC3"/>
    <w:rsid w:val="00C30CFB"/>
    <w:rsid w:val="00C30DF2"/>
    <w:rsid w:val="00C31560"/>
    <w:rsid w:val="00C441FE"/>
    <w:rsid w:val="00C51629"/>
    <w:rsid w:val="00C53268"/>
    <w:rsid w:val="00C54A0A"/>
    <w:rsid w:val="00C555A3"/>
    <w:rsid w:val="00C56B0C"/>
    <w:rsid w:val="00C604CF"/>
    <w:rsid w:val="00C61C57"/>
    <w:rsid w:val="00C62B61"/>
    <w:rsid w:val="00C630ED"/>
    <w:rsid w:val="00C63B95"/>
    <w:rsid w:val="00C63D48"/>
    <w:rsid w:val="00C6407E"/>
    <w:rsid w:val="00C83FC3"/>
    <w:rsid w:val="00C87627"/>
    <w:rsid w:val="00C933FA"/>
    <w:rsid w:val="00C9412F"/>
    <w:rsid w:val="00C94544"/>
    <w:rsid w:val="00C94DAD"/>
    <w:rsid w:val="00C95A22"/>
    <w:rsid w:val="00CA23E1"/>
    <w:rsid w:val="00CA2C28"/>
    <w:rsid w:val="00CA346D"/>
    <w:rsid w:val="00CA5EFD"/>
    <w:rsid w:val="00CB1E96"/>
    <w:rsid w:val="00CB5152"/>
    <w:rsid w:val="00CB6813"/>
    <w:rsid w:val="00CC24C0"/>
    <w:rsid w:val="00CC3046"/>
    <w:rsid w:val="00CC3582"/>
    <w:rsid w:val="00CD5FB9"/>
    <w:rsid w:val="00CE0990"/>
    <w:rsid w:val="00CE17CD"/>
    <w:rsid w:val="00CE2985"/>
    <w:rsid w:val="00CE4BD3"/>
    <w:rsid w:val="00CF27F5"/>
    <w:rsid w:val="00CF3004"/>
    <w:rsid w:val="00CF6B7D"/>
    <w:rsid w:val="00D00CDE"/>
    <w:rsid w:val="00D02935"/>
    <w:rsid w:val="00D0768F"/>
    <w:rsid w:val="00D11796"/>
    <w:rsid w:val="00D11E09"/>
    <w:rsid w:val="00D140EB"/>
    <w:rsid w:val="00D155DC"/>
    <w:rsid w:val="00D15B23"/>
    <w:rsid w:val="00D1602A"/>
    <w:rsid w:val="00D17A48"/>
    <w:rsid w:val="00D21E19"/>
    <w:rsid w:val="00D23428"/>
    <w:rsid w:val="00D27A96"/>
    <w:rsid w:val="00D310C0"/>
    <w:rsid w:val="00D3122D"/>
    <w:rsid w:val="00D35B08"/>
    <w:rsid w:val="00D438FA"/>
    <w:rsid w:val="00D45C7B"/>
    <w:rsid w:val="00D45FE9"/>
    <w:rsid w:val="00D46FEB"/>
    <w:rsid w:val="00D53E9A"/>
    <w:rsid w:val="00D53F58"/>
    <w:rsid w:val="00D54154"/>
    <w:rsid w:val="00D569BB"/>
    <w:rsid w:val="00D60595"/>
    <w:rsid w:val="00D660A6"/>
    <w:rsid w:val="00D70957"/>
    <w:rsid w:val="00D710A0"/>
    <w:rsid w:val="00D714D7"/>
    <w:rsid w:val="00D81FCC"/>
    <w:rsid w:val="00D82E41"/>
    <w:rsid w:val="00D84A6C"/>
    <w:rsid w:val="00D91216"/>
    <w:rsid w:val="00D9227E"/>
    <w:rsid w:val="00D96C3D"/>
    <w:rsid w:val="00DA0263"/>
    <w:rsid w:val="00DA1E7A"/>
    <w:rsid w:val="00DA29F6"/>
    <w:rsid w:val="00DA52A4"/>
    <w:rsid w:val="00DA6A35"/>
    <w:rsid w:val="00DA6B5E"/>
    <w:rsid w:val="00DA7D5B"/>
    <w:rsid w:val="00DB1DD3"/>
    <w:rsid w:val="00DB40ED"/>
    <w:rsid w:val="00DB4B50"/>
    <w:rsid w:val="00DC2328"/>
    <w:rsid w:val="00DD1A81"/>
    <w:rsid w:val="00DD7214"/>
    <w:rsid w:val="00DD73E2"/>
    <w:rsid w:val="00DE161E"/>
    <w:rsid w:val="00DE5141"/>
    <w:rsid w:val="00DF1D85"/>
    <w:rsid w:val="00DF2E10"/>
    <w:rsid w:val="00DF4866"/>
    <w:rsid w:val="00DF50EF"/>
    <w:rsid w:val="00DF50FF"/>
    <w:rsid w:val="00DF63E3"/>
    <w:rsid w:val="00DF6A09"/>
    <w:rsid w:val="00E00EEE"/>
    <w:rsid w:val="00E076D1"/>
    <w:rsid w:val="00E07966"/>
    <w:rsid w:val="00E07D2A"/>
    <w:rsid w:val="00E106E4"/>
    <w:rsid w:val="00E14F4F"/>
    <w:rsid w:val="00E21073"/>
    <w:rsid w:val="00E23016"/>
    <w:rsid w:val="00E250E1"/>
    <w:rsid w:val="00E2682F"/>
    <w:rsid w:val="00E34A7C"/>
    <w:rsid w:val="00E35E77"/>
    <w:rsid w:val="00E370B9"/>
    <w:rsid w:val="00E373F0"/>
    <w:rsid w:val="00E435F8"/>
    <w:rsid w:val="00E44BC6"/>
    <w:rsid w:val="00E45114"/>
    <w:rsid w:val="00E45415"/>
    <w:rsid w:val="00E46C7F"/>
    <w:rsid w:val="00E47293"/>
    <w:rsid w:val="00E510CC"/>
    <w:rsid w:val="00E52315"/>
    <w:rsid w:val="00E52D37"/>
    <w:rsid w:val="00E55EF1"/>
    <w:rsid w:val="00E568FA"/>
    <w:rsid w:val="00E614BB"/>
    <w:rsid w:val="00E61568"/>
    <w:rsid w:val="00E64B38"/>
    <w:rsid w:val="00E65E7A"/>
    <w:rsid w:val="00E73EF6"/>
    <w:rsid w:val="00E85C8D"/>
    <w:rsid w:val="00E90882"/>
    <w:rsid w:val="00E912DD"/>
    <w:rsid w:val="00E92408"/>
    <w:rsid w:val="00E92503"/>
    <w:rsid w:val="00E92B39"/>
    <w:rsid w:val="00E9514C"/>
    <w:rsid w:val="00EA2724"/>
    <w:rsid w:val="00EA4E02"/>
    <w:rsid w:val="00EB339A"/>
    <w:rsid w:val="00EB3AD6"/>
    <w:rsid w:val="00EC053F"/>
    <w:rsid w:val="00EC2090"/>
    <w:rsid w:val="00EC34C6"/>
    <w:rsid w:val="00EC4AD0"/>
    <w:rsid w:val="00EC7512"/>
    <w:rsid w:val="00EC7E18"/>
    <w:rsid w:val="00ED5531"/>
    <w:rsid w:val="00EE0D0C"/>
    <w:rsid w:val="00EE20D4"/>
    <w:rsid w:val="00EF0A25"/>
    <w:rsid w:val="00EF4BA8"/>
    <w:rsid w:val="00EF5FF9"/>
    <w:rsid w:val="00EF6E5D"/>
    <w:rsid w:val="00F00FFC"/>
    <w:rsid w:val="00F05C80"/>
    <w:rsid w:val="00F07638"/>
    <w:rsid w:val="00F07AB2"/>
    <w:rsid w:val="00F10618"/>
    <w:rsid w:val="00F115B1"/>
    <w:rsid w:val="00F134A5"/>
    <w:rsid w:val="00F173D4"/>
    <w:rsid w:val="00F21464"/>
    <w:rsid w:val="00F225F9"/>
    <w:rsid w:val="00F245EB"/>
    <w:rsid w:val="00F26B60"/>
    <w:rsid w:val="00F314A7"/>
    <w:rsid w:val="00F33F0F"/>
    <w:rsid w:val="00F37E0E"/>
    <w:rsid w:val="00F4008C"/>
    <w:rsid w:val="00F42FED"/>
    <w:rsid w:val="00F43A2F"/>
    <w:rsid w:val="00F43CF9"/>
    <w:rsid w:val="00F44385"/>
    <w:rsid w:val="00F464B1"/>
    <w:rsid w:val="00F46A04"/>
    <w:rsid w:val="00F471C1"/>
    <w:rsid w:val="00F500CA"/>
    <w:rsid w:val="00F53DCC"/>
    <w:rsid w:val="00F53FC2"/>
    <w:rsid w:val="00F572B7"/>
    <w:rsid w:val="00F60403"/>
    <w:rsid w:val="00F624A4"/>
    <w:rsid w:val="00F63938"/>
    <w:rsid w:val="00F67CD0"/>
    <w:rsid w:val="00F73D2A"/>
    <w:rsid w:val="00F75A02"/>
    <w:rsid w:val="00F8101F"/>
    <w:rsid w:val="00F813EF"/>
    <w:rsid w:val="00F85398"/>
    <w:rsid w:val="00F941A1"/>
    <w:rsid w:val="00FA5B4B"/>
    <w:rsid w:val="00FA616D"/>
    <w:rsid w:val="00FA67FA"/>
    <w:rsid w:val="00FA6F6F"/>
    <w:rsid w:val="00FB4C5A"/>
    <w:rsid w:val="00FC5DA5"/>
    <w:rsid w:val="00FD0787"/>
    <w:rsid w:val="00FD0FFF"/>
    <w:rsid w:val="00FD15B6"/>
    <w:rsid w:val="00FD25F5"/>
    <w:rsid w:val="00FD5B7A"/>
    <w:rsid w:val="00FE0D3F"/>
    <w:rsid w:val="00FE12D2"/>
    <w:rsid w:val="00FE463A"/>
    <w:rsid w:val="00FE5323"/>
    <w:rsid w:val="00FE58DC"/>
    <w:rsid w:val="00FF1A57"/>
    <w:rsid w:val="00FF2334"/>
    <w:rsid w:val="00FF5745"/>
    <w:rsid w:val="00FF6E16"/>
    <w:rsid w:val="084A37B2"/>
    <w:rsid w:val="26B12840"/>
    <w:rsid w:val="318848D9"/>
    <w:rsid w:val="4A3F6C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before="0" w:after="0" w:line="240" w:lineRule="auto"/>
      <w:jc w:val="both"/>
    </w:pPr>
    <w:rPr>
      <w:rFonts w:ascii="Times New Roman" w:hAnsi="Times New Roman" w:eastAsia="宋体" w:cs="Times New Roman"/>
      <w:kern w:val="2"/>
      <w:sz w:val="21"/>
      <w:szCs w:val="24"/>
      <w:lang w:val="en-US" w:eastAsia="zh-CN" w:bidi="ar-SA"/>
    </w:rPr>
  </w:style>
  <w:style w:type="paragraph" w:styleId="2">
    <w:name w:val="heading 1"/>
    <w:basedOn w:val="1"/>
    <w:next w:val="1"/>
    <w:link w:val="24"/>
    <w:qFormat/>
    <w:uiPriority w:val="9"/>
    <w:pPr>
      <w:pBdr>
        <w:top w:val="single" w:color="5B9BD5" w:sz="24" w:space="0"/>
        <w:left w:val="single" w:color="5B9BD5" w:sz="24" w:space="0"/>
        <w:bottom w:val="single" w:color="5B9BD5" w:sz="24" w:space="0"/>
        <w:right w:val="single" w:color="5B9BD5" w:sz="24" w:space="0"/>
      </w:pBdr>
      <w:shd w:val="clear" w:color="auto" w:fill="5B9BD5"/>
      <w:outlineLvl w:val="0"/>
    </w:pPr>
    <w:rPr>
      <w:rFonts w:eastAsia="Times New Roman"/>
      <w:b/>
      <w:color w:val="000000" w:themeColor="text1"/>
      <w:spacing w:val="15"/>
      <w:sz w:val="22"/>
      <w:szCs w:val="22"/>
      <w14:textFill>
        <w14:solidFill>
          <w14:schemeClr w14:val="tx1"/>
        </w14:solidFill>
      </w14:textFill>
    </w:rPr>
  </w:style>
  <w:style w:type="paragraph" w:styleId="3">
    <w:name w:val="heading 2"/>
    <w:basedOn w:val="1"/>
    <w:next w:val="1"/>
    <w:link w:val="25"/>
    <w:unhideWhenUsed/>
    <w:qFormat/>
    <w:uiPriority w:val="9"/>
    <w:pPr>
      <w:pBdr>
        <w:top w:val="single" w:color="DEEAF6" w:sz="24" w:space="0"/>
        <w:left w:val="single" w:color="DEEAF6" w:sz="24" w:space="0"/>
        <w:bottom w:val="single" w:color="DEEAF6" w:sz="24" w:space="0"/>
        <w:right w:val="single" w:color="DEEAF6" w:sz="24" w:space="0"/>
      </w:pBdr>
      <w:shd w:val="clear" w:color="auto" w:fill="DEEAF6"/>
      <w:outlineLvl w:val="1"/>
    </w:pPr>
    <w:rPr>
      <w:b/>
      <w:spacing w:val="15"/>
    </w:rPr>
  </w:style>
  <w:style w:type="paragraph" w:styleId="4">
    <w:name w:val="heading 3"/>
    <w:basedOn w:val="1"/>
    <w:next w:val="1"/>
    <w:link w:val="26"/>
    <w:unhideWhenUsed/>
    <w:qFormat/>
    <w:uiPriority w:val="9"/>
    <w:pPr>
      <w:pBdr>
        <w:top w:val="single" w:color="5B9BD5" w:sz="6" w:space="2"/>
      </w:pBdr>
      <w:spacing w:before="300"/>
      <w:outlineLvl w:val="2"/>
    </w:pPr>
    <w:rPr>
      <w:b/>
      <w:bCs/>
      <w:color w:val="1F4D78"/>
      <w:spacing w:val="15"/>
    </w:rPr>
  </w:style>
  <w:style w:type="paragraph" w:styleId="5">
    <w:name w:val="heading 4"/>
    <w:basedOn w:val="1"/>
    <w:next w:val="1"/>
    <w:link w:val="27"/>
    <w:semiHidden/>
    <w:unhideWhenUsed/>
    <w:qFormat/>
    <w:uiPriority w:val="9"/>
    <w:pPr>
      <w:pBdr>
        <w:top w:val="dotted" w:color="5B9BD5" w:sz="6" w:space="2"/>
      </w:pBdr>
      <w:spacing w:before="200"/>
      <w:outlineLvl w:val="3"/>
    </w:pPr>
    <w:rPr>
      <w:caps/>
      <w:color w:val="2E74B5"/>
      <w:spacing w:val="10"/>
    </w:rPr>
  </w:style>
  <w:style w:type="paragraph" w:styleId="6">
    <w:name w:val="heading 5"/>
    <w:basedOn w:val="1"/>
    <w:next w:val="1"/>
    <w:link w:val="28"/>
    <w:semiHidden/>
    <w:unhideWhenUsed/>
    <w:qFormat/>
    <w:uiPriority w:val="9"/>
    <w:pPr>
      <w:pBdr>
        <w:bottom w:val="single" w:color="5B9BD5" w:sz="6" w:space="1"/>
      </w:pBdr>
      <w:spacing w:before="200"/>
      <w:outlineLvl w:val="4"/>
    </w:pPr>
    <w:rPr>
      <w:caps/>
      <w:color w:val="2E74B5"/>
      <w:spacing w:val="10"/>
    </w:rPr>
  </w:style>
  <w:style w:type="paragraph" w:styleId="7">
    <w:name w:val="heading 6"/>
    <w:basedOn w:val="1"/>
    <w:next w:val="1"/>
    <w:link w:val="29"/>
    <w:semiHidden/>
    <w:unhideWhenUsed/>
    <w:qFormat/>
    <w:uiPriority w:val="9"/>
    <w:pPr>
      <w:pBdr>
        <w:bottom w:val="dotted" w:color="5B9BD5" w:sz="6" w:space="1"/>
      </w:pBdr>
      <w:spacing w:before="200"/>
      <w:outlineLvl w:val="5"/>
    </w:pPr>
    <w:rPr>
      <w:caps/>
      <w:color w:val="2E74B5"/>
      <w:spacing w:val="10"/>
    </w:rPr>
  </w:style>
  <w:style w:type="paragraph" w:styleId="8">
    <w:name w:val="heading 7"/>
    <w:basedOn w:val="1"/>
    <w:next w:val="1"/>
    <w:link w:val="30"/>
    <w:semiHidden/>
    <w:unhideWhenUsed/>
    <w:qFormat/>
    <w:uiPriority w:val="9"/>
    <w:pPr>
      <w:spacing w:before="200"/>
      <w:outlineLvl w:val="6"/>
    </w:pPr>
    <w:rPr>
      <w:caps/>
      <w:color w:val="2E74B5"/>
      <w:spacing w:val="10"/>
    </w:rPr>
  </w:style>
  <w:style w:type="paragraph" w:styleId="9">
    <w:name w:val="heading 8"/>
    <w:basedOn w:val="1"/>
    <w:next w:val="1"/>
    <w:link w:val="31"/>
    <w:semiHidden/>
    <w:unhideWhenUsed/>
    <w:qFormat/>
    <w:uiPriority w:val="9"/>
    <w:pPr>
      <w:spacing w:before="200"/>
      <w:outlineLvl w:val="7"/>
    </w:pPr>
    <w:rPr>
      <w:caps/>
      <w:spacing w:val="10"/>
      <w:sz w:val="18"/>
      <w:szCs w:val="18"/>
    </w:rPr>
  </w:style>
  <w:style w:type="paragraph" w:styleId="10">
    <w:name w:val="heading 9"/>
    <w:basedOn w:val="1"/>
    <w:next w:val="1"/>
    <w:link w:val="32"/>
    <w:semiHidden/>
    <w:unhideWhenUsed/>
    <w:qFormat/>
    <w:uiPriority w:val="9"/>
    <w:pPr>
      <w:spacing w:before="200"/>
      <w:outlineLvl w:val="8"/>
    </w:pPr>
    <w:rPr>
      <w:i/>
      <w:iCs/>
      <w:caps/>
      <w:spacing w:val="10"/>
      <w:sz w:val="18"/>
      <w:szCs w:val="18"/>
    </w:rPr>
  </w:style>
  <w:style w:type="character" w:default="1" w:styleId="20">
    <w:name w:val="Default Paragraph Font"/>
    <w:semiHidden/>
    <w:unhideWhenUsed/>
    <w:qFormat/>
    <w:uiPriority w:val="1"/>
  </w:style>
  <w:style w:type="table" w:default="1" w:styleId="19">
    <w:name w:val="Normal Table"/>
    <w:semiHidden/>
    <w:unhideWhenUsed/>
    <w:qFormat/>
    <w:uiPriority w:val="99"/>
    <w:tblPr>
      <w:tblCellMar>
        <w:top w:w="0" w:type="dxa"/>
        <w:left w:w="108" w:type="dxa"/>
        <w:bottom w:w="0" w:type="dxa"/>
        <w:right w:w="108" w:type="dxa"/>
      </w:tblCellMar>
    </w:tblPr>
  </w:style>
  <w:style w:type="paragraph" w:styleId="11">
    <w:name w:val="caption"/>
    <w:basedOn w:val="1"/>
    <w:next w:val="1"/>
    <w:semiHidden/>
    <w:unhideWhenUsed/>
    <w:qFormat/>
    <w:uiPriority w:val="35"/>
    <w:rPr>
      <w:b/>
      <w:bCs/>
      <w:color w:val="2E74B5"/>
      <w:sz w:val="16"/>
      <w:szCs w:val="16"/>
    </w:rPr>
  </w:style>
  <w:style w:type="paragraph" w:styleId="12">
    <w:name w:val="toc 3"/>
    <w:basedOn w:val="1"/>
    <w:next w:val="1"/>
    <w:unhideWhenUsed/>
    <w:uiPriority w:val="39"/>
    <w:pPr>
      <w:ind w:left="840" w:leftChars="400"/>
    </w:pPr>
  </w:style>
  <w:style w:type="paragraph" w:styleId="13">
    <w:name w:val="footer"/>
    <w:basedOn w:val="1"/>
    <w:link w:val="47"/>
    <w:unhideWhenUsed/>
    <w:uiPriority w:val="99"/>
    <w:pPr>
      <w:tabs>
        <w:tab w:val="center" w:pos="4153"/>
        <w:tab w:val="right" w:pos="8306"/>
      </w:tabs>
      <w:snapToGrid w:val="0"/>
    </w:pPr>
    <w:rPr>
      <w:sz w:val="18"/>
      <w:szCs w:val="18"/>
    </w:rPr>
  </w:style>
  <w:style w:type="paragraph" w:styleId="14">
    <w:name w:val="header"/>
    <w:basedOn w:val="1"/>
    <w:link w:val="46"/>
    <w:unhideWhenUsed/>
    <w:uiPriority w:val="99"/>
    <w:pPr>
      <w:pBdr>
        <w:bottom w:val="single" w:color="auto" w:sz="6" w:space="1"/>
      </w:pBdr>
      <w:tabs>
        <w:tab w:val="center" w:pos="4153"/>
        <w:tab w:val="right" w:pos="8306"/>
      </w:tabs>
      <w:snapToGrid w:val="0"/>
      <w:jc w:val="center"/>
    </w:pPr>
    <w:rPr>
      <w:sz w:val="18"/>
      <w:szCs w:val="18"/>
    </w:rPr>
  </w:style>
  <w:style w:type="paragraph" w:styleId="15">
    <w:name w:val="toc 1"/>
    <w:basedOn w:val="1"/>
    <w:next w:val="1"/>
    <w:unhideWhenUsed/>
    <w:uiPriority w:val="39"/>
  </w:style>
  <w:style w:type="paragraph" w:styleId="16">
    <w:name w:val="Subtitle"/>
    <w:basedOn w:val="1"/>
    <w:next w:val="1"/>
    <w:link w:val="34"/>
    <w:qFormat/>
    <w:uiPriority w:val="11"/>
    <w:pPr>
      <w:spacing w:after="500"/>
    </w:pPr>
    <w:rPr>
      <w:caps/>
      <w:color w:val="595959"/>
      <w:spacing w:val="10"/>
      <w:szCs w:val="21"/>
    </w:rPr>
  </w:style>
  <w:style w:type="paragraph" w:styleId="17">
    <w:name w:val="toc 2"/>
    <w:basedOn w:val="1"/>
    <w:next w:val="1"/>
    <w:unhideWhenUsed/>
    <w:uiPriority w:val="39"/>
    <w:pPr>
      <w:ind w:left="420" w:leftChars="200"/>
    </w:pPr>
  </w:style>
  <w:style w:type="paragraph" w:styleId="18">
    <w:name w:val="Title"/>
    <w:basedOn w:val="1"/>
    <w:next w:val="1"/>
    <w:link w:val="33"/>
    <w:qFormat/>
    <w:uiPriority w:val="10"/>
    <w:rPr>
      <w:rFonts w:ascii="Calibri Light" w:hAnsi="Calibri Light"/>
      <w:caps/>
      <w:color w:val="5B9BD5"/>
      <w:spacing w:val="10"/>
      <w:sz w:val="52"/>
      <w:szCs w:val="52"/>
    </w:rPr>
  </w:style>
  <w:style w:type="character" w:styleId="21">
    <w:name w:val="Strong"/>
    <w:qFormat/>
    <w:uiPriority w:val="22"/>
    <w:rPr>
      <w:b/>
      <w:bCs/>
    </w:rPr>
  </w:style>
  <w:style w:type="character" w:styleId="22">
    <w:name w:val="Emphasis"/>
    <w:basedOn w:val="20"/>
    <w:qFormat/>
    <w:uiPriority w:val="0"/>
    <w:rPr>
      <w:caps/>
      <w:color w:val="1F4D78"/>
      <w:spacing w:val="5"/>
    </w:rPr>
  </w:style>
  <w:style w:type="character" w:styleId="23">
    <w:name w:val="Hyperlink"/>
    <w:basedOn w:val="20"/>
    <w:unhideWhenUsed/>
    <w:uiPriority w:val="99"/>
    <w:rPr>
      <w:color w:val="0000FF"/>
      <w:u w:val="single"/>
    </w:rPr>
  </w:style>
  <w:style w:type="character" w:customStyle="1" w:styleId="24">
    <w:name w:val="标题 1 字符"/>
    <w:link w:val="2"/>
    <w:qFormat/>
    <w:uiPriority w:val="9"/>
    <w:rPr>
      <w:rFonts w:ascii="Times New Roman" w:hAnsi="Times New Roman" w:eastAsia="Times New Roman" w:cs="Times New Roman"/>
      <w:b/>
      <w:color w:val="000000" w:themeColor="text1"/>
      <w:spacing w:val="15"/>
      <w:kern w:val="2"/>
      <w:sz w:val="22"/>
      <w:szCs w:val="22"/>
      <w:shd w:val="clear" w:color="auto" w:fill="5B9BD5"/>
      <w14:textFill>
        <w14:solidFill>
          <w14:schemeClr w14:val="tx1"/>
        </w14:solidFill>
      </w14:textFill>
    </w:rPr>
  </w:style>
  <w:style w:type="character" w:customStyle="1" w:styleId="25">
    <w:name w:val="标题 2 字符"/>
    <w:link w:val="3"/>
    <w:qFormat/>
    <w:uiPriority w:val="9"/>
    <w:rPr>
      <w:rFonts w:ascii="Times New Roman" w:hAnsi="Times New Roman" w:eastAsia="宋体" w:cs="Times New Roman"/>
      <w:b/>
      <w:spacing w:val="15"/>
      <w:kern w:val="2"/>
      <w:sz w:val="21"/>
      <w:szCs w:val="24"/>
      <w:shd w:val="clear" w:color="auto" w:fill="DEEAF6"/>
    </w:rPr>
  </w:style>
  <w:style w:type="character" w:customStyle="1" w:styleId="26">
    <w:name w:val="标题 3 字符"/>
    <w:link w:val="4"/>
    <w:qFormat/>
    <w:uiPriority w:val="9"/>
    <w:rPr>
      <w:rFonts w:ascii="Times New Roman" w:hAnsi="Times New Roman" w:eastAsia="宋体" w:cs="Times New Roman"/>
      <w:b/>
      <w:bCs/>
      <w:color w:val="1F4D78"/>
      <w:spacing w:val="15"/>
      <w:kern w:val="2"/>
      <w:sz w:val="21"/>
      <w:szCs w:val="24"/>
    </w:rPr>
  </w:style>
  <w:style w:type="character" w:customStyle="1" w:styleId="27">
    <w:name w:val="标题 4 字符"/>
    <w:link w:val="5"/>
    <w:semiHidden/>
    <w:qFormat/>
    <w:uiPriority w:val="9"/>
    <w:rPr>
      <w:caps/>
      <w:color w:val="2E74B5"/>
      <w:spacing w:val="10"/>
    </w:rPr>
  </w:style>
  <w:style w:type="character" w:customStyle="1" w:styleId="28">
    <w:name w:val="标题 5 字符"/>
    <w:link w:val="6"/>
    <w:semiHidden/>
    <w:qFormat/>
    <w:uiPriority w:val="9"/>
    <w:rPr>
      <w:caps/>
      <w:color w:val="2E74B5"/>
      <w:spacing w:val="10"/>
    </w:rPr>
  </w:style>
  <w:style w:type="character" w:customStyle="1" w:styleId="29">
    <w:name w:val="标题 6 字符"/>
    <w:link w:val="7"/>
    <w:semiHidden/>
    <w:qFormat/>
    <w:uiPriority w:val="9"/>
    <w:rPr>
      <w:caps/>
      <w:color w:val="2E74B5"/>
      <w:spacing w:val="10"/>
    </w:rPr>
  </w:style>
  <w:style w:type="character" w:customStyle="1" w:styleId="30">
    <w:name w:val="标题 7 字符"/>
    <w:link w:val="8"/>
    <w:semiHidden/>
    <w:qFormat/>
    <w:uiPriority w:val="9"/>
    <w:rPr>
      <w:caps/>
      <w:color w:val="2E74B5"/>
      <w:spacing w:val="10"/>
    </w:rPr>
  </w:style>
  <w:style w:type="character" w:customStyle="1" w:styleId="31">
    <w:name w:val="标题 8 字符"/>
    <w:link w:val="9"/>
    <w:semiHidden/>
    <w:qFormat/>
    <w:uiPriority w:val="9"/>
    <w:rPr>
      <w:caps/>
      <w:spacing w:val="10"/>
      <w:sz w:val="18"/>
      <w:szCs w:val="18"/>
    </w:rPr>
  </w:style>
  <w:style w:type="character" w:customStyle="1" w:styleId="32">
    <w:name w:val="标题 9 字符"/>
    <w:link w:val="10"/>
    <w:semiHidden/>
    <w:qFormat/>
    <w:uiPriority w:val="9"/>
    <w:rPr>
      <w:i/>
      <w:iCs/>
      <w:caps/>
      <w:spacing w:val="10"/>
      <w:sz w:val="18"/>
      <w:szCs w:val="18"/>
    </w:rPr>
  </w:style>
  <w:style w:type="character" w:customStyle="1" w:styleId="33">
    <w:name w:val="标题 字符"/>
    <w:link w:val="18"/>
    <w:qFormat/>
    <w:uiPriority w:val="10"/>
    <w:rPr>
      <w:rFonts w:ascii="Calibri Light" w:hAnsi="Calibri Light" w:eastAsia="宋体" w:cs="Times New Roman"/>
      <w:caps/>
      <w:color w:val="5B9BD5"/>
      <w:spacing w:val="10"/>
      <w:sz w:val="52"/>
      <w:szCs w:val="52"/>
    </w:rPr>
  </w:style>
  <w:style w:type="character" w:customStyle="1" w:styleId="34">
    <w:name w:val="副标题 字符"/>
    <w:link w:val="16"/>
    <w:qFormat/>
    <w:uiPriority w:val="11"/>
    <w:rPr>
      <w:caps/>
      <w:color w:val="595959"/>
      <w:spacing w:val="10"/>
      <w:sz w:val="21"/>
      <w:szCs w:val="21"/>
    </w:rPr>
  </w:style>
  <w:style w:type="paragraph" w:styleId="35">
    <w:name w:val="No Spacing"/>
    <w:qFormat/>
    <w:uiPriority w:val="1"/>
    <w:pPr>
      <w:spacing w:before="100" w:after="0" w:line="240" w:lineRule="auto"/>
    </w:pPr>
    <w:rPr>
      <w:rFonts w:asciiTheme="minorHAnsi" w:hAnsiTheme="minorHAnsi" w:eastAsiaTheme="minorEastAsia" w:cstheme="minorBidi"/>
      <w:lang w:val="en-US" w:eastAsia="zh-CN" w:bidi="ar-SA"/>
    </w:rPr>
  </w:style>
  <w:style w:type="paragraph" w:styleId="36">
    <w:name w:val="Quote"/>
    <w:basedOn w:val="1"/>
    <w:next w:val="1"/>
    <w:link w:val="37"/>
    <w:qFormat/>
    <w:uiPriority w:val="29"/>
    <w:rPr>
      <w:i/>
      <w:iCs/>
      <w:sz w:val="24"/>
    </w:rPr>
  </w:style>
  <w:style w:type="character" w:customStyle="1" w:styleId="37">
    <w:name w:val="引用 字符"/>
    <w:link w:val="36"/>
    <w:qFormat/>
    <w:uiPriority w:val="29"/>
    <w:rPr>
      <w:i/>
      <w:iCs/>
      <w:sz w:val="24"/>
      <w:szCs w:val="24"/>
    </w:rPr>
  </w:style>
  <w:style w:type="paragraph" w:styleId="38">
    <w:name w:val="Intense Quote"/>
    <w:basedOn w:val="1"/>
    <w:next w:val="1"/>
    <w:link w:val="39"/>
    <w:qFormat/>
    <w:uiPriority w:val="30"/>
    <w:pPr>
      <w:spacing w:before="240" w:after="240"/>
      <w:ind w:left="1080" w:right="1080"/>
      <w:jc w:val="center"/>
    </w:pPr>
    <w:rPr>
      <w:color w:val="5B9BD5"/>
      <w:sz w:val="24"/>
    </w:rPr>
  </w:style>
  <w:style w:type="character" w:customStyle="1" w:styleId="39">
    <w:name w:val="明显引用 字符"/>
    <w:link w:val="38"/>
    <w:qFormat/>
    <w:uiPriority w:val="30"/>
    <w:rPr>
      <w:color w:val="5B9BD5"/>
      <w:sz w:val="24"/>
      <w:szCs w:val="24"/>
    </w:rPr>
  </w:style>
  <w:style w:type="character" w:customStyle="1" w:styleId="40">
    <w:name w:val="Subtle Emphasis"/>
    <w:qFormat/>
    <w:uiPriority w:val="19"/>
    <w:rPr>
      <w:i/>
      <w:iCs/>
      <w:color w:val="1F4D78"/>
    </w:rPr>
  </w:style>
  <w:style w:type="character" w:customStyle="1" w:styleId="41">
    <w:name w:val="Intense Emphasis"/>
    <w:qFormat/>
    <w:uiPriority w:val="21"/>
    <w:rPr>
      <w:b/>
      <w:bCs/>
      <w:caps/>
      <w:color w:val="1F4D78"/>
      <w:spacing w:val="10"/>
    </w:rPr>
  </w:style>
  <w:style w:type="character" w:customStyle="1" w:styleId="42">
    <w:name w:val="Subtle Reference"/>
    <w:qFormat/>
    <w:uiPriority w:val="31"/>
    <w:rPr>
      <w:b/>
      <w:bCs/>
      <w:color w:val="5B9BD5"/>
    </w:rPr>
  </w:style>
  <w:style w:type="character" w:customStyle="1" w:styleId="43">
    <w:name w:val="Intense Reference"/>
    <w:qFormat/>
    <w:uiPriority w:val="32"/>
    <w:rPr>
      <w:b/>
      <w:bCs/>
      <w:i/>
      <w:iCs/>
      <w:caps/>
      <w:color w:val="5B9BD5"/>
    </w:rPr>
  </w:style>
  <w:style w:type="character" w:customStyle="1" w:styleId="44">
    <w:name w:val="Book Title"/>
    <w:qFormat/>
    <w:uiPriority w:val="33"/>
    <w:rPr>
      <w:b/>
      <w:bCs/>
      <w:i/>
      <w:iCs/>
      <w:spacing w:val="0"/>
    </w:rPr>
  </w:style>
  <w:style w:type="paragraph" w:customStyle="1" w:styleId="45">
    <w:name w:val="TOC Heading"/>
    <w:basedOn w:val="2"/>
    <w:next w:val="1"/>
    <w:unhideWhenUsed/>
    <w:qFormat/>
    <w:uiPriority w:val="39"/>
    <w:pPr>
      <w:outlineLvl w:val="9"/>
    </w:pPr>
  </w:style>
  <w:style w:type="character" w:customStyle="1" w:styleId="46">
    <w:name w:val="页眉 字符"/>
    <w:basedOn w:val="20"/>
    <w:link w:val="14"/>
    <w:uiPriority w:val="99"/>
    <w:rPr>
      <w:sz w:val="18"/>
      <w:szCs w:val="18"/>
    </w:rPr>
  </w:style>
  <w:style w:type="character" w:customStyle="1" w:styleId="47">
    <w:name w:val="页脚 字符"/>
    <w:basedOn w:val="20"/>
    <w:link w:val="13"/>
    <w:uiPriority w:val="99"/>
    <w:rPr>
      <w:sz w:val="18"/>
      <w:szCs w:val="18"/>
    </w:rPr>
  </w:style>
  <w:style w:type="character" w:customStyle="1" w:styleId="48">
    <w:name w:val="font01"/>
    <w:basedOn w:val="20"/>
    <w:uiPriority w:val="0"/>
    <w:rPr>
      <w:rFonts w:hint="eastAsia" w:ascii="宋体" w:hAnsi="宋体" w:eastAsia="宋体" w:cs="宋体"/>
      <w:color w:val="000000"/>
      <w:sz w:val="24"/>
      <w:szCs w:val="24"/>
      <w:u w:val="none"/>
    </w:rPr>
  </w:style>
  <w:style w:type="character" w:customStyle="1" w:styleId="49">
    <w:name w:val="font11"/>
    <w:basedOn w:val="20"/>
    <w:uiPriority w:val="0"/>
    <w:rPr>
      <w:rFonts w:hint="default" w:ascii="Times New Roman" w:hAnsi="Times New Roman" w:cs="Times New Roman"/>
      <w:color w:val="000000"/>
      <w:sz w:val="24"/>
      <w:szCs w:val="24"/>
      <w:u w:val="none"/>
    </w:rPr>
  </w:style>
  <w:style w:type="paragraph" w:styleId="50">
    <w:name w:val="List Paragraph"/>
    <w:basedOn w:val="1"/>
    <w:qFormat/>
    <w:uiPriority w:val="34"/>
    <w:pPr>
      <w:ind w:firstLine="420" w:firstLineChars="200"/>
    </w:pPr>
  </w:style>
  <w:style w:type="character" w:customStyle="1" w:styleId="51">
    <w:name w:val="Unresolved Mention"/>
    <w:basedOn w:val="20"/>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D52DA93-783E-43F7-82BA-DDF207B0EB09}">
  <ds:schemaRefs/>
</ds:datastoreItem>
</file>

<file path=docProps/app.xml><?xml version="1.0" encoding="utf-8"?>
<Properties xmlns="http://schemas.openxmlformats.org/officeDocument/2006/extended-properties" xmlns:vt="http://schemas.openxmlformats.org/officeDocument/2006/docPropsVTypes">
  <Template>Normal.dotm</Template>
  <Pages>22</Pages>
  <Words>3438</Words>
  <Characters>21655</Characters>
  <Lines>652</Lines>
  <Paragraphs>320</Paragraphs>
  <TotalTime>5</TotalTime>
  <ScaleCrop>false</ScaleCrop>
  <LinksUpToDate>false</LinksUpToDate>
  <CharactersWithSpaces>25486</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2022-03-14T23:47:00Z</dcterms:created>
  <dc:creator>my8804</dc:creator>
  <cp:lastModifiedBy>枫</cp:lastModifiedBy>
  <dcterms:modified xsi:type="dcterms:W3CDTF">2022-03-18T03:38:31Z</dcterms:modified>
  <cp:revision>925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778B325E674B423EAF887F835A139F50</vt:lpwstr>
  </property>
</Properties>
</file>