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B0005C" w14:textId="77777777" w:rsidR="00ED40A8" w:rsidRDefault="00ED40A8">
      <w:pPr>
        <w:spacing w:line="240" w:lineRule="auto"/>
        <w:rPr>
          <w:rFonts w:ascii="Aparajita" w:eastAsia="Aparajita" w:hAnsi="Aparajita" w:cs="Aparajita"/>
          <w:i/>
          <w:sz w:val="32"/>
          <w:szCs w:val="32"/>
        </w:rPr>
      </w:pPr>
    </w:p>
    <w:p w14:paraId="210AC235" w14:textId="77777777" w:rsidR="00ED40A8" w:rsidRPr="00A940CE" w:rsidRDefault="00ED40A8">
      <w:pPr>
        <w:spacing w:line="240" w:lineRule="auto"/>
        <w:rPr>
          <w:rFonts w:ascii="EB Garamond" w:eastAsia="EB Garamond" w:hAnsi="EB Garamond" w:cs="EB Garamond"/>
          <w:sz w:val="28"/>
          <w:szCs w:val="28"/>
        </w:rPr>
      </w:pPr>
    </w:p>
    <w:p w14:paraId="34C93D9A" w14:textId="77777777" w:rsidR="00ED40A8" w:rsidRPr="004B026F" w:rsidRDefault="00CE312B">
      <w:pPr>
        <w:spacing w:line="523" w:lineRule="auto"/>
        <w:rPr>
          <w:rFonts w:ascii="Aparajita" w:eastAsia="EB Garamond" w:hAnsi="Aparajita" w:cs="Aparajita"/>
          <w:sz w:val="28"/>
          <w:szCs w:val="28"/>
        </w:rPr>
      </w:pPr>
      <w:r w:rsidRPr="004B026F">
        <w:rPr>
          <w:rFonts w:ascii="Aparajita" w:eastAsia="EB Garamond" w:hAnsi="Aparajita" w:cs="Aparajita"/>
          <w:sz w:val="28"/>
          <w:szCs w:val="28"/>
        </w:rPr>
        <w:t>Student Name: Jacqueline Anne Morgan</w:t>
      </w:r>
    </w:p>
    <w:p w14:paraId="274D0853" w14:textId="77777777" w:rsidR="00ED40A8" w:rsidRPr="004B026F" w:rsidRDefault="00CE312B">
      <w:pPr>
        <w:spacing w:line="523" w:lineRule="auto"/>
        <w:rPr>
          <w:rFonts w:ascii="Aparajita" w:eastAsia="EB Garamond" w:hAnsi="Aparajita" w:cs="Aparajita"/>
          <w:sz w:val="28"/>
          <w:szCs w:val="28"/>
        </w:rPr>
      </w:pPr>
      <w:r w:rsidRPr="004B026F">
        <w:rPr>
          <w:rFonts w:ascii="Aparajita" w:eastAsia="EB Garamond" w:hAnsi="Aparajita" w:cs="Aparajita"/>
          <w:sz w:val="28"/>
          <w:szCs w:val="28"/>
        </w:rPr>
        <w:t xml:space="preserve">P Number: </w:t>
      </w:r>
    </w:p>
    <w:p w14:paraId="514527A7" w14:textId="77777777" w:rsidR="00ED40A8" w:rsidRPr="004B026F" w:rsidRDefault="00CE312B">
      <w:pPr>
        <w:spacing w:line="523" w:lineRule="auto"/>
        <w:rPr>
          <w:rFonts w:ascii="Aparajita" w:eastAsia="EB Garamond" w:hAnsi="Aparajita" w:cs="Aparajita"/>
          <w:sz w:val="28"/>
          <w:szCs w:val="28"/>
        </w:rPr>
      </w:pPr>
      <w:r w:rsidRPr="004B026F">
        <w:rPr>
          <w:rFonts w:ascii="Aparajita" w:eastAsia="EB Garamond" w:hAnsi="Aparajita" w:cs="Aparajita"/>
          <w:sz w:val="28"/>
          <w:szCs w:val="28"/>
        </w:rPr>
        <w:t xml:space="preserve">Programme of Study: Photojournalism &amp; Documentary </w:t>
      </w:r>
    </w:p>
    <w:p w14:paraId="0B9E3E65" w14:textId="150583CA" w:rsidR="00ED40A8" w:rsidRPr="00FE020A" w:rsidRDefault="00CE312B">
      <w:pPr>
        <w:spacing w:line="523" w:lineRule="auto"/>
        <w:rPr>
          <w:rFonts w:ascii="Aparajita" w:eastAsia="EB Garamond" w:hAnsi="Aparajita" w:cs="Aparajita"/>
          <w:sz w:val="28"/>
          <w:szCs w:val="28"/>
        </w:rPr>
      </w:pPr>
      <w:r w:rsidRPr="004B026F">
        <w:rPr>
          <w:rFonts w:ascii="Aparajita" w:eastAsia="EB Garamond" w:hAnsi="Aparajita" w:cs="Aparajita"/>
          <w:sz w:val="28"/>
          <w:szCs w:val="28"/>
        </w:rPr>
        <w:t>Module: M4X01603</w:t>
      </w:r>
    </w:p>
    <w:p w14:paraId="50CC6994" w14:textId="7A3D4E72" w:rsidR="00ED40A8" w:rsidRPr="00FE020A" w:rsidRDefault="00CE312B">
      <w:pPr>
        <w:spacing w:line="523" w:lineRule="auto"/>
        <w:rPr>
          <w:rFonts w:ascii="Aparajita" w:eastAsia="Aparajita" w:hAnsi="Aparajita" w:cs="Aparajita"/>
          <w:i/>
          <w:sz w:val="36"/>
          <w:szCs w:val="36"/>
        </w:rPr>
      </w:pPr>
      <w:r w:rsidRPr="00FE020A">
        <w:rPr>
          <w:rFonts w:ascii="Aparajita" w:eastAsia="Aparajita" w:hAnsi="Aparajita" w:cs="Aparajita"/>
          <w:i/>
          <w:sz w:val="36"/>
          <w:szCs w:val="36"/>
        </w:rPr>
        <w:t>‘The Reading Festival’</w:t>
      </w:r>
    </w:p>
    <w:p w14:paraId="7D63917D" w14:textId="4D53430B" w:rsidR="00FE020A" w:rsidRDefault="00CE312B" w:rsidP="00FE020A">
      <w:pPr>
        <w:jc w:val="both"/>
        <w:rPr>
          <w:rFonts w:ascii="Aparajita" w:eastAsia="Times New Roman" w:hAnsi="Aparajita" w:cs="Aparajita"/>
          <w:color w:val="222222"/>
          <w:sz w:val="28"/>
          <w:szCs w:val="28"/>
          <w:shd w:val="clear" w:color="auto" w:fill="FFFFFF"/>
        </w:rPr>
      </w:pPr>
      <w:r w:rsidRPr="004B026F">
        <w:rPr>
          <w:rFonts w:ascii="Aparajita" w:eastAsia="EB Garamond" w:hAnsi="Aparajita" w:cs="Aparajita"/>
          <w:sz w:val="28"/>
          <w:szCs w:val="28"/>
        </w:rPr>
        <w:t xml:space="preserve">As a part of ‘The Reading Festival’ task I was asked to read and respond visually to the book ‘Candide’ by Voltaire. This is a book that was written in 1759, split into 30 chapters and written as a satire and picaresque novel. </w:t>
      </w:r>
      <w:r w:rsidR="00A940CE" w:rsidRPr="004B026F">
        <w:rPr>
          <w:rFonts w:ascii="Aparajita" w:eastAsia="EB Garamond" w:hAnsi="Aparajita" w:cs="Aparajita"/>
          <w:sz w:val="28"/>
          <w:szCs w:val="28"/>
        </w:rPr>
        <w:t xml:space="preserve">Through us of actual events and natural disasters, Voltaire tells a story of a young man, Candide, and his life. A main focus of this story is devoted to the daily battle of the folly of optimism. Candide’s scholar Pangloss teaches him that </w:t>
      </w:r>
      <w:r w:rsidR="004B026F" w:rsidRPr="004B026F">
        <w:rPr>
          <w:rFonts w:ascii="Aparajita" w:hAnsi="Aparajita" w:cs="Aparajita"/>
          <w:sz w:val="28"/>
          <w:szCs w:val="28"/>
        </w:rPr>
        <w:t>“everything is for the best in this best of possible worlds.”</w:t>
      </w:r>
      <w:r w:rsidR="004B026F">
        <w:rPr>
          <w:rFonts w:ascii="Aparajita" w:hAnsi="Aparajita" w:cs="Aparajita"/>
          <w:sz w:val="28"/>
          <w:szCs w:val="28"/>
        </w:rPr>
        <w:t xml:space="preserve"> This is a </w:t>
      </w:r>
      <w:r w:rsidR="00FE020A">
        <w:rPr>
          <w:rFonts w:ascii="Aparajita" w:hAnsi="Aparajita" w:cs="Aparajita"/>
          <w:sz w:val="28"/>
          <w:szCs w:val="28"/>
        </w:rPr>
        <w:t xml:space="preserve">used as a derision of </w:t>
      </w:r>
      <w:r w:rsidR="00FE020A" w:rsidRPr="00FE020A">
        <w:rPr>
          <w:rFonts w:ascii="Aparajita" w:eastAsia="Times New Roman" w:hAnsi="Aparajita" w:cs="Aparajita"/>
          <w:color w:val="222222"/>
          <w:sz w:val="28"/>
          <w:szCs w:val="28"/>
          <w:shd w:val="clear" w:color="auto" w:fill="FFFFFF"/>
        </w:rPr>
        <w:t>Leibniz</w:t>
      </w:r>
      <w:r w:rsidR="00FE020A">
        <w:rPr>
          <w:rFonts w:ascii="Aparajita" w:eastAsia="Times New Roman" w:hAnsi="Aparajita" w:cs="Aparajita"/>
          <w:color w:val="222222"/>
          <w:sz w:val="28"/>
          <w:szCs w:val="28"/>
          <w:shd w:val="clear" w:color="auto" w:fill="FFFFFF"/>
        </w:rPr>
        <w:t xml:space="preserve"> optimism throughout the book, then to conclude Voltaire advocates a</w:t>
      </w:r>
      <w:r w:rsidR="00FE197C">
        <w:rPr>
          <w:rFonts w:ascii="Aparajita" w:eastAsia="Times New Roman" w:hAnsi="Aparajita" w:cs="Aparajita"/>
          <w:color w:val="222222"/>
          <w:sz w:val="28"/>
          <w:szCs w:val="28"/>
          <w:shd w:val="clear" w:color="auto" w:fill="FFFFFF"/>
        </w:rPr>
        <w:t>n</w:t>
      </w:r>
      <w:r w:rsidR="00FE020A">
        <w:rPr>
          <w:rFonts w:ascii="Aparajita" w:eastAsia="Times New Roman" w:hAnsi="Aparajita" w:cs="Aparajita"/>
          <w:color w:val="222222"/>
          <w:sz w:val="28"/>
          <w:szCs w:val="28"/>
          <w:shd w:val="clear" w:color="auto" w:fill="FFFFFF"/>
        </w:rPr>
        <w:t xml:space="preserve"> </w:t>
      </w:r>
      <w:proofErr w:type="spellStart"/>
      <w:r w:rsidR="00FE020A">
        <w:rPr>
          <w:rFonts w:ascii="Aparajita" w:eastAsia="Times New Roman" w:hAnsi="Aparajita" w:cs="Aparajita"/>
          <w:color w:val="222222"/>
          <w:sz w:val="28"/>
          <w:szCs w:val="28"/>
          <w:shd w:val="clear" w:color="auto" w:fill="FFFFFF"/>
        </w:rPr>
        <w:t>apposing</w:t>
      </w:r>
      <w:proofErr w:type="spellEnd"/>
      <w:r w:rsidR="00FE020A">
        <w:rPr>
          <w:rFonts w:ascii="Aparajita" w:eastAsia="Times New Roman" w:hAnsi="Aparajita" w:cs="Aparajita"/>
          <w:color w:val="222222"/>
          <w:sz w:val="28"/>
          <w:szCs w:val="28"/>
          <w:shd w:val="clear" w:color="auto" w:fill="FFFFFF"/>
        </w:rPr>
        <w:t xml:space="preserve"> percept; </w:t>
      </w:r>
    </w:p>
    <w:p w14:paraId="5C1350B2" w14:textId="6C0B966D" w:rsidR="00FE020A" w:rsidRDefault="00FE020A" w:rsidP="00FE020A">
      <w:pPr>
        <w:rPr>
          <w:rFonts w:ascii="Aparajita" w:eastAsia="Times New Roman" w:hAnsi="Aparajita" w:cs="Aparajita"/>
          <w:color w:val="222222"/>
          <w:sz w:val="28"/>
          <w:szCs w:val="28"/>
          <w:shd w:val="clear" w:color="auto" w:fill="FFFFFF"/>
        </w:rPr>
      </w:pPr>
    </w:p>
    <w:p w14:paraId="1A038B59" w14:textId="77777777" w:rsidR="00FE020A" w:rsidRPr="00FE020A" w:rsidRDefault="00FE020A" w:rsidP="00FE020A">
      <w:pPr>
        <w:spacing w:line="523" w:lineRule="auto"/>
        <w:rPr>
          <w:rFonts w:ascii="Aparajita" w:eastAsia="EB Garamond" w:hAnsi="Aparajita" w:cs="Aparajita"/>
          <w:b/>
          <w:sz w:val="32"/>
          <w:szCs w:val="32"/>
        </w:rPr>
      </w:pPr>
      <w:r w:rsidRPr="00FE020A">
        <w:rPr>
          <w:rFonts w:ascii="Aparajita" w:eastAsia="EB Garamond" w:hAnsi="Aparajita" w:cs="Aparajita"/>
          <w:b/>
          <w:sz w:val="32"/>
          <w:szCs w:val="32"/>
        </w:rPr>
        <w:t>'All I know,’ said Candide, ‘is that we must cultivate our garden.’ </w:t>
      </w:r>
    </w:p>
    <w:p w14:paraId="5BF9B4BC" w14:textId="7CE21DE8" w:rsidR="00ED40A8" w:rsidRDefault="00CE312B">
      <w:pPr>
        <w:spacing w:after="360" w:line="240" w:lineRule="auto"/>
        <w:jc w:val="both"/>
        <w:rPr>
          <w:rFonts w:ascii="Aparajita" w:eastAsia="EB Garamond" w:hAnsi="Aparajita" w:cs="Aparajita"/>
          <w:color w:val="292C2E"/>
          <w:sz w:val="28"/>
          <w:szCs w:val="28"/>
        </w:rPr>
      </w:pPr>
      <w:r w:rsidRPr="004B026F">
        <w:rPr>
          <w:rFonts w:ascii="Aparajita" w:eastAsia="EB Garamond" w:hAnsi="Aparajita" w:cs="Aparajita"/>
          <w:color w:val="2C2D30"/>
          <w:sz w:val="28"/>
          <w:szCs w:val="28"/>
        </w:rPr>
        <w:t xml:space="preserve">Voltaire confronts us with a contradiction that optimism taken too far becomes </w:t>
      </w:r>
      <w:proofErr w:type="gramStart"/>
      <w:r w:rsidRPr="004B026F">
        <w:rPr>
          <w:rFonts w:ascii="Aparajita" w:eastAsia="EB Garamond" w:hAnsi="Aparajita" w:cs="Aparajita"/>
          <w:color w:val="2C2D30"/>
          <w:sz w:val="28"/>
          <w:szCs w:val="28"/>
        </w:rPr>
        <w:t>a fait</w:t>
      </w:r>
      <w:proofErr w:type="gramEnd"/>
      <w:r w:rsidRPr="004B026F">
        <w:rPr>
          <w:rFonts w:ascii="Aparajita" w:eastAsia="EB Garamond" w:hAnsi="Aparajita" w:cs="Aparajita"/>
          <w:color w:val="2C2D30"/>
          <w:sz w:val="28"/>
          <w:szCs w:val="28"/>
        </w:rPr>
        <w:t xml:space="preserve">. Optimism is useful in as much as it extends the range of our reason and purposeful creative action but when used as a substitute for either it becomes a means of </w:t>
      </w:r>
      <w:proofErr w:type="spellStart"/>
      <w:r w:rsidRPr="004B026F">
        <w:rPr>
          <w:rFonts w:ascii="Aparajita" w:eastAsia="EB Garamond" w:hAnsi="Aparajita" w:cs="Aparajita"/>
          <w:color w:val="2C2D30"/>
          <w:sz w:val="28"/>
          <w:szCs w:val="28"/>
        </w:rPr>
        <w:t>self deception</w:t>
      </w:r>
      <w:proofErr w:type="spellEnd"/>
      <w:r w:rsidRPr="004B026F">
        <w:rPr>
          <w:rFonts w:ascii="Aparajita" w:eastAsia="EB Garamond" w:hAnsi="Aparajita" w:cs="Aparajita"/>
          <w:color w:val="2C2D30"/>
          <w:sz w:val="28"/>
          <w:szCs w:val="28"/>
        </w:rPr>
        <w:t>. Whether driven by hope or dissatisfaction, it is your will that compels you to act. As Voltaire reminds us at the end of Candide "We must cultivate our own garden." </w:t>
      </w:r>
      <w:r w:rsidRPr="004B026F">
        <w:rPr>
          <w:rFonts w:ascii="Aparajita" w:eastAsia="EB Garamond" w:hAnsi="Aparajita" w:cs="Aparajita"/>
          <w:color w:val="292C2E"/>
          <w:sz w:val="28"/>
          <w:szCs w:val="28"/>
        </w:rPr>
        <w:t xml:space="preserve">In the garden cause and effect are easy to determine, careful planting and cultivation yield good produce. The garden represents the cultivation and propagation of life. Using this as a basis of concept, I wanted to portray the folly of optimism within the garden. </w:t>
      </w:r>
    </w:p>
    <w:p w14:paraId="51E0F01A" w14:textId="77777777" w:rsidR="00FE197C" w:rsidRDefault="00FE197C" w:rsidP="00FE197C">
      <w:pPr>
        <w:rPr>
          <w:rFonts w:ascii="Aparajita" w:eastAsia="EB Garamond" w:hAnsi="Aparajita" w:cs="Aparajita"/>
          <w:color w:val="2C2D30"/>
          <w:sz w:val="28"/>
          <w:szCs w:val="28"/>
        </w:rPr>
      </w:pPr>
      <w:r>
        <w:rPr>
          <w:rFonts w:ascii="Aparajita" w:eastAsia="EB Garamond" w:hAnsi="Aparajita" w:cs="Aparajita"/>
          <w:color w:val="2C2D30"/>
          <w:sz w:val="28"/>
          <w:szCs w:val="28"/>
        </w:rPr>
        <w:t xml:space="preserve">I believe that this as a percept, can really relate to our world today. On a daily basis we are faced with continuous natural disasters and the great hardship of the world and its ugly truths, we must find a way to ‘cultivate our own garden’ and know where and when to use optimism. It is not a rare lifestyle change now to try and live as plant based as possibly, with that in mind few have taken to going back to their garden and yielding their own food and even some living complete sustainable lifestyles off the land. I believe this connection between the very real situations we are dealt with and Voltaire’s percept is one that speaks to us all. </w:t>
      </w:r>
    </w:p>
    <w:p w14:paraId="584DA9F0" w14:textId="77777777" w:rsidR="00FE197C" w:rsidRDefault="00FE197C" w:rsidP="00FE197C">
      <w:pPr>
        <w:rPr>
          <w:rFonts w:ascii="Aparajita" w:eastAsia="EB Garamond" w:hAnsi="Aparajita" w:cs="Aparajita"/>
          <w:color w:val="2C2D30"/>
          <w:sz w:val="28"/>
          <w:szCs w:val="28"/>
        </w:rPr>
      </w:pPr>
    </w:p>
    <w:p w14:paraId="004031AC" w14:textId="77777777" w:rsidR="00FE197C" w:rsidRDefault="00FE197C" w:rsidP="00FE197C">
      <w:pPr>
        <w:rPr>
          <w:rFonts w:ascii="Aparajita" w:eastAsia="EB Garamond" w:hAnsi="Aparajita" w:cs="Aparajita"/>
          <w:color w:val="2C2D30"/>
          <w:sz w:val="28"/>
          <w:szCs w:val="28"/>
        </w:rPr>
      </w:pPr>
    </w:p>
    <w:p w14:paraId="6E5F1232" w14:textId="77777777" w:rsidR="00FE197C" w:rsidRDefault="00FE197C" w:rsidP="00FE197C">
      <w:pPr>
        <w:jc w:val="both"/>
        <w:rPr>
          <w:rFonts w:ascii="Aparajita" w:eastAsia="EB Garamond" w:hAnsi="Aparajita" w:cs="Aparajita"/>
          <w:color w:val="2C2D30"/>
          <w:sz w:val="28"/>
          <w:szCs w:val="28"/>
        </w:rPr>
      </w:pPr>
      <w:r>
        <w:rPr>
          <w:rFonts w:ascii="Aparajita" w:eastAsia="EB Garamond" w:hAnsi="Aparajita" w:cs="Aparajita"/>
          <w:color w:val="2C2D30"/>
          <w:sz w:val="28"/>
          <w:szCs w:val="28"/>
        </w:rPr>
        <w:t xml:space="preserve">Inspiration; </w:t>
      </w:r>
    </w:p>
    <w:p w14:paraId="504A00DF" w14:textId="77777777" w:rsidR="00FE197C" w:rsidRDefault="00FE197C" w:rsidP="00FE197C">
      <w:pPr>
        <w:jc w:val="both"/>
        <w:rPr>
          <w:rFonts w:ascii="Aparajita" w:eastAsia="EB Garamond" w:hAnsi="Aparajita" w:cs="Aparajita"/>
          <w:color w:val="2C2D30"/>
          <w:sz w:val="28"/>
          <w:szCs w:val="28"/>
        </w:rPr>
      </w:pPr>
    </w:p>
    <w:p w14:paraId="42105CD4" w14:textId="77777777" w:rsidR="00FE197C" w:rsidRDefault="00FE197C" w:rsidP="00FE197C">
      <w:pPr>
        <w:jc w:val="both"/>
      </w:pPr>
      <w:hyperlink r:id="rId4" w:history="1">
        <w:r w:rsidRPr="00FC00C0">
          <w:rPr>
            <w:rStyle w:val="Hyperlink"/>
          </w:rPr>
          <w:t>http://www.davidspero.co.uk/settlements/</w:t>
        </w:r>
      </w:hyperlink>
    </w:p>
    <w:p w14:paraId="51ACD473" w14:textId="77777777" w:rsidR="00FE197C" w:rsidRDefault="00FE197C" w:rsidP="00FE197C">
      <w:pPr>
        <w:rPr>
          <w:rFonts w:ascii="Aparajita" w:eastAsia="EB Garamond" w:hAnsi="Aparajita" w:cs="Aparajita"/>
          <w:color w:val="2C2D30"/>
          <w:sz w:val="28"/>
          <w:szCs w:val="28"/>
        </w:rPr>
      </w:pPr>
    </w:p>
    <w:p w14:paraId="00C5D105" w14:textId="08C6077D" w:rsidR="00FE197C" w:rsidRDefault="00FE197C" w:rsidP="00FE197C">
      <w:pPr>
        <w:rPr>
          <w:rFonts w:ascii="Times New Roman" w:eastAsia="Times New Roman" w:hAnsi="Times New Roman" w:cs="Times New Roman"/>
          <w:sz w:val="24"/>
          <w:szCs w:val="24"/>
        </w:rPr>
      </w:pPr>
      <w:r w:rsidRPr="00FE197C">
        <w:rPr>
          <w:rFonts w:ascii="Times New Roman" w:eastAsia="Times New Roman" w:hAnsi="Times New Roman" w:cs="Times New Roman"/>
          <w:sz w:val="24"/>
          <w:szCs w:val="24"/>
        </w:rPr>
        <w:fldChar w:fldCharType="begin"/>
      </w:r>
      <w:r w:rsidRPr="00FE197C">
        <w:rPr>
          <w:rFonts w:ascii="Times New Roman" w:eastAsia="Times New Roman" w:hAnsi="Times New Roman" w:cs="Times New Roman"/>
          <w:sz w:val="24"/>
          <w:szCs w:val="24"/>
        </w:rPr>
        <w:instrText xml:space="preserve"> INCLUDEPICTURE "http://www.davidspero.co.uk/wp-content/uploads/2017/02/Settlements-1030.jpg" \* MERGEFORMATINET </w:instrText>
      </w:r>
      <w:r w:rsidRPr="00FE197C">
        <w:rPr>
          <w:rFonts w:ascii="Times New Roman" w:eastAsia="Times New Roman" w:hAnsi="Times New Roman" w:cs="Times New Roman"/>
          <w:sz w:val="24"/>
          <w:szCs w:val="24"/>
        </w:rPr>
        <w:fldChar w:fldCharType="separate"/>
      </w:r>
      <w:r w:rsidRPr="00FE197C">
        <w:rPr>
          <w:rFonts w:ascii="Times New Roman" w:eastAsia="Times New Roman" w:hAnsi="Times New Roman" w:cs="Times New Roman"/>
          <w:noProof/>
          <w:sz w:val="24"/>
          <w:szCs w:val="24"/>
        </w:rPr>
        <w:drawing>
          <wp:inline distT="0" distB="0" distL="0" distR="0" wp14:anchorId="4A1187CE" wp14:editId="1D93CC72">
            <wp:extent cx="5733415" cy="4493260"/>
            <wp:effectExtent l="0" t="0" r="0" b="2540"/>
            <wp:docPr id="1" name="Picture 1" descr="http://www.davidspero.co.uk/wp-content/uploads/2017/02/Settlements-10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davidspero.co.uk/wp-content/uploads/2017/02/Settlements-103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3415" cy="4493260"/>
                    </a:xfrm>
                    <a:prstGeom prst="rect">
                      <a:avLst/>
                    </a:prstGeom>
                    <a:noFill/>
                    <a:ln>
                      <a:noFill/>
                    </a:ln>
                  </pic:spPr>
                </pic:pic>
              </a:graphicData>
            </a:graphic>
          </wp:inline>
        </w:drawing>
      </w:r>
      <w:r w:rsidRPr="00FE197C">
        <w:rPr>
          <w:rFonts w:ascii="Times New Roman" w:eastAsia="Times New Roman" w:hAnsi="Times New Roman" w:cs="Times New Roman"/>
          <w:sz w:val="24"/>
          <w:szCs w:val="24"/>
        </w:rPr>
        <w:fldChar w:fldCharType="end"/>
      </w:r>
    </w:p>
    <w:p w14:paraId="3019EB0D" w14:textId="6D5B24BE" w:rsidR="00FE197C" w:rsidRDefault="00FE197C" w:rsidP="00FE197C">
      <w:pPr>
        <w:rPr>
          <w:rFonts w:ascii="Times New Roman" w:eastAsia="Times New Roman" w:hAnsi="Times New Roman" w:cs="Times New Roman"/>
          <w:sz w:val="24"/>
          <w:szCs w:val="24"/>
        </w:rPr>
      </w:pPr>
    </w:p>
    <w:p w14:paraId="2BCBD8A3" w14:textId="77777777" w:rsidR="00FE197C" w:rsidRDefault="00FE197C" w:rsidP="00FE197C">
      <w:pPr>
        <w:rPr>
          <w:rFonts w:ascii="Times New Roman" w:eastAsia="Times New Roman" w:hAnsi="Times New Roman" w:cs="Times New Roman"/>
          <w:sz w:val="24"/>
          <w:szCs w:val="24"/>
        </w:rPr>
      </w:pPr>
    </w:p>
    <w:p w14:paraId="09F02A87" w14:textId="77777777" w:rsidR="00FE197C" w:rsidRDefault="00FE197C" w:rsidP="00FE197C">
      <w:pPr>
        <w:rPr>
          <w:rFonts w:ascii="Times New Roman" w:eastAsia="Times New Roman" w:hAnsi="Times New Roman" w:cs="Times New Roman"/>
          <w:sz w:val="24"/>
          <w:szCs w:val="24"/>
        </w:rPr>
      </w:pPr>
    </w:p>
    <w:p w14:paraId="2E8FF2D5" w14:textId="4642C0ED" w:rsidR="00FE197C" w:rsidRDefault="00FE197C" w:rsidP="00FE197C">
      <w:pPr>
        <w:rPr>
          <w:rFonts w:ascii="Times New Roman" w:eastAsia="Times New Roman" w:hAnsi="Times New Roman" w:cs="Times New Roman"/>
          <w:sz w:val="24"/>
          <w:szCs w:val="24"/>
        </w:rPr>
      </w:pPr>
      <w:bookmarkStart w:id="0" w:name="_GoBack"/>
      <w:bookmarkEnd w:id="0"/>
      <w:r>
        <w:rPr>
          <w:rFonts w:ascii="Times New Roman" w:eastAsia="Times New Roman" w:hAnsi="Times New Roman" w:cs="Times New Roman"/>
          <w:sz w:val="24"/>
          <w:szCs w:val="24"/>
        </w:rPr>
        <w:t xml:space="preserve">Research; </w:t>
      </w:r>
    </w:p>
    <w:p w14:paraId="2EA82C8C" w14:textId="04C1D5A6" w:rsidR="00FE197C" w:rsidRDefault="00FE197C" w:rsidP="00FE197C">
      <w:pPr>
        <w:rPr>
          <w:rFonts w:ascii="Times New Roman" w:eastAsia="Times New Roman" w:hAnsi="Times New Roman" w:cs="Times New Roman"/>
          <w:sz w:val="24"/>
          <w:szCs w:val="24"/>
        </w:rPr>
      </w:pPr>
    </w:p>
    <w:p w14:paraId="1B2DEC2B" w14:textId="4C9B1462" w:rsidR="00FE197C" w:rsidRDefault="00FE197C" w:rsidP="00FE197C">
      <w:pPr>
        <w:rPr>
          <w:rFonts w:ascii="Times New Roman" w:eastAsia="Times New Roman" w:hAnsi="Times New Roman" w:cs="Times New Roman"/>
          <w:sz w:val="24"/>
          <w:szCs w:val="24"/>
        </w:rPr>
      </w:pPr>
      <w:hyperlink r:id="rId6" w:history="1">
        <w:r w:rsidRPr="00FC00C0">
          <w:rPr>
            <w:rStyle w:val="Hyperlink"/>
            <w:rFonts w:ascii="Times New Roman" w:eastAsia="Times New Roman" w:hAnsi="Times New Roman" w:cs="Times New Roman"/>
            <w:sz w:val="24"/>
            <w:szCs w:val="24"/>
          </w:rPr>
          <w:t>https://www.sparknotes.com/lit/candide</w:t>
        </w:r>
      </w:hyperlink>
    </w:p>
    <w:p w14:paraId="1114DE8C" w14:textId="7469D6F4" w:rsidR="00FE197C" w:rsidRDefault="00FE197C" w:rsidP="00FE197C">
      <w:pPr>
        <w:rPr>
          <w:rFonts w:ascii="Times New Roman" w:eastAsia="Times New Roman" w:hAnsi="Times New Roman" w:cs="Times New Roman"/>
          <w:sz w:val="24"/>
          <w:szCs w:val="24"/>
        </w:rPr>
      </w:pPr>
    </w:p>
    <w:p w14:paraId="1B68494D" w14:textId="5E6A5E57" w:rsidR="00FE197C" w:rsidRDefault="00FE197C" w:rsidP="00FE197C">
      <w:pPr>
        <w:rPr>
          <w:rFonts w:ascii="Times New Roman" w:eastAsia="Times New Roman" w:hAnsi="Times New Roman" w:cs="Times New Roman"/>
          <w:sz w:val="24"/>
          <w:szCs w:val="24"/>
        </w:rPr>
      </w:pPr>
      <w:hyperlink r:id="rId7" w:history="1">
        <w:r w:rsidRPr="00FC00C0">
          <w:rPr>
            <w:rStyle w:val="Hyperlink"/>
            <w:rFonts w:ascii="Times New Roman" w:eastAsia="Times New Roman" w:hAnsi="Times New Roman" w:cs="Times New Roman"/>
            <w:sz w:val="24"/>
            <w:szCs w:val="24"/>
          </w:rPr>
          <w:t>https://www.theguardian.com/books/2011/jul/01/candide-voltaire-rereading-julian-barnes</w:t>
        </w:r>
      </w:hyperlink>
    </w:p>
    <w:p w14:paraId="5EB5136A" w14:textId="31B217AF" w:rsidR="00FE197C" w:rsidRDefault="00FE197C" w:rsidP="00FE197C">
      <w:pPr>
        <w:rPr>
          <w:rFonts w:ascii="Times New Roman" w:eastAsia="Times New Roman" w:hAnsi="Times New Roman" w:cs="Times New Roman"/>
          <w:sz w:val="24"/>
          <w:szCs w:val="24"/>
        </w:rPr>
      </w:pPr>
    </w:p>
    <w:p w14:paraId="18435384" w14:textId="0B925394" w:rsidR="00FE197C" w:rsidRDefault="00FE197C" w:rsidP="00FE197C">
      <w:pPr>
        <w:rPr>
          <w:rFonts w:ascii="Times New Roman" w:eastAsia="Times New Roman" w:hAnsi="Times New Roman" w:cs="Times New Roman"/>
          <w:sz w:val="24"/>
          <w:szCs w:val="24"/>
        </w:rPr>
      </w:pPr>
      <w:hyperlink r:id="rId8" w:history="1">
        <w:r w:rsidRPr="00FC00C0">
          <w:rPr>
            <w:rStyle w:val="Hyperlink"/>
            <w:rFonts w:ascii="Times New Roman" w:eastAsia="Times New Roman" w:hAnsi="Times New Roman" w:cs="Times New Roman"/>
            <w:sz w:val="24"/>
            <w:szCs w:val="24"/>
          </w:rPr>
          <w:t>https://www.newyorker.com/magazine/2005/03/07/voltaires-garden</w:t>
        </w:r>
      </w:hyperlink>
    </w:p>
    <w:p w14:paraId="47861199" w14:textId="079D150F" w:rsidR="00FE197C" w:rsidRDefault="00FE197C" w:rsidP="00FE197C">
      <w:pPr>
        <w:rPr>
          <w:rFonts w:ascii="Times New Roman" w:eastAsia="Times New Roman" w:hAnsi="Times New Roman" w:cs="Times New Roman"/>
          <w:sz w:val="24"/>
          <w:szCs w:val="24"/>
        </w:rPr>
      </w:pPr>
    </w:p>
    <w:p w14:paraId="303D8E15" w14:textId="7096C24D" w:rsidR="00FE197C" w:rsidRDefault="00FE197C" w:rsidP="00FE197C">
      <w:pPr>
        <w:rPr>
          <w:rFonts w:ascii="Times New Roman" w:eastAsia="Times New Roman" w:hAnsi="Times New Roman" w:cs="Times New Roman"/>
          <w:sz w:val="24"/>
          <w:szCs w:val="24"/>
        </w:rPr>
      </w:pPr>
      <w:hyperlink r:id="rId9" w:history="1">
        <w:r w:rsidRPr="00FC00C0">
          <w:rPr>
            <w:rStyle w:val="Hyperlink"/>
            <w:rFonts w:ascii="Times New Roman" w:eastAsia="Times New Roman" w:hAnsi="Times New Roman" w:cs="Times New Roman"/>
            <w:sz w:val="24"/>
            <w:szCs w:val="24"/>
          </w:rPr>
          <w:t>https://www.ted.com/talks/tali_sharot_the_optimism_bias/up-next</w:t>
        </w:r>
      </w:hyperlink>
    </w:p>
    <w:p w14:paraId="67ED90B6" w14:textId="62A90094" w:rsidR="00FE197C" w:rsidRDefault="00FE197C" w:rsidP="00FE197C">
      <w:pPr>
        <w:rPr>
          <w:rFonts w:ascii="Times New Roman" w:eastAsia="Times New Roman" w:hAnsi="Times New Roman" w:cs="Times New Roman"/>
          <w:sz w:val="24"/>
          <w:szCs w:val="24"/>
        </w:rPr>
      </w:pPr>
    </w:p>
    <w:p w14:paraId="08880A4E" w14:textId="77777777" w:rsidR="00FE197C" w:rsidRPr="00FE197C" w:rsidRDefault="00FE197C" w:rsidP="00FE197C">
      <w:pPr>
        <w:rPr>
          <w:rFonts w:ascii="Times New Roman" w:eastAsia="Times New Roman" w:hAnsi="Times New Roman" w:cs="Times New Roman"/>
          <w:sz w:val="24"/>
          <w:szCs w:val="24"/>
        </w:rPr>
      </w:pPr>
    </w:p>
    <w:p w14:paraId="159771DB" w14:textId="3EEA9F69" w:rsidR="00ED40A8" w:rsidRDefault="00ED40A8" w:rsidP="00FE197C">
      <w:pPr>
        <w:jc w:val="both"/>
        <w:rPr>
          <w:rFonts w:ascii="Aparajita" w:eastAsia="EB Garamond" w:hAnsi="Aparajita" w:cs="Aparajita"/>
          <w:color w:val="2C2D30"/>
          <w:sz w:val="28"/>
          <w:szCs w:val="28"/>
        </w:rPr>
      </w:pPr>
    </w:p>
    <w:p w14:paraId="49F244AE" w14:textId="6E419BBA" w:rsidR="00FE197C" w:rsidRDefault="00FE197C" w:rsidP="00FE197C">
      <w:pPr>
        <w:jc w:val="both"/>
        <w:rPr>
          <w:rFonts w:ascii="Aparajita" w:eastAsia="EB Garamond" w:hAnsi="Aparajita" w:cs="Aparajita"/>
          <w:color w:val="2C2D30"/>
          <w:sz w:val="28"/>
          <w:szCs w:val="28"/>
        </w:rPr>
      </w:pPr>
    </w:p>
    <w:p w14:paraId="52F2C85C" w14:textId="416317C0" w:rsidR="00FE197C" w:rsidRDefault="00FE197C" w:rsidP="00FE197C">
      <w:pPr>
        <w:jc w:val="both"/>
      </w:pPr>
    </w:p>
    <w:p w14:paraId="1192FDF7" w14:textId="77777777" w:rsidR="00FE197C" w:rsidRDefault="00FE197C" w:rsidP="00FE197C">
      <w:pPr>
        <w:jc w:val="both"/>
      </w:pPr>
    </w:p>
    <w:sectPr w:rsidR="00FE197C">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arajita">
    <w:panose1 w:val="02020603050405020304"/>
    <w:charset w:val="00"/>
    <w:family w:val="roman"/>
    <w:pitch w:val="variable"/>
    <w:sig w:usb0="00008003" w:usb1="00000000" w:usb2="00000000" w:usb3="00000000" w:csb0="00000001" w:csb1="00000000"/>
  </w:font>
  <w:font w:name="EB Garamond">
    <w:altName w:val="Calibri"/>
    <w:panose1 w:val="020B0604020202020204"/>
    <w:charset w:val="00"/>
    <w:family w:val="auto"/>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0A8"/>
    <w:rsid w:val="004B026F"/>
    <w:rsid w:val="00A940CE"/>
    <w:rsid w:val="00CE312B"/>
    <w:rsid w:val="00ED40A8"/>
    <w:rsid w:val="00FE020A"/>
    <w:rsid w:val="00FE1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845418"/>
  <w15:docId w15:val="{EC2AD8AF-4E2B-9744-98CC-9F42A73E5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FE197C"/>
    <w:rPr>
      <w:color w:val="0000FF" w:themeColor="hyperlink"/>
      <w:u w:val="single"/>
    </w:rPr>
  </w:style>
  <w:style w:type="character" w:styleId="UnresolvedMention">
    <w:name w:val="Unresolved Mention"/>
    <w:basedOn w:val="DefaultParagraphFont"/>
    <w:uiPriority w:val="99"/>
    <w:semiHidden/>
    <w:unhideWhenUsed/>
    <w:rsid w:val="00FE19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634989">
      <w:bodyDiv w:val="1"/>
      <w:marLeft w:val="0"/>
      <w:marRight w:val="0"/>
      <w:marTop w:val="0"/>
      <w:marBottom w:val="0"/>
      <w:divBdr>
        <w:top w:val="none" w:sz="0" w:space="0" w:color="auto"/>
        <w:left w:val="none" w:sz="0" w:space="0" w:color="auto"/>
        <w:bottom w:val="none" w:sz="0" w:space="0" w:color="auto"/>
        <w:right w:val="none" w:sz="0" w:space="0" w:color="auto"/>
      </w:divBdr>
    </w:div>
    <w:div w:id="19809167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ewyorker.com/magazine/2005/03/07/voltaires-garden" TargetMode="External"/><Relationship Id="rId3" Type="http://schemas.openxmlformats.org/officeDocument/2006/relationships/webSettings" Target="webSettings.xml"/><Relationship Id="rId7" Type="http://schemas.openxmlformats.org/officeDocument/2006/relationships/hyperlink" Target="https://www.theguardian.com/books/2011/jul/01/candide-voltaire-rereading-julian-barn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parknotes.com/lit/candide"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hyperlink" Target="http://www.davidspero.co.uk/settlements/" TargetMode="External"/><Relationship Id="rId9" Type="http://schemas.openxmlformats.org/officeDocument/2006/relationships/hyperlink" Target="https://www.ted.com/talks/tali_sharot_the_optimism_bias/up-n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TotalTime>
  <Pages>3</Pages>
  <Words>454</Words>
  <Characters>2593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Morgan</dc:creator>
  <cp:keywords/>
  <dc:description/>
  <cp:lastModifiedBy>Jacqueline Morgan</cp:lastModifiedBy>
  <cp:revision>1</cp:revision>
  <dcterms:created xsi:type="dcterms:W3CDTF">2019-02-07T13:07:00Z</dcterms:created>
  <dcterms:modified xsi:type="dcterms:W3CDTF">2019-02-07T14:31:00Z</dcterms:modified>
</cp:coreProperties>
</file>