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56CF6A" w14:textId="77777777" w:rsidR="00E974B5" w:rsidRDefault="00E974B5" w:rsidP="00E31625">
      <w:pPr>
        <w:spacing w:after="0" w:line="360" w:lineRule="auto"/>
        <w:rPr>
          <w:rFonts w:ascii="Arial" w:hAnsi="Arial" w:cs="Arial"/>
          <w:b/>
          <w:bCs/>
        </w:rPr>
      </w:pPr>
    </w:p>
    <w:p w14:paraId="433BC146" w14:textId="77777777" w:rsidR="00E974B5" w:rsidRDefault="00E974B5" w:rsidP="00E31625">
      <w:pPr>
        <w:spacing w:after="0" w:line="360" w:lineRule="auto"/>
        <w:rPr>
          <w:rFonts w:ascii="Arial" w:hAnsi="Arial" w:cs="Arial"/>
          <w:b/>
          <w:bCs/>
        </w:rPr>
      </w:pPr>
    </w:p>
    <w:p w14:paraId="4E20010B" w14:textId="77777777" w:rsidR="00E974B5" w:rsidRDefault="00E974B5" w:rsidP="00E31625">
      <w:pPr>
        <w:spacing w:after="0" w:line="360" w:lineRule="auto"/>
        <w:rPr>
          <w:rFonts w:ascii="Arial" w:hAnsi="Arial" w:cs="Arial"/>
          <w:b/>
          <w:bCs/>
        </w:rPr>
      </w:pPr>
    </w:p>
    <w:p w14:paraId="4C51391D" w14:textId="77777777" w:rsidR="00E974B5" w:rsidRDefault="00E974B5" w:rsidP="00E31625">
      <w:pPr>
        <w:spacing w:after="0" w:line="360" w:lineRule="auto"/>
        <w:rPr>
          <w:rFonts w:ascii="Arial" w:hAnsi="Arial" w:cs="Arial"/>
          <w:b/>
          <w:bCs/>
        </w:rPr>
      </w:pPr>
    </w:p>
    <w:p w14:paraId="361C5749" w14:textId="3CD4D737" w:rsidR="00E31625" w:rsidRPr="00E31625" w:rsidRDefault="00E31625" w:rsidP="00E31625">
      <w:pPr>
        <w:spacing w:after="0" w:line="360" w:lineRule="auto"/>
        <w:rPr>
          <w:rFonts w:ascii="Arial" w:hAnsi="Arial" w:cs="Arial"/>
          <w:b/>
          <w:bCs/>
        </w:rPr>
      </w:pPr>
      <w:r w:rsidRPr="00E31625">
        <w:rPr>
          <w:rFonts w:ascii="Arial" w:hAnsi="Arial" w:cs="Arial"/>
          <w:b/>
          <w:bCs/>
        </w:rPr>
        <w:t>Student name:</w:t>
      </w:r>
      <w:r w:rsidRPr="00E31625">
        <w:rPr>
          <w:rFonts w:ascii="Arial" w:hAnsi="Arial" w:cs="Arial"/>
          <w:b/>
          <w:bCs/>
        </w:rPr>
        <w:tab/>
        <w:t>IDIL ALI CABDI</w:t>
      </w:r>
    </w:p>
    <w:p w14:paraId="784D4E34" w14:textId="77777777" w:rsidR="00E31625" w:rsidRPr="00E31625" w:rsidRDefault="00E31625" w:rsidP="00E31625">
      <w:pPr>
        <w:spacing w:after="0" w:line="360" w:lineRule="auto"/>
        <w:rPr>
          <w:rFonts w:ascii="Arial" w:hAnsi="Arial" w:cs="Arial"/>
          <w:b/>
          <w:bCs/>
        </w:rPr>
      </w:pPr>
      <w:r w:rsidRPr="00E31625">
        <w:rPr>
          <w:rFonts w:ascii="Arial" w:hAnsi="Arial" w:cs="Arial"/>
          <w:b/>
          <w:bCs/>
        </w:rPr>
        <w:t>STUDENT ID:     2506385</w:t>
      </w:r>
    </w:p>
    <w:p w14:paraId="48BE140E" w14:textId="77777777" w:rsidR="00E31625" w:rsidRPr="00E31625" w:rsidRDefault="00E31625" w:rsidP="00E31625">
      <w:pPr>
        <w:spacing w:after="0" w:line="360" w:lineRule="auto"/>
        <w:rPr>
          <w:rFonts w:ascii="Arial" w:hAnsi="Arial" w:cs="Arial"/>
          <w:b/>
          <w:bCs/>
        </w:rPr>
      </w:pPr>
      <w:r w:rsidRPr="00E31625">
        <w:rPr>
          <w:rFonts w:ascii="Arial" w:hAnsi="Arial" w:cs="Arial"/>
          <w:b/>
          <w:bCs/>
        </w:rPr>
        <w:t>Program:</w:t>
      </w:r>
      <w:r w:rsidRPr="00E31625">
        <w:rPr>
          <w:rFonts w:ascii="Arial" w:hAnsi="Arial" w:cs="Arial"/>
          <w:b/>
          <w:bCs/>
        </w:rPr>
        <w:tab/>
        <w:t>Certificate of Higher Education Skills for the Workplace (Health &amp; Social Care)</w:t>
      </w:r>
    </w:p>
    <w:p w14:paraId="3F143DF8" w14:textId="77777777" w:rsidR="00E31625" w:rsidRPr="00E31625" w:rsidRDefault="00E31625" w:rsidP="00E31625">
      <w:pPr>
        <w:spacing w:after="0" w:line="360" w:lineRule="auto"/>
        <w:rPr>
          <w:rFonts w:ascii="Arial" w:hAnsi="Arial" w:cs="Arial"/>
          <w:b/>
          <w:bCs/>
        </w:rPr>
      </w:pPr>
      <w:r w:rsidRPr="00E31625">
        <w:rPr>
          <w:rFonts w:ascii="Arial" w:hAnsi="Arial" w:cs="Arial"/>
          <w:b/>
          <w:bCs/>
        </w:rPr>
        <w:t>Module:</w:t>
      </w:r>
      <w:r w:rsidRPr="00E31625">
        <w:rPr>
          <w:rFonts w:ascii="Arial" w:hAnsi="Arial" w:cs="Arial"/>
          <w:b/>
          <w:bCs/>
        </w:rPr>
        <w:tab/>
      </w:r>
      <w:r w:rsidRPr="00E31625">
        <w:rPr>
          <w:rFonts w:ascii="Arial" w:hAnsi="Arial" w:cs="Arial"/>
          <w:b/>
        </w:rPr>
        <w:t>Introduction to Public Health</w:t>
      </w:r>
    </w:p>
    <w:p w14:paraId="069A279E" w14:textId="77777777" w:rsidR="00E31625" w:rsidRPr="00E31625" w:rsidRDefault="00E31625" w:rsidP="00E31625">
      <w:pPr>
        <w:spacing w:after="0" w:line="360" w:lineRule="auto"/>
        <w:rPr>
          <w:rFonts w:ascii="Arial" w:hAnsi="Arial" w:cs="Arial"/>
          <w:b/>
          <w:bCs/>
        </w:rPr>
      </w:pPr>
      <w:r w:rsidRPr="00E31625">
        <w:rPr>
          <w:rFonts w:ascii="Arial" w:hAnsi="Arial" w:cs="Arial"/>
          <w:b/>
          <w:bCs/>
        </w:rPr>
        <w:t>Module code:</w:t>
      </w:r>
      <w:r w:rsidRPr="00E31625">
        <w:rPr>
          <w:rFonts w:ascii="Arial" w:hAnsi="Arial" w:cs="Arial"/>
          <w:b/>
          <w:bCs/>
        </w:rPr>
        <w:tab/>
      </w:r>
      <w:r w:rsidRPr="00E31625">
        <w:rPr>
          <w:rFonts w:ascii="Arial" w:hAnsi="Arial" w:cs="Arial"/>
          <w:b/>
        </w:rPr>
        <w:t>LCHS 4008</w:t>
      </w:r>
    </w:p>
    <w:p w14:paraId="62EE87AD" w14:textId="77777777" w:rsidR="00E31625" w:rsidRPr="00E31625" w:rsidRDefault="00E31625" w:rsidP="00E31625">
      <w:pPr>
        <w:spacing w:after="0" w:line="360" w:lineRule="auto"/>
        <w:rPr>
          <w:rFonts w:ascii="Arial" w:hAnsi="Arial" w:cs="Arial"/>
          <w:b/>
          <w:bCs/>
        </w:rPr>
      </w:pPr>
      <w:r w:rsidRPr="00E31625">
        <w:rPr>
          <w:rFonts w:ascii="Arial" w:hAnsi="Arial" w:cs="Arial"/>
          <w:b/>
          <w:bCs/>
        </w:rPr>
        <w:t>Lecturer:</w:t>
      </w:r>
      <w:r w:rsidRPr="00E31625">
        <w:rPr>
          <w:rFonts w:ascii="Arial" w:hAnsi="Arial" w:cs="Arial"/>
          <w:b/>
          <w:bCs/>
        </w:rPr>
        <w:tab/>
      </w:r>
      <w:r w:rsidRPr="00E31625">
        <w:rPr>
          <w:rFonts w:ascii="Arial" w:hAnsi="Arial" w:cs="Arial"/>
          <w:b/>
        </w:rPr>
        <w:t>Gillian Weaver (Module Lead)</w:t>
      </w:r>
    </w:p>
    <w:p w14:paraId="73D7E949" w14:textId="77777777" w:rsidR="00E31625" w:rsidRPr="00E31625" w:rsidRDefault="00E31625" w:rsidP="00E31625">
      <w:pPr>
        <w:spacing w:after="0" w:line="360" w:lineRule="auto"/>
        <w:rPr>
          <w:rFonts w:ascii="Arial" w:hAnsi="Arial" w:cs="Arial"/>
          <w:b/>
          <w:bCs/>
          <w:spacing w:val="-2"/>
        </w:rPr>
      </w:pPr>
      <w:r w:rsidRPr="00E31625">
        <w:rPr>
          <w:rFonts w:ascii="Arial" w:hAnsi="Arial" w:cs="Arial"/>
          <w:b/>
          <w:bCs/>
        </w:rPr>
        <w:t>Assignment Title:</w:t>
      </w:r>
      <w:r w:rsidRPr="00E31625">
        <w:rPr>
          <w:rFonts w:ascii="Arial" w:hAnsi="Arial" w:cs="Arial"/>
          <w:b/>
          <w:bCs/>
        </w:rPr>
        <w:tab/>
      </w:r>
      <w:r w:rsidRPr="00E31625">
        <w:rPr>
          <w:rFonts w:ascii="Arial" w:hAnsi="Arial" w:cs="Arial"/>
          <w:b/>
          <w:bCs/>
          <w:spacing w:val="-2"/>
        </w:rPr>
        <w:t>Report on a Health Issue</w:t>
      </w:r>
    </w:p>
    <w:p w14:paraId="7F4C2EEB" w14:textId="77777777" w:rsidR="00A842C6" w:rsidRPr="00435FCA" w:rsidRDefault="00A842C6" w:rsidP="00435FCA">
      <w:pPr>
        <w:spacing w:line="360" w:lineRule="auto"/>
        <w:rPr>
          <w:rFonts w:ascii="Arial" w:hAnsi="Arial" w:cs="Arial"/>
        </w:rPr>
      </w:pPr>
    </w:p>
    <w:p w14:paraId="1A8B17E6" w14:textId="3960DF27" w:rsidR="00A842C6" w:rsidRPr="00435FCA" w:rsidRDefault="00A842C6" w:rsidP="00435FCA">
      <w:pPr>
        <w:spacing w:line="360" w:lineRule="auto"/>
        <w:rPr>
          <w:rFonts w:ascii="Arial" w:hAnsi="Arial" w:cs="Arial"/>
        </w:rPr>
      </w:pPr>
    </w:p>
    <w:p w14:paraId="57825D36" w14:textId="77777777" w:rsidR="00A842C6" w:rsidRPr="00435FCA" w:rsidRDefault="00A842C6" w:rsidP="00435FCA">
      <w:pPr>
        <w:spacing w:line="360" w:lineRule="auto"/>
        <w:rPr>
          <w:rFonts w:ascii="Arial" w:hAnsi="Arial" w:cs="Arial"/>
        </w:rPr>
      </w:pPr>
    </w:p>
    <w:p w14:paraId="2DF7C5F1" w14:textId="77777777" w:rsidR="00FA574D" w:rsidRPr="00435FCA" w:rsidRDefault="00FA574D" w:rsidP="00435FCA">
      <w:pPr>
        <w:spacing w:line="360" w:lineRule="auto"/>
        <w:rPr>
          <w:rFonts w:ascii="Arial" w:hAnsi="Arial" w:cs="Arial"/>
          <w:b/>
          <w:bCs/>
        </w:rPr>
      </w:pPr>
    </w:p>
    <w:p w14:paraId="5BC77F7D" w14:textId="77777777" w:rsidR="00DD0578" w:rsidRPr="00435FCA" w:rsidRDefault="00DD0578" w:rsidP="00435FCA">
      <w:pPr>
        <w:spacing w:line="360" w:lineRule="auto"/>
        <w:rPr>
          <w:rFonts w:ascii="Arial" w:hAnsi="Arial" w:cs="Arial"/>
          <w:b/>
          <w:bCs/>
        </w:rPr>
      </w:pPr>
    </w:p>
    <w:p w14:paraId="401E94E5" w14:textId="77777777" w:rsidR="00DD0578" w:rsidRPr="00435FCA" w:rsidRDefault="00DD0578" w:rsidP="00435FCA">
      <w:pPr>
        <w:spacing w:line="360" w:lineRule="auto"/>
        <w:rPr>
          <w:rFonts w:ascii="Arial" w:hAnsi="Arial" w:cs="Arial"/>
          <w:b/>
          <w:bCs/>
        </w:rPr>
      </w:pPr>
    </w:p>
    <w:p w14:paraId="52D5F7B5" w14:textId="77777777" w:rsidR="00DD0578" w:rsidRPr="00435FCA" w:rsidRDefault="00DD0578" w:rsidP="00435FCA">
      <w:pPr>
        <w:spacing w:line="360" w:lineRule="auto"/>
        <w:rPr>
          <w:rFonts w:ascii="Arial" w:hAnsi="Arial" w:cs="Arial"/>
          <w:b/>
          <w:bCs/>
        </w:rPr>
      </w:pPr>
    </w:p>
    <w:p w14:paraId="3288B66D" w14:textId="77777777" w:rsidR="00DD0578" w:rsidRPr="00435FCA" w:rsidRDefault="00DD0578" w:rsidP="00435FCA">
      <w:pPr>
        <w:spacing w:line="360" w:lineRule="auto"/>
        <w:rPr>
          <w:rFonts w:ascii="Arial" w:hAnsi="Arial" w:cs="Arial"/>
          <w:b/>
          <w:bCs/>
        </w:rPr>
      </w:pPr>
    </w:p>
    <w:p w14:paraId="2D332CB5" w14:textId="77777777" w:rsidR="00DD0578" w:rsidRPr="00435FCA" w:rsidRDefault="00DD0578" w:rsidP="00435FCA">
      <w:pPr>
        <w:spacing w:line="360" w:lineRule="auto"/>
        <w:rPr>
          <w:rFonts w:ascii="Arial" w:hAnsi="Arial" w:cs="Arial"/>
          <w:b/>
          <w:bCs/>
        </w:rPr>
      </w:pPr>
    </w:p>
    <w:p w14:paraId="0087D70D" w14:textId="77777777" w:rsidR="00DD0578" w:rsidRPr="00435FCA" w:rsidRDefault="00DD0578" w:rsidP="00435FCA">
      <w:pPr>
        <w:spacing w:line="360" w:lineRule="auto"/>
        <w:rPr>
          <w:rFonts w:ascii="Arial" w:hAnsi="Arial" w:cs="Arial"/>
          <w:b/>
          <w:bCs/>
        </w:rPr>
      </w:pPr>
    </w:p>
    <w:p w14:paraId="3745AC08" w14:textId="77777777" w:rsidR="00DD0578" w:rsidRPr="00435FCA" w:rsidRDefault="00DD0578" w:rsidP="00435FCA">
      <w:pPr>
        <w:spacing w:line="360" w:lineRule="auto"/>
        <w:rPr>
          <w:rFonts w:ascii="Arial" w:hAnsi="Arial" w:cs="Arial"/>
          <w:b/>
          <w:bCs/>
        </w:rPr>
      </w:pPr>
    </w:p>
    <w:p w14:paraId="2E3D5EC0" w14:textId="77777777" w:rsidR="00DD0578" w:rsidRPr="00435FCA" w:rsidRDefault="00DD0578" w:rsidP="00435FCA">
      <w:pPr>
        <w:spacing w:line="360" w:lineRule="auto"/>
        <w:rPr>
          <w:rFonts w:ascii="Arial" w:hAnsi="Arial" w:cs="Arial"/>
          <w:b/>
          <w:bCs/>
        </w:rPr>
      </w:pPr>
    </w:p>
    <w:p w14:paraId="63CD5668" w14:textId="77777777" w:rsidR="00DD0578" w:rsidRPr="00435FCA" w:rsidRDefault="00DD0578" w:rsidP="00435FCA">
      <w:pPr>
        <w:spacing w:line="360" w:lineRule="auto"/>
        <w:rPr>
          <w:rFonts w:ascii="Arial" w:hAnsi="Arial" w:cs="Arial"/>
          <w:b/>
          <w:bCs/>
        </w:rPr>
      </w:pPr>
    </w:p>
    <w:p w14:paraId="4F8651F2" w14:textId="77777777" w:rsidR="00DD0578" w:rsidRPr="00435FCA" w:rsidRDefault="00DD0578" w:rsidP="00435FCA">
      <w:pPr>
        <w:spacing w:line="360" w:lineRule="auto"/>
        <w:rPr>
          <w:rFonts w:ascii="Arial" w:hAnsi="Arial" w:cs="Arial"/>
          <w:b/>
          <w:bCs/>
        </w:rPr>
      </w:pPr>
    </w:p>
    <w:p w14:paraId="6597DFC2" w14:textId="77777777" w:rsidR="00A842C6" w:rsidRPr="00435FCA" w:rsidRDefault="00A842C6" w:rsidP="00435FCA">
      <w:pPr>
        <w:spacing w:line="360" w:lineRule="auto"/>
        <w:rPr>
          <w:rFonts w:ascii="Arial" w:hAnsi="Arial" w:cs="Arial"/>
          <w:b/>
          <w:bCs/>
        </w:rPr>
      </w:pPr>
    </w:p>
    <w:p w14:paraId="7B1F5B59" w14:textId="77777777" w:rsidR="00A842C6" w:rsidRPr="00435FCA" w:rsidRDefault="00A842C6" w:rsidP="00435FCA">
      <w:pPr>
        <w:spacing w:line="360" w:lineRule="auto"/>
        <w:rPr>
          <w:rFonts w:ascii="Arial" w:hAnsi="Arial" w:cs="Arial"/>
          <w:b/>
          <w:bCs/>
        </w:rPr>
      </w:pPr>
    </w:p>
    <w:p w14:paraId="123B966B" w14:textId="77777777" w:rsidR="00A842C6" w:rsidRDefault="00A842C6" w:rsidP="00435FCA">
      <w:pPr>
        <w:spacing w:line="360" w:lineRule="auto"/>
        <w:rPr>
          <w:rFonts w:ascii="Arial" w:hAnsi="Arial" w:cs="Arial"/>
          <w:b/>
          <w:bCs/>
        </w:rPr>
      </w:pPr>
    </w:p>
    <w:p w14:paraId="48A7B498" w14:textId="77777777" w:rsidR="00E31625" w:rsidRDefault="00E31625" w:rsidP="00435FCA">
      <w:pPr>
        <w:spacing w:line="360" w:lineRule="auto"/>
        <w:rPr>
          <w:rFonts w:ascii="Arial" w:hAnsi="Arial" w:cs="Arial"/>
          <w:b/>
          <w:bCs/>
        </w:rPr>
      </w:pPr>
    </w:p>
    <w:p w14:paraId="6685987E" w14:textId="77777777" w:rsidR="00E31625" w:rsidRPr="00435FCA" w:rsidRDefault="00E31625" w:rsidP="00435FCA">
      <w:pPr>
        <w:spacing w:line="360" w:lineRule="auto"/>
        <w:rPr>
          <w:rFonts w:ascii="Arial" w:hAnsi="Arial" w:cs="Arial"/>
          <w:b/>
          <w:bCs/>
        </w:rPr>
      </w:pPr>
    </w:p>
    <w:p w14:paraId="6AC55EF0" w14:textId="77777777" w:rsidR="00E974B5" w:rsidRDefault="00E974B5" w:rsidP="00435FCA">
      <w:pPr>
        <w:spacing w:line="360" w:lineRule="auto"/>
        <w:rPr>
          <w:rFonts w:ascii="Arial" w:hAnsi="Arial" w:cs="Arial"/>
          <w:b/>
          <w:bCs/>
        </w:rPr>
      </w:pPr>
    </w:p>
    <w:p w14:paraId="6AE719F0" w14:textId="77777777" w:rsidR="00E974B5" w:rsidRDefault="00E974B5" w:rsidP="00435FCA">
      <w:pPr>
        <w:spacing w:line="360" w:lineRule="auto"/>
        <w:rPr>
          <w:rFonts w:ascii="Arial" w:hAnsi="Arial" w:cs="Arial"/>
          <w:b/>
          <w:bCs/>
        </w:rPr>
      </w:pPr>
    </w:p>
    <w:p w14:paraId="70247BF0" w14:textId="77777777" w:rsidR="00E974B5" w:rsidRDefault="00E974B5" w:rsidP="00435FCA">
      <w:pPr>
        <w:spacing w:line="360" w:lineRule="auto"/>
        <w:rPr>
          <w:rFonts w:ascii="Arial" w:hAnsi="Arial" w:cs="Arial"/>
          <w:b/>
          <w:bCs/>
        </w:rPr>
      </w:pPr>
    </w:p>
    <w:p w14:paraId="7149B661" w14:textId="3EDAEF8B" w:rsidR="00A842C6" w:rsidRPr="00435FCA" w:rsidRDefault="00A842C6" w:rsidP="00435FCA">
      <w:pPr>
        <w:spacing w:line="360" w:lineRule="auto"/>
        <w:rPr>
          <w:rFonts w:ascii="Arial" w:hAnsi="Arial" w:cs="Arial"/>
          <w:b/>
          <w:bCs/>
        </w:rPr>
      </w:pPr>
      <w:r w:rsidRPr="00435FCA">
        <w:rPr>
          <w:rFonts w:ascii="Arial" w:hAnsi="Arial" w:cs="Arial"/>
          <w:b/>
          <w:bCs/>
        </w:rPr>
        <w:t>CONSENT PAGE</w:t>
      </w:r>
    </w:p>
    <w:p w14:paraId="3930E79E" w14:textId="42BF60D8" w:rsidR="00A842C6" w:rsidRPr="00435FCA" w:rsidRDefault="00433B25" w:rsidP="00435FCA">
      <w:pPr>
        <w:spacing w:line="360" w:lineRule="auto"/>
        <w:rPr>
          <w:rFonts w:ascii="Arial" w:hAnsi="Arial" w:cs="Arial"/>
          <w:b/>
          <w:bCs/>
        </w:rPr>
      </w:pPr>
      <w:r w:rsidRPr="00435FCA">
        <w:rPr>
          <w:rFonts w:ascii="Arial" w:hAnsi="Arial" w:cs="Arial"/>
          <w:b/>
          <w:bCs/>
        </w:rPr>
        <w:t>NUMBER 1: induction</w:t>
      </w:r>
      <w:r w:rsidR="00F55BB9" w:rsidRPr="00435FCA">
        <w:rPr>
          <w:rFonts w:ascii="Arial" w:hAnsi="Arial" w:cs="Arial"/>
          <w:b/>
          <w:bCs/>
        </w:rPr>
        <w:t>……</w:t>
      </w:r>
      <w:r w:rsidR="00E31625">
        <w:rPr>
          <w:rFonts w:ascii="Arial" w:hAnsi="Arial" w:cs="Arial"/>
          <w:b/>
          <w:bCs/>
        </w:rPr>
        <w:t>………………………………………………………</w:t>
      </w:r>
      <w:r w:rsidR="00F55BB9" w:rsidRPr="00435FCA">
        <w:rPr>
          <w:rFonts w:ascii="Arial" w:hAnsi="Arial" w:cs="Arial"/>
          <w:b/>
          <w:bCs/>
        </w:rPr>
        <w:t>1</w:t>
      </w:r>
    </w:p>
    <w:p w14:paraId="1D1D5068" w14:textId="3EED866D" w:rsidR="00C17A7D" w:rsidRPr="00435FCA" w:rsidRDefault="008F16A9" w:rsidP="00435FCA">
      <w:pPr>
        <w:spacing w:line="360" w:lineRule="auto"/>
        <w:rPr>
          <w:rFonts w:ascii="Arial" w:hAnsi="Arial" w:cs="Arial"/>
          <w:b/>
          <w:bCs/>
        </w:rPr>
      </w:pPr>
      <w:r w:rsidRPr="00435FCA">
        <w:rPr>
          <w:rFonts w:ascii="Arial" w:hAnsi="Arial" w:cs="Arial"/>
          <w:b/>
          <w:bCs/>
        </w:rPr>
        <w:t>NUMBER</w:t>
      </w:r>
      <w:r w:rsidR="00C17A7D" w:rsidRPr="00435FCA">
        <w:rPr>
          <w:rFonts w:ascii="Arial" w:hAnsi="Arial" w:cs="Arial"/>
          <w:b/>
          <w:bCs/>
        </w:rPr>
        <w:t xml:space="preserve"> 2: Approaches Used to Measure and Monitor Dementia</w:t>
      </w:r>
      <w:r w:rsidR="00F55BB9" w:rsidRPr="00435FCA">
        <w:rPr>
          <w:rFonts w:ascii="Arial" w:hAnsi="Arial" w:cs="Arial"/>
          <w:b/>
          <w:bCs/>
        </w:rPr>
        <w:t>……….</w:t>
      </w:r>
      <w:r w:rsidR="00E31625">
        <w:rPr>
          <w:rFonts w:ascii="Arial" w:hAnsi="Arial" w:cs="Arial"/>
          <w:b/>
          <w:bCs/>
        </w:rPr>
        <w:t>2</w:t>
      </w:r>
    </w:p>
    <w:p w14:paraId="39034323" w14:textId="0990B2AE" w:rsidR="00B56AF6" w:rsidRPr="00435FCA" w:rsidRDefault="00C17A7D" w:rsidP="00435FCA">
      <w:pPr>
        <w:spacing w:line="360" w:lineRule="auto"/>
        <w:rPr>
          <w:rFonts w:ascii="Arial" w:hAnsi="Arial" w:cs="Arial"/>
          <w:b/>
          <w:bCs/>
        </w:rPr>
      </w:pPr>
      <w:r w:rsidRPr="00435FCA">
        <w:rPr>
          <w:rFonts w:ascii="Arial" w:hAnsi="Arial" w:cs="Arial"/>
          <w:b/>
          <w:bCs/>
        </w:rPr>
        <w:t>NUMBER 3:</w:t>
      </w:r>
      <w:r w:rsidR="00B56AF6" w:rsidRPr="00435FCA">
        <w:rPr>
          <w:rFonts w:ascii="Arial" w:hAnsi="Arial" w:cs="Arial"/>
          <w:b/>
          <w:bCs/>
        </w:rPr>
        <w:t xml:space="preserve"> How Dementia Is Controlled</w:t>
      </w:r>
      <w:r w:rsidR="000543AD" w:rsidRPr="00435FCA">
        <w:rPr>
          <w:rFonts w:ascii="Arial" w:hAnsi="Arial" w:cs="Arial"/>
          <w:b/>
          <w:bCs/>
        </w:rPr>
        <w:t>…………</w:t>
      </w:r>
      <w:r w:rsidR="00E31625">
        <w:rPr>
          <w:rFonts w:ascii="Arial" w:hAnsi="Arial" w:cs="Arial"/>
          <w:b/>
          <w:bCs/>
        </w:rPr>
        <w:t>…………………………….3</w:t>
      </w:r>
    </w:p>
    <w:p w14:paraId="1A3F1568" w14:textId="4297ADBC" w:rsidR="00995F3B" w:rsidRPr="00435FCA" w:rsidRDefault="000D5414" w:rsidP="00435FCA">
      <w:pPr>
        <w:spacing w:line="360" w:lineRule="auto"/>
        <w:rPr>
          <w:rFonts w:ascii="Arial" w:hAnsi="Arial" w:cs="Arial"/>
          <w:b/>
          <w:bCs/>
        </w:rPr>
      </w:pPr>
      <w:r w:rsidRPr="00435FCA">
        <w:rPr>
          <w:rFonts w:ascii="Arial" w:hAnsi="Arial" w:cs="Arial"/>
          <w:b/>
          <w:bCs/>
        </w:rPr>
        <w:t>NUMBER 4</w:t>
      </w:r>
      <w:r w:rsidR="00995F3B" w:rsidRPr="00435FCA">
        <w:rPr>
          <w:rFonts w:ascii="Arial" w:hAnsi="Arial" w:cs="Arial"/>
          <w:b/>
          <w:bCs/>
        </w:rPr>
        <w:t>: Consequences of Dementia on People in the Community……</w:t>
      </w:r>
      <w:r w:rsidR="00E31625">
        <w:rPr>
          <w:rFonts w:ascii="Arial" w:hAnsi="Arial" w:cs="Arial"/>
          <w:b/>
          <w:bCs/>
        </w:rPr>
        <w:t>4</w:t>
      </w:r>
    </w:p>
    <w:p w14:paraId="06A2E237" w14:textId="0124EF82" w:rsidR="000D5414" w:rsidRPr="00435FCA" w:rsidRDefault="000D5414" w:rsidP="00435FCA">
      <w:pPr>
        <w:spacing w:line="360" w:lineRule="auto"/>
        <w:rPr>
          <w:rFonts w:ascii="Arial" w:hAnsi="Arial" w:cs="Arial"/>
          <w:b/>
          <w:bCs/>
        </w:rPr>
      </w:pPr>
    </w:p>
    <w:p w14:paraId="76414B87" w14:textId="4D336D01" w:rsidR="008F16A9" w:rsidRPr="00435FCA" w:rsidRDefault="008F16A9" w:rsidP="00435FCA">
      <w:pPr>
        <w:spacing w:line="360" w:lineRule="auto"/>
        <w:rPr>
          <w:rFonts w:ascii="Arial" w:hAnsi="Arial" w:cs="Arial"/>
          <w:b/>
          <w:bCs/>
        </w:rPr>
      </w:pPr>
    </w:p>
    <w:p w14:paraId="3295AD18" w14:textId="77777777" w:rsidR="00A842C6" w:rsidRPr="00435FCA" w:rsidRDefault="00A842C6" w:rsidP="00435FCA">
      <w:pPr>
        <w:spacing w:line="360" w:lineRule="auto"/>
        <w:rPr>
          <w:rFonts w:ascii="Arial" w:hAnsi="Arial" w:cs="Arial"/>
          <w:b/>
          <w:bCs/>
        </w:rPr>
      </w:pPr>
    </w:p>
    <w:p w14:paraId="27ED10AC" w14:textId="77777777" w:rsidR="00A842C6" w:rsidRPr="00435FCA" w:rsidRDefault="00A842C6" w:rsidP="00435FCA">
      <w:pPr>
        <w:spacing w:line="360" w:lineRule="auto"/>
        <w:rPr>
          <w:rFonts w:ascii="Arial" w:hAnsi="Arial" w:cs="Arial"/>
          <w:b/>
          <w:bCs/>
        </w:rPr>
      </w:pPr>
    </w:p>
    <w:p w14:paraId="295206C6" w14:textId="77777777" w:rsidR="00A842C6" w:rsidRPr="00435FCA" w:rsidRDefault="00A842C6" w:rsidP="00435FCA">
      <w:pPr>
        <w:spacing w:line="360" w:lineRule="auto"/>
        <w:rPr>
          <w:rFonts w:ascii="Arial" w:hAnsi="Arial" w:cs="Arial"/>
          <w:b/>
          <w:bCs/>
        </w:rPr>
      </w:pPr>
    </w:p>
    <w:p w14:paraId="3E137915" w14:textId="77777777" w:rsidR="00A842C6" w:rsidRPr="00435FCA" w:rsidRDefault="00A842C6" w:rsidP="00435FCA">
      <w:pPr>
        <w:spacing w:line="360" w:lineRule="auto"/>
        <w:rPr>
          <w:rFonts w:ascii="Arial" w:hAnsi="Arial" w:cs="Arial"/>
          <w:b/>
          <w:bCs/>
        </w:rPr>
      </w:pPr>
    </w:p>
    <w:p w14:paraId="33A11A31" w14:textId="77777777" w:rsidR="00A842C6" w:rsidRPr="00435FCA" w:rsidRDefault="00A842C6" w:rsidP="00435FCA">
      <w:pPr>
        <w:spacing w:line="360" w:lineRule="auto"/>
        <w:rPr>
          <w:rFonts w:ascii="Arial" w:hAnsi="Arial" w:cs="Arial"/>
          <w:b/>
          <w:bCs/>
        </w:rPr>
      </w:pPr>
    </w:p>
    <w:p w14:paraId="4CFE23F4" w14:textId="77777777" w:rsidR="00A842C6" w:rsidRPr="00435FCA" w:rsidRDefault="00A842C6" w:rsidP="00435FCA">
      <w:pPr>
        <w:spacing w:line="360" w:lineRule="auto"/>
        <w:rPr>
          <w:rFonts w:ascii="Arial" w:hAnsi="Arial" w:cs="Arial"/>
          <w:b/>
          <w:bCs/>
        </w:rPr>
      </w:pPr>
    </w:p>
    <w:p w14:paraId="01FE5F8F" w14:textId="77777777" w:rsidR="00A842C6" w:rsidRPr="00435FCA" w:rsidRDefault="00A842C6" w:rsidP="00435FCA">
      <w:pPr>
        <w:spacing w:line="360" w:lineRule="auto"/>
        <w:rPr>
          <w:rFonts w:ascii="Arial" w:hAnsi="Arial" w:cs="Arial"/>
          <w:b/>
          <w:bCs/>
        </w:rPr>
      </w:pPr>
    </w:p>
    <w:p w14:paraId="4433A78F" w14:textId="77777777" w:rsidR="00A842C6" w:rsidRPr="00435FCA" w:rsidRDefault="00A842C6" w:rsidP="00435FCA">
      <w:pPr>
        <w:spacing w:line="360" w:lineRule="auto"/>
        <w:rPr>
          <w:rFonts w:ascii="Arial" w:hAnsi="Arial" w:cs="Arial"/>
          <w:b/>
          <w:bCs/>
        </w:rPr>
      </w:pPr>
    </w:p>
    <w:p w14:paraId="53D14EC3" w14:textId="77777777" w:rsidR="00A842C6" w:rsidRPr="00435FCA" w:rsidRDefault="00A842C6" w:rsidP="00435FCA">
      <w:pPr>
        <w:spacing w:line="360" w:lineRule="auto"/>
        <w:rPr>
          <w:rFonts w:ascii="Arial" w:hAnsi="Arial" w:cs="Arial"/>
          <w:b/>
          <w:bCs/>
        </w:rPr>
      </w:pPr>
    </w:p>
    <w:p w14:paraId="422F940D" w14:textId="77777777" w:rsidR="00A842C6" w:rsidRPr="00435FCA" w:rsidRDefault="00A842C6" w:rsidP="00435FCA">
      <w:pPr>
        <w:spacing w:line="360" w:lineRule="auto"/>
        <w:rPr>
          <w:rFonts w:ascii="Arial" w:hAnsi="Arial" w:cs="Arial"/>
          <w:b/>
          <w:bCs/>
        </w:rPr>
      </w:pPr>
    </w:p>
    <w:p w14:paraId="27805DEE" w14:textId="77777777" w:rsidR="00A842C6" w:rsidRPr="00435FCA" w:rsidRDefault="00A842C6" w:rsidP="00435FCA">
      <w:pPr>
        <w:spacing w:line="360" w:lineRule="auto"/>
        <w:rPr>
          <w:rFonts w:ascii="Arial" w:hAnsi="Arial" w:cs="Arial"/>
          <w:b/>
          <w:bCs/>
        </w:rPr>
      </w:pPr>
    </w:p>
    <w:p w14:paraId="2DF6AE99" w14:textId="2B323C17" w:rsidR="0005214F" w:rsidRPr="00435FCA" w:rsidRDefault="0005214F" w:rsidP="00435FCA">
      <w:pPr>
        <w:spacing w:line="360" w:lineRule="auto"/>
        <w:rPr>
          <w:rFonts w:ascii="Arial" w:hAnsi="Arial" w:cs="Arial"/>
          <w:b/>
          <w:bCs/>
        </w:rPr>
      </w:pPr>
      <w:r w:rsidRPr="00435FCA">
        <w:rPr>
          <w:rFonts w:ascii="Arial" w:hAnsi="Arial" w:cs="Arial"/>
          <w:b/>
          <w:bCs/>
        </w:rPr>
        <w:lastRenderedPageBreak/>
        <w:t xml:space="preserve">Introduction </w:t>
      </w:r>
    </w:p>
    <w:p w14:paraId="6B94DD59" w14:textId="77777777" w:rsidR="0005214F" w:rsidRPr="00435FCA" w:rsidRDefault="0005214F" w:rsidP="00435FCA">
      <w:pPr>
        <w:spacing w:line="360" w:lineRule="auto"/>
        <w:rPr>
          <w:rFonts w:ascii="Arial" w:hAnsi="Arial" w:cs="Arial"/>
        </w:rPr>
      </w:pPr>
      <w:r w:rsidRPr="00435FCA">
        <w:rPr>
          <w:rFonts w:ascii="Arial" w:hAnsi="Arial" w:cs="Arial"/>
        </w:rPr>
        <w:t>Dementia is a progressive neurological condition that affects memory, thinking, behaviour and the ability to carry out everyday activities. It occurs when brain cells become damaged and can no longer communicate effectively with each other. The most common type of dementia is Alzheimer’s disease, although other forms include vascular dementia and Lewy body dementia. As the condition progresses, individuals may struggle with memory loss, confusion, communication difficulties and problems with decision making (NHS, 2024).</w:t>
      </w:r>
    </w:p>
    <w:p w14:paraId="48FCA142" w14:textId="77777777" w:rsidR="0005214F" w:rsidRPr="00435FCA" w:rsidRDefault="0005214F" w:rsidP="00435FCA">
      <w:pPr>
        <w:spacing w:line="360" w:lineRule="auto"/>
        <w:rPr>
          <w:rFonts w:ascii="Arial" w:hAnsi="Arial" w:cs="Arial"/>
        </w:rPr>
      </w:pPr>
      <w:r w:rsidRPr="00435FCA">
        <w:rPr>
          <w:rFonts w:ascii="Arial" w:hAnsi="Arial" w:cs="Arial"/>
        </w:rPr>
        <w:t>Common signs and symptoms of dementia include forgetfulness, difficulty completing familiar tasks, disorientation, personality changes and language difficulties. As dementia develops, individuals may require increasing support with daily tasks such as dressing, eating and personal care (Alzheimer’s Society, 2023).</w:t>
      </w:r>
    </w:p>
    <w:p w14:paraId="1EC3399E" w14:textId="77777777" w:rsidR="0005214F" w:rsidRPr="00435FCA" w:rsidRDefault="0005214F" w:rsidP="00435FCA">
      <w:pPr>
        <w:spacing w:line="360" w:lineRule="auto"/>
        <w:rPr>
          <w:rFonts w:ascii="Arial" w:hAnsi="Arial" w:cs="Arial"/>
        </w:rPr>
      </w:pPr>
      <w:r w:rsidRPr="00435FCA">
        <w:rPr>
          <w:rFonts w:ascii="Arial" w:hAnsi="Arial" w:cs="Arial"/>
        </w:rPr>
        <w:t>Dementia is a major global health issue. Around 55 million people worldwide live with dementia, and nearly 10 million new cases are diagnosed each year. In the United Kingdom, approximately 900,000 people are currently living with dementia, making it one of the leading causes of disability and dependency among older adults (World Health Organization, 2023).</w:t>
      </w:r>
    </w:p>
    <w:p w14:paraId="428637AB" w14:textId="77777777" w:rsidR="0005214F" w:rsidRPr="00435FCA" w:rsidRDefault="00CE13C5" w:rsidP="00435FCA">
      <w:pPr>
        <w:spacing w:line="360" w:lineRule="auto"/>
        <w:rPr>
          <w:rFonts w:ascii="Arial" w:hAnsi="Arial" w:cs="Arial"/>
        </w:rPr>
      </w:pPr>
      <w:r w:rsidRPr="00435FCA">
        <w:rPr>
          <w:rFonts w:ascii="Arial" w:hAnsi="Arial" w:cs="Arial"/>
        </w:rPr>
        <w:pict w14:anchorId="5DE458CE">
          <v:rect id="_x0000_i1025" style="width:0;height:1.5pt" o:hralign="center" o:hrstd="t" o:hr="t" fillcolor="#a0a0a0" stroked="f"/>
        </w:pict>
      </w:r>
    </w:p>
    <w:p w14:paraId="076EA671" w14:textId="77777777" w:rsidR="0005214F" w:rsidRPr="00435FCA" w:rsidRDefault="0005214F" w:rsidP="00435FCA">
      <w:pPr>
        <w:spacing w:line="360" w:lineRule="auto"/>
        <w:rPr>
          <w:rFonts w:ascii="Arial" w:hAnsi="Arial" w:cs="Arial"/>
          <w:b/>
          <w:bCs/>
        </w:rPr>
      </w:pPr>
      <w:r w:rsidRPr="00435FCA">
        <w:rPr>
          <w:rFonts w:ascii="Arial" w:hAnsi="Arial" w:cs="Arial"/>
          <w:b/>
          <w:bCs/>
        </w:rPr>
        <w:t>Approaches Used to Measure and Monitor Dementia</w:t>
      </w:r>
    </w:p>
    <w:p w14:paraId="3AF3F46C" w14:textId="77777777" w:rsidR="0005214F" w:rsidRPr="00435FCA" w:rsidRDefault="0005214F" w:rsidP="00435FCA">
      <w:pPr>
        <w:spacing w:line="360" w:lineRule="auto"/>
        <w:rPr>
          <w:rFonts w:ascii="Arial" w:hAnsi="Arial" w:cs="Arial"/>
        </w:rPr>
      </w:pPr>
      <w:r w:rsidRPr="00435FCA">
        <w:rPr>
          <w:rFonts w:ascii="Arial" w:hAnsi="Arial" w:cs="Arial"/>
        </w:rPr>
        <w:t>Public health organisations use several approaches to measure and monitor dementia in populations. These methods help researchers and healthcare professionals understand how widespread the condition is and how it affects communities. Collecting accurate data also allows governments to plan healthcare services and allocate resources effectively (World Health Organization, 2023).</w:t>
      </w:r>
    </w:p>
    <w:p w14:paraId="3BF4B5FE" w14:textId="77777777" w:rsidR="0005214F" w:rsidRPr="00435FCA" w:rsidRDefault="0005214F" w:rsidP="00435FCA">
      <w:pPr>
        <w:spacing w:line="360" w:lineRule="auto"/>
        <w:rPr>
          <w:rFonts w:ascii="Arial" w:hAnsi="Arial" w:cs="Arial"/>
        </w:rPr>
      </w:pPr>
      <w:r w:rsidRPr="00435FCA">
        <w:rPr>
          <w:rFonts w:ascii="Arial" w:hAnsi="Arial" w:cs="Arial"/>
        </w:rPr>
        <w:t xml:space="preserve">One important method used to measure dementia is </w:t>
      </w:r>
      <w:r w:rsidRPr="00435FCA">
        <w:rPr>
          <w:rFonts w:ascii="Arial" w:hAnsi="Arial" w:cs="Arial"/>
          <w:b/>
          <w:bCs/>
        </w:rPr>
        <w:t>incidence</w:t>
      </w:r>
      <w:r w:rsidRPr="00435FCA">
        <w:rPr>
          <w:rFonts w:ascii="Arial" w:hAnsi="Arial" w:cs="Arial"/>
        </w:rPr>
        <w:t xml:space="preserve">. Incidence refers to the number of new cases of a disease that occur within a specific </w:t>
      </w:r>
      <w:proofErr w:type="gramStart"/>
      <w:r w:rsidRPr="00435FCA">
        <w:rPr>
          <w:rFonts w:ascii="Arial" w:hAnsi="Arial" w:cs="Arial"/>
        </w:rPr>
        <w:t>time period</w:t>
      </w:r>
      <w:proofErr w:type="gramEnd"/>
      <w:r w:rsidRPr="00435FCA">
        <w:rPr>
          <w:rFonts w:ascii="Arial" w:hAnsi="Arial" w:cs="Arial"/>
        </w:rPr>
        <w:t xml:space="preserve">. Monitoring incidence allows researchers to understand how frequently dementia develops within different populations. For example, public health organisations may track how many new dementia diagnoses occur each year within </w:t>
      </w:r>
      <w:proofErr w:type="gramStart"/>
      <w:r w:rsidRPr="00435FCA">
        <w:rPr>
          <w:rFonts w:ascii="Arial" w:hAnsi="Arial" w:cs="Arial"/>
        </w:rPr>
        <w:t>particular age</w:t>
      </w:r>
      <w:proofErr w:type="gramEnd"/>
      <w:r w:rsidRPr="00435FCA">
        <w:rPr>
          <w:rFonts w:ascii="Arial" w:hAnsi="Arial" w:cs="Arial"/>
        </w:rPr>
        <w:t xml:space="preserve"> groups. This helps identify patterns and risk factors associated with the disease (World Health Organization, 2023).</w:t>
      </w:r>
    </w:p>
    <w:p w14:paraId="35F6942F" w14:textId="77777777" w:rsidR="0005214F" w:rsidRPr="00435FCA" w:rsidRDefault="0005214F" w:rsidP="00435FCA">
      <w:pPr>
        <w:spacing w:line="360" w:lineRule="auto"/>
        <w:rPr>
          <w:rFonts w:ascii="Arial" w:hAnsi="Arial" w:cs="Arial"/>
        </w:rPr>
      </w:pPr>
      <w:r w:rsidRPr="00435FCA">
        <w:rPr>
          <w:rFonts w:ascii="Arial" w:hAnsi="Arial" w:cs="Arial"/>
        </w:rPr>
        <w:t xml:space="preserve">Another key measurement is </w:t>
      </w:r>
      <w:r w:rsidRPr="00435FCA">
        <w:rPr>
          <w:rFonts w:ascii="Arial" w:hAnsi="Arial" w:cs="Arial"/>
          <w:b/>
          <w:bCs/>
        </w:rPr>
        <w:t>prevalence</w:t>
      </w:r>
      <w:r w:rsidRPr="00435FCA">
        <w:rPr>
          <w:rFonts w:ascii="Arial" w:hAnsi="Arial" w:cs="Arial"/>
        </w:rPr>
        <w:t xml:space="preserve">, which refers to the total number of people living with dementia at a specific time. Prevalence is particularly important for long-term conditions such as dementia because individuals may live with the disease for many years. Monitoring </w:t>
      </w:r>
      <w:r w:rsidRPr="00435FCA">
        <w:rPr>
          <w:rFonts w:ascii="Arial" w:hAnsi="Arial" w:cs="Arial"/>
        </w:rPr>
        <w:lastRenderedPageBreak/>
        <w:t>prevalence helps health authorities understand the scale of the condition and estimate the demand for healthcare and support services (Alzheimer’s Society, 2023).</w:t>
      </w:r>
    </w:p>
    <w:p w14:paraId="4F9FB0C8" w14:textId="77777777" w:rsidR="0005214F" w:rsidRPr="00435FCA" w:rsidRDefault="0005214F" w:rsidP="00435FCA">
      <w:pPr>
        <w:spacing w:line="360" w:lineRule="auto"/>
        <w:rPr>
          <w:rFonts w:ascii="Arial" w:hAnsi="Arial" w:cs="Arial"/>
        </w:rPr>
      </w:pPr>
      <w:r w:rsidRPr="00435FCA">
        <w:rPr>
          <w:rFonts w:ascii="Arial" w:hAnsi="Arial" w:cs="Arial"/>
        </w:rPr>
        <w:t xml:space="preserve">Healthcare professionals also monitor dementia using </w:t>
      </w:r>
      <w:r w:rsidRPr="00435FCA">
        <w:rPr>
          <w:rFonts w:ascii="Arial" w:hAnsi="Arial" w:cs="Arial"/>
          <w:b/>
          <w:bCs/>
        </w:rPr>
        <w:t>clinical assessments and diagnostic tests</w:t>
      </w:r>
      <w:r w:rsidRPr="00435FCA">
        <w:rPr>
          <w:rFonts w:ascii="Arial" w:hAnsi="Arial" w:cs="Arial"/>
        </w:rPr>
        <w:t>. Doctors may carry out cognitive assessments that evaluate memory, language, attention and problem-solving abilities. These tests help determine whether an individual is experiencing cognitive decline. In some cases, brain imaging scans such as MRI scans may be used to detect structural changes in the brain associated with dementia (NHS, 2024).</w:t>
      </w:r>
    </w:p>
    <w:p w14:paraId="3C4DBD1A" w14:textId="77777777" w:rsidR="0005214F" w:rsidRPr="00435FCA" w:rsidRDefault="0005214F" w:rsidP="00435FCA">
      <w:pPr>
        <w:spacing w:line="360" w:lineRule="auto"/>
        <w:rPr>
          <w:rFonts w:ascii="Arial" w:hAnsi="Arial" w:cs="Arial"/>
        </w:rPr>
      </w:pPr>
      <w:r w:rsidRPr="00435FCA">
        <w:rPr>
          <w:rFonts w:ascii="Arial" w:hAnsi="Arial" w:cs="Arial"/>
        </w:rPr>
        <w:t>In addition, health surveillance systems collect data from hospitals, general practitioners and care services. These systems help researchers analyse trends in dementia diagnoses and monitor the effectiveness of prevention and treatment strategies. National health databases provide valuable information about how many people are diagnosed with dementia and the type of care they receive (World Health Organization, 2023).</w:t>
      </w:r>
    </w:p>
    <w:p w14:paraId="0D5C5D20" w14:textId="77777777" w:rsidR="0005214F" w:rsidRPr="00435FCA" w:rsidRDefault="0005214F" w:rsidP="00435FCA">
      <w:pPr>
        <w:spacing w:line="360" w:lineRule="auto"/>
        <w:rPr>
          <w:rFonts w:ascii="Arial" w:hAnsi="Arial" w:cs="Arial"/>
        </w:rPr>
      </w:pPr>
      <w:r w:rsidRPr="00435FCA">
        <w:rPr>
          <w:rFonts w:ascii="Arial" w:hAnsi="Arial" w:cs="Arial"/>
        </w:rPr>
        <w:t>Monitoring dementia is essential because the number of people living with the condition is increasing due to ageing populations. By measuring incidence and prevalence, healthcare organisations can identify patterns, predict future healthcare needs and develop strategies to support affected individuals and families (Alzheimer’s Society, 2023).</w:t>
      </w:r>
    </w:p>
    <w:p w14:paraId="2B6D3D76" w14:textId="77777777" w:rsidR="0005214F" w:rsidRPr="00435FCA" w:rsidRDefault="00CE13C5" w:rsidP="00435FCA">
      <w:pPr>
        <w:spacing w:line="360" w:lineRule="auto"/>
        <w:rPr>
          <w:rFonts w:ascii="Arial" w:hAnsi="Arial" w:cs="Arial"/>
        </w:rPr>
      </w:pPr>
      <w:r w:rsidRPr="00435FCA">
        <w:rPr>
          <w:rFonts w:ascii="Arial" w:hAnsi="Arial" w:cs="Arial"/>
        </w:rPr>
        <w:pict w14:anchorId="1C2FB33A">
          <v:rect id="_x0000_i1026" style="width:0;height:1.5pt" o:hralign="center" o:hrstd="t" o:hr="t" fillcolor="#a0a0a0" stroked="f"/>
        </w:pict>
      </w:r>
    </w:p>
    <w:p w14:paraId="18DBB17C" w14:textId="77777777" w:rsidR="0005214F" w:rsidRPr="00435FCA" w:rsidRDefault="0005214F" w:rsidP="00435FCA">
      <w:pPr>
        <w:spacing w:line="360" w:lineRule="auto"/>
        <w:rPr>
          <w:rFonts w:ascii="Arial" w:hAnsi="Arial" w:cs="Arial"/>
          <w:b/>
          <w:bCs/>
        </w:rPr>
      </w:pPr>
      <w:r w:rsidRPr="00435FCA">
        <w:rPr>
          <w:rFonts w:ascii="Arial" w:hAnsi="Arial" w:cs="Arial"/>
          <w:b/>
          <w:bCs/>
        </w:rPr>
        <w:t>How Dementia Is Controlled</w:t>
      </w:r>
    </w:p>
    <w:p w14:paraId="3F349ED0" w14:textId="77777777" w:rsidR="0005214F" w:rsidRPr="00435FCA" w:rsidRDefault="0005214F" w:rsidP="00435FCA">
      <w:pPr>
        <w:spacing w:line="360" w:lineRule="auto"/>
        <w:rPr>
          <w:rFonts w:ascii="Arial" w:hAnsi="Arial" w:cs="Arial"/>
        </w:rPr>
      </w:pPr>
      <w:r w:rsidRPr="00435FCA">
        <w:rPr>
          <w:rFonts w:ascii="Arial" w:hAnsi="Arial" w:cs="Arial"/>
        </w:rPr>
        <w:t>Although dementia cannot currently be cured, several strategies are used to control the condition and reduce its impact on individuals and communities. These strategies focus on early diagnosis, treatment, lifestyle changes and public health interventions.</w:t>
      </w:r>
    </w:p>
    <w:p w14:paraId="60BD7750" w14:textId="77777777" w:rsidR="0005214F" w:rsidRPr="00435FCA" w:rsidRDefault="0005214F" w:rsidP="00435FCA">
      <w:pPr>
        <w:spacing w:line="360" w:lineRule="auto"/>
        <w:rPr>
          <w:rFonts w:ascii="Arial" w:hAnsi="Arial" w:cs="Arial"/>
        </w:rPr>
      </w:pPr>
      <w:r w:rsidRPr="00435FCA">
        <w:rPr>
          <w:rFonts w:ascii="Arial" w:hAnsi="Arial" w:cs="Arial"/>
        </w:rPr>
        <w:t xml:space="preserve">Early diagnosis plays an important role in controlling dementia. When the condition is identified early, individuals and their families can access support services and receive treatment sooner. Early diagnosis also allows people to </w:t>
      </w:r>
      <w:proofErr w:type="gramStart"/>
      <w:r w:rsidRPr="00435FCA">
        <w:rPr>
          <w:rFonts w:ascii="Arial" w:hAnsi="Arial" w:cs="Arial"/>
        </w:rPr>
        <w:t>plan for the future</w:t>
      </w:r>
      <w:proofErr w:type="gramEnd"/>
      <w:r w:rsidRPr="00435FCA">
        <w:rPr>
          <w:rFonts w:ascii="Arial" w:hAnsi="Arial" w:cs="Arial"/>
        </w:rPr>
        <w:t xml:space="preserve"> and make decisions about their care. In the United Kingdom, general practitioners often perform initial assessments and refer patients to specialist memory clinics for further evaluation (NHS, 2024).</w:t>
      </w:r>
    </w:p>
    <w:p w14:paraId="5F972B87" w14:textId="77777777" w:rsidR="0005214F" w:rsidRPr="00435FCA" w:rsidRDefault="0005214F" w:rsidP="00435FCA">
      <w:pPr>
        <w:spacing w:line="360" w:lineRule="auto"/>
        <w:rPr>
          <w:rFonts w:ascii="Arial" w:hAnsi="Arial" w:cs="Arial"/>
        </w:rPr>
      </w:pPr>
      <w:r w:rsidRPr="00435FCA">
        <w:rPr>
          <w:rFonts w:ascii="Arial" w:hAnsi="Arial" w:cs="Arial"/>
        </w:rPr>
        <w:t xml:space="preserve">Medical treatments are also used to manage the symptoms of dementia. Although medications cannot cure the disease, some drugs can help improve memory and cognitive function in certain individuals. Healthcare professionals may also recommend non-drug therapies such as cognitive stimulation therapy. These structured activities aim to improve </w:t>
      </w:r>
      <w:r w:rsidRPr="00435FCA">
        <w:rPr>
          <w:rFonts w:ascii="Arial" w:hAnsi="Arial" w:cs="Arial"/>
        </w:rPr>
        <w:lastRenderedPageBreak/>
        <w:t>thinking skills and encourage social interaction, which can help maintain mental abilities for longer (Alzheimer’s Society, 2023).</w:t>
      </w:r>
    </w:p>
    <w:p w14:paraId="456DB05C" w14:textId="77777777" w:rsidR="0005214F" w:rsidRPr="00435FCA" w:rsidRDefault="0005214F" w:rsidP="00435FCA">
      <w:pPr>
        <w:spacing w:line="360" w:lineRule="auto"/>
        <w:rPr>
          <w:rFonts w:ascii="Arial" w:hAnsi="Arial" w:cs="Arial"/>
        </w:rPr>
      </w:pPr>
      <w:r w:rsidRPr="00435FCA">
        <w:rPr>
          <w:rFonts w:ascii="Arial" w:hAnsi="Arial" w:cs="Arial"/>
        </w:rPr>
        <w:t>Lifestyle factors can also influence the development and progression of dementia. Research suggests that maintaining a healthy lifestyle may help reduce the risk of developing the condition. Regular physical activity, a balanced diet, mental stimulation and social engagement can support brain health. Managing other medical conditions such as high blood pressure, diabetes and heart disease may also reduce the risk of vascular dementia (World Health Organization, 2023).</w:t>
      </w:r>
    </w:p>
    <w:p w14:paraId="1C139CDB" w14:textId="77777777" w:rsidR="0005214F" w:rsidRPr="00435FCA" w:rsidRDefault="0005214F" w:rsidP="00435FCA">
      <w:pPr>
        <w:spacing w:line="360" w:lineRule="auto"/>
        <w:rPr>
          <w:rFonts w:ascii="Arial" w:hAnsi="Arial" w:cs="Arial"/>
        </w:rPr>
      </w:pPr>
      <w:r w:rsidRPr="00435FCA">
        <w:rPr>
          <w:rFonts w:ascii="Arial" w:hAnsi="Arial" w:cs="Arial"/>
        </w:rPr>
        <w:t>Public health initiatives also contribute to controlling dementia. Governments and healthcare organisations run awareness campaigns that encourage people to recognise early symptoms and seek medical advice. These campaigns aim to reduce stigma and improve understanding of dementia within society. Increased awareness helps communities become more supportive and inclusive for people living with the condition (Alzheimer’s Society, 2023).</w:t>
      </w:r>
    </w:p>
    <w:p w14:paraId="37753275" w14:textId="77777777" w:rsidR="0005214F" w:rsidRPr="00435FCA" w:rsidRDefault="0005214F" w:rsidP="00435FCA">
      <w:pPr>
        <w:spacing w:line="360" w:lineRule="auto"/>
        <w:rPr>
          <w:rFonts w:ascii="Arial" w:hAnsi="Arial" w:cs="Arial"/>
        </w:rPr>
      </w:pPr>
      <w:r w:rsidRPr="00435FCA">
        <w:rPr>
          <w:rFonts w:ascii="Arial" w:hAnsi="Arial" w:cs="Arial"/>
        </w:rPr>
        <w:t>Overall, controlling dementia involves a combination of medical treatment, early diagnosis, healthy lifestyle promotion and community education. These approaches aim to slow disease progression and improve the quality of life for individuals living with dementia.</w:t>
      </w:r>
    </w:p>
    <w:p w14:paraId="261D957C" w14:textId="77777777" w:rsidR="0005214F" w:rsidRPr="00435FCA" w:rsidRDefault="00CE13C5" w:rsidP="00435FCA">
      <w:pPr>
        <w:spacing w:line="360" w:lineRule="auto"/>
        <w:rPr>
          <w:rFonts w:ascii="Arial" w:hAnsi="Arial" w:cs="Arial"/>
        </w:rPr>
      </w:pPr>
      <w:r w:rsidRPr="00435FCA">
        <w:rPr>
          <w:rFonts w:ascii="Arial" w:hAnsi="Arial" w:cs="Arial"/>
        </w:rPr>
        <w:pict w14:anchorId="6CFB6A1F">
          <v:rect id="_x0000_i1027" style="width:0;height:1.5pt" o:hralign="center" o:hrstd="t" o:hr="t" fillcolor="#a0a0a0" stroked="f"/>
        </w:pict>
      </w:r>
    </w:p>
    <w:p w14:paraId="57FC8DDD" w14:textId="77777777" w:rsidR="0005214F" w:rsidRPr="00435FCA" w:rsidRDefault="0005214F" w:rsidP="00435FCA">
      <w:pPr>
        <w:spacing w:line="360" w:lineRule="auto"/>
        <w:rPr>
          <w:rFonts w:ascii="Arial" w:hAnsi="Arial" w:cs="Arial"/>
          <w:b/>
          <w:bCs/>
        </w:rPr>
      </w:pPr>
      <w:r w:rsidRPr="00435FCA">
        <w:rPr>
          <w:rFonts w:ascii="Arial" w:hAnsi="Arial" w:cs="Arial"/>
          <w:b/>
          <w:bCs/>
        </w:rPr>
        <w:t>Consequences of Dementia on People in the Community</w:t>
      </w:r>
    </w:p>
    <w:p w14:paraId="39EDE215" w14:textId="77777777" w:rsidR="000D5414" w:rsidRPr="00435FCA" w:rsidRDefault="000D5414" w:rsidP="00435FCA">
      <w:pPr>
        <w:spacing w:line="360" w:lineRule="auto"/>
        <w:rPr>
          <w:rFonts w:ascii="Arial" w:hAnsi="Arial" w:cs="Arial"/>
        </w:rPr>
      </w:pPr>
    </w:p>
    <w:p w14:paraId="0EDB2CA2" w14:textId="355C8883" w:rsidR="0005214F" w:rsidRPr="00435FCA" w:rsidRDefault="0005214F" w:rsidP="00435FCA">
      <w:pPr>
        <w:spacing w:line="360" w:lineRule="auto"/>
        <w:rPr>
          <w:rFonts w:ascii="Arial" w:hAnsi="Arial" w:cs="Arial"/>
        </w:rPr>
      </w:pPr>
      <w:r w:rsidRPr="00435FCA">
        <w:rPr>
          <w:rFonts w:ascii="Arial" w:hAnsi="Arial" w:cs="Arial"/>
        </w:rPr>
        <w:t>Dementia has significant consequences for individuals, families and communities. One of the most noticeable effects is the gradual decline in memory and cognitive abilities experienced by individuals living with the condition. As dementia progresses, people may struggle to remember important information, recognise familiar faces or complete everyday tasks. This loss of independence can affect a person’s confidence and overall wellbeing (NHS, 2024).</w:t>
      </w:r>
    </w:p>
    <w:p w14:paraId="094BF20F" w14:textId="77777777" w:rsidR="0005214F" w:rsidRPr="00435FCA" w:rsidRDefault="0005214F" w:rsidP="00435FCA">
      <w:pPr>
        <w:spacing w:line="360" w:lineRule="auto"/>
        <w:rPr>
          <w:rFonts w:ascii="Arial" w:hAnsi="Arial" w:cs="Arial"/>
        </w:rPr>
      </w:pPr>
      <w:r w:rsidRPr="00435FCA">
        <w:rPr>
          <w:rFonts w:ascii="Arial" w:hAnsi="Arial" w:cs="Arial"/>
        </w:rPr>
        <w:t>Dementia can also have emotional and psychological consequences. Many individuals experience mood changes, anxiety or depression as they become aware of their cognitive decline. These emotional challenges can affect relationships with family members and friends. Social isolation may also occur because individuals find it difficult to communicate or participate in activities they previously enjoyed (Alzheimer’s Society, 2023).</w:t>
      </w:r>
    </w:p>
    <w:p w14:paraId="4191ED8F" w14:textId="77777777" w:rsidR="0005214F" w:rsidRPr="00435FCA" w:rsidRDefault="0005214F" w:rsidP="00435FCA">
      <w:pPr>
        <w:spacing w:line="360" w:lineRule="auto"/>
        <w:rPr>
          <w:rFonts w:ascii="Arial" w:hAnsi="Arial" w:cs="Arial"/>
        </w:rPr>
      </w:pPr>
      <w:r w:rsidRPr="00435FCA">
        <w:rPr>
          <w:rFonts w:ascii="Arial" w:hAnsi="Arial" w:cs="Arial"/>
        </w:rPr>
        <w:t xml:space="preserve">Families and carers are also heavily affected by dementia. Many individuals rely on relatives to help with daily tasks such as cooking, medication management and personal care. Caring </w:t>
      </w:r>
      <w:r w:rsidRPr="00435FCA">
        <w:rPr>
          <w:rFonts w:ascii="Arial" w:hAnsi="Arial" w:cs="Arial"/>
        </w:rPr>
        <w:lastRenderedPageBreak/>
        <w:t>for someone with dementia can be physically demanding and emotionally stressful. Carers may experience fatigue, anxiety and financial pressure due to the responsibilities involved (World Health Organization, 2023).</w:t>
      </w:r>
    </w:p>
    <w:p w14:paraId="16536510" w14:textId="5546F18C" w:rsidR="0005214F" w:rsidRPr="00435FCA" w:rsidRDefault="0005214F" w:rsidP="00435FCA">
      <w:pPr>
        <w:spacing w:line="360" w:lineRule="auto"/>
        <w:rPr>
          <w:rFonts w:ascii="Arial" w:hAnsi="Arial" w:cs="Arial"/>
        </w:rPr>
      </w:pPr>
      <w:r w:rsidRPr="00435FCA">
        <w:rPr>
          <w:rFonts w:ascii="Arial" w:hAnsi="Arial" w:cs="Arial"/>
        </w:rPr>
        <w:t xml:space="preserve">Dementia also creates economic challenges for healthcare systems. Providing medical care, social services and long-term support </w:t>
      </w:r>
      <w:r w:rsidR="00E31625" w:rsidRPr="00435FCA">
        <w:rPr>
          <w:rFonts w:ascii="Arial" w:hAnsi="Arial" w:cs="Arial"/>
        </w:rPr>
        <w:t>require</w:t>
      </w:r>
      <w:r w:rsidRPr="00435FCA">
        <w:rPr>
          <w:rFonts w:ascii="Arial" w:hAnsi="Arial" w:cs="Arial"/>
        </w:rPr>
        <w:t xml:space="preserve"> significant financial resources. As the number of people living with dementia increases, governments must invest more in healthcare infrastructure, training and community support programmes (Alzheimer’s Society, 2023).</w:t>
      </w:r>
    </w:p>
    <w:p w14:paraId="1858CFB0" w14:textId="77777777" w:rsidR="0005214F" w:rsidRPr="00435FCA" w:rsidRDefault="0005214F" w:rsidP="00435FCA">
      <w:pPr>
        <w:spacing w:line="360" w:lineRule="auto"/>
        <w:rPr>
          <w:rFonts w:ascii="Arial" w:hAnsi="Arial" w:cs="Arial"/>
        </w:rPr>
      </w:pPr>
      <w:r w:rsidRPr="00435FCA">
        <w:rPr>
          <w:rFonts w:ascii="Arial" w:hAnsi="Arial" w:cs="Arial"/>
        </w:rPr>
        <w:t>Another important consequence is the impact on community safety. Individuals with dementia may become confused or disoriented and sometimes wander away from home. This increases the risk of accidents and injuries. Communities therefore need to create safe environments and provide support systems that help individuals remain independent while reducing potential risks (NHS, 2024).</w:t>
      </w:r>
    </w:p>
    <w:p w14:paraId="2224413F" w14:textId="0C55AC0B" w:rsidR="005151F0" w:rsidRPr="00435FCA" w:rsidRDefault="00CE13C5" w:rsidP="00435FCA">
      <w:pPr>
        <w:spacing w:line="360" w:lineRule="auto"/>
        <w:rPr>
          <w:rFonts w:ascii="Arial" w:hAnsi="Arial" w:cs="Arial"/>
        </w:rPr>
      </w:pPr>
      <w:r w:rsidRPr="00435FCA">
        <w:rPr>
          <w:rFonts w:ascii="Arial" w:hAnsi="Arial" w:cs="Arial"/>
        </w:rPr>
        <w:pict w14:anchorId="04230DFE">
          <v:rect id="_x0000_i1028" style="width:0;height:1.5pt" o:hralign="center" o:hrstd="t" o:hr="t" fillcolor="#a0a0a0" stroked="f"/>
        </w:pict>
      </w:r>
    </w:p>
    <w:p w14:paraId="63E7CB1A" w14:textId="032E81CF" w:rsidR="0005214F" w:rsidRPr="00E31625" w:rsidRDefault="0005214F" w:rsidP="00435FCA">
      <w:pPr>
        <w:spacing w:line="360" w:lineRule="auto"/>
        <w:rPr>
          <w:rFonts w:ascii="Arial" w:hAnsi="Arial" w:cs="Arial"/>
        </w:rPr>
      </w:pPr>
      <w:r w:rsidRPr="00435FCA">
        <w:rPr>
          <w:rFonts w:ascii="Arial" w:hAnsi="Arial" w:cs="Arial"/>
          <w:b/>
          <w:bCs/>
        </w:rPr>
        <w:t>Health and Social Care Support Services in the Community</w:t>
      </w:r>
    </w:p>
    <w:p w14:paraId="4E678DA5" w14:textId="77777777" w:rsidR="0005214F" w:rsidRPr="00435FCA" w:rsidRDefault="0005214F" w:rsidP="00435FCA">
      <w:pPr>
        <w:spacing w:line="360" w:lineRule="auto"/>
        <w:rPr>
          <w:rFonts w:ascii="Arial" w:hAnsi="Arial" w:cs="Arial"/>
        </w:rPr>
      </w:pPr>
      <w:r w:rsidRPr="00435FCA">
        <w:rPr>
          <w:rFonts w:ascii="Arial" w:hAnsi="Arial" w:cs="Arial"/>
        </w:rPr>
        <w:t>A range of health and social care services are required to support individuals living with dementia within the community. These services aim to promote independence, improve quality of life and support families and carers.</w:t>
      </w:r>
    </w:p>
    <w:p w14:paraId="75B1CDAD" w14:textId="77777777" w:rsidR="0005214F" w:rsidRPr="00435FCA" w:rsidRDefault="0005214F" w:rsidP="00435FCA">
      <w:pPr>
        <w:spacing w:line="360" w:lineRule="auto"/>
        <w:rPr>
          <w:rFonts w:ascii="Arial" w:hAnsi="Arial" w:cs="Arial"/>
        </w:rPr>
      </w:pPr>
      <w:r w:rsidRPr="00435FCA">
        <w:rPr>
          <w:rFonts w:ascii="Arial" w:hAnsi="Arial" w:cs="Arial"/>
        </w:rPr>
        <w:t>Memory clinics are an important service where individuals can receive specialist assessments and diagnosis. These clinics involve multidisciplinary teams including doctors, psychologists and specialist nurses who work together to develop treatment plans and provide advice to patients and families (NHS, 2024).</w:t>
      </w:r>
    </w:p>
    <w:p w14:paraId="412C64C7" w14:textId="77777777" w:rsidR="0005214F" w:rsidRPr="00435FCA" w:rsidRDefault="0005214F" w:rsidP="00435FCA">
      <w:pPr>
        <w:spacing w:line="360" w:lineRule="auto"/>
        <w:rPr>
          <w:rFonts w:ascii="Arial" w:hAnsi="Arial" w:cs="Arial"/>
        </w:rPr>
      </w:pPr>
      <w:r w:rsidRPr="00435FCA">
        <w:rPr>
          <w:rFonts w:ascii="Arial" w:hAnsi="Arial" w:cs="Arial"/>
        </w:rPr>
        <w:t>Community nursing services also play a vital role in supporting individuals with dementia. Nurses can monitor health conditions, provide medication support and offer guidance on managing symptoms at home. They may also provide education to carers about how to respond to behavioural or psychological symptoms associated with dementia (World Health Organization, 2023).</w:t>
      </w:r>
    </w:p>
    <w:p w14:paraId="5F22F4BE" w14:textId="77777777" w:rsidR="0005214F" w:rsidRPr="00435FCA" w:rsidRDefault="0005214F" w:rsidP="00435FCA">
      <w:pPr>
        <w:spacing w:line="360" w:lineRule="auto"/>
        <w:rPr>
          <w:rFonts w:ascii="Arial" w:hAnsi="Arial" w:cs="Arial"/>
        </w:rPr>
      </w:pPr>
      <w:r w:rsidRPr="00435FCA">
        <w:rPr>
          <w:rFonts w:ascii="Arial" w:hAnsi="Arial" w:cs="Arial"/>
        </w:rPr>
        <w:t>Domiciliary care services allow individuals with dementia to remain in their own homes while receiving support with everyday activities. Care workers can assist with personal care, meal preparation, medication reminders and household tasks. This support helps maintain independence while ensuring that individuals receive the help they need (Alzheimer’s Society, 2023).</w:t>
      </w:r>
    </w:p>
    <w:p w14:paraId="5B13FDAE" w14:textId="77777777" w:rsidR="0005214F" w:rsidRPr="00435FCA" w:rsidRDefault="0005214F" w:rsidP="00435FCA">
      <w:pPr>
        <w:spacing w:line="360" w:lineRule="auto"/>
        <w:rPr>
          <w:rFonts w:ascii="Arial" w:hAnsi="Arial" w:cs="Arial"/>
        </w:rPr>
      </w:pPr>
      <w:r w:rsidRPr="00435FCA">
        <w:rPr>
          <w:rFonts w:ascii="Arial" w:hAnsi="Arial" w:cs="Arial"/>
        </w:rPr>
        <w:lastRenderedPageBreak/>
        <w:t>Day care centres provide opportunities for individuals to take part in social and therapeutic activities. These centres help reduce social isolation and encourage interaction with others. They also provide respite for family carers by allowing them time to rest while their relative is receiving supervised care (NHS, 2024).</w:t>
      </w:r>
    </w:p>
    <w:p w14:paraId="28F7E231" w14:textId="77777777" w:rsidR="0005214F" w:rsidRPr="00435FCA" w:rsidRDefault="0005214F" w:rsidP="00435FCA">
      <w:pPr>
        <w:spacing w:line="360" w:lineRule="auto"/>
        <w:rPr>
          <w:rFonts w:ascii="Arial" w:hAnsi="Arial" w:cs="Arial"/>
        </w:rPr>
      </w:pPr>
      <w:r w:rsidRPr="00435FCA">
        <w:rPr>
          <w:rFonts w:ascii="Arial" w:hAnsi="Arial" w:cs="Arial"/>
        </w:rPr>
        <w:t>Charitable organisations such as the Alzheimer's Society also provide important services including information, helplines, support groups and community programmes for individuals affected by dementia (Alzheimer’s Society, 2023).</w:t>
      </w:r>
    </w:p>
    <w:p w14:paraId="48AD2D72" w14:textId="77777777" w:rsidR="0005214F" w:rsidRPr="00435FCA" w:rsidRDefault="0005214F" w:rsidP="00435FCA">
      <w:pPr>
        <w:spacing w:line="360" w:lineRule="auto"/>
        <w:rPr>
          <w:rFonts w:ascii="Arial" w:hAnsi="Arial" w:cs="Arial"/>
        </w:rPr>
      </w:pPr>
      <w:r w:rsidRPr="00435FCA">
        <w:rPr>
          <w:rFonts w:ascii="Arial" w:hAnsi="Arial" w:cs="Arial"/>
        </w:rPr>
        <w:t>Overall, effective health and social care services are essential for meeting the needs of individuals living with dementia and ensuring they receive appropriate support within their communities.</w:t>
      </w:r>
    </w:p>
    <w:p w14:paraId="36B5385F" w14:textId="77777777" w:rsidR="0005214F" w:rsidRPr="00435FCA" w:rsidRDefault="00CE13C5" w:rsidP="00435FCA">
      <w:pPr>
        <w:spacing w:line="360" w:lineRule="auto"/>
        <w:rPr>
          <w:rFonts w:ascii="Arial" w:hAnsi="Arial" w:cs="Arial"/>
        </w:rPr>
      </w:pPr>
      <w:r w:rsidRPr="00435FCA">
        <w:rPr>
          <w:rFonts w:ascii="Arial" w:hAnsi="Arial" w:cs="Arial"/>
        </w:rPr>
        <w:pict w14:anchorId="4FDC7DF3">
          <v:rect id="_x0000_i1029" style="width:0;height:1.5pt" o:hralign="center" o:hrstd="t" o:hr="t" fillcolor="#a0a0a0" stroked="f"/>
        </w:pict>
      </w:r>
    </w:p>
    <w:p w14:paraId="614052B3" w14:textId="77777777" w:rsidR="0005214F" w:rsidRPr="00435FCA" w:rsidRDefault="0005214F" w:rsidP="00435FCA">
      <w:pPr>
        <w:spacing w:line="360" w:lineRule="auto"/>
        <w:rPr>
          <w:rFonts w:ascii="Arial" w:hAnsi="Arial" w:cs="Arial"/>
          <w:b/>
          <w:bCs/>
        </w:rPr>
      </w:pPr>
      <w:r w:rsidRPr="00435FCA">
        <w:rPr>
          <w:rFonts w:ascii="Arial" w:hAnsi="Arial" w:cs="Arial"/>
          <w:b/>
          <w:bCs/>
        </w:rPr>
        <w:t>Conclusion (150 words)</w:t>
      </w:r>
    </w:p>
    <w:p w14:paraId="7BB19416" w14:textId="77777777" w:rsidR="0005214F" w:rsidRPr="00435FCA" w:rsidRDefault="0005214F" w:rsidP="00435FCA">
      <w:pPr>
        <w:spacing w:line="360" w:lineRule="auto"/>
        <w:rPr>
          <w:rFonts w:ascii="Arial" w:hAnsi="Arial" w:cs="Arial"/>
        </w:rPr>
      </w:pPr>
      <w:r w:rsidRPr="00435FCA">
        <w:rPr>
          <w:rFonts w:ascii="Arial" w:hAnsi="Arial" w:cs="Arial"/>
        </w:rPr>
        <w:t>In conclusion, dementia is a serious and growing health issue that affects millions of individuals around the world. The condition damages brain cells and leads to memory loss, cognitive decline and increasing dependence on others. Monitoring dementia through measures such as incidence and prevalence allows healthcare organisations to understand the scale of the condition and plan appropriate services (World Health Organization, 2023).</w:t>
      </w:r>
    </w:p>
    <w:p w14:paraId="668B01E2" w14:textId="77777777" w:rsidR="0005214F" w:rsidRPr="00435FCA" w:rsidRDefault="0005214F" w:rsidP="00435FCA">
      <w:pPr>
        <w:spacing w:line="360" w:lineRule="auto"/>
        <w:rPr>
          <w:rFonts w:ascii="Arial" w:hAnsi="Arial" w:cs="Arial"/>
        </w:rPr>
      </w:pPr>
      <w:r w:rsidRPr="00435FCA">
        <w:rPr>
          <w:rFonts w:ascii="Arial" w:hAnsi="Arial" w:cs="Arial"/>
        </w:rPr>
        <w:t>Although dementia currently has no cure, early diagnosis, appropriate treatment and healthy lifestyle choices can help manage symptoms and improve quality of life. The condition also has significant consequences for individuals, carers and communities, including emotional, social and economic challenges (Alzheimer’s Society, 2023).</w:t>
      </w:r>
    </w:p>
    <w:p w14:paraId="7DD41889" w14:textId="77777777" w:rsidR="0005214F" w:rsidRPr="00435FCA" w:rsidRDefault="0005214F" w:rsidP="00435FCA">
      <w:pPr>
        <w:spacing w:line="360" w:lineRule="auto"/>
        <w:rPr>
          <w:rFonts w:ascii="Arial" w:hAnsi="Arial" w:cs="Arial"/>
        </w:rPr>
      </w:pPr>
      <w:r w:rsidRPr="00435FCA">
        <w:rPr>
          <w:rFonts w:ascii="Arial" w:hAnsi="Arial" w:cs="Arial"/>
        </w:rPr>
        <w:t>Providing effective health and social care support services, such as memory clinics, community care and support organisations, is essential for meeting the needs of people living with dementia. By improving awareness, early intervention and community support, healthcare systems can help individuals maintain independence and wellbeing for as long as possible (NHS, 2024).</w:t>
      </w:r>
    </w:p>
    <w:p w14:paraId="4CBE2D04" w14:textId="77777777" w:rsidR="0005214F" w:rsidRPr="00435FCA" w:rsidRDefault="00CE13C5" w:rsidP="00435FCA">
      <w:pPr>
        <w:spacing w:line="360" w:lineRule="auto"/>
        <w:rPr>
          <w:rFonts w:ascii="Arial" w:hAnsi="Arial" w:cs="Arial"/>
        </w:rPr>
      </w:pPr>
      <w:r w:rsidRPr="00435FCA">
        <w:rPr>
          <w:rFonts w:ascii="Arial" w:hAnsi="Arial" w:cs="Arial"/>
        </w:rPr>
        <w:pict w14:anchorId="58D8A15A">
          <v:rect id="_x0000_i1030" style="width:0;height:1.5pt" o:hralign="center" o:hrstd="t" o:hr="t" fillcolor="#a0a0a0" stroked="f"/>
        </w:pict>
      </w:r>
    </w:p>
    <w:p w14:paraId="08F3D83A" w14:textId="77777777" w:rsidR="00E31625" w:rsidRDefault="00E31625" w:rsidP="00435FCA">
      <w:pPr>
        <w:spacing w:line="360" w:lineRule="auto"/>
        <w:rPr>
          <w:rFonts w:ascii="Arial" w:hAnsi="Arial" w:cs="Arial"/>
          <w:b/>
          <w:bCs/>
        </w:rPr>
      </w:pPr>
    </w:p>
    <w:p w14:paraId="36D1C600" w14:textId="2A36875E" w:rsidR="0005214F" w:rsidRPr="00435FCA" w:rsidRDefault="0005214F" w:rsidP="00435FCA">
      <w:pPr>
        <w:spacing w:line="360" w:lineRule="auto"/>
        <w:rPr>
          <w:rFonts w:ascii="Arial" w:hAnsi="Arial" w:cs="Arial"/>
          <w:b/>
          <w:bCs/>
        </w:rPr>
      </w:pPr>
      <w:r w:rsidRPr="00435FCA">
        <w:rPr>
          <w:rFonts w:ascii="Arial" w:hAnsi="Arial" w:cs="Arial"/>
          <w:b/>
          <w:bCs/>
        </w:rPr>
        <w:t>References</w:t>
      </w:r>
    </w:p>
    <w:p w14:paraId="28A5B5C8" w14:textId="77777777" w:rsidR="0005214F" w:rsidRPr="00435FCA" w:rsidRDefault="0005214F" w:rsidP="00435FCA">
      <w:pPr>
        <w:spacing w:line="360" w:lineRule="auto"/>
        <w:rPr>
          <w:rFonts w:ascii="Arial" w:hAnsi="Arial" w:cs="Arial"/>
        </w:rPr>
      </w:pPr>
      <w:r w:rsidRPr="00435FCA">
        <w:rPr>
          <w:rFonts w:ascii="Arial" w:hAnsi="Arial" w:cs="Arial"/>
        </w:rPr>
        <w:t xml:space="preserve">Alzheimer’s Society (2023) </w:t>
      </w:r>
      <w:r w:rsidRPr="00435FCA">
        <w:rPr>
          <w:rFonts w:ascii="Arial" w:hAnsi="Arial" w:cs="Arial"/>
          <w:i/>
          <w:iCs/>
        </w:rPr>
        <w:t>Dementia statistics and support services.</w:t>
      </w:r>
    </w:p>
    <w:p w14:paraId="783B93F1" w14:textId="77777777" w:rsidR="0005214F" w:rsidRPr="00435FCA" w:rsidRDefault="0005214F" w:rsidP="00435FCA">
      <w:pPr>
        <w:spacing w:line="360" w:lineRule="auto"/>
        <w:rPr>
          <w:rFonts w:ascii="Arial" w:hAnsi="Arial" w:cs="Arial"/>
        </w:rPr>
      </w:pPr>
      <w:r w:rsidRPr="00435FCA">
        <w:rPr>
          <w:rFonts w:ascii="Arial" w:hAnsi="Arial" w:cs="Arial"/>
        </w:rPr>
        <w:lastRenderedPageBreak/>
        <w:t xml:space="preserve">NHS (2024) </w:t>
      </w:r>
      <w:r w:rsidRPr="00435FCA">
        <w:rPr>
          <w:rFonts w:ascii="Arial" w:hAnsi="Arial" w:cs="Arial"/>
          <w:i/>
          <w:iCs/>
        </w:rPr>
        <w:t>Dementia overview.</w:t>
      </w:r>
    </w:p>
    <w:p w14:paraId="20A78009" w14:textId="77777777" w:rsidR="0005214F" w:rsidRPr="00435FCA" w:rsidRDefault="0005214F" w:rsidP="00435FCA">
      <w:pPr>
        <w:spacing w:line="360" w:lineRule="auto"/>
        <w:rPr>
          <w:rFonts w:ascii="Arial" w:hAnsi="Arial" w:cs="Arial"/>
        </w:rPr>
      </w:pPr>
      <w:r w:rsidRPr="00435FCA">
        <w:rPr>
          <w:rFonts w:ascii="Arial" w:hAnsi="Arial" w:cs="Arial"/>
        </w:rPr>
        <w:t xml:space="preserve">World Health Organization (2023) </w:t>
      </w:r>
      <w:r w:rsidRPr="00435FCA">
        <w:rPr>
          <w:rFonts w:ascii="Arial" w:hAnsi="Arial" w:cs="Arial"/>
          <w:i/>
          <w:iCs/>
        </w:rPr>
        <w:t>Dementia fact sheet.</w:t>
      </w:r>
    </w:p>
    <w:p w14:paraId="7CCF6FB8" w14:textId="77777777" w:rsidR="00257869" w:rsidRPr="00435FCA" w:rsidRDefault="00257869" w:rsidP="00435FCA">
      <w:pPr>
        <w:spacing w:line="360" w:lineRule="auto"/>
        <w:rPr>
          <w:rFonts w:ascii="Arial" w:hAnsi="Arial" w:cs="Arial"/>
        </w:rPr>
      </w:pPr>
    </w:p>
    <w:sectPr w:rsidR="00257869" w:rsidRPr="00435F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14F"/>
    <w:rsid w:val="0005214F"/>
    <w:rsid w:val="000543AD"/>
    <w:rsid w:val="000D5414"/>
    <w:rsid w:val="00191647"/>
    <w:rsid w:val="00257869"/>
    <w:rsid w:val="002B5BBD"/>
    <w:rsid w:val="00433B25"/>
    <w:rsid w:val="00435FCA"/>
    <w:rsid w:val="005151F0"/>
    <w:rsid w:val="005230C7"/>
    <w:rsid w:val="008F16A9"/>
    <w:rsid w:val="009178F2"/>
    <w:rsid w:val="00995F3B"/>
    <w:rsid w:val="00997B09"/>
    <w:rsid w:val="00A364B6"/>
    <w:rsid w:val="00A72C71"/>
    <w:rsid w:val="00A842C6"/>
    <w:rsid w:val="00B56AF6"/>
    <w:rsid w:val="00C17A7D"/>
    <w:rsid w:val="00CA7DC4"/>
    <w:rsid w:val="00D12D49"/>
    <w:rsid w:val="00D12E15"/>
    <w:rsid w:val="00DD0578"/>
    <w:rsid w:val="00E31625"/>
    <w:rsid w:val="00E974B5"/>
    <w:rsid w:val="00EB64DB"/>
    <w:rsid w:val="00EC1213"/>
    <w:rsid w:val="00F55BB9"/>
    <w:rsid w:val="00FA574D"/>
    <w:rsid w:val="00FB4F0A"/>
    <w:rsid w:val="00FE6C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FF547"/>
  <w15:chartTrackingRefBased/>
  <w15:docId w15:val="{02DB0A86-06E2-47F7-ABCF-B34407FCA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214F"/>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05214F"/>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05214F"/>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05214F"/>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05214F"/>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0521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21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21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21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214F"/>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05214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05214F"/>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05214F"/>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05214F"/>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0521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21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21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214F"/>
    <w:rPr>
      <w:rFonts w:eastAsiaTheme="majorEastAsia" w:cstheme="majorBidi"/>
      <w:color w:val="272727" w:themeColor="text1" w:themeTint="D8"/>
    </w:rPr>
  </w:style>
  <w:style w:type="paragraph" w:styleId="Title">
    <w:name w:val="Title"/>
    <w:basedOn w:val="Normal"/>
    <w:next w:val="Normal"/>
    <w:link w:val="TitleChar"/>
    <w:uiPriority w:val="10"/>
    <w:qFormat/>
    <w:rsid w:val="000521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21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214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21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214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5214F"/>
    <w:rPr>
      <w:i/>
      <w:iCs/>
      <w:color w:val="404040" w:themeColor="text1" w:themeTint="BF"/>
    </w:rPr>
  </w:style>
  <w:style w:type="paragraph" w:styleId="ListParagraph">
    <w:name w:val="List Paragraph"/>
    <w:basedOn w:val="Normal"/>
    <w:uiPriority w:val="34"/>
    <w:qFormat/>
    <w:rsid w:val="0005214F"/>
    <w:pPr>
      <w:ind w:left="720"/>
      <w:contextualSpacing/>
    </w:pPr>
  </w:style>
  <w:style w:type="character" w:styleId="IntenseEmphasis">
    <w:name w:val="Intense Emphasis"/>
    <w:basedOn w:val="DefaultParagraphFont"/>
    <w:uiPriority w:val="21"/>
    <w:qFormat/>
    <w:rsid w:val="0005214F"/>
    <w:rPr>
      <w:i/>
      <w:iCs/>
      <w:color w:val="365F91" w:themeColor="accent1" w:themeShade="BF"/>
    </w:rPr>
  </w:style>
  <w:style w:type="paragraph" w:styleId="IntenseQuote">
    <w:name w:val="Intense Quote"/>
    <w:basedOn w:val="Normal"/>
    <w:next w:val="Normal"/>
    <w:link w:val="IntenseQuoteChar"/>
    <w:uiPriority w:val="30"/>
    <w:qFormat/>
    <w:rsid w:val="0005214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05214F"/>
    <w:rPr>
      <w:i/>
      <w:iCs/>
      <w:color w:val="365F91" w:themeColor="accent1" w:themeShade="BF"/>
    </w:rPr>
  </w:style>
  <w:style w:type="character" w:styleId="IntenseReference">
    <w:name w:val="Intense Reference"/>
    <w:basedOn w:val="DefaultParagraphFont"/>
    <w:uiPriority w:val="32"/>
    <w:qFormat/>
    <w:rsid w:val="0005214F"/>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1828</Words>
  <Characters>10426</Characters>
  <Application>Microsoft Office Word</Application>
  <DocSecurity>0</DocSecurity>
  <Lines>86</Lines>
  <Paragraphs>24</Paragraphs>
  <ScaleCrop>false</ScaleCrop>
  <Company/>
  <LinksUpToDate>false</LinksUpToDate>
  <CharactersWithSpaces>12230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ikran xasan</dc:creator>
  <cp:keywords/>
  <dc:description/>
  <cp:lastModifiedBy>ikran xasan</cp:lastModifiedBy>
  <cp:revision>2</cp:revision>
  <dcterms:created xsi:type="dcterms:W3CDTF">2026-03-24T19:40:00Z</dcterms:created>
  <dcterms:modified xsi:type="dcterms:W3CDTF">2026-03-24T19:40:00Z</dcterms:modified>
</cp:coreProperties>
</file>