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36E83EC2" w:rsidR="001F51DA" w:rsidRDefault="001F51DA" w:rsidP="00D61394">
          <w:pPr>
            <w:pStyle w:val="NoSpacing"/>
            <w:jc w:val="both"/>
          </w:pPr>
          <w:r>
            <w:rPr>
              <w:noProof/>
            </w:rPr>
            <mc:AlternateContent>
              <mc:Choice Requires="wps">
                <w:drawing>
                  <wp:anchor distT="0" distB="0" distL="114300" distR="114300" simplePos="0" relativeHeight="251660288" behindDoc="0" locked="0" layoutInCell="1" allowOverlap="1" wp14:anchorId="113953FD" wp14:editId="06BC6D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0h0dYAIAAC4FAAAOAAAAZHJzL2Uyb0RvYy54bWysVMFu2zAMvQ/YPwi6L3baNcuCOkXWosOA&#13;&#10;oC2WDj0rstQYk0VNYmJnX19KtpMi26XDLjItPlHk46Mur9rasJ3yoQJb8PEo50xZCWVlnwv+4/H2&#13;&#10;w5SzgMKWwoBVBd+rwK/m799dNm6mzmADplSeURAbZo0r+AbRzbIsyI2qRRiBU5acGnwtkH79c1Z6&#13;&#10;0VD02mRneT7JGvCl8yBVCLR70zn5PMXXWkm81zooZKbglBum1ad1Hddsfilmz164TSX7NMQ/ZFGL&#13;&#10;ytKlh1A3AgXb+uqPUHUlPQTQOJJQZ6B1JVWqgaoZ5yfVrDbCqVQLkRPcgabw/8LKu93KPXiG7Rdo&#13;&#10;qYGRkMaFWaDNWE+rfR2/lCkjP1G4P9CmWmSSNs8nF58mObkk+cb55PP04zTGyY7HnQ/4VUHNolFw&#13;&#10;T31JdIndMmAHHSDxNgu3lTGpN8aypuCT84s8HTh4KLixEatSl/swx9SThXujIsbY70qzqkwVxI2k&#13;&#10;L3VtPNsJUoaQUllMxae4hI4oTUm85WCPP2b1lsNdHcPNYPFwuK4s+FT9SdrlzyFl3eGJ81d1RxPb&#13;&#10;ddu3dA3lnjrtoRuC4ORtRd1YioAPwpPqqYM0yXhPizZArENvcbYB//tv+xFPYiQvZw1NUcHDr63w&#13;&#10;ijPzzZJM48gNhh+M9WDYbX0NRP+Y3ggnk0kHPJrB1B7qJxrwRbyFXMJKuqvgOJjX2M0yPRBSLRYJ&#13;&#10;RIPlBC7tyskYOnYjauuxfRLe9QJE0u4dDPMlZic67LBJKG6xRVJjEmkktGOxJ5qGMsm8f0Di1L/+&#13;&#10;T6jjMzd/AQAA//8DAFBLAwQUAAYACAAAACEANW6pctoAAAAKAQAADwAAAGRycy9kb3ducmV2Lnht&#13;&#10;bExPQU7DMBC8I/EHa5F6o06BhCiNUwFVjxwoPMCOlzgiXofYbcLvWbjAZaTRzM7O1LvFD+KMU+wD&#13;&#10;KdisMxBIbbA9dQreXg/XJYiYNFk9BEIFXxhh11xe1LqyYaYXPB9TJziEYqUVuJTGSsrYOvQ6rsOI&#13;&#10;xNp7mLxOTKdO2knPHO4HeZNlhfS6J/7g9IhPDtuP48kreDZ39rb8NJvuMD9aa1Lpct8qtbpa9luG&#13;&#10;hy2IhEv6u4CfDdwfGi5mwolsFIMCXpN+kbX8vmBq2FSUOcimlv8nNN8AAAD//wMAUEsBAi0AFAAG&#13;&#10;AAgAAAAhALaDOJL+AAAA4QEAABMAAAAAAAAAAAAAAAAAAAAAAFtDb250ZW50X1R5cGVzXS54bWxQ&#13;&#10;SwECLQAUAAYACAAAACEAOP0h/9YAAACUAQAACwAAAAAAAAAAAAAAAAAvAQAAX3JlbHMvLnJlbHNQ&#13;&#10;SwECLQAUAAYACAAAACEAqNIdHWACAAAuBQAADgAAAAAAAAAAAAAAAAAuAgAAZHJzL2Uyb0RvYy54&#13;&#10;bWxQSwECLQAUAAYACAAAACEANW6pctoAAAAKAQAADwAAAAAAAAAAAAAAAAC6BAAAZHJzL2Rvd25y&#13;&#10;ZXYueG1sUEsFBgAAAAAEAAQA8wAAAMEFAAAAAA==&#13;&#10;" filled="f" stroked="f" strokeweight=".5pt">
                    <v:textbox style="mso-fit-shape-to-text:t" inset="0,0,0,0">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474474BF" w:rsidR="001F51DA"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5A1EBF" w:rsidRDefault="001F51DA">
                                  <w:pPr>
                                    <w:jc w:val="center"/>
                                    <w:rPr>
                                      <w:rFonts w:ascii="Arial" w:eastAsiaTheme="majorEastAsia"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112601BF"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2B4087">
                                    <w:rPr>
                                      <w:rFonts w:ascii="Arial" w:hAnsi="Arial" w:cs="Arial"/>
                                      <w:color w:val="1D2125"/>
                                      <w:lang w:bidi="ar-SA"/>
                                    </w:rPr>
                                    <w:t>Principles of Health and social Care</w:t>
                                  </w:r>
                                </w:p>
                                <w:p w14:paraId="09852EBF" w14:textId="227E791E" w:rsidR="001F51DA" w:rsidRPr="005A1EBF" w:rsidRDefault="001F51DA">
                                  <w:pPr>
                                    <w:rPr>
                                      <w:rFonts w:ascii="Arial" w:hAnsi="Arial" w:cs="Arial"/>
                                      <w:caps/>
                                      <w:color w:val="156082" w:themeColor="accent1"/>
                                    </w:rPr>
                                  </w:pPr>
                                  <w:r w:rsidRPr="005A1EBF">
                                    <w:rPr>
                                      <w:rFonts w:ascii="Arial" w:hAnsi="Arial" w:cs="Arial"/>
                                      <w:caps/>
                                      <w:color w:val="156082" w:themeColor="accent1"/>
                                    </w:rPr>
                                    <w:t xml:space="preserve">Module Code: </w:t>
                                  </w:r>
                                  <w:r w:rsidR="002B4087">
                                    <w:rPr>
                                      <w:rStyle w:val="Strong"/>
                                      <w:rFonts w:ascii="Arial" w:hAnsi="Arial" w:cs="Arial"/>
                                      <w:b w:val="0"/>
                                      <w:bCs w:val="0"/>
                                      <w:color w:val="1D2125"/>
                                    </w:rPr>
                                    <w:t>BMHP5016</w:t>
                                  </w:r>
                                </w:p>
                                <w:p w14:paraId="3839910C" w14:textId="7EA0F891" w:rsidR="001F51DA" w:rsidRPr="005A1EBF"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2B4087">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Lou Wells</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27"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mBd1bQMAAIsKAAAOAAAAZHJzL2Uyb0RvYy54bWzMVttO3DoUfa/Uf7D8XnKZyTBEhIrSgioh&#13;&#10;igpHfTaOM4nq2K7tIaFf372dC7dRizhSz+Eh+LKvK2uvyeH7vpXkVljXaFXQZC+mRCiuy0ZtCvrP&#13;&#10;9em7NSXOM1UyqZUo6J1w9P3R2zeHnclFqmstS2EJBFEu70xBa+9NHkWO16Jlbk8boeCy0rZlHrZ2&#13;&#10;E5WWdRC9lVEax6uo07Y0VnPhHJx+HC7pUYhfVYL7L1XlhCeyoFCbD08bnjf4jI4OWb6xzNQNH8tg&#13;&#10;r6iiZY2CpHOoj8wzsrXNs1Btw612uvJ7XLeRrqqGi9ADdJPET7o5s3prQi+bvNuYGSaA9glOrw7L&#13;&#10;L27PrLkylxaQ6MwGsAg77KWvbIv/oUrSB8juZshE7wmHw2yRZNk6o4TDXZqskzTNBlB5Dcg/8+P1&#13;&#10;p9Fzka32l0ugR/BcLA4WcfCMpsTRo3I6AwRx9xi4f4fBVc2MCNC6HDC4tKQpgb8HB5Qo1gJRvwJ1&#13;&#10;mNpIQfAwgBMsZ6hc7gC1l+L0uNv9ePWkWZYb6/yZ0C3BRUEt5A+MYrfnzkN+wGUywaROy6Y8baQM&#13;&#10;GxwXcSItuWVAdMa5UD7BqsHrkaVUaK80eg7XeAJQT+2Elb+TAu2k+ioqQAZedBqKCXP5PFGooWal&#13;&#10;GPJnMfxN2afSQi0hIFpXkH+Onfwu9lDlaI+uIoz17Bz/2Xn2CJm18rNz2yhtdwWQM3zVYD+BNECD&#13;&#10;KPn+ph9YM9HjRpd3wCSrB5lxhp828DLPmfOXzIKugAKBVvov8Kik7gqqxxUltbY/d52jPVAdbinp&#13;&#10;QKcK6n5smRWUyM8KhuAgWS5R2MJmme2nsLEPb24e3qhte6KBIQmosuFhifZeTsvK6vYbSOoxZoUr&#13;&#10;pjjkLij3dtqc+EE/QZS5OD4OZiBmhvlzdWU4BkeckazX/TdmzchoD5pxoafBY/kTYg+26Kn08dbr&#13;&#10;qgmsR6QHXMc3ACKASvUX1AB+XyY1uEa9+6B7gmfASMwPsoFiQHwPF9j1eP5bWUizdLVeoSkQeacS&#13;&#10;xuvVKgmKMyvh/eS/UBzm+cYRJsCz1SIb5mS+geCDFgzDMWoM9jXUH1Y7dOAF47Z7yF/g+LeHvPw+&#13;&#10;aeSfhzydXu9/PuTjxO8YcqTrawfc/5/GO/z0wxdP+M0Yv87wk+rhPsjB/Tfk0S8AAAD//wMAUEsD&#13;&#10;BBQABgAIAAAAIQByr6Le5wAAABABAAAPAAAAZHJzL2Rvd25yZXYueG1sTI/NbsIwEITvlfoO1lbq&#13;&#10;rTimoaEhDkL054QqFSohbiZekojYjmKThLfvcmovK412dna+bDmahvXY+dpZCWISAUNbOF3bUsLP&#13;&#10;7uNpDswHZbVqnEUJV/SwzO/vMpVqN9hv7LehZBRifaokVCG0Kee+qNAoP3EtWtqdXGdUINmVXHdq&#13;&#10;oHDT8GkUvXCjaksfKtXiusLivL0YCZ+DGlbP4r3fnE/r62E3+9pvBEr5+DC+LWisFsACjuHvAm4M&#13;&#10;1B9yKnZ0F6s9a0jHMQEFCfE0mQEjx+tcCGBHCUkiIuB5xv+D5L8AAAD//wMAUEsBAi0AFAAGAAgA&#13;&#10;AAAhALaDOJL+AAAA4QEAABMAAAAAAAAAAAAAAAAAAAAAAFtDb250ZW50X1R5cGVzXS54bWxQSwEC&#13;&#10;LQAUAAYACAAAACEAOP0h/9YAAACUAQAACwAAAAAAAAAAAAAAAAAvAQAAX3JlbHMvLnJlbHNQSwEC&#13;&#10;LQAUAAYACAAAACEAvZgXdW0DAACLCgAADgAAAAAAAAAAAAAAAAAuAgAAZHJzL2Uyb0RvYy54bWxQ&#13;&#10;SwECLQAUAAYACAAAACEAcq+i3ucAAAAQAQAADwAAAAAAAAAAAAAAAADHBQAAZHJzL2Rvd25yZXYu&#13;&#10;eG1sUEsFBgAAAAAEAAQA8wAAANsGAAAAAA==&#13;&#10;">
                    <v:rect id="Rectangle 199" o:spid="_x0000_s1028"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Pr="005A1EBF" w:rsidRDefault="001F51DA">
                            <w:pPr>
                              <w:jc w:val="center"/>
                              <w:rPr>
                                <w:rFonts w:ascii="Arial" w:eastAsiaTheme="majorEastAsia" w:hAnsi="Arial" w:cs="Arial"/>
                                <w:color w:val="FFFFFF" w:themeColor="background1"/>
                              </w:rPr>
                            </w:pPr>
                          </w:p>
                        </w:txbxContent>
                      </v:textbox>
                    </v:rect>
                    <v:shape id="Text Box 200" o:spid="_x0000_s1029" type="#_x0000_t202" style="position:absolute;top:2526;width:35674;height:208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112601BF"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2B4087">
                              <w:rPr>
                                <w:rFonts w:ascii="Arial" w:hAnsi="Arial" w:cs="Arial"/>
                                <w:color w:val="1D2125"/>
                                <w:lang w:bidi="ar-SA"/>
                              </w:rPr>
                              <w:t>Principles of Health and social Care</w:t>
                            </w:r>
                          </w:p>
                          <w:p w14:paraId="09852EBF" w14:textId="227E791E" w:rsidR="001F51DA" w:rsidRPr="005A1EBF" w:rsidRDefault="001F51DA">
                            <w:pPr>
                              <w:rPr>
                                <w:rFonts w:ascii="Arial" w:hAnsi="Arial" w:cs="Arial"/>
                                <w:caps/>
                                <w:color w:val="156082" w:themeColor="accent1"/>
                              </w:rPr>
                            </w:pPr>
                            <w:r w:rsidRPr="005A1EBF">
                              <w:rPr>
                                <w:rFonts w:ascii="Arial" w:hAnsi="Arial" w:cs="Arial"/>
                                <w:caps/>
                                <w:color w:val="156082" w:themeColor="accent1"/>
                              </w:rPr>
                              <w:t xml:space="preserve">Module Code: </w:t>
                            </w:r>
                            <w:r w:rsidR="002B4087">
                              <w:rPr>
                                <w:rStyle w:val="Strong"/>
                                <w:rFonts w:ascii="Arial" w:hAnsi="Arial" w:cs="Arial"/>
                                <w:b w:val="0"/>
                                <w:bCs w:val="0"/>
                                <w:color w:val="1D2125"/>
                              </w:rPr>
                              <w:t>BMHP5016</w:t>
                            </w:r>
                          </w:p>
                          <w:p w14:paraId="3839910C" w14:textId="7EA0F891" w:rsidR="001F51DA" w:rsidRPr="005A1EBF"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2B4087">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Lou Wells</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30"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Tn7uFAIAACcEAAAOAAAAZHJzL2Uyb0RvYy54bWysU9tu2zAMfR+wfxD0vjhxLmuNOEWXLsOA&#13;&#10;7gJ0+wBalmNhsqhJSuzs60spaRp0wx6G6UEgReqQPCSXN0On2V46r9CUfDIacyaNwFqZbcm/f9u8&#13;&#10;ueLMBzA1aDSy5Afp+c3q9atlbwuZY4u6lo4RiPFFb0vehmCLLPOilR34EVppyNig6yCQ6rZZ7aAn&#13;&#10;9E5n+Xi8yHp0tXUopPf0enc08lXCbxopwpem8TIwXXLKLaTbpbuKd7ZaQrF1YFslTmnAP2TRgTIU&#13;&#10;9Ax1BwHYzqnfoDolHHpswkhgl2HTKCFTDVTNZPyimocWrEy1EDnenmny/w9WfN4/2K+OheEdDtTA&#13;&#10;VIS39yh+eGZw3YLZylvnsG8l1BR4EinLeuuL09dItS98BKn6T1hTk2EXMAENjesiK1QnI3RqwOFM&#13;&#10;uhwCE/SYT2eLaT7nTJAtn8wXs0VqSwbF03frfPggsWNRKLmjriZ42N/7ENOB4sklRvOoVb1RWifF&#13;&#10;bau1dmwPNAGbdFIFL9y0YX3Jr+eUyN8hxun8CaJTgUZZq67kV2cnKCJv702dBi2A0keZUtbmRGTk&#13;&#10;7shiGKqBqbrk0xgg8lphfSBmHR4nlzaNhBbdL856mtqS+587cJIz/dFQd64ns1kc86TM5m9zUtyl&#13;&#10;pbq0gBEEVfLA2VFch7QakQGDt9TFRiV+nzM5pUzTmGg/bU4c90s9eT3v9+oR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OdOfu4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08D4D5EC"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2B4087">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31"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ToZXgIAADQFAAAOAAAAZHJzL2Uyb0RvYy54bWysVN9v2jAQfp+0/8Hy+wi0K5sQoWJUTJNQ&#13;&#10;W5VOfTaODdEcn3c2JOyv39lJoGJ76bQX5+L77vd3nt42lWEHhb4Em/PRYMiZshKK0m5z/v15+eEz&#13;&#10;Zz4IWwgDVuX8qDy/nb1/N63dRF3BDkyhkJET6ye1y/kuBDfJMi93qhJ+AE5ZUmrASgT6xW1WoKjJ&#13;&#10;e2Wyq+FwnNWAhUOQynu6vWuVfJb8a61keNDaq8BMzim3kE5M5yae2WwqJlsUblfKLg3xD1lUorQU&#13;&#10;9OTqTgTB9lj+4aoqJYIHHQYSqgy0LqVKNVA1o+FFNeudcCrVQs3x7tQm///cyvvD2j0iC80XaGiA&#13;&#10;sSG18xNPl7GeRmMVv5QpIz218Hhqm2oCk3R5Pb75NB6SSpKu/YlusrO1Qx++KqhYFHKONJbULXFY&#13;&#10;+dBCe0gMZmFZGpNGYyyrcz6+vhkmg5OGnBsbsSoNuXNzzjxJ4WhUxBj7pDQri1RAvEj0UguD7CCI&#13;&#10;GEJKZUOqPfkldERpSuIthh3+nNVbjNs6+shgw8m4Ki1gqv4i7eJHn7Ju8dTzV3VHMTSbhgrP+cd+&#13;&#10;sBsojjRvhHYVvJPLkoayEj48CiTu0xxpn8MDHdoANR86ibMd4K+/3Uc8UZK0nNW0Szn3P/cCFWfm&#13;&#10;myWyxsXrBeyFTS/YfbUAmsKIXgonk0gGGEwvaoTqhdZ8HqOQSlhJsXK+6cVFaDeangmp5vMEovVy&#13;&#10;Iqzs2snoOg4lUuy5eRHoOh4GYvA99FsmJhd0bLGJL26+D0TKxNXY17aLXb9pNRPbu2ck7v7r/4Q6&#13;&#10;P3az3wAAAP//AwBQSwMEFAAGAAgAAAAhAK2KFprmAAAAEgEAAA8AAABkcnMvZG93bnJldi54bWxM&#13;&#10;j8lOwzAQhu9IvIM1SFxQa5ctJI1TIZYLokIty9mNp3EgHofYbQJPj3Oil9Gs/3x/vhhsw/bY+dqR&#13;&#10;hNlUAEMqna6pkvD2+ji5AeaDIq0aRyjhBz0siuOjXGXa9bTC/TpULIqQz5QEE0Kbce5Lg1b5qWuR&#13;&#10;4mzrOqtCLLuK6071Udw2/FyIa25VTfGDUS3eGSy/1jsr4Wz1aT4ofX9aviy3AX+f++r7oZLy9GS4&#13;&#10;n8dwOwcWcAj/FzB6iPxQRLCN25H2rJFwJS4if5CQpmIGbNwQSRpbmzG7TBLgRc4PrRR/AAAA//8D&#13;&#10;AFBLAQItABQABgAIAAAAIQC2gziS/gAAAOEBAAATAAAAAAAAAAAAAAAAAAAAAABbQ29udGVudF9U&#13;&#10;eXBlc10ueG1sUEsBAi0AFAAGAAgAAAAhADj9If/WAAAAlAEAAAsAAAAAAAAAAAAAAAAALwEAAF9y&#13;&#10;ZWxzLy5yZWxzUEsBAi0AFAAGAAgAAAAhANydOhleAgAANAUAAA4AAAAAAAAAAAAAAAAALgIAAGRy&#13;&#10;cy9lMm9Eb2MueG1sUEsBAi0AFAAGAAgAAAAhAK2KFprmAAAAEgEAAA8AAAAAAAAAAAAAAAAAuAQA&#13;&#10;AGRycy9kb3ducmV2LnhtbFBLBQYAAAAABAAEAPMAAADLBQAAAAA=&#13;&#10;" filled="f" stroked="f" strokeweight=".5pt">
                    <v:textbox style="mso-fit-shape-to-text:t" inset="0,0,0,0">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08D4D5EC"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2B4087">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v:textbox>
                    <w10:wrap anchorx="page"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290559204"/>
        <w:docPartObj>
          <w:docPartGallery w:val="Table of Contents"/>
          <w:docPartUnique/>
        </w:docPartObj>
      </w:sdtPr>
      <w:sdtEndPr>
        <w:rPr>
          <w:b/>
          <w:bCs/>
          <w:noProof/>
        </w:rPr>
      </w:sdtEndPr>
      <w:sdtContent>
        <w:p w14:paraId="2C3C9B0E" w14:textId="10AE4563" w:rsidR="00DE70CD" w:rsidRDefault="00DE70CD">
          <w:pPr>
            <w:pStyle w:val="TOCHeading"/>
          </w:pPr>
          <w:r>
            <w:t>Table of Contents</w:t>
          </w:r>
        </w:p>
        <w:p w14:paraId="2B2AD9F5" w14:textId="72A09C97" w:rsidR="00C00199" w:rsidRDefault="00DE70CD">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100653" w:history="1">
            <w:r w:rsidR="00C00199" w:rsidRPr="00E64D4A">
              <w:rPr>
                <w:rStyle w:val="Hyperlink"/>
                <w:rFonts w:ascii="Arial" w:hAnsi="Arial" w:cs="Arial"/>
                <w:noProof/>
                <w:shd w:val="clear" w:color="auto" w:fill="FFFFFF"/>
                <w:lang w:eastAsia="en-GB"/>
              </w:rPr>
              <w:t>I. Introduc</w:t>
            </w:r>
            <w:r w:rsidR="00C00199" w:rsidRPr="00E64D4A">
              <w:rPr>
                <w:rStyle w:val="Hyperlink"/>
                <w:rFonts w:ascii="Arial" w:hAnsi="Arial" w:cs="Arial"/>
                <w:noProof/>
                <w:shd w:val="clear" w:color="auto" w:fill="FFFFFF"/>
                <w:lang w:eastAsia="en-GB"/>
              </w:rPr>
              <w:t>t</w:t>
            </w:r>
            <w:r w:rsidR="00C00199" w:rsidRPr="00E64D4A">
              <w:rPr>
                <w:rStyle w:val="Hyperlink"/>
                <w:rFonts w:ascii="Arial" w:hAnsi="Arial" w:cs="Arial"/>
                <w:noProof/>
                <w:shd w:val="clear" w:color="auto" w:fill="FFFFFF"/>
                <w:lang w:eastAsia="en-GB"/>
              </w:rPr>
              <w:t>ion</w:t>
            </w:r>
            <w:r w:rsidR="00C00199">
              <w:rPr>
                <w:noProof/>
                <w:webHidden/>
              </w:rPr>
              <w:tab/>
            </w:r>
            <w:r w:rsidR="00C00199">
              <w:rPr>
                <w:noProof/>
                <w:webHidden/>
              </w:rPr>
              <w:fldChar w:fldCharType="begin"/>
            </w:r>
            <w:r w:rsidR="00C00199">
              <w:rPr>
                <w:noProof/>
                <w:webHidden/>
              </w:rPr>
              <w:instrText xml:space="preserve"> PAGEREF _Toc236100653 \h </w:instrText>
            </w:r>
            <w:r w:rsidR="00C00199">
              <w:rPr>
                <w:noProof/>
                <w:webHidden/>
              </w:rPr>
            </w:r>
            <w:r w:rsidR="00C00199">
              <w:rPr>
                <w:noProof/>
                <w:webHidden/>
              </w:rPr>
              <w:fldChar w:fldCharType="separate"/>
            </w:r>
            <w:r w:rsidR="00C00199">
              <w:rPr>
                <w:noProof/>
                <w:webHidden/>
              </w:rPr>
              <w:t>2</w:t>
            </w:r>
            <w:r w:rsidR="00C00199">
              <w:rPr>
                <w:noProof/>
                <w:webHidden/>
              </w:rPr>
              <w:fldChar w:fldCharType="end"/>
            </w:r>
          </w:hyperlink>
        </w:p>
        <w:p w14:paraId="25F842EE" w14:textId="377DB229" w:rsidR="00C00199" w:rsidRDefault="00C00199">
          <w:pPr>
            <w:pStyle w:val="TOC1"/>
            <w:tabs>
              <w:tab w:val="right" w:leader="dot" w:pos="9016"/>
            </w:tabs>
            <w:rPr>
              <w:b w:val="0"/>
              <w:bCs w:val="0"/>
              <w:i w:val="0"/>
              <w:iCs w:val="0"/>
              <w:noProof/>
              <w:lang w:eastAsia="en-GB"/>
            </w:rPr>
          </w:pPr>
          <w:hyperlink w:anchor="_Toc236100654" w:history="1">
            <w:r w:rsidRPr="00E64D4A">
              <w:rPr>
                <w:rStyle w:val="Hyperlink"/>
                <w:rFonts w:ascii="Arial" w:hAnsi="Arial" w:cs="Arial"/>
                <w:noProof/>
                <w:shd w:val="clear" w:color="auto" w:fill="FFFFFF"/>
                <w:lang w:eastAsia="en-GB"/>
              </w:rPr>
              <w:t>Task 1. R</w:t>
            </w:r>
            <w:r w:rsidRPr="00E64D4A">
              <w:rPr>
                <w:rStyle w:val="Hyperlink"/>
                <w:rFonts w:ascii="Arial" w:hAnsi="Arial" w:cs="Arial"/>
                <w:noProof/>
                <w:shd w:val="clear" w:color="auto" w:fill="FFFFFF"/>
                <w:lang w:eastAsia="en-GB"/>
              </w:rPr>
              <w:t>e</w:t>
            </w:r>
            <w:r w:rsidRPr="00E64D4A">
              <w:rPr>
                <w:rStyle w:val="Hyperlink"/>
                <w:rFonts w:ascii="Arial" w:hAnsi="Arial" w:cs="Arial"/>
                <w:noProof/>
                <w:shd w:val="clear" w:color="auto" w:fill="FFFFFF"/>
                <w:lang w:eastAsia="en-GB"/>
              </w:rPr>
              <w:t>flection on the importance of Principles of Health and Social Care</w:t>
            </w:r>
            <w:r>
              <w:rPr>
                <w:noProof/>
                <w:webHidden/>
              </w:rPr>
              <w:tab/>
            </w:r>
            <w:r>
              <w:rPr>
                <w:noProof/>
                <w:webHidden/>
              </w:rPr>
              <w:fldChar w:fldCharType="begin"/>
            </w:r>
            <w:r>
              <w:rPr>
                <w:noProof/>
                <w:webHidden/>
              </w:rPr>
              <w:instrText xml:space="preserve"> PAGEREF _Toc236100654 \h </w:instrText>
            </w:r>
            <w:r>
              <w:rPr>
                <w:noProof/>
                <w:webHidden/>
              </w:rPr>
            </w:r>
            <w:r>
              <w:rPr>
                <w:noProof/>
                <w:webHidden/>
              </w:rPr>
              <w:fldChar w:fldCharType="separate"/>
            </w:r>
            <w:r>
              <w:rPr>
                <w:noProof/>
                <w:webHidden/>
              </w:rPr>
              <w:t>3</w:t>
            </w:r>
            <w:r>
              <w:rPr>
                <w:noProof/>
                <w:webHidden/>
              </w:rPr>
              <w:fldChar w:fldCharType="end"/>
            </w:r>
          </w:hyperlink>
        </w:p>
        <w:p w14:paraId="402C5D68" w14:textId="6E512C4E" w:rsidR="00C00199" w:rsidRDefault="00C00199">
          <w:pPr>
            <w:pStyle w:val="TOC1"/>
            <w:tabs>
              <w:tab w:val="right" w:leader="dot" w:pos="9016"/>
            </w:tabs>
            <w:rPr>
              <w:b w:val="0"/>
              <w:bCs w:val="0"/>
              <w:i w:val="0"/>
              <w:iCs w:val="0"/>
              <w:noProof/>
              <w:lang w:eastAsia="en-GB"/>
            </w:rPr>
          </w:pPr>
          <w:hyperlink w:anchor="_Toc236100655" w:history="1">
            <w:r w:rsidRPr="00E64D4A">
              <w:rPr>
                <w:rStyle w:val="Hyperlink"/>
                <w:rFonts w:ascii="Arial" w:hAnsi="Arial" w:cs="Arial"/>
                <w:noProof/>
                <w:shd w:val="clear" w:color="auto" w:fill="FFFFFF"/>
                <w:lang w:eastAsia="en-GB"/>
              </w:rPr>
              <w:t>Task 2. Practical Examples of Concepts in Practice</w:t>
            </w:r>
            <w:r>
              <w:rPr>
                <w:noProof/>
                <w:webHidden/>
              </w:rPr>
              <w:tab/>
            </w:r>
            <w:r>
              <w:rPr>
                <w:noProof/>
                <w:webHidden/>
              </w:rPr>
              <w:fldChar w:fldCharType="begin"/>
            </w:r>
            <w:r>
              <w:rPr>
                <w:noProof/>
                <w:webHidden/>
              </w:rPr>
              <w:instrText xml:space="preserve"> PAGEREF _Toc236100655 \h </w:instrText>
            </w:r>
            <w:r>
              <w:rPr>
                <w:noProof/>
                <w:webHidden/>
              </w:rPr>
            </w:r>
            <w:r>
              <w:rPr>
                <w:noProof/>
                <w:webHidden/>
              </w:rPr>
              <w:fldChar w:fldCharType="separate"/>
            </w:r>
            <w:r>
              <w:rPr>
                <w:noProof/>
                <w:webHidden/>
              </w:rPr>
              <w:t>5</w:t>
            </w:r>
            <w:r>
              <w:rPr>
                <w:noProof/>
                <w:webHidden/>
              </w:rPr>
              <w:fldChar w:fldCharType="end"/>
            </w:r>
          </w:hyperlink>
        </w:p>
        <w:p w14:paraId="01083A6C" w14:textId="7826ED47" w:rsidR="00C00199" w:rsidRDefault="00C00199">
          <w:pPr>
            <w:pStyle w:val="TOC1"/>
            <w:tabs>
              <w:tab w:val="right" w:leader="dot" w:pos="9016"/>
            </w:tabs>
            <w:rPr>
              <w:b w:val="0"/>
              <w:bCs w:val="0"/>
              <w:i w:val="0"/>
              <w:iCs w:val="0"/>
              <w:noProof/>
              <w:lang w:eastAsia="en-GB"/>
            </w:rPr>
          </w:pPr>
          <w:hyperlink w:anchor="_Toc236100656" w:history="1">
            <w:r w:rsidRPr="00E64D4A">
              <w:rPr>
                <w:rStyle w:val="Hyperlink"/>
                <w:rFonts w:ascii="Arial" w:hAnsi="Arial" w:cs="Arial"/>
                <w:noProof/>
                <w:shd w:val="clear" w:color="auto" w:fill="FFFFFF"/>
                <w:lang w:eastAsia="en-GB"/>
              </w:rPr>
              <w:t>Task 3. Self-Reflection as a Student Nurse</w:t>
            </w:r>
            <w:r>
              <w:rPr>
                <w:noProof/>
                <w:webHidden/>
              </w:rPr>
              <w:tab/>
            </w:r>
            <w:r>
              <w:rPr>
                <w:noProof/>
                <w:webHidden/>
              </w:rPr>
              <w:fldChar w:fldCharType="begin"/>
            </w:r>
            <w:r>
              <w:rPr>
                <w:noProof/>
                <w:webHidden/>
              </w:rPr>
              <w:instrText xml:space="preserve"> PAGEREF _Toc236100656 \h </w:instrText>
            </w:r>
            <w:r>
              <w:rPr>
                <w:noProof/>
                <w:webHidden/>
              </w:rPr>
            </w:r>
            <w:r>
              <w:rPr>
                <w:noProof/>
                <w:webHidden/>
              </w:rPr>
              <w:fldChar w:fldCharType="separate"/>
            </w:r>
            <w:r>
              <w:rPr>
                <w:noProof/>
                <w:webHidden/>
              </w:rPr>
              <w:t>6</w:t>
            </w:r>
            <w:r>
              <w:rPr>
                <w:noProof/>
                <w:webHidden/>
              </w:rPr>
              <w:fldChar w:fldCharType="end"/>
            </w:r>
          </w:hyperlink>
        </w:p>
        <w:p w14:paraId="33B5FA55" w14:textId="5CB226BA" w:rsidR="00C00199" w:rsidRDefault="00C00199">
          <w:pPr>
            <w:pStyle w:val="TOC1"/>
            <w:tabs>
              <w:tab w:val="right" w:leader="dot" w:pos="9016"/>
            </w:tabs>
            <w:rPr>
              <w:b w:val="0"/>
              <w:bCs w:val="0"/>
              <w:i w:val="0"/>
              <w:iCs w:val="0"/>
              <w:noProof/>
              <w:lang w:eastAsia="en-GB"/>
            </w:rPr>
          </w:pPr>
          <w:hyperlink w:anchor="_Toc236100657" w:history="1">
            <w:r w:rsidRPr="00E64D4A">
              <w:rPr>
                <w:rStyle w:val="Hyperlink"/>
                <w:rFonts w:ascii="Arial" w:hAnsi="Arial" w:cs="Arial"/>
                <w:noProof/>
                <w:shd w:val="clear" w:color="auto" w:fill="FFFFFF"/>
                <w:lang w:eastAsia="en-GB"/>
              </w:rPr>
              <w:t>Conclusion</w:t>
            </w:r>
            <w:r>
              <w:rPr>
                <w:noProof/>
                <w:webHidden/>
              </w:rPr>
              <w:tab/>
            </w:r>
            <w:r>
              <w:rPr>
                <w:noProof/>
                <w:webHidden/>
              </w:rPr>
              <w:fldChar w:fldCharType="begin"/>
            </w:r>
            <w:r>
              <w:rPr>
                <w:noProof/>
                <w:webHidden/>
              </w:rPr>
              <w:instrText xml:space="preserve"> PAGEREF _Toc236100657 \h </w:instrText>
            </w:r>
            <w:r>
              <w:rPr>
                <w:noProof/>
                <w:webHidden/>
              </w:rPr>
            </w:r>
            <w:r>
              <w:rPr>
                <w:noProof/>
                <w:webHidden/>
              </w:rPr>
              <w:fldChar w:fldCharType="separate"/>
            </w:r>
            <w:r>
              <w:rPr>
                <w:noProof/>
                <w:webHidden/>
              </w:rPr>
              <w:t>8</w:t>
            </w:r>
            <w:r>
              <w:rPr>
                <w:noProof/>
                <w:webHidden/>
              </w:rPr>
              <w:fldChar w:fldCharType="end"/>
            </w:r>
          </w:hyperlink>
        </w:p>
        <w:p w14:paraId="67515217" w14:textId="305F09DF" w:rsidR="00C00199" w:rsidRDefault="00C00199">
          <w:pPr>
            <w:pStyle w:val="TOC1"/>
            <w:tabs>
              <w:tab w:val="right" w:leader="dot" w:pos="9016"/>
            </w:tabs>
            <w:rPr>
              <w:b w:val="0"/>
              <w:bCs w:val="0"/>
              <w:i w:val="0"/>
              <w:iCs w:val="0"/>
              <w:noProof/>
              <w:lang w:eastAsia="en-GB"/>
            </w:rPr>
          </w:pPr>
          <w:hyperlink w:anchor="_Toc236100658" w:history="1">
            <w:r w:rsidRPr="00E64D4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_Toc236100658 \h </w:instrText>
            </w:r>
            <w:r>
              <w:rPr>
                <w:noProof/>
                <w:webHidden/>
              </w:rPr>
            </w:r>
            <w:r>
              <w:rPr>
                <w:noProof/>
                <w:webHidden/>
              </w:rPr>
              <w:fldChar w:fldCharType="separate"/>
            </w:r>
            <w:r>
              <w:rPr>
                <w:noProof/>
                <w:webHidden/>
              </w:rPr>
              <w:t>8</w:t>
            </w:r>
            <w:r>
              <w:rPr>
                <w:noProof/>
                <w:webHidden/>
              </w:rPr>
              <w:fldChar w:fldCharType="end"/>
            </w:r>
          </w:hyperlink>
        </w:p>
        <w:p w14:paraId="2C15292E" w14:textId="35C71F13" w:rsidR="00DE70CD" w:rsidRDefault="00DE70CD">
          <w:r>
            <w:rPr>
              <w:b/>
              <w:bCs/>
              <w:noProof/>
            </w:rPr>
            <w:fldChar w:fldCharType="end"/>
          </w:r>
        </w:p>
      </w:sdtContent>
    </w:sdt>
    <w:p w14:paraId="70ABD6C1" w14:textId="7880B217" w:rsidR="00963749" w:rsidRDefault="00963749" w:rsidP="00D61394">
      <w:pPr>
        <w:jc w:val="both"/>
      </w:pPr>
    </w:p>
    <w:p w14:paraId="01C35258" w14:textId="77777777" w:rsidR="00DE70CD" w:rsidRDefault="00DE70CD" w:rsidP="00D61394">
      <w:pPr>
        <w:jc w:val="both"/>
      </w:pPr>
    </w:p>
    <w:p w14:paraId="0C0B4103" w14:textId="77777777" w:rsidR="00DE70CD" w:rsidRDefault="00DE70CD"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D63394"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5636610"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797118C"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D2153F"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724B91C"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70F2628"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A531D7"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497DFDB"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474FA2"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6850F811" w:rsidR="00AB7A25" w:rsidRPr="000F71EE" w:rsidRDefault="000D3F3A" w:rsidP="00D61394">
      <w:pPr>
        <w:pStyle w:val="Heading1"/>
        <w:jc w:val="both"/>
        <w:rPr>
          <w:rFonts w:ascii="Arial" w:hAnsi="Arial" w:cs="Arial"/>
          <w:b/>
          <w:bCs/>
          <w:sz w:val="32"/>
          <w:szCs w:val="32"/>
          <w:shd w:val="clear" w:color="auto" w:fill="FFFFFF"/>
          <w:lang w:eastAsia="en-GB"/>
        </w:rPr>
      </w:pPr>
      <w:bookmarkStart w:id="0" w:name="_Toc236100653"/>
      <w:r w:rsidRPr="000F71EE">
        <w:rPr>
          <w:rFonts w:ascii="Arial" w:hAnsi="Arial" w:cs="Arial"/>
          <w:b/>
          <w:bCs/>
          <w:sz w:val="32"/>
          <w:szCs w:val="32"/>
          <w:shd w:val="clear" w:color="auto" w:fill="FFFFFF"/>
          <w:lang w:eastAsia="en-GB"/>
        </w:rPr>
        <w:lastRenderedPageBreak/>
        <w:t xml:space="preserve">I. </w:t>
      </w:r>
      <w:r w:rsidR="00AB7A25" w:rsidRPr="000F71EE">
        <w:rPr>
          <w:rFonts w:ascii="Arial" w:hAnsi="Arial" w:cs="Arial"/>
          <w:b/>
          <w:bCs/>
          <w:sz w:val="32"/>
          <w:szCs w:val="32"/>
          <w:shd w:val="clear" w:color="auto" w:fill="FFFFFF"/>
          <w:lang w:eastAsia="en-GB"/>
        </w:rPr>
        <w:t>Introduction</w:t>
      </w:r>
      <w:bookmarkEnd w:id="0"/>
    </w:p>
    <w:p w14:paraId="246F18FD" w14:textId="77777777" w:rsidR="005B61D4" w:rsidRPr="005B61D4" w:rsidRDefault="005B61D4" w:rsidP="005B61D4">
      <w:pPr>
        <w:pStyle w:val="isselectedend"/>
        <w:spacing w:line="360" w:lineRule="auto"/>
        <w:jc w:val="both"/>
        <w:rPr>
          <w:rFonts w:ascii="Arial" w:hAnsi="Arial" w:cs="Arial"/>
          <w:color w:val="000000"/>
          <w:sz w:val="22"/>
          <w:szCs w:val="22"/>
        </w:rPr>
      </w:pPr>
      <w:r w:rsidRPr="005B61D4">
        <w:rPr>
          <w:rFonts w:ascii="Arial" w:hAnsi="Arial" w:cs="Arial"/>
          <w:color w:val="000000"/>
          <w:sz w:val="22"/>
          <w:szCs w:val="22"/>
        </w:rPr>
        <w:t>Health and social care practice in the United Kingdom is founded on core principles that promote high-quality, safe, compassionate, and evidence-based care. Person-centred care, partnership working, and ethical practice enable healthcare professionals to meet individuals' physical, psychological, social, and emotional needs while respecting their rights, dignity, values, and preferences. These principles are underpinned by UK legislation, professional codes of conduct, national policies, and clinical guidelines, ensuring that care is delivered safely, effectively, and consistently across health and social care settings. They also encourage collaborative working, shared decision-making, and holistic care, which contribute to improved patient experiences and health outcomes.</w:t>
      </w:r>
    </w:p>
    <w:p w14:paraId="551E5C81" w14:textId="77777777" w:rsidR="005B61D4" w:rsidRPr="005B61D4" w:rsidRDefault="005B61D4" w:rsidP="005B61D4">
      <w:pPr>
        <w:pStyle w:val="NormalWeb"/>
        <w:spacing w:line="360" w:lineRule="auto"/>
        <w:jc w:val="both"/>
        <w:rPr>
          <w:rFonts w:ascii="Arial" w:hAnsi="Arial" w:cs="Arial"/>
          <w:color w:val="000000"/>
          <w:sz w:val="22"/>
          <w:szCs w:val="22"/>
        </w:rPr>
      </w:pPr>
      <w:r w:rsidRPr="005B61D4">
        <w:rPr>
          <w:rFonts w:ascii="Arial" w:hAnsi="Arial" w:cs="Arial"/>
          <w:color w:val="000000"/>
          <w:sz w:val="22"/>
          <w:szCs w:val="22"/>
        </w:rPr>
        <w:t>This report critically reflects on the importance of these principles within health and social care practice, explores their application through a practical example from a UK healthcare setting, and evaluates how they will influence my professional development as a student nurse. Throughout the discussion, relevant theories, including Maslow's Hierarchy of Needs, together with professional standards, legislation, and evidence-based practice, are linked to demonstrate their practical application in supporting high-quality, person-centred nursing care.</w:t>
      </w:r>
    </w:p>
    <w:p w14:paraId="570D9C7B" w14:textId="77777777" w:rsidR="00BE0DAD" w:rsidRPr="005B61D4" w:rsidRDefault="00BE0DAD" w:rsidP="00D61394">
      <w:pPr>
        <w:jc w:val="both"/>
        <w:rPr>
          <w:rFonts w:ascii="Arial" w:eastAsia="Times New Roman" w:hAnsi="Arial" w:cs="Arial"/>
          <w:b/>
          <w:bCs/>
          <w:sz w:val="22"/>
          <w:szCs w:val="22"/>
          <w:shd w:val="clear" w:color="auto" w:fill="FFFFFF"/>
          <w:lang w:eastAsia="en-GB"/>
        </w:rPr>
      </w:pPr>
    </w:p>
    <w:p w14:paraId="5E6A72B4" w14:textId="77777777" w:rsidR="00BE0DAD" w:rsidRPr="000F71EE" w:rsidRDefault="00BE0DAD" w:rsidP="00D61394">
      <w:pPr>
        <w:jc w:val="both"/>
        <w:rPr>
          <w:rFonts w:ascii="Arial" w:eastAsia="Times New Roman" w:hAnsi="Arial" w:cs="Arial"/>
          <w:b/>
          <w:bCs/>
          <w:sz w:val="28"/>
          <w:szCs w:val="28"/>
          <w:shd w:val="clear" w:color="auto" w:fill="FFFFFF"/>
          <w:lang w:eastAsia="en-GB"/>
        </w:rPr>
      </w:pPr>
    </w:p>
    <w:p w14:paraId="59373603" w14:textId="77777777" w:rsidR="00DF63CA" w:rsidRPr="000F71EE" w:rsidRDefault="00DF63CA" w:rsidP="00D61394">
      <w:pPr>
        <w:pStyle w:val="Heading1"/>
        <w:jc w:val="both"/>
        <w:rPr>
          <w:rFonts w:ascii="Arial" w:hAnsi="Arial" w:cs="Arial"/>
          <w:b/>
          <w:bCs/>
          <w:sz w:val="28"/>
          <w:szCs w:val="28"/>
          <w:shd w:val="clear" w:color="auto" w:fill="FFFFFF"/>
          <w:lang w:eastAsia="en-GB"/>
        </w:rPr>
      </w:pPr>
    </w:p>
    <w:p w14:paraId="3E6CAE38" w14:textId="77777777" w:rsidR="005B3994" w:rsidRPr="000F71EE" w:rsidRDefault="005B3994" w:rsidP="005B3994">
      <w:pPr>
        <w:rPr>
          <w:rFonts w:ascii="Arial" w:hAnsi="Arial" w:cs="Arial"/>
          <w:lang w:eastAsia="en-GB"/>
        </w:rPr>
      </w:pPr>
    </w:p>
    <w:p w14:paraId="2BCCB51C" w14:textId="77777777" w:rsidR="005B3994" w:rsidRPr="000F71EE" w:rsidRDefault="005B3994" w:rsidP="005B3994">
      <w:pPr>
        <w:rPr>
          <w:rFonts w:ascii="Arial" w:hAnsi="Arial" w:cs="Arial"/>
          <w:lang w:eastAsia="en-GB"/>
        </w:rPr>
      </w:pPr>
    </w:p>
    <w:p w14:paraId="04796AC5" w14:textId="77777777" w:rsidR="005B3994" w:rsidRPr="000F71EE" w:rsidRDefault="005B3994" w:rsidP="005B3994">
      <w:pPr>
        <w:rPr>
          <w:rFonts w:ascii="Arial" w:hAnsi="Arial" w:cs="Arial"/>
          <w:lang w:eastAsia="en-GB"/>
        </w:rPr>
      </w:pPr>
    </w:p>
    <w:p w14:paraId="15151504" w14:textId="77777777" w:rsidR="00DE70CD" w:rsidRDefault="00DE70CD" w:rsidP="00DF63CA">
      <w:pPr>
        <w:pStyle w:val="Heading1"/>
        <w:jc w:val="both"/>
        <w:rPr>
          <w:rFonts w:ascii="Arial" w:hAnsi="Arial" w:cs="Arial"/>
          <w:sz w:val="32"/>
          <w:szCs w:val="32"/>
          <w:shd w:val="clear" w:color="auto" w:fill="FFFFFF"/>
          <w:lang w:eastAsia="en-GB"/>
        </w:rPr>
      </w:pPr>
    </w:p>
    <w:p w14:paraId="47CD3E9A" w14:textId="77777777" w:rsidR="00DE70CD" w:rsidRDefault="00DE70CD" w:rsidP="00DE70CD">
      <w:pPr>
        <w:rPr>
          <w:lang w:eastAsia="en-GB"/>
        </w:rPr>
      </w:pPr>
    </w:p>
    <w:p w14:paraId="6EB52252" w14:textId="77777777" w:rsidR="00B51314" w:rsidRDefault="00B51314" w:rsidP="00DF63CA">
      <w:pPr>
        <w:pStyle w:val="Heading1"/>
        <w:jc w:val="both"/>
        <w:rPr>
          <w:rFonts w:ascii="Arial" w:hAnsi="Arial" w:cs="Arial"/>
          <w:b/>
          <w:bCs/>
          <w:sz w:val="32"/>
          <w:szCs w:val="32"/>
          <w:shd w:val="clear" w:color="auto" w:fill="FFFFFF"/>
          <w:lang w:eastAsia="en-GB"/>
        </w:rPr>
      </w:pPr>
    </w:p>
    <w:p w14:paraId="53E83C2A" w14:textId="77777777" w:rsidR="004E5C68" w:rsidRDefault="004E5C68" w:rsidP="004E5C68">
      <w:pPr>
        <w:rPr>
          <w:lang w:eastAsia="en-GB"/>
        </w:rPr>
      </w:pPr>
    </w:p>
    <w:p w14:paraId="6473633D" w14:textId="77777777" w:rsidR="004E5C68" w:rsidRDefault="004E5C68" w:rsidP="004E5C68">
      <w:pPr>
        <w:rPr>
          <w:lang w:eastAsia="en-GB"/>
        </w:rPr>
      </w:pPr>
    </w:p>
    <w:p w14:paraId="16CC262E" w14:textId="77777777" w:rsidR="004E5C68" w:rsidRPr="004E5C68" w:rsidRDefault="004E5C68" w:rsidP="004E5C68">
      <w:pPr>
        <w:rPr>
          <w:lang w:eastAsia="en-GB"/>
        </w:rPr>
      </w:pPr>
    </w:p>
    <w:p w14:paraId="48F07CB7" w14:textId="77BED317" w:rsidR="00DF63CA" w:rsidRPr="000F71EE" w:rsidRDefault="00143BE3" w:rsidP="00DF63CA">
      <w:pPr>
        <w:pStyle w:val="Heading1"/>
        <w:jc w:val="both"/>
        <w:rPr>
          <w:rFonts w:ascii="Arial" w:hAnsi="Arial" w:cs="Arial"/>
          <w:b/>
          <w:bCs/>
          <w:sz w:val="32"/>
          <w:szCs w:val="32"/>
          <w:shd w:val="clear" w:color="auto" w:fill="FFFFFF"/>
          <w:lang w:eastAsia="en-GB"/>
        </w:rPr>
      </w:pPr>
      <w:bookmarkStart w:id="1" w:name="_Toc236100654"/>
      <w:r>
        <w:rPr>
          <w:rFonts w:ascii="Arial" w:hAnsi="Arial" w:cs="Arial"/>
          <w:b/>
          <w:bCs/>
          <w:sz w:val="32"/>
          <w:szCs w:val="32"/>
          <w:shd w:val="clear" w:color="auto" w:fill="FFFFFF"/>
          <w:lang w:eastAsia="en-GB"/>
        </w:rPr>
        <w:lastRenderedPageBreak/>
        <w:t>Task 1</w:t>
      </w:r>
      <w:r w:rsidR="00F76ABE"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Reflection on the importance of Principles of Health and Social Care</w:t>
      </w:r>
      <w:bookmarkEnd w:id="1"/>
    </w:p>
    <w:p w14:paraId="1B9E28B2" w14:textId="77777777" w:rsidR="000D3F3A" w:rsidRPr="000F71EE" w:rsidRDefault="000D3F3A" w:rsidP="000D3F3A">
      <w:pPr>
        <w:rPr>
          <w:rFonts w:ascii="Arial" w:hAnsi="Arial" w:cs="Arial"/>
          <w:lang w:eastAsia="en-GB"/>
        </w:rPr>
      </w:pPr>
    </w:p>
    <w:p w14:paraId="0B621A1B" w14:textId="77777777"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Person-centred care is a fundamental principle within UK health and social care because it places individuals at the centre of decision-making. Rather than focusing solely on illness, healthcare professionals recognise each person's preferences, values, beliefs, and goals. According to the Nursing and Midwifery Council (NMC, 2018), professionals must treat people as individuals, respect their dignity, and involve them in decisions regarding their care. This approach improves patient satisfaction, promotes independence, and enhances health outcomes.</w:t>
      </w:r>
    </w:p>
    <w:p w14:paraId="4D902333" w14:textId="77777777"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Maslow's Hierarchy of Needs (Maslow, 1943) provides a useful theoretical framework for understanding person-centred care. The theory suggests that individuals have physiological, safety, social, esteem, and self-actualisation needs. Health and social care professionals should assess each level of need to deliver holistic care. For example, a patient recovering from surgery requires pain management and nutrition before focusing on emotional wellbeing or rehabilitation. Addressing these needs systematically contributes to improved quality of care.</w:t>
      </w:r>
    </w:p>
    <w:p w14:paraId="0ED6949C" w14:textId="77D1BD2E" w:rsidR="007F6BB6" w:rsidRPr="00B51314" w:rsidRDefault="007F6BB6"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 xml:space="preserve">During clinical placement on a medical ward, when a nurse adapted communication for an older patient with hearing impairment. Instead of providing information quickly, the </w:t>
      </w:r>
      <w:r w:rsidRPr="00B51314">
        <w:rPr>
          <w:rFonts w:ascii="Arial" w:hAnsi="Arial" w:cs="Arial"/>
          <w:color w:val="000000"/>
          <w:sz w:val="22"/>
          <w:szCs w:val="22"/>
        </w:rPr>
        <w:t>nurse-maintained</w:t>
      </w:r>
      <w:r w:rsidRPr="00B51314">
        <w:rPr>
          <w:rFonts w:ascii="Arial" w:hAnsi="Arial" w:cs="Arial"/>
          <w:color w:val="000000"/>
          <w:sz w:val="22"/>
          <w:szCs w:val="22"/>
        </w:rPr>
        <w:t xml:space="preserve"> eye contact, spoke slowly, used written information, and allowed additional time for questions. This approach respected the patient's dignity and autonomy, improved understanding of the treatment plan, and reduced anxiety. Reflecting on this experience helped me appreciate that effective communication is an essential component of person-centred care, as promoted by the NMC Code (NMC, 2018).</w:t>
      </w:r>
    </w:p>
    <w:p w14:paraId="2DA32782" w14:textId="7FF3CA31"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Partnership working is another essential principle that strengthens communication and collaboration between healthcare professionals, patients, families, and external organisations. Effective multidisciplinary teamwork enables coordinated care, reduces duplication of services, and improves patient safety. The Care Act 2014 promotes integrated working between health and social care organisations to ensure individuals receive seamless support. Similarly, the Health and Care Act 2022 encourage collaboration between NHS organisations and local authorities to improve health outcomes across communities.</w:t>
      </w:r>
    </w:p>
    <w:p w14:paraId="38C3966F" w14:textId="77777777" w:rsidR="00B51314" w:rsidRDefault="00B51314" w:rsidP="00B51314">
      <w:pPr>
        <w:pStyle w:val="isselectedend"/>
        <w:spacing w:line="360" w:lineRule="auto"/>
        <w:jc w:val="both"/>
        <w:rPr>
          <w:rFonts w:ascii="Arial" w:hAnsi="Arial" w:cs="Arial"/>
          <w:color w:val="000000"/>
          <w:sz w:val="22"/>
          <w:szCs w:val="22"/>
        </w:rPr>
      </w:pPr>
    </w:p>
    <w:p w14:paraId="5497BA68" w14:textId="35F2A57E" w:rsidR="007F6BB6" w:rsidRPr="00B51314" w:rsidRDefault="007F6BB6"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lastRenderedPageBreak/>
        <w:t xml:space="preserve">Research supports the effectiveness of multidisciplinary collaboration. </w:t>
      </w:r>
      <w:proofErr w:type="spellStart"/>
      <w:r w:rsidRPr="00B51314">
        <w:rPr>
          <w:rFonts w:ascii="Arial" w:hAnsi="Arial" w:cs="Arial"/>
          <w:color w:val="000000"/>
          <w:sz w:val="22"/>
          <w:szCs w:val="22"/>
        </w:rPr>
        <w:t>Vermeir</w:t>
      </w:r>
      <w:proofErr w:type="spellEnd"/>
      <w:r w:rsidRPr="00B51314">
        <w:rPr>
          <w:rFonts w:ascii="Arial" w:hAnsi="Arial" w:cs="Arial"/>
          <w:color w:val="000000"/>
          <w:sz w:val="22"/>
          <w:szCs w:val="22"/>
        </w:rPr>
        <w:t xml:space="preserve"> et al. (2015) found that effective communication between healthcare professionals significantly reduces preventable adverse events and improves patient safety. Similarly, NHS England (2021) highlights that integrated working across disciplines improves continuity of care and patient satisfaction.</w:t>
      </w:r>
    </w:p>
    <w:p w14:paraId="672F60BE" w14:textId="77777777"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Ethics guide professional decision-making when caring for vulnerable individuals. The four ethical principles of autonomy, beneficence, non-maleficence, and justice support healthcare professionals in making decisions that respect patients' rights while promoting their wellbeing (Beauchamp and Childress, 2019). For example, respecting a patient's autonomy involves obtaining informed consent before treatment, while beneficence requires professionals to act in the patient's best interests. Ethical practice is further supported by legislation such as the Mental Capacity Act 2005 and the Equality Act 2010, which protect individuals from discrimination and ensure fair access to healthcare services.</w:t>
      </w:r>
    </w:p>
    <w:p w14:paraId="307DA912" w14:textId="340B22FD" w:rsidR="007F6BB6" w:rsidRPr="00B51314" w:rsidRDefault="007F6BB6"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However, ethical principles may sometimes conflict in practice. For example, respecting a patient's autonomy may differ from the healthcare team's view of beneficence when a patient refuses treatment. In these situations, nurses must balance ethical decision-making with legal requirements such as the Mental Capacity Act 2005 while ensuring that patients receive sufficient information to make informed decisions.</w:t>
      </w:r>
    </w:p>
    <w:p w14:paraId="1F9F53E8" w14:textId="77777777" w:rsidR="00143BE3" w:rsidRPr="00B51314" w:rsidRDefault="00143BE3" w:rsidP="00B51314">
      <w:pPr>
        <w:pStyle w:val="NormalWeb"/>
        <w:spacing w:line="360" w:lineRule="auto"/>
        <w:jc w:val="both"/>
        <w:rPr>
          <w:rFonts w:ascii="Arial" w:hAnsi="Arial" w:cs="Arial"/>
          <w:color w:val="000000"/>
          <w:sz w:val="22"/>
          <w:szCs w:val="22"/>
        </w:rPr>
      </w:pPr>
      <w:r w:rsidRPr="00B51314">
        <w:rPr>
          <w:rFonts w:ascii="Arial" w:hAnsi="Arial" w:cs="Arial"/>
          <w:color w:val="000000"/>
          <w:sz w:val="22"/>
          <w:szCs w:val="22"/>
        </w:rPr>
        <w:t>Overall, person-centred care, partnership working, and ethical practice are interconnected principles that improve the quality, safety, and effectiveness of health and social care services throughout the UK. Together, they support holistic care, strengthen professional collaboration, and promote positive experiences for individuals receiving care.</w:t>
      </w:r>
    </w:p>
    <w:p w14:paraId="7C938E18" w14:textId="77777777" w:rsidR="005B3994" w:rsidRPr="00B51314" w:rsidRDefault="005B3994" w:rsidP="00B51314">
      <w:pPr>
        <w:spacing w:line="360" w:lineRule="auto"/>
        <w:rPr>
          <w:rFonts w:ascii="Arial" w:eastAsia="Times New Roman" w:hAnsi="Arial" w:cs="Arial"/>
          <w:kern w:val="0"/>
          <w:sz w:val="22"/>
          <w:szCs w:val="22"/>
          <w:lang w:eastAsia="en-GB"/>
          <w14:ligatures w14:val="none"/>
        </w:rPr>
      </w:pPr>
    </w:p>
    <w:p w14:paraId="61B2C782" w14:textId="77777777" w:rsidR="00D70AB5" w:rsidRPr="00B51314" w:rsidRDefault="00D70AB5" w:rsidP="00B51314">
      <w:pPr>
        <w:spacing w:line="360" w:lineRule="auto"/>
        <w:rPr>
          <w:rFonts w:ascii="Arial" w:eastAsia="Times New Roman" w:hAnsi="Arial" w:cs="Arial"/>
          <w:kern w:val="0"/>
          <w:sz w:val="22"/>
          <w:szCs w:val="22"/>
          <w:lang w:eastAsia="en-GB"/>
          <w14:ligatures w14:val="none"/>
        </w:rPr>
      </w:pPr>
    </w:p>
    <w:p w14:paraId="70927CDE" w14:textId="77777777" w:rsidR="00D70AB5" w:rsidRDefault="00D70AB5" w:rsidP="000D3F3A">
      <w:pPr>
        <w:rPr>
          <w:rFonts w:ascii="Times New Roman" w:eastAsia="Times New Roman" w:hAnsi="Times New Roman" w:cs="Times New Roman"/>
          <w:kern w:val="0"/>
          <w:lang w:eastAsia="en-GB"/>
          <w14:ligatures w14:val="none"/>
        </w:rPr>
      </w:pPr>
    </w:p>
    <w:p w14:paraId="130EA257" w14:textId="77777777" w:rsidR="00736CA2" w:rsidRDefault="00736CA2" w:rsidP="00D70AB5">
      <w:pPr>
        <w:pStyle w:val="Heading1"/>
        <w:jc w:val="both"/>
        <w:rPr>
          <w:rFonts w:ascii="Arial" w:hAnsi="Arial" w:cs="Arial"/>
          <w:b/>
          <w:bCs/>
          <w:sz w:val="32"/>
          <w:szCs w:val="32"/>
          <w:shd w:val="clear" w:color="auto" w:fill="FFFFFF"/>
          <w:lang w:eastAsia="en-GB"/>
        </w:rPr>
      </w:pPr>
    </w:p>
    <w:p w14:paraId="369F8D82" w14:textId="77777777" w:rsidR="00B51314" w:rsidRDefault="00B51314" w:rsidP="00B51314">
      <w:pPr>
        <w:rPr>
          <w:lang w:eastAsia="en-GB"/>
        </w:rPr>
      </w:pPr>
    </w:p>
    <w:p w14:paraId="22AE60A7" w14:textId="77777777" w:rsidR="00B51314" w:rsidRDefault="00B51314" w:rsidP="00B51314">
      <w:pPr>
        <w:rPr>
          <w:lang w:eastAsia="en-GB"/>
        </w:rPr>
      </w:pPr>
    </w:p>
    <w:p w14:paraId="3168A1E1" w14:textId="77777777" w:rsidR="00B51314" w:rsidRDefault="00B51314" w:rsidP="00B51314">
      <w:pPr>
        <w:rPr>
          <w:lang w:eastAsia="en-GB"/>
        </w:rPr>
      </w:pPr>
    </w:p>
    <w:p w14:paraId="7028E027" w14:textId="77777777" w:rsidR="00B51314" w:rsidRPr="00B51314" w:rsidRDefault="00B51314" w:rsidP="00B51314">
      <w:pPr>
        <w:rPr>
          <w:lang w:eastAsia="en-GB"/>
        </w:rPr>
      </w:pPr>
    </w:p>
    <w:p w14:paraId="020A5C1B" w14:textId="2D6FCF3F" w:rsidR="00D70AB5" w:rsidRDefault="00143BE3" w:rsidP="00D70AB5">
      <w:pPr>
        <w:pStyle w:val="Heading1"/>
        <w:jc w:val="both"/>
        <w:rPr>
          <w:rFonts w:ascii="Arial" w:hAnsi="Arial" w:cs="Arial"/>
          <w:b/>
          <w:bCs/>
          <w:sz w:val="32"/>
          <w:szCs w:val="32"/>
          <w:shd w:val="clear" w:color="auto" w:fill="FFFFFF"/>
          <w:lang w:eastAsia="en-GB"/>
        </w:rPr>
      </w:pPr>
      <w:bookmarkStart w:id="2" w:name="_Toc236100655"/>
      <w:r>
        <w:rPr>
          <w:rFonts w:ascii="Arial" w:hAnsi="Arial" w:cs="Arial"/>
          <w:b/>
          <w:bCs/>
          <w:sz w:val="32"/>
          <w:szCs w:val="32"/>
          <w:shd w:val="clear" w:color="auto" w:fill="FFFFFF"/>
          <w:lang w:eastAsia="en-GB"/>
        </w:rPr>
        <w:lastRenderedPageBreak/>
        <w:t>Task 2</w:t>
      </w:r>
      <w:r w:rsidR="00F76ABE"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Pra</w:t>
      </w:r>
      <w:r w:rsidR="00662FC4">
        <w:rPr>
          <w:rFonts w:ascii="Arial" w:hAnsi="Arial" w:cs="Arial"/>
          <w:b/>
          <w:bCs/>
          <w:sz w:val="32"/>
          <w:szCs w:val="32"/>
          <w:shd w:val="clear" w:color="auto" w:fill="FFFFFF"/>
          <w:lang w:eastAsia="en-GB"/>
        </w:rPr>
        <w:t>c</w:t>
      </w:r>
      <w:r>
        <w:rPr>
          <w:rFonts w:ascii="Arial" w:hAnsi="Arial" w:cs="Arial"/>
          <w:b/>
          <w:bCs/>
          <w:sz w:val="32"/>
          <w:szCs w:val="32"/>
          <w:shd w:val="clear" w:color="auto" w:fill="FFFFFF"/>
          <w:lang w:eastAsia="en-GB"/>
        </w:rPr>
        <w:t>tical Examples of Concepts in Practice</w:t>
      </w:r>
      <w:bookmarkEnd w:id="2"/>
    </w:p>
    <w:p w14:paraId="6A912FA4" w14:textId="77777777" w:rsidR="00736CA2" w:rsidRPr="00736CA2" w:rsidRDefault="00736CA2" w:rsidP="00736CA2">
      <w:pPr>
        <w:rPr>
          <w:lang w:eastAsia="en-GB"/>
        </w:rPr>
      </w:pPr>
    </w:p>
    <w:p w14:paraId="1C50AEAD" w14:textId="77777777"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A clear example of person-centred care, partnership working, and ethical practice can be seen in the management of an older adult patient admitted to an NHS hospital following a stroke. Stroke care in the UK is guided by NICE guidelines, which emphasise early assessment, rehabilitation, and multidisciplinary collaboration to improve recovery outcomes (NICE, 2022).</w:t>
      </w:r>
    </w:p>
    <w:p w14:paraId="5E49D43A" w14:textId="7D741DD9"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In this case, the patient is supported by a multidisciplinary team including nurses, doctors, physiotherapists, occupational therapists, and social workers. Person-centred care is demonstrated by involving the patient in goal setting for rehabilitation, such as regaining mobility and independence in daily activities. Communication is adapted to the patient’s needs, especially if speech is affected, ensuring dignity and inclusion in decision-making (NHS England, 2021).</w:t>
      </w:r>
    </w:p>
    <w:p w14:paraId="63EE0B15" w14:textId="73A0A24C" w:rsidR="007F6BB6" w:rsidRPr="00B51314" w:rsidRDefault="007F6BB6"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This example demonstrates that person-centred care is not limited to meeting clinical needs but also promotes psychological wellbeing, independence, and social inclusion. According to Maslow's Hierarchy of Needs, rehabilitation addresses not only physiological recovery but also esteem needs by enabling patients to regain confidence and independence (Maslow, 1943). Therefore, applying theory alongside clinical guidelines supports holistic nursing practice.</w:t>
      </w:r>
    </w:p>
    <w:p w14:paraId="515F9A73" w14:textId="77777777"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Partnership working is essential in coordinating discharge planning. Under the Care Act 2014, local authorities and NHS services must work together to ensure safe transitions from hospital to community care. For example, social workers may arrange home adaptations and community support services, while healthcare professionals focus on rehabilitation and medication management. This reduces hospital readmission rates and improves continuity of care (Department of Health and Social Care, 2014).</w:t>
      </w:r>
    </w:p>
    <w:p w14:paraId="5BB4FE66" w14:textId="77777777" w:rsidR="00143BE3"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Ethical principles are also central in this scenario. If the patient has reduced capacity due to stroke-related cognitive impairment, the Mental Capacity Act 2005 is applied to ensure decisions are made in the patient’s best interests. Autonomy is respected where possible by involving the patient in discussions, while beneficence ensures that care decisions prioritise recovery and wellbeing (Beauchamp and Childress, 2019).</w:t>
      </w:r>
    </w:p>
    <w:p w14:paraId="200E15F7" w14:textId="77777777" w:rsidR="00B51314" w:rsidRDefault="00B51314" w:rsidP="00B51314">
      <w:pPr>
        <w:pStyle w:val="isselectedend"/>
        <w:spacing w:line="360" w:lineRule="auto"/>
        <w:jc w:val="both"/>
        <w:rPr>
          <w:rFonts w:ascii="Arial" w:hAnsi="Arial" w:cs="Arial"/>
          <w:color w:val="000000"/>
          <w:sz w:val="22"/>
          <w:szCs w:val="22"/>
        </w:rPr>
      </w:pPr>
    </w:p>
    <w:p w14:paraId="0A6D94C7" w14:textId="77777777" w:rsidR="0066524C" w:rsidRPr="00B51314" w:rsidRDefault="0066524C" w:rsidP="00B51314">
      <w:pPr>
        <w:pStyle w:val="isselectedend"/>
        <w:spacing w:line="360" w:lineRule="auto"/>
        <w:jc w:val="both"/>
        <w:rPr>
          <w:rFonts w:ascii="Arial" w:hAnsi="Arial" w:cs="Arial"/>
          <w:color w:val="000000"/>
          <w:sz w:val="22"/>
          <w:szCs w:val="22"/>
        </w:rPr>
      </w:pPr>
    </w:p>
    <w:p w14:paraId="499079FA" w14:textId="26FE5606" w:rsidR="00143BE3" w:rsidRPr="00B51314" w:rsidRDefault="007F6BB6" w:rsidP="00B51314">
      <w:pPr>
        <w:pStyle w:val="NormalWeb"/>
        <w:spacing w:line="360" w:lineRule="auto"/>
        <w:jc w:val="both"/>
        <w:rPr>
          <w:rFonts w:ascii="Arial" w:hAnsi="Arial" w:cs="Arial"/>
          <w:color w:val="000000"/>
          <w:sz w:val="22"/>
          <w:szCs w:val="22"/>
        </w:rPr>
      </w:pPr>
      <w:r w:rsidRPr="00B51314">
        <w:rPr>
          <w:rFonts w:ascii="Arial" w:hAnsi="Arial" w:cs="Arial"/>
          <w:color w:val="000000"/>
          <w:sz w:val="22"/>
          <w:szCs w:val="22"/>
        </w:rPr>
        <w:lastRenderedPageBreak/>
        <w:t>One limitation within NHS practice is increasing workforce pressure and limited staffing levels, which may reduce the time available for meaningful communication with patients. Although nurses strive to deliver person-centred care, heavy workloads can sometimes result in task-focused practice. Therefore, healthcare organisations must promote adequate staffing, effective leadership, and multidisciplinary collaboration to maintain high standards of compassionate care.</w:t>
      </w:r>
    </w:p>
    <w:p w14:paraId="54D7E99D" w14:textId="77777777" w:rsidR="00143BE3" w:rsidRDefault="00143BE3" w:rsidP="00D60FA3">
      <w:pPr>
        <w:pStyle w:val="Heading1"/>
        <w:jc w:val="both"/>
        <w:rPr>
          <w:rFonts w:ascii="Arial" w:hAnsi="Arial" w:cs="Arial"/>
          <w:b/>
          <w:bCs/>
          <w:sz w:val="32"/>
          <w:szCs w:val="32"/>
          <w:shd w:val="clear" w:color="auto" w:fill="FFFFFF"/>
          <w:lang w:eastAsia="en-GB"/>
        </w:rPr>
      </w:pPr>
    </w:p>
    <w:p w14:paraId="1761B317" w14:textId="7A2A13E2" w:rsidR="001B3F14" w:rsidRDefault="00143BE3" w:rsidP="00D60FA3">
      <w:pPr>
        <w:pStyle w:val="Heading1"/>
        <w:jc w:val="both"/>
        <w:rPr>
          <w:rFonts w:ascii="Arial" w:hAnsi="Arial" w:cs="Arial"/>
          <w:b/>
          <w:bCs/>
          <w:sz w:val="32"/>
          <w:szCs w:val="32"/>
          <w:shd w:val="clear" w:color="auto" w:fill="FFFFFF"/>
          <w:lang w:eastAsia="en-GB"/>
        </w:rPr>
      </w:pPr>
      <w:bookmarkStart w:id="3" w:name="_Toc236100656"/>
      <w:r>
        <w:rPr>
          <w:rFonts w:ascii="Arial" w:hAnsi="Arial" w:cs="Arial"/>
          <w:b/>
          <w:bCs/>
          <w:sz w:val="32"/>
          <w:szCs w:val="32"/>
          <w:shd w:val="clear" w:color="auto" w:fill="FFFFFF"/>
          <w:lang w:eastAsia="en-GB"/>
        </w:rPr>
        <w:t>Task 3</w:t>
      </w:r>
      <w:r w:rsidR="001B3F14"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Self-Reflection as a Student Nurse</w:t>
      </w:r>
      <w:bookmarkEnd w:id="3"/>
    </w:p>
    <w:p w14:paraId="0D7CF4F2" w14:textId="77777777" w:rsidR="00B51314" w:rsidRPr="00B51314" w:rsidRDefault="00B51314" w:rsidP="00B51314">
      <w:pPr>
        <w:rPr>
          <w:lang w:eastAsia="en-GB"/>
        </w:rPr>
      </w:pPr>
    </w:p>
    <w:p w14:paraId="7F15BD33" w14:textId="2781D500"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 xml:space="preserve">As a student nurse, I recognise person-centred care, partnership working, and ethical practice are fundamental to my professional development and daily practice. My experience during </w:t>
      </w:r>
      <w:r w:rsidR="00250C50" w:rsidRPr="00B51314">
        <w:rPr>
          <w:rFonts w:ascii="Arial" w:hAnsi="Arial" w:cs="Arial"/>
          <w:color w:val="000000"/>
          <w:sz w:val="22"/>
          <w:szCs w:val="22"/>
        </w:rPr>
        <w:t>student nurse</w:t>
      </w:r>
      <w:r w:rsidRPr="00B51314">
        <w:rPr>
          <w:rFonts w:ascii="Arial" w:hAnsi="Arial" w:cs="Arial"/>
          <w:color w:val="000000"/>
          <w:sz w:val="22"/>
          <w:szCs w:val="22"/>
        </w:rPr>
        <w:t xml:space="preserve"> has shown me that each patient has unique needs that must be respected to deliver high-quality care. The Nursing and Midwifery Council (NMC, 2018) Code requires nurses to prioritise people, practise effectively, preserve safety, and promote professionalism and trust, which guides my behaviour in practice.</w:t>
      </w:r>
    </w:p>
    <w:p w14:paraId="00085AC5" w14:textId="7D2CF08C"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I observed how effective communication improves patient trust and engagement. For example, when caring for elderly patients with dementia, I learned that using simple language, maintaining eye contact, and involving family members improves understanding and reduces anxiety. This reinforced the importance of person-centred care in maintaining dignity and emotional wellbeing.</w:t>
      </w:r>
    </w:p>
    <w:p w14:paraId="45C290C2" w14:textId="0DCD9732" w:rsidR="00B51314"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 xml:space="preserve">Partnership working has also influenced my learning. </w:t>
      </w:r>
      <w:r w:rsidR="00250C50" w:rsidRPr="00B51314">
        <w:rPr>
          <w:rFonts w:ascii="Arial" w:hAnsi="Arial" w:cs="Arial"/>
          <w:color w:val="000000"/>
          <w:sz w:val="22"/>
          <w:szCs w:val="22"/>
        </w:rPr>
        <w:t>A</w:t>
      </w:r>
      <w:r w:rsidRPr="00B51314">
        <w:rPr>
          <w:rFonts w:ascii="Arial" w:hAnsi="Arial" w:cs="Arial"/>
          <w:color w:val="000000"/>
          <w:sz w:val="22"/>
          <w:szCs w:val="22"/>
        </w:rPr>
        <w:t>longside healthcare assistants, nurses, and physiotherapists, which has shown me how collaboration improves patient outcomes. However, I have identified that I need to improve my confidence in contributing to multidisciplinary discussions. I sometimes hesitate to share my views, even when I have relevant observations. To address this, I plan to actively engage in team meetings and seek feedback from my mentor to improve my communication skills.</w:t>
      </w:r>
    </w:p>
    <w:p w14:paraId="17207C8C" w14:textId="72ED5ED5"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Ethical practice is another key area of my development. I have encountered situations where patient confidentiality and consent were essential, particularly when patients were unable to make decisions due to fluctuating capacity.</w:t>
      </w:r>
      <w:r w:rsidR="00250C50" w:rsidRPr="00B51314">
        <w:rPr>
          <w:rFonts w:ascii="Arial" w:hAnsi="Arial" w:cs="Arial"/>
          <w:color w:val="000000"/>
          <w:sz w:val="22"/>
          <w:szCs w:val="22"/>
        </w:rPr>
        <w:t xml:space="preserve"> </w:t>
      </w:r>
      <w:r w:rsidRPr="00B51314">
        <w:rPr>
          <w:rFonts w:ascii="Arial" w:hAnsi="Arial" w:cs="Arial"/>
          <w:color w:val="000000"/>
          <w:sz w:val="22"/>
          <w:szCs w:val="22"/>
        </w:rPr>
        <w:t>I understand the importance of respecting autonomy while ensuring safety and protection from harm.</w:t>
      </w:r>
    </w:p>
    <w:p w14:paraId="5456D30F" w14:textId="77777777" w:rsidR="00143BE3" w:rsidRPr="00B51314" w:rsidRDefault="00143BE3"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lastRenderedPageBreak/>
        <w:t>Reflecting on my skills, I believe my strengths include empathy, active listening, and compassion, which support me in building positive relationships with patients. However, I recognise that I need to improve my clinical knowledge, particularly in understanding care planning frameworks and legal documentation. I also need to enhance my confidence in time management and prioritising tasks in busy clinical environments.</w:t>
      </w:r>
    </w:p>
    <w:p w14:paraId="3F8070E1" w14:textId="6081DB3B" w:rsidR="00250C50" w:rsidRPr="00B51314" w:rsidRDefault="00250C50" w:rsidP="00B51314">
      <w:pPr>
        <w:pStyle w:val="isselectedend"/>
        <w:spacing w:line="360" w:lineRule="auto"/>
        <w:jc w:val="both"/>
        <w:rPr>
          <w:rFonts w:ascii="Arial" w:hAnsi="Arial" w:cs="Arial"/>
          <w:color w:val="000000"/>
          <w:sz w:val="22"/>
          <w:szCs w:val="22"/>
        </w:rPr>
      </w:pPr>
      <w:r w:rsidRPr="00B51314">
        <w:rPr>
          <w:rFonts w:ascii="Arial" w:hAnsi="Arial" w:cs="Arial"/>
          <w:color w:val="000000"/>
          <w:sz w:val="22"/>
          <w:szCs w:val="22"/>
        </w:rPr>
        <w:t xml:space="preserve">A positive aspect was observing experienced nurses who used simple language, visual prompts and gave the patient sufficient time to respond. This improved communication and respected the patient's dignity. </w:t>
      </w:r>
    </w:p>
    <w:p w14:paraId="21EBDC3D" w14:textId="77777777" w:rsidR="00143BE3" w:rsidRPr="00B51314" w:rsidRDefault="00143BE3" w:rsidP="00B51314">
      <w:pPr>
        <w:pStyle w:val="NormalWeb"/>
        <w:spacing w:line="360" w:lineRule="auto"/>
        <w:jc w:val="both"/>
        <w:rPr>
          <w:rFonts w:ascii="Arial" w:hAnsi="Arial" w:cs="Arial"/>
          <w:color w:val="000000"/>
          <w:sz w:val="22"/>
          <w:szCs w:val="22"/>
        </w:rPr>
      </w:pPr>
      <w:r w:rsidRPr="00B51314">
        <w:rPr>
          <w:rFonts w:ascii="Arial" w:hAnsi="Arial" w:cs="Arial"/>
          <w:color w:val="000000"/>
          <w:sz w:val="22"/>
          <w:szCs w:val="22"/>
        </w:rPr>
        <w:t>To develop professionally, I plan to use reflective practice models such as Gibbs’ Reflective Cycle (1988) to analyse my experiences and identify areas for improvement. I will also engage in continuous professional development through online learning, hospital training sessions, and guidance from my mentor. In addition, I aim to familiarise myself more deeply with legislation such as the Care Act 2014, Equality Act 2010, and Health and Care Act 2022 to strengthen my understanding of legal responsibilities in practice.</w:t>
      </w:r>
    </w:p>
    <w:p w14:paraId="41AF2E29" w14:textId="5930F807" w:rsidR="00250C50" w:rsidRPr="00B51314" w:rsidRDefault="00250C50" w:rsidP="00B51314">
      <w:pPr>
        <w:pStyle w:val="pdq2pgselectionanchorcontainer"/>
        <w:spacing w:line="360" w:lineRule="auto"/>
        <w:jc w:val="both"/>
        <w:rPr>
          <w:rFonts w:ascii="Arial" w:hAnsi="Arial" w:cs="Arial"/>
          <w:color w:val="000000"/>
          <w:sz w:val="22"/>
          <w:szCs w:val="22"/>
        </w:rPr>
      </w:pPr>
      <w:r w:rsidRPr="00B51314">
        <w:rPr>
          <w:rFonts w:ascii="Arial" w:hAnsi="Arial" w:cs="Arial"/>
          <w:color w:val="000000"/>
          <w:sz w:val="22"/>
          <w:szCs w:val="22"/>
        </w:rPr>
        <w:t xml:space="preserve"> </w:t>
      </w:r>
      <w:r w:rsidRPr="00B51314">
        <w:rPr>
          <w:rFonts w:ascii="Arial" w:hAnsi="Arial" w:cs="Arial"/>
          <w:color w:val="000000"/>
          <w:sz w:val="22"/>
          <w:szCs w:val="22"/>
        </w:rPr>
        <w:t>E</w:t>
      </w:r>
      <w:r w:rsidRPr="00B51314">
        <w:rPr>
          <w:rFonts w:ascii="Arial" w:hAnsi="Arial" w:cs="Arial"/>
          <w:color w:val="000000"/>
          <w:sz w:val="22"/>
          <w:szCs w:val="22"/>
        </w:rPr>
        <w:t xml:space="preserve">xperience demonstrated person-centred care involves much more than completing physical tasks. Maslow's Hierarchy of Needs helped me understand that emotional security, belonging, and respect </w:t>
      </w:r>
      <w:r w:rsidR="00AA4AD8" w:rsidRPr="00B51314">
        <w:rPr>
          <w:rFonts w:ascii="Arial" w:hAnsi="Arial" w:cs="Arial"/>
          <w:color w:val="000000"/>
          <w:sz w:val="22"/>
          <w:szCs w:val="22"/>
        </w:rPr>
        <w:t>is</w:t>
      </w:r>
      <w:r w:rsidRPr="00B51314">
        <w:rPr>
          <w:rFonts w:ascii="Arial" w:hAnsi="Arial" w:cs="Arial"/>
          <w:color w:val="000000"/>
          <w:sz w:val="22"/>
          <w:szCs w:val="22"/>
        </w:rPr>
        <w:t xml:space="preserve"> equally important during recovery. The NMC Code (2018) reinforces the nurse's responsibility to communicate effectively and involve patients in decisions regarding their care.</w:t>
      </w:r>
    </w:p>
    <w:p w14:paraId="6AEA4400" w14:textId="77777777" w:rsidR="00AA4AD8" w:rsidRPr="00B51314" w:rsidRDefault="00AA4AD8" w:rsidP="00B51314">
      <w:pPr>
        <w:pStyle w:val="pdq2pgselectionanchorcontainer"/>
        <w:spacing w:line="360" w:lineRule="auto"/>
        <w:jc w:val="both"/>
        <w:rPr>
          <w:rFonts w:ascii="Arial" w:hAnsi="Arial" w:cs="Arial"/>
          <w:color w:val="000000"/>
          <w:sz w:val="22"/>
          <w:szCs w:val="22"/>
        </w:rPr>
      </w:pPr>
      <w:r w:rsidRPr="00B51314">
        <w:rPr>
          <w:rFonts w:ascii="Arial" w:hAnsi="Arial" w:cs="Arial"/>
          <w:color w:val="000000"/>
          <w:sz w:val="22"/>
          <w:szCs w:val="22"/>
        </w:rPr>
        <w:t>Reflecting on this experience showed that I need greater confidence in communicating with patients who have complex communication needs and in contributing during multidisciplinary meetings.</w:t>
      </w:r>
    </w:p>
    <w:p w14:paraId="168CAD48" w14:textId="77777777" w:rsidR="00AA4AD8" w:rsidRPr="00B51314" w:rsidRDefault="00AA4AD8" w:rsidP="00B51314">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To improve my professional practice, I will:</w:t>
      </w:r>
    </w:p>
    <w:p w14:paraId="2DE06FF6" w14:textId="77777777" w:rsidR="00AA4AD8" w:rsidRPr="00B51314" w:rsidRDefault="00AA4AD8" w:rsidP="00B51314">
      <w:pPr>
        <w:numPr>
          <w:ilvl w:val="0"/>
          <w:numId w:val="20"/>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attend communication skills training;</w:t>
      </w:r>
    </w:p>
    <w:p w14:paraId="1633EAD0" w14:textId="77777777" w:rsidR="00AA4AD8" w:rsidRPr="00B51314" w:rsidRDefault="00AA4AD8" w:rsidP="00B51314">
      <w:pPr>
        <w:numPr>
          <w:ilvl w:val="0"/>
          <w:numId w:val="20"/>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practise SBAR during placements;</w:t>
      </w:r>
    </w:p>
    <w:p w14:paraId="60C3FB1D" w14:textId="77777777" w:rsidR="00AA4AD8" w:rsidRPr="00B51314" w:rsidRDefault="00AA4AD8" w:rsidP="00B51314">
      <w:pPr>
        <w:numPr>
          <w:ilvl w:val="0"/>
          <w:numId w:val="20"/>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seek regular feedback from my mentor;</w:t>
      </w:r>
    </w:p>
    <w:p w14:paraId="5985614C" w14:textId="77777777" w:rsidR="00AA4AD8" w:rsidRPr="00B51314" w:rsidRDefault="00AA4AD8" w:rsidP="00B51314">
      <w:pPr>
        <w:numPr>
          <w:ilvl w:val="0"/>
          <w:numId w:val="20"/>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complete CPD modules on stroke care and dementia;</w:t>
      </w:r>
    </w:p>
    <w:p w14:paraId="6CF291AC" w14:textId="77777777" w:rsidR="00AA4AD8" w:rsidRPr="00B51314" w:rsidRDefault="00AA4AD8" w:rsidP="00B51314">
      <w:pPr>
        <w:numPr>
          <w:ilvl w:val="0"/>
          <w:numId w:val="20"/>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continue using Gibbs' Reflective Cycle after clinical experiences;</w:t>
      </w:r>
    </w:p>
    <w:p w14:paraId="30CB775C" w14:textId="77777777" w:rsidR="00AA4AD8" w:rsidRPr="00B51314" w:rsidRDefault="00AA4AD8" w:rsidP="00B51314">
      <w:pPr>
        <w:numPr>
          <w:ilvl w:val="0"/>
          <w:numId w:val="20"/>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51314">
        <w:rPr>
          <w:rFonts w:ascii="Arial" w:eastAsia="Times New Roman" w:hAnsi="Arial" w:cs="Arial"/>
          <w:color w:val="000000"/>
          <w:kern w:val="0"/>
          <w:sz w:val="22"/>
          <w:szCs w:val="22"/>
          <w:lang w:eastAsia="en-GB"/>
          <w14:ligatures w14:val="none"/>
        </w:rPr>
        <w:t>develop my understanding of the Care Act 2014, Mental Capacity Act 2005 and Health and Care Act 2022 to strengthen evidence-based decision-making.</w:t>
      </w:r>
    </w:p>
    <w:p w14:paraId="0D4BC2A9" w14:textId="77777777" w:rsidR="00AA4AD8" w:rsidRDefault="00AA4AD8" w:rsidP="00D60FA3">
      <w:pPr>
        <w:pStyle w:val="Heading1"/>
        <w:jc w:val="both"/>
        <w:rPr>
          <w:rFonts w:ascii="Arial" w:hAnsi="Arial" w:cs="Arial"/>
          <w:b/>
          <w:bCs/>
          <w:sz w:val="32"/>
          <w:szCs w:val="32"/>
          <w:shd w:val="clear" w:color="auto" w:fill="FFFFFF"/>
          <w:lang w:eastAsia="en-GB"/>
        </w:rPr>
      </w:pPr>
    </w:p>
    <w:p w14:paraId="0CD4E596" w14:textId="77777777" w:rsidR="00C00199" w:rsidRPr="00C00199" w:rsidRDefault="00C00199" w:rsidP="00C00199">
      <w:pPr>
        <w:rPr>
          <w:lang w:eastAsia="en-GB"/>
        </w:rPr>
      </w:pPr>
    </w:p>
    <w:p w14:paraId="3D2413D1" w14:textId="77777777" w:rsidR="00AA4AD8" w:rsidRPr="00AA4AD8" w:rsidRDefault="00AA4AD8" w:rsidP="00AA4AD8">
      <w:pPr>
        <w:rPr>
          <w:lang w:eastAsia="en-GB"/>
        </w:rPr>
      </w:pPr>
    </w:p>
    <w:p w14:paraId="707AA88C" w14:textId="688339C2" w:rsidR="00D60FA3" w:rsidRPr="00780CA1" w:rsidRDefault="00276457" w:rsidP="00D60FA3">
      <w:pPr>
        <w:pStyle w:val="Heading1"/>
        <w:jc w:val="both"/>
        <w:rPr>
          <w:rFonts w:ascii="Arial" w:hAnsi="Arial" w:cs="Arial"/>
          <w:b/>
          <w:bCs/>
          <w:sz w:val="32"/>
          <w:szCs w:val="32"/>
          <w:shd w:val="clear" w:color="auto" w:fill="FFFFFF"/>
          <w:lang w:eastAsia="en-GB"/>
        </w:rPr>
      </w:pPr>
      <w:bookmarkStart w:id="4" w:name="_Toc236100657"/>
      <w:r w:rsidRPr="00780CA1">
        <w:rPr>
          <w:rFonts w:ascii="Arial" w:hAnsi="Arial" w:cs="Arial"/>
          <w:b/>
          <w:bCs/>
          <w:sz w:val="32"/>
          <w:szCs w:val="32"/>
          <w:shd w:val="clear" w:color="auto" w:fill="FFFFFF"/>
          <w:lang w:eastAsia="en-GB"/>
        </w:rPr>
        <w:t>C</w:t>
      </w:r>
      <w:r w:rsidR="004E7595" w:rsidRPr="00780CA1">
        <w:rPr>
          <w:rFonts w:ascii="Arial" w:hAnsi="Arial" w:cs="Arial"/>
          <w:b/>
          <w:bCs/>
          <w:sz w:val="32"/>
          <w:szCs w:val="32"/>
          <w:shd w:val="clear" w:color="auto" w:fill="FFFFFF"/>
          <w:lang w:eastAsia="en-GB"/>
        </w:rPr>
        <w:t>onclusion</w:t>
      </w:r>
      <w:bookmarkEnd w:id="4"/>
    </w:p>
    <w:p w14:paraId="124A29FD" w14:textId="77777777" w:rsidR="00F80913" w:rsidRDefault="00F80913" w:rsidP="00B51314">
      <w:pPr>
        <w:spacing w:line="360" w:lineRule="auto"/>
        <w:jc w:val="both"/>
        <w:rPr>
          <w:rFonts w:ascii="Arial" w:hAnsi="Arial" w:cs="Arial"/>
          <w:sz w:val="22"/>
          <w:szCs w:val="22"/>
        </w:rPr>
      </w:pPr>
    </w:p>
    <w:p w14:paraId="4CCE8B85" w14:textId="77777777" w:rsidR="00C00199" w:rsidRPr="00B51314" w:rsidRDefault="00C00199" w:rsidP="00B51314">
      <w:pPr>
        <w:spacing w:line="360" w:lineRule="auto"/>
        <w:jc w:val="both"/>
        <w:rPr>
          <w:rFonts w:ascii="Arial" w:hAnsi="Arial" w:cs="Arial"/>
          <w:sz w:val="22"/>
          <w:szCs w:val="22"/>
        </w:rPr>
      </w:pPr>
    </w:p>
    <w:p w14:paraId="7386CDEB" w14:textId="541F21EB" w:rsidR="00DE70CD" w:rsidRPr="00B51314" w:rsidRDefault="00AA4AD8" w:rsidP="00B51314">
      <w:pPr>
        <w:spacing w:line="360" w:lineRule="auto"/>
        <w:jc w:val="both"/>
        <w:rPr>
          <w:rFonts w:ascii="Arial" w:hAnsi="Arial" w:cs="Arial"/>
          <w:sz w:val="22"/>
          <w:szCs w:val="22"/>
        </w:rPr>
      </w:pPr>
      <w:r w:rsidRPr="00B51314">
        <w:rPr>
          <w:rFonts w:ascii="Arial" w:hAnsi="Arial" w:cs="Arial"/>
          <w:color w:val="000000"/>
          <w:sz w:val="22"/>
          <w:szCs w:val="22"/>
        </w:rPr>
        <w:t>In conclusion, person-centred care, partnership working, and ethical practice remain central to safe and effective nursing within the NHS. Integrating theories such as Maslow's Hierarchy of Needs with professional standards, legislation, and evidence-based practice enables nurses to provide holistic and compassionate care. Reflecting how these principles influence clinical decision-making and multidisciplinary collaboration. As I progress towards registration, I will continue to develop my communication, clinical knowledge, leadership, and reflective practice to deliver safe, person-centred care that meets the diverse needs of patients and their families.</w:t>
      </w:r>
    </w:p>
    <w:p w14:paraId="4F6B7B75" w14:textId="77777777" w:rsidR="00DE70CD" w:rsidRDefault="00DE70CD" w:rsidP="00667EC5"/>
    <w:p w14:paraId="74BF2DA9" w14:textId="77777777" w:rsidR="00DE70CD" w:rsidRDefault="00DE70CD" w:rsidP="00667EC5"/>
    <w:p w14:paraId="07623607" w14:textId="77777777" w:rsidR="00DE70CD" w:rsidRDefault="00DE70CD" w:rsidP="00667EC5"/>
    <w:p w14:paraId="12D1489E" w14:textId="77777777" w:rsidR="00DE70CD" w:rsidRDefault="00DE70CD" w:rsidP="00667EC5"/>
    <w:p w14:paraId="61C50104" w14:textId="77777777" w:rsidR="00DE70CD" w:rsidRDefault="00DE70CD" w:rsidP="00667EC5"/>
    <w:p w14:paraId="62E7D0E0" w14:textId="77777777" w:rsidR="00DE70CD" w:rsidRDefault="00DE70CD" w:rsidP="00667EC5"/>
    <w:p w14:paraId="5EA21968" w14:textId="77777777" w:rsidR="00DE70CD" w:rsidRDefault="00DE70CD" w:rsidP="00667EC5"/>
    <w:p w14:paraId="4DFE15D0" w14:textId="77777777" w:rsidR="00DE70CD" w:rsidRDefault="00DE70CD" w:rsidP="00667EC5"/>
    <w:p w14:paraId="7FBAD061" w14:textId="77777777" w:rsidR="00DE70CD" w:rsidRDefault="00DE70CD" w:rsidP="00667EC5"/>
    <w:p w14:paraId="6E8B7B0A" w14:textId="77777777" w:rsidR="00C00199" w:rsidRDefault="00C00199" w:rsidP="00667EC5"/>
    <w:p w14:paraId="0B59286F" w14:textId="77777777" w:rsidR="00C00199" w:rsidRDefault="00C00199" w:rsidP="00667EC5"/>
    <w:p w14:paraId="64194636" w14:textId="77777777" w:rsidR="00C00199" w:rsidRDefault="00C00199" w:rsidP="00667EC5"/>
    <w:p w14:paraId="0975CCA0" w14:textId="77777777" w:rsidR="00C00199" w:rsidRDefault="00C00199" w:rsidP="00667EC5"/>
    <w:p w14:paraId="2914CF4C" w14:textId="77777777" w:rsidR="009565DA" w:rsidRDefault="009565DA" w:rsidP="009565DA"/>
    <w:bookmarkStart w:id="5" w:name="_Toc236100658" w:displacedByCustomXml="next"/>
    <w:sdt>
      <w:sdtPr>
        <w:rPr>
          <w:rFonts w:asciiTheme="minorHAnsi" w:eastAsiaTheme="minorEastAsia" w:hAnsiTheme="minorHAnsi" w:cstheme="minorBidi"/>
          <w:color w:val="auto"/>
          <w:kern w:val="0"/>
          <w:sz w:val="24"/>
          <w:szCs w:val="24"/>
          <w:lang w:eastAsia="en-GB" w:bidi="bn-BD"/>
          <w14:ligatures w14:val="none"/>
        </w:rPr>
        <w:id w:val="1804499251"/>
        <w:docPartObj>
          <w:docPartGallery w:val="Bibliographies"/>
          <w:docPartUnique/>
        </w:docPartObj>
      </w:sdtPr>
      <w:sdtEndPr>
        <w:rPr>
          <w:rFonts w:ascii="Times New Roman" w:eastAsia="Times New Roman" w:hAnsi="Times New Roman" w:cs="Times New Roman"/>
        </w:rPr>
      </w:sdtEndPr>
      <w:sdtContent>
        <w:p w14:paraId="2CB74155" w14:textId="7B61D492" w:rsidR="000F1F20" w:rsidRPr="00662FC4" w:rsidRDefault="000F1F20">
          <w:pPr>
            <w:pStyle w:val="Heading1"/>
            <w:rPr>
              <w:rFonts w:asciiTheme="minorHAnsi" w:eastAsiaTheme="minorEastAsia" w:hAnsiTheme="minorHAnsi" w:cstheme="minorBidi"/>
              <w:color w:val="auto"/>
              <w:kern w:val="0"/>
              <w:sz w:val="24"/>
              <w:szCs w:val="24"/>
              <w:lang w:eastAsia="en-GB" w:bidi="bn-BD"/>
              <w14:ligatures w14:val="none"/>
            </w:rPr>
          </w:pPr>
          <w:r w:rsidRPr="000F71EE">
            <w:rPr>
              <w:rFonts w:ascii="Arial" w:hAnsi="Arial" w:cs="Arial"/>
              <w:sz w:val="36"/>
              <w:szCs w:val="36"/>
            </w:rPr>
            <w:t>R</w:t>
          </w:r>
          <w:r w:rsidR="004E7595">
            <w:rPr>
              <w:rFonts w:ascii="Arial" w:hAnsi="Arial" w:cs="Arial"/>
              <w:sz w:val="36"/>
              <w:szCs w:val="36"/>
            </w:rPr>
            <w:t>eferences</w:t>
          </w:r>
          <w:bookmarkEnd w:id="5"/>
        </w:p>
        <w:sdt>
          <w:sdtPr>
            <w:rPr>
              <w:rFonts w:asciiTheme="minorHAnsi" w:eastAsiaTheme="minorEastAsia" w:hAnsiTheme="minorHAnsi" w:cstheme="minorBidi"/>
              <w:kern w:val="2"/>
              <w:lang w:eastAsia="zh-CN" w:bidi="bn-BD"/>
              <w14:ligatures w14:val="standardContextual"/>
            </w:rPr>
            <w:id w:val="-573587230"/>
            <w:bibliography/>
          </w:sdtPr>
          <w:sdtEndPr>
            <w:rPr>
              <w:rFonts w:ascii="Times New Roman" w:eastAsia="Times New Roman" w:hAnsi="Times New Roman" w:cs="Times New Roman"/>
              <w:kern w:val="0"/>
              <w:lang w:eastAsia="en-GB"/>
              <w14:ligatures w14:val="none"/>
            </w:rPr>
          </w:sdtEndPr>
          <w:sdtContent>
            <w:p w14:paraId="747D51B4" w14:textId="13B70B14" w:rsidR="00B51314" w:rsidRDefault="00B51314" w:rsidP="00B51314">
              <w:pPr>
                <w:pStyle w:val="pdq2pgselectionanchorcontainer"/>
                <w:rPr>
                  <w:color w:val="000000"/>
                </w:rPr>
              </w:pPr>
              <w:r>
                <w:rPr>
                  <w:color w:val="000000"/>
                </w:rPr>
                <w:t>Beauchamp, T.L. and Childress, J.F. (2019)</w:t>
              </w:r>
              <w:r>
                <w:rPr>
                  <w:rStyle w:val="apple-converted-space"/>
                  <w:color w:val="000000"/>
                </w:rPr>
                <w:t> </w:t>
              </w:r>
              <w:r>
                <w:rPr>
                  <w:rStyle w:val="Emphasis"/>
                  <w:color w:val="000000"/>
                </w:rPr>
                <w:t>Principles of Biomedical Ethics</w:t>
              </w:r>
              <w:r>
                <w:rPr>
                  <w:color w:val="000000"/>
                </w:rPr>
                <w:t>. 8th ed. New York: Oxford University Press. Available at:</w:t>
              </w:r>
              <w:r>
                <w:rPr>
                  <w:rStyle w:val="apple-converted-space"/>
                  <w:color w:val="000000"/>
                </w:rPr>
                <w:t> </w:t>
              </w:r>
              <w:hyperlink r:id="rId10" w:tgtFrame="_new" w:history="1">
                <w:r>
                  <w:rPr>
                    <w:rStyle w:val="Hyperlink"/>
                  </w:rPr>
                  <w:t>https://global.oup.com/academic/product/principles-of-biomedical-ethics-9780190640873</w:t>
                </w:r>
              </w:hyperlink>
              <w:r>
                <w:rPr>
                  <w:rStyle w:val="apple-converted-space"/>
                  <w:color w:val="000000"/>
                </w:rPr>
                <w:t> </w:t>
              </w:r>
              <w:r>
                <w:rPr>
                  <w:color w:val="000000"/>
                </w:rPr>
                <w:t xml:space="preserve">(Accessed: </w:t>
              </w:r>
              <w:r w:rsidR="004F4591">
                <w:rPr>
                  <w:color w:val="000000"/>
                </w:rPr>
                <w:t>09</w:t>
              </w:r>
              <w:r>
                <w:rPr>
                  <w:color w:val="000000"/>
                </w:rPr>
                <w:t xml:space="preserve"> July 2026).</w:t>
              </w:r>
            </w:p>
            <w:p w14:paraId="06B45118" w14:textId="7D896C29" w:rsidR="00B51314" w:rsidRDefault="00B51314" w:rsidP="00B51314">
              <w:pPr>
                <w:pStyle w:val="NormalWeb"/>
                <w:rPr>
                  <w:color w:val="000000"/>
                </w:rPr>
              </w:pPr>
              <w:r>
                <w:rPr>
                  <w:color w:val="000000"/>
                </w:rPr>
                <w:t>Department of Health and Social Care (2014)</w:t>
              </w:r>
              <w:r>
                <w:rPr>
                  <w:rStyle w:val="apple-converted-space"/>
                  <w:color w:val="000000"/>
                </w:rPr>
                <w:t> </w:t>
              </w:r>
              <w:r>
                <w:rPr>
                  <w:rStyle w:val="Emphasis"/>
                  <w:color w:val="000000"/>
                </w:rPr>
                <w:t>Care Act 2014</w:t>
              </w:r>
              <w:r>
                <w:rPr>
                  <w:color w:val="000000"/>
                </w:rPr>
                <w:t>. Available at:</w:t>
              </w:r>
              <w:r>
                <w:rPr>
                  <w:rStyle w:val="apple-converted-space"/>
                  <w:color w:val="000000"/>
                </w:rPr>
                <w:t> </w:t>
              </w:r>
              <w:hyperlink r:id="rId11" w:tgtFrame="_new" w:history="1">
                <w:r>
                  <w:rPr>
                    <w:rStyle w:val="Hyperlink"/>
                  </w:rPr>
                  <w:t>https://www.legislation.gov.uk/ukpga/2014/23/contents</w:t>
                </w:r>
              </w:hyperlink>
              <w:r>
                <w:rPr>
                  <w:rStyle w:val="apple-converted-space"/>
                  <w:color w:val="000000"/>
                </w:rPr>
                <w:t> </w:t>
              </w:r>
              <w:r>
                <w:rPr>
                  <w:color w:val="000000"/>
                </w:rPr>
                <w:t xml:space="preserve">(Accessed: </w:t>
              </w:r>
              <w:r w:rsidR="004F4591">
                <w:rPr>
                  <w:color w:val="000000"/>
                </w:rPr>
                <w:t>09</w:t>
              </w:r>
              <w:r>
                <w:rPr>
                  <w:color w:val="000000"/>
                </w:rPr>
                <w:t xml:space="preserve"> July 2026).</w:t>
              </w:r>
            </w:p>
            <w:p w14:paraId="4E97AC02" w14:textId="21E6F907" w:rsidR="00B51314" w:rsidRDefault="00B51314" w:rsidP="00B51314">
              <w:pPr>
                <w:pStyle w:val="NormalWeb"/>
                <w:rPr>
                  <w:color w:val="000000"/>
                </w:rPr>
              </w:pPr>
              <w:r>
                <w:rPr>
                  <w:color w:val="000000"/>
                </w:rPr>
                <w:t>Department of Health and Social Care (2022)</w:t>
              </w:r>
              <w:r>
                <w:rPr>
                  <w:rStyle w:val="apple-converted-space"/>
                  <w:color w:val="000000"/>
                </w:rPr>
                <w:t> </w:t>
              </w:r>
              <w:r>
                <w:rPr>
                  <w:rStyle w:val="Emphasis"/>
                  <w:color w:val="000000"/>
                </w:rPr>
                <w:t>Health and Care Act 2022</w:t>
              </w:r>
              <w:r>
                <w:rPr>
                  <w:color w:val="000000"/>
                </w:rPr>
                <w:t>. Available at:</w:t>
              </w:r>
              <w:r>
                <w:rPr>
                  <w:rStyle w:val="apple-converted-space"/>
                  <w:color w:val="000000"/>
                </w:rPr>
                <w:t> </w:t>
              </w:r>
              <w:hyperlink r:id="rId12" w:tgtFrame="_new" w:history="1">
                <w:r>
                  <w:rPr>
                    <w:rStyle w:val="Hyperlink"/>
                  </w:rPr>
                  <w:t>https://www.legislation.gov.uk/ukpga/2022/31/contents</w:t>
                </w:r>
              </w:hyperlink>
              <w:r>
                <w:rPr>
                  <w:rStyle w:val="apple-converted-space"/>
                  <w:color w:val="000000"/>
                </w:rPr>
                <w:t> </w:t>
              </w:r>
              <w:r>
                <w:rPr>
                  <w:color w:val="000000"/>
                </w:rPr>
                <w:t xml:space="preserve">(Accessed: </w:t>
              </w:r>
              <w:r w:rsidR="004F4591">
                <w:rPr>
                  <w:color w:val="000000"/>
                </w:rPr>
                <w:t>09</w:t>
              </w:r>
              <w:r>
                <w:rPr>
                  <w:color w:val="000000"/>
                </w:rPr>
                <w:t xml:space="preserve"> July 2026).</w:t>
              </w:r>
            </w:p>
            <w:p w14:paraId="2BAE9B99" w14:textId="6E402574" w:rsidR="00B51314" w:rsidRDefault="00B51314" w:rsidP="00B51314">
              <w:pPr>
                <w:pStyle w:val="NormalWeb"/>
                <w:rPr>
                  <w:color w:val="000000"/>
                </w:rPr>
              </w:pPr>
              <w:r>
                <w:rPr>
                  <w:color w:val="000000"/>
                </w:rPr>
                <w:t>Equality Act 2010. Available at:</w:t>
              </w:r>
              <w:r>
                <w:rPr>
                  <w:rStyle w:val="apple-converted-space"/>
                  <w:color w:val="000000"/>
                </w:rPr>
                <w:t> </w:t>
              </w:r>
              <w:hyperlink r:id="rId13" w:tgtFrame="_new" w:history="1">
                <w:r>
                  <w:rPr>
                    <w:rStyle w:val="Hyperlink"/>
                  </w:rPr>
                  <w:t>https://www.legislation.gov.uk/ukpga/2010/15/contents</w:t>
                </w:r>
              </w:hyperlink>
              <w:r>
                <w:rPr>
                  <w:rStyle w:val="apple-converted-space"/>
                  <w:color w:val="000000"/>
                </w:rPr>
                <w:t> </w:t>
              </w:r>
              <w:r>
                <w:rPr>
                  <w:color w:val="000000"/>
                </w:rPr>
                <w:t xml:space="preserve">(Accessed: </w:t>
              </w:r>
              <w:r w:rsidR="004F4591">
                <w:rPr>
                  <w:color w:val="000000"/>
                </w:rPr>
                <w:t>09</w:t>
              </w:r>
              <w:r>
                <w:rPr>
                  <w:color w:val="000000"/>
                </w:rPr>
                <w:t xml:space="preserve"> July 2026).</w:t>
              </w:r>
            </w:p>
            <w:p w14:paraId="6494125F" w14:textId="39F6932E" w:rsidR="00B51314" w:rsidRDefault="00B51314" w:rsidP="00B51314">
              <w:pPr>
                <w:pStyle w:val="NormalWeb"/>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color w:val="000000"/>
                </w:rPr>
                <w:t>. Oxford: Oxford Polytechnic. Available at:</w:t>
              </w:r>
              <w:r>
                <w:rPr>
                  <w:rStyle w:val="apple-converted-space"/>
                  <w:color w:val="000000"/>
                </w:rPr>
                <w:t> </w:t>
              </w:r>
              <w:r>
                <w:rPr>
                  <w:color w:val="000000"/>
                </w:rPr>
                <w:t>https://www.ed.ac.uk/reflection/reflectors-toolkit/reflecting-on-experience/gibbs-reflective-cycle</w:t>
              </w:r>
              <w:r>
                <w:rPr>
                  <w:rStyle w:val="apple-converted-space"/>
                  <w:color w:val="000000"/>
                </w:rPr>
                <w:t> </w:t>
              </w:r>
              <w:r>
                <w:rPr>
                  <w:color w:val="000000"/>
                </w:rPr>
                <w:t xml:space="preserve">(Accessed: </w:t>
              </w:r>
              <w:r w:rsidR="004F4591">
                <w:rPr>
                  <w:color w:val="000000"/>
                </w:rPr>
                <w:t>11</w:t>
              </w:r>
              <w:r>
                <w:rPr>
                  <w:color w:val="000000"/>
                </w:rPr>
                <w:t xml:space="preserve"> July 2026).</w:t>
              </w:r>
            </w:p>
            <w:p w14:paraId="1F91C5E4" w14:textId="403CA3DC" w:rsidR="00B51314" w:rsidRDefault="00B51314" w:rsidP="00B51314">
              <w:pPr>
                <w:pStyle w:val="NormalWeb"/>
                <w:rPr>
                  <w:color w:val="000000"/>
                </w:rPr>
              </w:pPr>
              <w:r>
                <w:rPr>
                  <w:color w:val="000000"/>
                </w:rPr>
                <w:t>Maslow, A.H. (1943) ‘A theory of human motivation’,</w:t>
              </w:r>
              <w:r>
                <w:rPr>
                  <w:rStyle w:val="apple-converted-space"/>
                  <w:color w:val="000000"/>
                </w:rPr>
                <w:t> </w:t>
              </w:r>
              <w:r>
                <w:rPr>
                  <w:rStyle w:val="Emphasis"/>
                  <w:color w:val="000000"/>
                </w:rPr>
                <w:t>Psychological Review</w:t>
              </w:r>
              <w:r>
                <w:rPr>
                  <w:color w:val="000000"/>
                </w:rPr>
                <w:t>, 50(4), pp. 370–396. Available at:</w:t>
              </w:r>
              <w:r>
                <w:rPr>
                  <w:rStyle w:val="apple-converted-space"/>
                  <w:color w:val="000000"/>
                </w:rPr>
                <w:t> </w:t>
              </w:r>
              <w:hyperlink r:id="rId14" w:tgtFrame="_new" w:history="1">
                <w:r>
                  <w:rPr>
                    <w:rStyle w:val="Hyperlink"/>
                  </w:rPr>
                  <w:t>https://psychclassics.yorku.ca/Maslow/motivation.htm</w:t>
                </w:r>
              </w:hyperlink>
              <w:r>
                <w:rPr>
                  <w:rStyle w:val="apple-converted-space"/>
                  <w:color w:val="000000"/>
                </w:rPr>
                <w:t> </w:t>
              </w:r>
              <w:r>
                <w:rPr>
                  <w:color w:val="000000"/>
                </w:rPr>
                <w:t xml:space="preserve">(Accessed: </w:t>
              </w:r>
              <w:r w:rsidR="004F4591">
                <w:rPr>
                  <w:color w:val="000000"/>
                </w:rPr>
                <w:t>09</w:t>
              </w:r>
              <w:r>
                <w:rPr>
                  <w:color w:val="000000"/>
                </w:rPr>
                <w:t xml:space="preserve"> July 2026).</w:t>
              </w:r>
            </w:p>
            <w:p w14:paraId="36618D93" w14:textId="3C5D6D25" w:rsidR="00B51314" w:rsidRDefault="00B51314" w:rsidP="00B51314">
              <w:pPr>
                <w:pStyle w:val="NormalWeb"/>
                <w:rPr>
                  <w:color w:val="000000"/>
                </w:rPr>
              </w:pPr>
              <w:r>
                <w:rPr>
                  <w:color w:val="000000"/>
                </w:rPr>
                <w:t>Mental Capacity Act 2005. Available at:</w:t>
              </w:r>
              <w:r>
                <w:rPr>
                  <w:rStyle w:val="apple-converted-space"/>
                  <w:color w:val="000000"/>
                </w:rPr>
                <w:t> </w:t>
              </w:r>
              <w:hyperlink r:id="rId15" w:tgtFrame="_new" w:history="1">
                <w:r>
                  <w:rPr>
                    <w:rStyle w:val="Hyperlink"/>
                  </w:rPr>
                  <w:t>https://www.legislation.gov.uk/ukpga/2005/9/contents</w:t>
                </w:r>
              </w:hyperlink>
              <w:r>
                <w:rPr>
                  <w:rStyle w:val="apple-converted-space"/>
                  <w:color w:val="000000"/>
                </w:rPr>
                <w:t> </w:t>
              </w:r>
              <w:r>
                <w:rPr>
                  <w:color w:val="000000"/>
                </w:rPr>
                <w:t xml:space="preserve">(Accessed: </w:t>
              </w:r>
              <w:r w:rsidR="004F4591">
                <w:rPr>
                  <w:color w:val="000000"/>
                </w:rPr>
                <w:t>11</w:t>
              </w:r>
              <w:r>
                <w:rPr>
                  <w:color w:val="000000"/>
                </w:rPr>
                <w:t xml:space="preserve"> July 2026).</w:t>
              </w:r>
            </w:p>
            <w:p w14:paraId="578120C2" w14:textId="724DF8CA" w:rsidR="00B51314" w:rsidRDefault="00B51314" w:rsidP="00B51314">
              <w:pPr>
                <w:spacing w:before="100" w:beforeAutospacing="1" w:after="100" w:afterAutospacing="1"/>
                <w:rPr>
                  <w:color w:val="000000"/>
                </w:rPr>
              </w:pPr>
              <w:r>
                <w:rPr>
                  <w:color w:val="000000"/>
                </w:rPr>
                <w:t>National Institute for Health and Care Excellence (NICE) (2023)</w:t>
              </w:r>
              <w:r>
                <w:rPr>
                  <w:rStyle w:val="apple-converted-space"/>
                  <w:color w:val="000000"/>
                </w:rPr>
                <w:t> </w:t>
              </w:r>
              <w:r>
                <w:rPr>
                  <w:rStyle w:val="Emphasis"/>
                  <w:color w:val="000000"/>
                </w:rPr>
                <w:t>Stroke rehabilitation in adults (NG236)</w:t>
              </w:r>
              <w:r>
                <w:rPr>
                  <w:color w:val="000000"/>
                </w:rPr>
                <w:t>. Available at:</w:t>
              </w:r>
              <w:r>
                <w:rPr>
                  <w:rStyle w:val="apple-converted-space"/>
                  <w:color w:val="000000"/>
                </w:rPr>
                <w:t> </w:t>
              </w:r>
              <w:hyperlink r:id="rId16" w:tgtFrame="_new" w:history="1">
                <w:r>
                  <w:rPr>
                    <w:rStyle w:val="Hyperlink"/>
                  </w:rPr>
                  <w:t>https://www.nice.org.uk/guidance/ng236</w:t>
                </w:r>
              </w:hyperlink>
              <w:r>
                <w:rPr>
                  <w:rStyle w:val="apple-converted-space"/>
                  <w:color w:val="000000"/>
                </w:rPr>
                <w:t> </w:t>
              </w:r>
              <w:r>
                <w:rPr>
                  <w:color w:val="000000"/>
                </w:rPr>
                <w:t xml:space="preserve">(Accessed: </w:t>
              </w:r>
              <w:r w:rsidR="004F4591">
                <w:rPr>
                  <w:color w:val="000000"/>
                </w:rPr>
                <w:t>09</w:t>
              </w:r>
              <w:r>
                <w:rPr>
                  <w:color w:val="000000"/>
                </w:rPr>
                <w:t xml:space="preserve"> July 2026).</w:t>
              </w:r>
            </w:p>
            <w:p w14:paraId="0FD2A2F2" w14:textId="78F5A62C" w:rsidR="00B51314" w:rsidRDefault="00B51314" w:rsidP="00B51314">
              <w:pPr>
                <w:spacing w:before="100" w:beforeAutospacing="1" w:after="100" w:afterAutospacing="1"/>
                <w:rPr>
                  <w:color w:val="000000"/>
                </w:rPr>
              </w:pPr>
              <w:r>
                <w:rPr>
                  <w:color w:val="000000"/>
                </w:rPr>
                <w:t>NHS England (2021)</w:t>
              </w:r>
              <w:r>
                <w:rPr>
                  <w:rStyle w:val="apple-converted-space"/>
                  <w:color w:val="000000"/>
                </w:rPr>
                <w:t> </w:t>
              </w:r>
              <w:r>
                <w:rPr>
                  <w:rStyle w:val="Emphasis"/>
                  <w:color w:val="000000"/>
                </w:rPr>
                <w:t>Universal Personalised Care: Implementing the Comprehensive Model</w:t>
              </w:r>
              <w:r>
                <w:rPr>
                  <w:color w:val="000000"/>
                </w:rPr>
                <w:t>. Available at:</w:t>
              </w:r>
              <w:r>
                <w:rPr>
                  <w:rStyle w:val="apple-converted-space"/>
                  <w:color w:val="000000"/>
                </w:rPr>
                <w:t> </w:t>
              </w:r>
              <w:r>
                <w:rPr>
                  <w:color w:val="000000"/>
                </w:rPr>
                <w:t>https://www.england.nhs.uk/personalisedcare/universal-personalised-care/</w:t>
              </w:r>
              <w:r>
                <w:rPr>
                  <w:rStyle w:val="apple-converted-space"/>
                  <w:color w:val="000000"/>
                </w:rPr>
                <w:t> </w:t>
              </w:r>
              <w:r>
                <w:rPr>
                  <w:color w:val="000000"/>
                </w:rPr>
                <w:t xml:space="preserve">(Accessed: </w:t>
              </w:r>
              <w:r w:rsidR="004F4591">
                <w:rPr>
                  <w:color w:val="000000"/>
                </w:rPr>
                <w:t>14</w:t>
              </w:r>
              <w:r>
                <w:rPr>
                  <w:color w:val="000000"/>
                </w:rPr>
                <w:t xml:space="preserve"> July 2026).</w:t>
              </w:r>
            </w:p>
            <w:p w14:paraId="1EC1EA0B" w14:textId="6E592D16" w:rsidR="00B51314" w:rsidRDefault="00B51314" w:rsidP="00B51314">
              <w:pPr>
                <w:pStyle w:val="NormalWeb"/>
                <w:rPr>
                  <w:color w:val="000000"/>
                </w:rPr>
              </w:pPr>
              <w:r>
                <w:rPr>
                  <w:color w:val="000000"/>
                </w:rPr>
                <w:t>Nursing and Midwifery Council (2018)</w:t>
              </w:r>
              <w:r>
                <w:rPr>
                  <w:rStyle w:val="apple-converted-space"/>
                  <w:color w:val="000000"/>
                </w:rPr>
                <w:t> </w:t>
              </w:r>
              <w:r>
                <w:rPr>
                  <w:rStyle w:val="Emphasis"/>
                  <w:color w:val="000000"/>
                </w:rPr>
                <w:t>The Code: Professional standards of practice and behaviour for nurses, midwives and nursing associates</w:t>
              </w:r>
              <w:r>
                <w:rPr>
                  <w:color w:val="000000"/>
                </w:rPr>
                <w:t>. Available at:</w:t>
              </w:r>
              <w:r>
                <w:rPr>
                  <w:rStyle w:val="apple-converted-space"/>
                  <w:color w:val="000000"/>
                </w:rPr>
                <w:t> </w:t>
              </w:r>
              <w:hyperlink r:id="rId17" w:tgtFrame="_new" w:history="1">
                <w:r>
                  <w:rPr>
                    <w:rStyle w:val="Hyperlink"/>
                  </w:rPr>
                  <w:t>https://www.nmc.org.uk/standards/code/</w:t>
                </w:r>
              </w:hyperlink>
              <w:r>
                <w:rPr>
                  <w:rStyle w:val="apple-converted-space"/>
                  <w:color w:val="000000"/>
                </w:rPr>
                <w:t> </w:t>
              </w:r>
              <w:r>
                <w:rPr>
                  <w:color w:val="000000"/>
                </w:rPr>
                <w:t xml:space="preserve">(Accessed: </w:t>
              </w:r>
              <w:r w:rsidR="004F4591">
                <w:rPr>
                  <w:color w:val="000000"/>
                </w:rPr>
                <w:t>14</w:t>
              </w:r>
              <w:r>
                <w:rPr>
                  <w:color w:val="000000"/>
                </w:rPr>
                <w:t xml:space="preserve"> July 2026).</w:t>
              </w:r>
            </w:p>
            <w:p w14:paraId="7704DDC8" w14:textId="2052814E" w:rsidR="00662FC4" w:rsidRPr="00C00199" w:rsidRDefault="00B51314" w:rsidP="00C00199">
              <w:pPr>
                <w:spacing w:before="100" w:beforeAutospacing="1" w:after="100" w:afterAutospacing="1"/>
                <w:rPr>
                  <w:color w:val="000000"/>
                </w:rPr>
              </w:pPr>
              <w:proofErr w:type="spellStart"/>
              <w:r>
                <w:rPr>
                  <w:color w:val="000000"/>
                </w:rPr>
                <w:t>Vermeir</w:t>
              </w:r>
              <w:proofErr w:type="spellEnd"/>
              <w:r>
                <w:rPr>
                  <w:color w:val="000000"/>
                </w:rPr>
                <w:t xml:space="preserve">, P., </w:t>
              </w:r>
              <w:proofErr w:type="spellStart"/>
              <w:r>
                <w:rPr>
                  <w:color w:val="000000"/>
                </w:rPr>
                <w:t>Vandijck</w:t>
              </w:r>
              <w:proofErr w:type="spellEnd"/>
              <w:r>
                <w:rPr>
                  <w:color w:val="000000"/>
                </w:rPr>
                <w:t xml:space="preserve">, D., </w:t>
              </w:r>
              <w:proofErr w:type="spellStart"/>
              <w:r>
                <w:rPr>
                  <w:color w:val="000000"/>
                </w:rPr>
                <w:t>Degroote</w:t>
              </w:r>
              <w:proofErr w:type="spellEnd"/>
              <w:r>
                <w:rPr>
                  <w:color w:val="000000"/>
                </w:rPr>
                <w:t xml:space="preserve">, S., </w:t>
              </w:r>
              <w:proofErr w:type="spellStart"/>
              <w:r>
                <w:rPr>
                  <w:color w:val="000000"/>
                </w:rPr>
                <w:t>Peleman</w:t>
              </w:r>
              <w:proofErr w:type="spellEnd"/>
              <w:r>
                <w:rPr>
                  <w:color w:val="000000"/>
                </w:rPr>
                <w:t xml:space="preserve">, R., Verhaeghe, R., Mortier, E., </w:t>
              </w:r>
              <w:proofErr w:type="spellStart"/>
              <w:r>
                <w:rPr>
                  <w:color w:val="000000"/>
                </w:rPr>
                <w:t>Hallaert</w:t>
              </w:r>
              <w:proofErr w:type="spellEnd"/>
              <w:r>
                <w:rPr>
                  <w:color w:val="000000"/>
                </w:rPr>
                <w:t xml:space="preserve">, G., Van Daele, S. and </w:t>
              </w:r>
              <w:proofErr w:type="spellStart"/>
              <w:r>
                <w:rPr>
                  <w:color w:val="000000"/>
                </w:rPr>
                <w:t>Vogelaers</w:t>
              </w:r>
              <w:proofErr w:type="spellEnd"/>
              <w:r>
                <w:rPr>
                  <w:color w:val="000000"/>
                </w:rPr>
                <w:t>, D. (2015) ‘Communication in healthcare: A narrative review of the literature and practical recommendations’,</w:t>
              </w:r>
              <w:r>
                <w:rPr>
                  <w:rStyle w:val="apple-converted-space"/>
                  <w:color w:val="000000"/>
                </w:rPr>
                <w:t> </w:t>
              </w:r>
              <w:r>
                <w:rPr>
                  <w:rStyle w:val="Emphasis"/>
                  <w:color w:val="000000"/>
                </w:rPr>
                <w:t>International Journal of Clinical Practice</w:t>
              </w:r>
              <w:r>
                <w:rPr>
                  <w:color w:val="000000"/>
                </w:rPr>
                <w:t>, 69(11), pp. 1257–1267. Available at:</w:t>
              </w:r>
              <w:r>
                <w:rPr>
                  <w:rStyle w:val="apple-converted-space"/>
                  <w:color w:val="000000"/>
                </w:rPr>
                <w:t> </w:t>
              </w:r>
              <w:hyperlink r:id="rId18" w:tgtFrame="_new" w:history="1">
                <w:r>
                  <w:rPr>
                    <w:rStyle w:val="Hyperlink"/>
                  </w:rPr>
                  <w:t>https://doi.org/10.1111/ijcp.12686</w:t>
                </w:r>
              </w:hyperlink>
              <w:r>
                <w:rPr>
                  <w:color w:val="000000"/>
                </w:rPr>
                <w:t xml:space="preserve">(Accessed: </w:t>
              </w:r>
              <w:r w:rsidR="004F4591">
                <w:rPr>
                  <w:color w:val="000000"/>
                </w:rPr>
                <w:t>13</w:t>
              </w:r>
              <w:r>
                <w:rPr>
                  <w:color w:val="000000"/>
                </w:rPr>
                <w:t xml:space="preserve"> July 2026).</w:t>
              </w:r>
            </w:p>
            <w:p w14:paraId="14D312B2" w14:textId="51E47252" w:rsidR="0044525C" w:rsidRPr="00C00199" w:rsidRDefault="00000000" w:rsidP="00C00199">
              <w:pPr>
                <w:pStyle w:val="NormalWeb"/>
                <w:rPr>
                  <w:color w:val="000000"/>
                </w:rPr>
              </w:pPr>
            </w:p>
          </w:sdtContent>
        </w:sdt>
      </w:sdtContent>
    </w:sdt>
    <w:sectPr w:rsidR="0044525C" w:rsidRPr="00C00199"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6A5033" w14:textId="77777777" w:rsidR="00A250F9" w:rsidRDefault="00A250F9" w:rsidP="002E561A">
      <w:pPr>
        <w:spacing w:after="0" w:line="240" w:lineRule="auto"/>
      </w:pPr>
      <w:r>
        <w:separator/>
      </w:r>
    </w:p>
  </w:endnote>
  <w:endnote w:type="continuationSeparator" w:id="0">
    <w:p w14:paraId="0124F74E" w14:textId="77777777" w:rsidR="00A250F9" w:rsidRDefault="00A250F9"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6937CC0" w14:textId="77777777" w:rsidR="00A250F9" w:rsidRDefault="00A250F9" w:rsidP="002E561A">
      <w:pPr>
        <w:spacing w:after="0" w:line="240" w:lineRule="auto"/>
      </w:pPr>
      <w:r>
        <w:separator/>
      </w:r>
    </w:p>
  </w:footnote>
  <w:footnote w:type="continuationSeparator" w:id="0">
    <w:p w14:paraId="5288C753" w14:textId="77777777" w:rsidR="00A250F9" w:rsidRDefault="00A250F9"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B2FB1"/>
    <w:multiLevelType w:val="hybridMultilevel"/>
    <w:tmpl w:val="AD6E0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7C6FD8"/>
    <w:multiLevelType w:val="hybridMultilevel"/>
    <w:tmpl w:val="01FA3FAE"/>
    <w:lvl w:ilvl="0" w:tplc="6C6A8C00">
      <w:start w:val="1"/>
      <w:numFmt w:val="upperLetter"/>
      <w:lvlText w:val="%1."/>
      <w:lvlJc w:val="left"/>
      <w:pPr>
        <w:ind w:left="360" w:hanging="360"/>
      </w:pPr>
      <w:rPr>
        <w:rFonts w:hint="default"/>
        <w:b/>
        <w:bCs/>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AE1ADA"/>
    <w:multiLevelType w:val="hybridMultilevel"/>
    <w:tmpl w:val="1E0CF930"/>
    <w:lvl w:ilvl="0" w:tplc="D632F6E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D06A2"/>
    <w:multiLevelType w:val="hybridMultilevel"/>
    <w:tmpl w:val="4B627D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8C501D"/>
    <w:multiLevelType w:val="multilevel"/>
    <w:tmpl w:val="4130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57C51"/>
    <w:multiLevelType w:val="hybridMultilevel"/>
    <w:tmpl w:val="0F3EF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B3752D8"/>
    <w:multiLevelType w:val="hybridMultilevel"/>
    <w:tmpl w:val="8F06619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AE3816"/>
    <w:multiLevelType w:val="hybridMultilevel"/>
    <w:tmpl w:val="B4B40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4078E9"/>
    <w:multiLevelType w:val="hybridMultilevel"/>
    <w:tmpl w:val="03A66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12F52"/>
    <w:multiLevelType w:val="multilevel"/>
    <w:tmpl w:val="3AA6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8"/>
  </w:num>
  <w:num w:numId="2" w16cid:durableId="1048190077">
    <w:abstractNumId w:val="6"/>
  </w:num>
  <w:num w:numId="3" w16cid:durableId="697777982">
    <w:abstractNumId w:val="19"/>
  </w:num>
  <w:num w:numId="4" w16cid:durableId="2138067202">
    <w:abstractNumId w:val="0"/>
  </w:num>
  <w:num w:numId="5" w16cid:durableId="1072700592">
    <w:abstractNumId w:val="10"/>
  </w:num>
  <w:num w:numId="6" w16cid:durableId="1902860776">
    <w:abstractNumId w:val="8"/>
  </w:num>
  <w:num w:numId="7" w16cid:durableId="976837417">
    <w:abstractNumId w:val="17"/>
  </w:num>
  <w:num w:numId="8" w16cid:durableId="1672101976">
    <w:abstractNumId w:val="2"/>
  </w:num>
  <w:num w:numId="9" w16cid:durableId="2037465482">
    <w:abstractNumId w:val="13"/>
  </w:num>
  <w:num w:numId="10" w16cid:durableId="1214658460">
    <w:abstractNumId w:val="12"/>
  </w:num>
  <w:num w:numId="11" w16cid:durableId="595596230">
    <w:abstractNumId w:val="1"/>
  </w:num>
  <w:num w:numId="12" w16cid:durableId="1956056170">
    <w:abstractNumId w:val="15"/>
  </w:num>
  <w:num w:numId="13" w16cid:durableId="378937321">
    <w:abstractNumId w:val="14"/>
  </w:num>
  <w:num w:numId="14" w16cid:durableId="1452167285">
    <w:abstractNumId w:val="4"/>
  </w:num>
  <w:num w:numId="15" w16cid:durableId="118955080">
    <w:abstractNumId w:val="7"/>
  </w:num>
  <w:num w:numId="16" w16cid:durableId="1762527308">
    <w:abstractNumId w:val="3"/>
  </w:num>
  <w:num w:numId="17" w16cid:durableId="950937905">
    <w:abstractNumId w:val="9"/>
  </w:num>
  <w:num w:numId="18" w16cid:durableId="763645664">
    <w:abstractNumId w:val="5"/>
  </w:num>
  <w:num w:numId="19" w16cid:durableId="837572131">
    <w:abstractNumId w:val="11"/>
  </w:num>
  <w:num w:numId="20" w16cid:durableId="2043047300">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53D4"/>
    <w:rsid w:val="00016D95"/>
    <w:rsid w:val="0002576B"/>
    <w:rsid w:val="0002795B"/>
    <w:rsid w:val="0003766A"/>
    <w:rsid w:val="00037A31"/>
    <w:rsid w:val="000419A5"/>
    <w:rsid w:val="000465E2"/>
    <w:rsid w:val="00052F44"/>
    <w:rsid w:val="000616CA"/>
    <w:rsid w:val="0006301B"/>
    <w:rsid w:val="00063357"/>
    <w:rsid w:val="000655D2"/>
    <w:rsid w:val="00073CDE"/>
    <w:rsid w:val="000742A9"/>
    <w:rsid w:val="00074946"/>
    <w:rsid w:val="00075C2D"/>
    <w:rsid w:val="00081FF7"/>
    <w:rsid w:val="0008283B"/>
    <w:rsid w:val="00085013"/>
    <w:rsid w:val="00095CB6"/>
    <w:rsid w:val="00097D26"/>
    <w:rsid w:val="000A0120"/>
    <w:rsid w:val="000A2369"/>
    <w:rsid w:val="000A781A"/>
    <w:rsid w:val="000B230E"/>
    <w:rsid w:val="000B5C09"/>
    <w:rsid w:val="000C7C39"/>
    <w:rsid w:val="000D2483"/>
    <w:rsid w:val="000D370C"/>
    <w:rsid w:val="000D3F3A"/>
    <w:rsid w:val="000D5313"/>
    <w:rsid w:val="000E1ABB"/>
    <w:rsid w:val="000E1DED"/>
    <w:rsid w:val="000E6F7E"/>
    <w:rsid w:val="000E77B6"/>
    <w:rsid w:val="000F1B2A"/>
    <w:rsid w:val="000F1F20"/>
    <w:rsid w:val="000F71EE"/>
    <w:rsid w:val="000F7B2D"/>
    <w:rsid w:val="00100570"/>
    <w:rsid w:val="00101D1F"/>
    <w:rsid w:val="0011044E"/>
    <w:rsid w:val="00111ECF"/>
    <w:rsid w:val="00112338"/>
    <w:rsid w:val="00113226"/>
    <w:rsid w:val="00113814"/>
    <w:rsid w:val="001142C0"/>
    <w:rsid w:val="00122F10"/>
    <w:rsid w:val="001319ED"/>
    <w:rsid w:val="00142C2B"/>
    <w:rsid w:val="00143BE3"/>
    <w:rsid w:val="00144615"/>
    <w:rsid w:val="001549AB"/>
    <w:rsid w:val="0015516A"/>
    <w:rsid w:val="0015651D"/>
    <w:rsid w:val="00162D11"/>
    <w:rsid w:val="0016498E"/>
    <w:rsid w:val="001655E5"/>
    <w:rsid w:val="00170FF2"/>
    <w:rsid w:val="00171033"/>
    <w:rsid w:val="0017371B"/>
    <w:rsid w:val="00177B94"/>
    <w:rsid w:val="001815B2"/>
    <w:rsid w:val="001834FB"/>
    <w:rsid w:val="00184909"/>
    <w:rsid w:val="00192FBC"/>
    <w:rsid w:val="00194868"/>
    <w:rsid w:val="00195996"/>
    <w:rsid w:val="00196733"/>
    <w:rsid w:val="001A025A"/>
    <w:rsid w:val="001A2A55"/>
    <w:rsid w:val="001A5438"/>
    <w:rsid w:val="001B0DCF"/>
    <w:rsid w:val="001B213F"/>
    <w:rsid w:val="001B3495"/>
    <w:rsid w:val="001B3F14"/>
    <w:rsid w:val="001B64F9"/>
    <w:rsid w:val="001B738E"/>
    <w:rsid w:val="001C51C2"/>
    <w:rsid w:val="001D27D5"/>
    <w:rsid w:val="001D3E8B"/>
    <w:rsid w:val="001D504B"/>
    <w:rsid w:val="001D5CF8"/>
    <w:rsid w:val="001E15F6"/>
    <w:rsid w:val="001E36BF"/>
    <w:rsid w:val="001E7AAA"/>
    <w:rsid w:val="001E7DF2"/>
    <w:rsid w:val="001F0739"/>
    <w:rsid w:val="001F0D81"/>
    <w:rsid w:val="001F2206"/>
    <w:rsid w:val="001F242D"/>
    <w:rsid w:val="001F2921"/>
    <w:rsid w:val="001F51DA"/>
    <w:rsid w:val="00204F9A"/>
    <w:rsid w:val="00205B91"/>
    <w:rsid w:val="00205FC5"/>
    <w:rsid w:val="0021013E"/>
    <w:rsid w:val="002138F7"/>
    <w:rsid w:val="00214ECA"/>
    <w:rsid w:val="00217D96"/>
    <w:rsid w:val="00221FAD"/>
    <w:rsid w:val="00222D09"/>
    <w:rsid w:val="00222DF6"/>
    <w:rsid w:val="00230B85"/>
    <w:rsid w:val="00241C8D"/>
    <w:rsid w:val="00242570"/>
    <w:rsid w:val="00244AA9"/>
    <w:rsid w:val="00250C50"/>
    <w:rsid w:val="00251934"/>
    <w:rsid w:val="00254EE2"/>
    <w:rsid w:val="00264FF9"/>
    <w:rsid w:val="002704D0"/>
    <w:rsid w:val="00274A62"/>
    <w:rsid w:val="0027538F"/>
    <w:rsid w:val="00276457"/>
    <w:rsid w:val="00282939"/>
    <w:rsid w:val="00286DF1"/>
    <w:rsid w:val="00293FE9"/>
    <w:rsid w:val="002A29D7"/>
    <w:rsid w:val="002A3128"/>
    <w:rsid w:val="002A4F46"/>
    <w:rsid w:val="002A7470"/>
    <w:rsid w:val="002B08A2"/>
    <w:rsid w:val="002B33FC"/>
    <w:rsid w:val="002B4087"/>
    <w:rsid w:val="002B4118"/>
    <w:rsid w:val="002C2C34"/>
    <w:rsid w:val="002C3F6D"/>
    <w:rsid w:val="002C4248"/>
    <w:rsid w:val="002C5953"/>
    <w:rsid w:val="002D48BB"/>
    <w:rsid w:val="002D62BA"/>
    <w:rsid w:val="002D6378"/>
    <w:rsid w:val="002E17D9"/>
    <w:rsid w:val="002E561A"/>
    <w:rsid w:val="002F139F"/>
    <w:rsid w:val="002F7141"/>
    <w:rsid w:val="003008FD"/>
    <w:rsid w:val="00300F37"/>
    <w:rsid w:val="00301A1B"/>
    <w:rsid w:val="003046AA"/>
    <w:rsid w:val="00333C3C"/>
    <w:rsid w:val="00334E4D"/>
    <w:rsid w:val="00336494"/>
    <w:rsid w:val="00340A73"/>
    <w:rsid w:val="00343FC8"/>
    <w:rsid w:val="003452BF"/>
    <w:rsid w:val="003468C6"/>
    <w:rsid w:val="00350F62"/>
    <w:rsid w:val="003542CF"/>
    <w:rsid w:val="00354611"/>
    <w:rsid w:val="00366FB7"/>
    <w:rsid w:val="00371B7C"/>
    <w:rsid w:val="00372C38"/>
    <w:rsid w:val="0037414B"/>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7BD0"/>
    <w:rsid w:val="003C3A8A"/>
    <w:rsid w:val="003C6CB7"/>
    <w:rsid w:val="003D0240"/>
    <w:rsid w:val="003D236F"/>
    <w:rsid w:val="003D367C"/>
    <w:rsid w:val="003D480C"/>
    <w:rsid w:val="003E0612"/>
    <w:rsid w:val="003E0AE6"/>
    <w:rsid w:val="003E61E8"/>
    <w:rsid w:val="003F2F40"/>
    <w:rsid w:val="0040068F"/>
    <w:rsid w:val="00406163"/>
    <w:rsid w:val="004079BD"/>
    <w:rsid w:val="00407A57"/>
    <w:rsid w:val="00407C86"/>
    <w:rsid w:val="00410FEC"/>
    <w:rsid w:val="00413A23"/>
    <w:rsid w:val="0041481D"/>
    <w:rsid w:val="00417D97"/>
    <w:rsid w:val="00421F37"/>
    <w:rsid w:val="004242CA"/>
    <w:rsid w:val="00427440"/>
    <w:rsid w:val="00427513"/>
    <w:rsid w:val="004300DC"/>
    <w:rsid w:val="00431C84"/>
    <w:rsid w:val="004326D9"/>
    <w:rsid w:val="00435D12"/>
    <w:rsid w:val="004376F1"/>
    <w:rsid w:val="00442193"/>
    <w:rsid w:val="0044525C"/>
    <w:rsid w:val="004503BE"/>
    <w:rsid w:val="00451DF7"/>
    <w:rsid w:val="00454272"/>
    <w:rsid w:val="004577AD"/>
    <w:rsid w:val="00462128"/>
    <w:rsid w:val="004713AB"/>
    <w:rsid w:val="004719CA"/>
    <w:rsid w:val="00472FBC"/>
    <w:rsid w:val="004763AD"/>
    <w:rsid w:val="004815B7"/>
    <w:rsid w:val="004822C3"/>
    <w:rsid w:val="00484AD7"/>
    <w:rsid w:val="00492063"/>
    <w:rsid w:val="0049515E"/>
    <w:rsid w:val="004A029C"/>
    <w:rsid w:val="004A5FC1"/>
    <w:rsid w:val="004A6531"/>
    <w:rsid w:val="004A7C01"/>
    <w:rsid w:val="004B032E"/>
    <w:rsid w:val="004B0A45"/>
    <w:rsid w:val="004B0B4B"/>
    <w:rsid w:val="004B35C4"/>
    <w:rsid w:val="004B3E34"/>
    <w:rsid w:val="004C1C14"/>
    <w:rsid w:val="004C36A7"/>
    <w:rsid w:val="004C6035"/>
    <w:rsid w:val="004D095A"/>
    <w:rsid w:val="004D28BC"/>
    <w:rsid w:val="004D65E3"/>
    <w:rsid w:val="004E1E23"/>
    <w:rsid w:val="004E25DC"/>
    <w:rsid w:val="004E5C68"/>
    <w:rsid w:val="004E7595"/>
    <w:rsid w:val="004E7F3E"/>
    <w:rsid w:val="004F35DA"/>
    <w:rsid w:val="004F4591"/>
    <w:rsid w:val="004F4E7E"/>
    <w:rsid w:val="004F5637"/>
    <w:rsid w:val="004F7E52"/>
    <w:rsid w:val="00500F01"/>
    <w:rsid w:val="00503DD2"/>
    <w:rsid w:val="005065E3"/>
    <w:rsid w:val="0051070F"/>
    <w:rsid w:val="00511ABD"/>
    <w:rsid w:val="00511FDD"/>
    <w:rsid w:val="00515214"/>
    <w:rsid w:val="005157A7"/>
    <w:rsid w:val="00517D4C"/>
    <w:rsid w:val="0052109D"/>
    <w:rsid w:val="00523E35"/>
    <w:rsid w:val="00524A1E"/>
    <w:rsid w:val="00524A7D"/>
    <w:rsid w:val="00526BF8"/>
    <w:rsid w:val="00527664"/>
    <w:rsid w:val="005340AE"/>
    <w:rsid w:val="005345DA"/>
    <w:rsid w:val="0054092F"/>
    <w:rsid w:val="00541B77"/>
    <w:rsid w:val="00544742"/>
    <w:rsid w:val="00560E0A"/>
    <w:rsid w:val="00561BE2"/>
    <w:rsid w:val="00562A8A"/>
    <w:rsid w:val="00562D62"/>
    <w:rsid w:val="00571AA4"/>
    <w:rsid w:val="00572B87"/>
    <w:rsid w:val="00572EAA"/>
    <w:rsid w:val="00574AF6"/>
    <w:rsid w:val="00581A87"/>
    <w:rsid w:val="00585AF1"/>
    <w:rsid w:val="00585D94"/>
    <w:rsid w:val="00596455"/>
    <w:rsid w:val="005A1236"/>
    <w:rsid w:val="005A1E1F"/>
    <w:rsid w:val="005A1EBF"/>
    <w:rsid w:val="005A21C9"/>
    <w:rsid w:val="005A7DDB"/>
    <w:rsid w:val="005B33B0"/>
    <w:rsid w:val="005B3994"/>
    <w:rsid w:val="005B4AF9"/>
    <w:rsid w:val="005B61D4"/>
    <w:rsid w:val="005B62B1"/>
    <w:rsid w:val="005C18F0"/>
    <w:rsid w:val="005C4692"/>
    <w:rsid w:val="005C5828"/>
    <w:rsid w:val="005D1096"/>
    <w:rsid w:val="005D5032"/>
    <w:rsid w:val="005E0255"/>
    <w:rsid w:val="005E0AD8"/>
    <w:rsid w:val="005F178F"/>
    <w:rsid w:val="005F3C8E"/>
    <w:rsid w:val="006036BF"/>
    <w:rsid w:val="00605C3E"/>
    <w:rsid w:val="0061673D"/>
    <w:rsid w:val="00616BB4"/>
    <w:rsid w:val="006202D1"/>
    <w:rsid w:val="00625CA7"/>
    <w:rsid w:val="00626845"/>
    <w:rsid w:val="00635EAF"/>
    <w:rsid w:val="00641B67"/>
    <w:rsid w:val="00642F5E"/>
    <w:rsid w:val="006433F4"/>
    <w:rsid w:val="00643ECF"/>
    <w:rsid w:val="00645472"/>
    <w:rsid w:val="006533CA"/>
    <w:rsid w:val="0065490C"/>
    <w:rsid w:val="006575BB"/>
    <w:rsid w:val="00662FC4"/>
    <w:rsid w:val="0066524C"/>
    <w:rsid w:val="006668C4"/>
    <w:rsid w:val="00666C5F"/>
    <w:rsid w:val="00667B21"/>
    <w:rsid w:val="00667EC5"/>
    <w:rsid w:val="00671629"/>
    <w:rsid w:val="00672158"/>
    <w:rsid w:val="00676117"/>
    <w:rsid w:val="00682CA5"/>
    <w:rsid w:val="00693ED4"/>
    <w:rsid w:val="00693FC5"/>
    <w:rsid w:val="006A0B01"/>
    <w:rsid w:val="006A0C62"/>
    <w:rsid w:val="006A4173"/>
    <w:rsid w:val="006B352C"/>
    <w:rsid w:val="006D3BC2"/>
    <w:rsid w:val="006D7E70"/>
    <w:rsid w:val="006E4A26"/>
    <w:rsid w:val="006E67E3"/>
    <w:rsid w:val="006F3A27"/>
    <w:rsid w:val="007029AB"/>
    <w:rsid w:val="007104D6"/>
    <w:rsid w:val="0071375A"/>
    <w:rsid w:val="00713E21"/>
    <w:rsid w:val="00713F77"/>
    <w:rsid w:val="00716039"/>
    <w:rsid w:val="007170B3"/>
    <w:rsid w:val="007277DA"/>
    <w:rsid w:val="00730FAF"/>
    <w:rsid w:val="0073306F"/>
    <w:rsid w:val="00734C5D"/>
    <w:rsid w:val="00736B58"/>
    <w:rsid w:val="00736CA2"/>
    <w:rsid w:val="007467E7"/>
    <w:rsid w:val="007477EF"/>
    <w:rsid w:val="0075063B"/>
    <w:rsid w:val="007516AE"/>
    <w:rsid w:val="00752C3A"/>
    <w:rsid w:val="00752DEA"/>
    <w:rsid w:val="007537E0"/>
    <w:rsid w:val="0075531D"/>
    <w:rsid w:val="00760B85"/>
    <w:rsid w:val="0076153F"/>
    <w:rsid w:val="007617AA"/>
    <w:rsid w:val="00762F67"/>
    <w:rsid w:val="00764746"/>
    <w:rsid w:val="007662A3"/>
    <w:rsid w:val="00766832"/>
    <w:rsid w:val="0076750A"/>
    <w:rsid w:val="00774A66"/>
    <w:rsid w:val="00776A7E"/>
    <w:rsid w:val="00776EE7"/>
    <w:rsid w:val="00780CA1"/>
    <w:rsid w:val="00786C8C"/>
    <w:rsid w:val="00786FBA"/>
    <w:rsid w:val="00793A03"/>
    <w:rsid w:val="00796A85"/>
    <w:rsid w:val="007971D0"/>
    <w:rsid w:val="007A371C"/>
    <w:rsid w:val="007A4E05"/>
    <w:rsid w:val="007B33C9"/>
    <w:rsid w:val="007C1C07"/>
    <w:rsid w:val="007C3EAD"/>
    <w:rsid w:val="007E018C"/>
    <w:rsid w:val="007E67FE"/>
    <w:rsid w:val="007E6AFC"/>
    <w:rsid w:val="007E7469"/>
    <w:rsid w:val="007F094E"/>
    <w:rsid w:val="007F26BF"/>
    <w:rsid w:val="007F6BB6"/>
    <w:rsid w:val="007F7361"/>
    <w:rsid w:val="007F7BE6"/>
    <w:rsid w:val="008003A7"/>
    <w:rsid w:val="00800F57"/>
    <w:rsid w:val="00805545"/>
    <w:rsid w:val="00810D04"/>
    <w:rsid w:val="00814F8C"/>
    <w:rsid w:val="00821C80"/>
    <w:rsid w:val="0082324C"/>
    <w:rsid w:val="00823578"/>
    <w:rsid w:val="00836D68"/>
    <w:rsid w:val="008446D1"/>
    <w:rsid w:val="00845832"/>
    <w:rsid w:val="008530A8"/>
    <w:rsid w:val="00855912"/>
    <w:rsid w:val="00855A6F"/>
    <w:rsid w:val="00862B3A"/>
    <w:rsid w:val="008634BE"/>
    <w:rsid w:val="00865C41"/>
    <w:rsid w:val="008665E1"/>
    <w:rsid w:val="00867FC6"/>
    <w:rsid w:val="00876CA7"/>
    <w:rsid w:val="008777F9"/>
    <w:rsid w:val="00877D78"/>
    <w:rsid w:val="00886143"/>
    <w:rsid w:val="008A17C9"/>
    <w:rsid w:val="008B06B1"/>
    <w:rsid w:val="008B5985"/>
    <w:rsid w:val="008B76CF"/>
    <w:rsid w:val="008C0E8D"/>
    <w:rsid w:val="008C5C46"/>
    <w:rsid w:val="008C74BC"/>
    <w:rsid w:val="008D0729"/>
    <w:rsid w:val="008D3049"/>
    <w:rsid w:val="008D371E"/>
    <w:rsid w:val="008D59BC"/>
    <w:rsid w:val="008D63CC"/>
    <w:rsid w:val="008D7862"/>
    <w:rsid w:val="008E36FD"/>
    <w:rsid w:val="008E7552"/>
    <w:rsid w:val="008F205B"/>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76AC"/>
    <w:rsid w:val="0099187F"/>
    <w:rsid w:val="00991AB3"/>
    <w:rsid w:val="00994548"/>
    <w:rsid w:val="00996435"/>
    <w:rsid w:val="009A18C8"/>
    <w:rsid w:val="009A2166"/>
    <w:rsid w:val="009C2328"/>
    <w:rsid w:val="009C235A"/>
    <w:rsid w:val="009D64C4"/>
    <w:rsid w:val="009D678D"/>
    <w:rsid w:val="009D70A6"/>
    <w:rsid w:val="009D7E46"/>
    <w:rsid w:val="009F3149"/>
    <w:rsid w:val="009F362E"/>
    <w:rsid w:val="009F6130"/>
    <w:rsid w:val="00A00EA9"/>
    <w:rsid w:val="00A01577"/>
    <w:rsid w:val="00A02B7F"/>
    <w:rsid w:val="00A02BDA"/>
    <w:rsid w:val="00A05CD9"/>
    <w:rsid w:val="00A12477"/>
    <w:rsid w:val="00A16FAA"/>
    <w:rsid w:val="00A212CF"/>
    <w:rsid w:val="00A227DF"/>
    <w:rsid w:val="00A250F9"/>
    <w:rsid w:val="00A271F9"/>
    <w:rsid w:val="00A275CB"/>
    <w:rsid w:val="00A2767F"/>
    <w:rsid w:val="00A27A21"/>
    <w:rsid w:val="00A27EAE"/>
    <w:rsid w:val="00A30AE6"/>
    <w:rsid w:val="00A35563"/>
    <w:rsid w:val="00A37369"/>
    <w:rsid w:val="00A42C67"/>
    <w:rsid w:val="00A4641A"/>
    <w:rsid w:val="00A50AB2"/>
    <w:rsid w:val="00A52D0D"/>
    <w:rsid w:val="00A552C4"/>
    <w:rsid w:val="00A578F7"/>
    <w:rsid w:val="00A61A1F"/>
    <w:rsid w:val="00A62372"/>
    <w:rsid w:val="00A6633B"/>
    <w:rsid w:val="00A66656"/>
    <w:rsid w:val="00A71517"/>
    <w:rsid w:val="00A73BE3"/>
    <w:rsid w:val="00A75801"/>
    <w:rsid w:val="00A764D7"/>
    <w:rsid w:val="00A828E6"/>
    <w:rsid w:val="00A82C04"/>
    <w:rsid w:val="00A841B8"/>
    <w:rsid w:val="00A84242"/>
    <w:rsid w:val="00A90386"/>
    <w:rsid w:val="00A95818"/>
    <w:rsid w:val="00AA2E12"/>
    <w:rsid w:val="00AA40D8"/>
    <w:rsid w:val="00AA4AD8"/>
    <w:rsid w:val="00AB1D98"/>
    <w:rsid w:val="00AB62E4"/>
    <w:rsid w:val="00AB7A25"/>
    <w:rsid w:val="00AB7A4F"/>
    <w:rsid w:val="00AC1B40"/>
    <w:rsid w:val="00AC37B3"/>
    <w:rsid w:val="00AC3851"/>
    <w:rsid w:val="00AC3FEC"/>
    <w:rsid w:val="00AD6449"/>
    <w:rsid w:val="00AD7D88"/>
    <w:rsid w:val="00AE3BA1"/>
    <w:rsid w:val="00AF4DBC"/>
    <w:rsid w:val="00AF6690"/>
    <w:rsid w:val="00AF6E3E"/>
    <w:rsid w:val="00B013DB"/>
    <w:rsid w:val="00B027EB"/>
    <w:rsid w:val="00B0483F"/>
    <w:rsid w:val="00B11046"/>
    <w:rsid w:val="00B12021"/>
    <w:rsid w:val="00B12BD6"/>
    <w:rsid w:val="00B15DCD"/>
    <w:rsid w:val="00B16D9F"/>
    <w:rsid w:val="00B22F83"/>
    <w:rsid w:val="00B2372C"/>
    <w:rsid w:val="00B25482"/>
    <w:rsid w:val="00B2598E"/>
    <w:rsid w:val="00B27549"/>
    <w:rsid w:val="00B30BEE"/>
    <w:rsid w:val="00B345B9"/>
    <w:rsid w:val="00B35239"/>
    <w:rsid w:val="00B3616D"/>
    <w:rsid w:val="00B42906"/>
    <w:rsid w:val="00B50AA7"/>
    <w:rsid w:val="00B51314"/>
    <w:rsid w:val="00B51C89"/>
    <w:rsid w:val="00B548A3"/>
    <w:rsid w:val="00B66691"/>
    <w:rsid w:val="00B74BCA"/>
    <w:rsid w:val="00B82601"/>
    <w:rsid w:val="00B865F5"/>
    <w:rsid w:val="00B94BC0"/>
    <w:rsid w:val="00BA24D3"/>
    <w:rsid w:val="00BA2D45"/>
    <w:rsid w:val="00BA3168"/>
    <w:rsid w:val="00BA35C1"/>
    <w:rsid w:val="00BA62AE"/>
    <w:rsid w:val="00BB22B1"/>
    <w:rsid w:val="00BB4996"/>
    <w:rsid w:val="00BB5D84"/>
    <w:rsid w:val="00BC4C8A"/>
    <w:rsid w:val="00BC768B"/>
    <w:rsid w:val="00BD1D4A"/>
    <w:rsid w:val="00BD4F02"/>
    <w:rsid w:val="00BD4F52"/>
    <w:rsid w:val="00BE05AD"/>
    <w:rsid w:val="00BE06BA"/>
    <w:rsid w:val="00BE0DAD"/>
    <w:rsid w:val="00BE4EAB"/>
    <w:rsid w:val="00BF1541"/>
    <w:rsid w:val="00BF5CC3"/>
    <w:rsid w:val="00BF5E29"/>
    <w:rsid w:val="00BF62D4"/>
    <w:rsid w:val="00BF7CA8"/>
    <w:rsid w:val="00C00199"/>
    <w:rsid w:val="00C0145F"/>
    <w:rsid w:val="00C02986"/>
    <w:rsid w:val="00C02F7B"/>
    <w:rsid w:val="00C04D43"/>
    <w:rsid w:val="00C04F3E"/>
    <w:rsid w:val="00C1071B"/>
    <w:rsid w:val="00C10A5E"/>
    <w:rsid w:val="00C12B9B"/>
    <w:rsid w:val="00C17938"/>
    <w:rsid w:val="00C209AF"/>
    <w:rsid w:val="00C23328"/>
    <w:rsid w:val="00C24851"/>
    <w:rsid w:val="00C25B67"/>
    <w:rsid w:val="00C27E9B"/>
    <w:rsid w:val="00C306D7"/>
    <w:rsid w:val="00C32339"/>
    <w:rsid w:val="00C379F7"/>
    <w:rsid w:val="00C4125C"/>
    <w:rsid w:val="00C41285"/>
    <w:rsid w:val="00C42ED4"/>
    <w:rsid w:val="00C4516F"/>
    <w:rsid w:val="00C46812"/>
    <w:rsid w:val="00C54FD8"/>
    <w:rsid w:val="00C5640C"/>
    <w:rsid w:val="00C5693B"/>
    <w:rsid w:val="00C57E31"/>
    <w:rsid w:val="00C642AB"/>
    <w:rsid w:val="00C656A6"/>
    <w:rsid w:val="00C71814"/>
    <w:rsid w:val="00C73798"/>
    <w:rsid w:val="00C77090"/>
    <w:rsid w:val="00C87C5D"/>
    <w:rsid w:val="00C92E2A"/>
    <w:rsid w:val="00C948BF"/>
    <w:rsid w:val="00CA2A2B"/>
    <w:rsid w:val="00CA58F2"/>
    <w:rsid w:val="00CB405B"/>
    <w:rsid w:val="00CC00F6"/>
    <w:rsid w:val="00CC3CE4"/>
    <w:rsid w:val="00CC3EEF"/>
    <w:rsid w:val="00CC483F"/>
    <w:rsid w:val="00CD15BD"/>
    <w:rsid w:val="00CE156F"/>
    <w:rsid w:val="00CE3E78"/>
    <w:rsid w:val="00CE73FA"/>
    <w:rsid w:val="00CF3ECE"/>
    <w:rsid w:val="00CF4D42"/>
    <w:rsid w:val="00D04F65"/>
    <w:rsid w:val="00D07DEF"/>
    <w:rsid w:val="00D1298F"/>
    <w:rsid w:val="00D173B0"/>
    <w:rsid w:val="00D250CE"/>
    <w:rsid w:val="00D3073E"/>
    <w:rsid w:val="00D322CC"/>
    <w:rsid w:val="00D45AAE"/>
    <w:rsid w:val="00D5334D"/>
    <w:rsid w:val="00D5355F"/>
    <w:rsid w:val="00D55008"/>
    <w:rsid w:val="00D55609"/>
    <w:rsid w:val="00D60FA3"/>
    <w:rsid w:val="00D61394"/>
    <w:rsid w:val="00D62003"/>
    <w:rsid w:val="00D639E6"/>
    <w:rsid w:val="00D66EFE"/>
    <w:rsid w:val="00D7009C"/>
    <w:rsid w:val="00D70AB5"/>
    <w:rsid w:val="00D71749"/>
    <w:rsid w:val="00D73661"/>
    <w:rsid w:val="00D77286"/>
    <w:rsid w:val="00D819BB"/>
    <w:rsid w:val="00D82583"/>
    <w:rsid w:val="00D83391"/>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41EC"/>
    <w:rsid w:val="00DD1516"/>
    <w:rsid w:val="00DD3F06"/>
    <w:rsid w:val="00DD4529"/>
    <w:rsid w:val="00DD45E4"/>
    <w:rsid w:val="00DE0AF0"/>
    <w:rsid w:val="00DE33AE"/>
    <w:rsid w:val="00DE6443"/>
    <w:rsid w:val="00DE655B"/>
    <w:rsid w:val="00DE70CD"/>
    <w:rsid w:val="00DF49A1"/>
    <w:rsid w:val="00DF63CA"/>
    <w:rsid w:val="00DF7A47"/>
    <w:rsid w:val="00DF7AAF"/>
    <w:rsid w:val="00E0125A"/>
    <w:rsid w:val="00E07626"/>
    <w:rsid w:val="00E10A60"/>
    <w:rsid w:val="00E11049"/>
    <w:rsid w:val="00E115D4"/>
    <w:rsid w:val="00E12C09"/>
    <w:rsid w:val="00E224DF"/>
    <w:rsid w:val="00E26FE6"/>
    <w:rsid w:val="00E35674"/>
    <w:rsid w:val="00E3752C"/>
    <w:rsid w:val="00E4712A"/>
    <w:rsid w:val="00E5031E"/>
    <w:rsid w:val="00E5253F"/>
    <w:rsid w:val="00E56919"/>
    <w:rsid w:val="00E637A8"/>
    <w:rsid w:val="00E65066"/>
    <w:rsid w:val="00E65A95"/>
    <w:rsid w:val="00E70F8A"/>
    <w:rsid w:val="00E7140B"/>
    <w:rsid w:val="00E71C34"/>
    <w:rsid w:val="00E72C68"/>
    <w:rsid w:val="00E73C80"/>
    <w:rsid w:val="00E73DB1"/>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F01341"/>
    <w:rsid w:val="00F01EC6"/>
    <w:rsid w:val="00F05D33"/>
    <w:rsid w:val="00F10BEA"/>
    <w:rsid w:val="00F11025"/>
    <w:rsid w:val="00F1769E"/>
    <w:rsid w:val="00F242E9"/>
    <w:rsid w:val="00F25E07"/>
    <w:rsid w:val="00F26069"/>
    <w:rsid w:val="00F30E95"/>
    <w:rsid w:val="00F32655"/>
    <w:rsid w:val="00F43895"/>
    <w:rsid w:val="00F51205"/>
    <w:rsid w:val="00F53DA1"/>
    <w:rsid w:val="00F56613"/>
    <w:rsid w:val="00F60E99"/>
    <w:rsid w:val="00F638A2"/>
    <w:rsid w:val="00F66337"/>
    <w:rsid w:val="00F67045"/>
    <w:rsid w:val="00F73A08"/>
    <w:rsid w:val="00F74881"/>
    <w:rsid w:val="00F74FD3"/>
    <w:rsid w:val="00F76ABE"/>
    <w:rsid w:val="00F77ED3"/>
    <w:rsid w:val="00F80913"/>
    <w:rsid w:val="00F81159"/>
    <w:rsid w:val="00F82320"/>
    <w:rsid w:val="00F82580"/>
    <w:rsid w:val="00F82BD7"/>
    <w:rsid w:val="00F854E1"/>
    <w:rsid w:val="00F87DA7"/>
    <w:rsid w:val="00F90FF5"/>
    <w:rsid w:val="00F9401A"/>
    <w:rsid w:val="00F950D3"/>
    <w:rsid w:val="00F97C1B"/>
    <w:rsid w:val="00FA16E8"/>
    <w:rsid w:val="00FA3A54"/>
    <w:rsid w:val="00FA5AAF"/>
    <w:rsid w:val="00FB0B35"/>
    <w:rsid w:val="00FB25E7"/>
    <w:rsid w:val="00FB2DC5"/>
    <w:rsid w:val="00FB5269"/>
    <w:rsid w:val="00FB6008"/>
    <w:rsid w:val="00FB744E"/>
    <w:rsid w:val="00FC162C"/>
    <w:rsid w:val="00FC16AC"/>
    <w:rsid w:val="00FC1C0C"/>
    <w:rsid w:val="00FC2BED"/>
    <w:rsid w:val="00FC6AD0"/>
    <w:rsid w:val="00FD1E1A"/>
    <w:rsid w:val="00FD4C16"/>
    <w:rsid w:val="00FD6EF7"/>
    <w:rsid w:val="00FE3186"/>
    <w:rsid w:val="00FE344B"/>
    <w:rsid w:val="00FE4D41"/>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before="120" w:after="0"/>
    </w:pPr>
    <w:rPr>
      <w:b/>
      <w:bCs/>
      <w:i/>
      <w:iCs/>
    </w:rPr>
  </w:style>
  <w:style w:type="paragraph" w:styleId="TOC2">
    <w:name w:val="toc 2"/>
    <w:basedOn w:val="Normal"/>
    <w:next w:val="Normal"/>
    <w:autoRedefine/>
    <w:uiPriority w:val="39"/>
    <w:unhideWhenUsed/>
    <w:rsid w:val="00796A85"/>
    <w:pPr>
      <w:spacing w:before="120" w:after="0"/>
      <w:ind w:left="240"/>
    </w:pPr>
    <w:rPr>
      <w:b/>
      <w:bCs/>
      <w:sz w:val="22"/>
      <w:szCs w:val="22"/>
    </w:rPr>
  </w:style>
  <w:style w:type="paragraph" w:styleId="TOC3">
    <w:name w:val="toc 3"/>
    <w:basedOn w:val="Normal"/>
    <w:next w:val="Normal"/>
    <w:autoRedefine/>
    <w:uiPriority w:val="39"/>
    <w:unhideWhenUsed/>
    <w:rsid w:val="00796A85"/>
    <w:pPr>
      <w:spacing w:after="0"/>
      <w:ind w:left="480"/>
    </w:pPr>
    <w:rPr>
      <w:sz w:val="20"/>
      <w:szCs w:val="20"/>
    </w:r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0"/>
      <w:ind w:left="720"/>
    </w:pPr>
    <w:rPr>
      <w:sz w:val="20"/>
      <w:szCs w:val="20"/>
    </w:rPr>
  </w:style>
  <w:style w:type="paragraph" w:styleId="TOC5">
    <w:name w:val="toc 5"/>
    <w:basedOn w:val="Normal"/>
    <w:next w:val="Normal"/>
    <w:autoRedefine/>
    <w:uiPriority w:val="39"/>
    <w:unhideWhenUsed/>
    <w:rsid w:val="00286DF1"/>
    <w:pPr>
      <w:spacing w:after="0"/>
      <w:ind w:left="960"/>
    </w:pPr>
    <w:rPr>
      <w:sz w:val="20"/>
      <w:szCs w:val="20"/>
    </w:r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styleId="Strong">
    <w:name w:val="Strong"/>
    <w:basedOn w:val="DefaultParagraphFont"/>
    <w:uiPriority w:val="22"/>
    <w:qFormat/>
    <w:rsid w:val="0044525C"/>
    <w:rPr>
      <w:b/>
      <w:bCs/>
    </w:rPr>
  </w:style>
  <w:style w:type="character" w:customStyle="1" w:styleId="apple-converted-space">
    <w:name w:val="apple-converted-space"/>
    <w:basedOn w:val="DefaultParagraphFont"/>
    <w:rsid w:val="0044525C"/>
  </w:style>
  <w:style w:type="paragraph" w:styleId="TOC6">
    <w:name w:val="toc 6"/>
    <w:basedOn w:val="Normal"/>
    <w:next w:val="Normal"/>
    <w:autoRedefine/>
    <w:uiPriority w:val="39"/>
    <w:semiHidden/>
    <w:unhideWhenUsed/>
    <w:rsid w:val="00DE70CD"/>
    <w:pPr>
      <w:spacing w:after="0"/>
      <w:ind w:left="1200"/>
    </w:pPr>
    <w:rPr>
      <w:sz w:val="20"/>
      <w:szCs w:val="20"/>
    </w:rPr>
  </w:style>
  <w:style w:type="paragraph" w:styleId="TOC7">
    <w:name w:val="toc 7"/>
    <w:basedOn w:val="Normal"/>
    <w:next w:val="Normal"/>
    <w:autoRedefine/>
    <w:uiPriority w:val="39"/>
    <w:semiHidden/>
    <w:unhideWhenUsed/>
    <w:rsid w:val="00DE70CD"/>
    <w:pPr>
      <w:spacing w:after="0"/>
      <w:ind w:left="1440"/>
    </w:pPr>
    <w:rPr>
      <w:sz w:val="20"/>
      <w:szCs w:val="20"/>
    </w:rPr>
  </w:style>
  <w:style w:type="paragraph" w:styleId="TOC8">
    <w:name w:val="toc 8"/>
    <w:basedOn w:val="Normal"/>
    <w:next w:val="Normal"/>
    <w:autoRedefine/>
    <w:uiPriority w:val="39"/>
    <w:semiHidden/>
    <w:unhideWhenUsed/>
    <w:rsid w:val="00DE70CD"/>
    <w:pPr>
      <w:spacing w:after="0"/>
      <w:ind w:left="1680"/>
    </w:pPr>
    <w:rPr>
      <w:sz w:val="20"/>
      <w:szCs w:val="20"/>
    </w:rPr>
  </w:style>
  <w:style w:type="paragraph" w:styleId="TOC9">
    <w:name w:val="toc 9"/>
    <w:basedOn w:val="Normal"/>
    <w:next w:val="Normal"/>
    <w:autoRedefine/>
    <w:uiPriority w:val="39"/>
    <w:semiHidden/>
    <w:unhideWhenUsed/>
    <w:rsid w:val="00DE70CD"/>
    <w:pPr>
      <w:spacing w:after="0"/>
      <w:ind w:left="1920"/>
    </w:pPr>
    <w:rPr>
      <w:sz w:val="20"/>
      <w:szCs w:val="20"/>
    </w:rPr>
  </w:style>
  <w:style w:type="character" w:styleId="Emphasis">
    <w:name w:val="Emphasis"/>
    <w:basedOn w:val="DefaultParagraphFont"/>
    <w:uiPriority w:val="20"/>
    <w:qFormat/>
    <w:rsid w:val="008F205B"/>
    <w:rPr>
      <w:i/>
      <w:iCs/>
    </w:rPr>
  </w:style>
  <w:style w:type="paragraph" w:customStyle="1" w:styleId="isselectedend">
    <w:name w:val="isselectedend"/>
    <w:basedOn w:val="Normal"/>
    <w:rsid w:val="00143B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250C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0/15/contents" TargetMode="External"/><Relationship Id="rId18" Type="http://schemas.openxmlformats.org/officeDocument/2006/relationships/hyperlink" Target="https://doi.org/10.1111/ijcp.12686"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pga/2022/31/contents" TargetMode="External"/><Relationship Id="rId17" Type="http://schemas.openxmlformats.org/officeDocument/2006/relationships/hyperlink" Target="https://www.nmc.org.uk/standards/code/" TargetMode="External"/><Relationship Id="rId2" Type="http://schemas.openxmlformats.org/officeDocument/2006/relationships/customXml" Target="../customXml/item2.xml"/><Relationship Id="rId16" Type="http://schemas.openxmlformats.org/officeDocument/2006/relationships/hyperlink" Target="https://www.nice.org.uk/guidance/ng23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4/23/contents" TargetMode="External"/><Relationship Id="rId5" Type="http://schemas.openxmlformats.org/officeDocument/2006/relationships/settings" Target="settings.xml"/><Relationship Id="rId15" Type="http://schemas.openxmlformats.org/officeDocument/2006/relationships/hyperlink" Target="https://www.legislation.gov.uk/ukpga/2005/9/contents" TargetMode="External"/><Relationship Id="rId10" Type="http://schemas.openxmlformats.org/officeDocument/2006/relationships/hyperlink" Target="https://global.oup.com/academic/product/principles-of-biomedical-ethics-9780190640873"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psychclassics.yorku.ca/Maslow/motiv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Sob18</b:Tag>
    <b:SourceType>JournalArticle</b:SourceType>
    <b:Guid>{3997D59A-0A0C-4D6D-8761-D9BBDEEB2940}</b:Guid>
    <b:Title>SAAS E-Commece Platforms Web Acessebility Evaluation</b:Title>
    <b:JournalName>Conference Paper</b:JournalName>
    <b:Year>2018</b:Year>
    <b:Author>
      <b:Author>
        <b:NameList>
          <b:Person>
            <b:Last>Sobhaib</b:Last>
            <b:First>Osama</b:First>
          </b:Person>
          <b:Person>
            <b:Last>Hussain</b:Last>
            <b:First>Walayat</b:First>
          </b:Person>
        </b:NameList>
      </b:Author>
    </b:Author>
    <b:RefOrder>2</b:RefOrder>
  </b:Source>
  <b:Source>
    <b:Tag>Ani23</b:Tag>
    <b:SourceType>JournalArticle</b:SourceType>
    <b:Guid>{0FB77F0A-0A31-4AF4-8AE6-B91511109274}</b:Guid>
    <b:Title>Competitive Analysis of SAAS E-commerce Platforms in India</b:Title>
    <b:Year>2023</b:Year>
    <b:JournalName>Panav Journal of Multidisciplinary</b:JournalName>
    <b:Author>
      <b:Author>
        <b:NameList>
          <b:Person>
            <b:Last>Rani</b:Last>
            <b:First>Dr.</b:First>
            <b:Middle>T.</b:Middle>
          </b:Person>
          <b:Person>
            <b:Last>Anish</b:Last>
            <b:Middle>S</b:Middle>
            <b:First>R</b:First>
          </b:Person>
        </b:NameList>
      </b:Author>
    </b:Author>
    <b:RefOrder>1</b:RefOrder>
  </b:Source>
  <b:Source>
    <b:Tag>Yen21</b:Tag>
    <b:SourceType>ArticleInAPeriodical</b:SourceType>
    <b:Guid>{5A20B1B4-C204-4CB2-BFCE-A1FD7466C585}</b:Guid>
    <b:Title>Promoting Sustainable Creativity: An Empirical Study on the Application of Mind Mapping Tools in Graphic Design Education</b:Title>
    <b:Year>2021</b:Year>
    <b:Month>May</b:Month>
    <b:Day>11</b:Day>
    <b:Author>
      <b:Author>
        <b:NameList>
          <b:Person>
            <b:Last>Dong</b:Last>
            <b:First>Yenan</b:First>
          </b:Person>
        </b:NameList>
      </b:Author>
    </b:Author>
    <b:RefOrder>3</b:RefOrder>
  </b:Source>
  <b:Source>
    <b:Tag>CRu24</b:Tag>
    <b:SourceType>ArticleInAPeriodical</b:SourceType>
    <b:Guid>{192F4FF5-3285-4F05-9B10-E69DCF0DF493}</b:Guid>
    <b:Title>From Chaos to Clarity: Use of Mind Maps as a Tool to Ensure Better Learning among Medical Students</b:Title>
    <b:Year>2024</b:Year>
    <b:Month>Jan</b:Month>
    <b:Day>12</b:Day>
    <b:Author>
      <b:Author>
        <b:NameList>
          <b:Person>
            <b:Last>C</b:Last>
            <b:First>Ruchitha </b:First>
          </b:Person>
        </b:NameList>
      </b:Author>
    </b:Author>
    <b:RefOrder>4</b:RefOrder>
  </b:Source>
  <b:Source>
    <b:Tag>Mic</b:Tag>
    <b:SourceType>InternetSite</b:SourceType>
    <b:Guid>{160CBB78-F466-4F6E-AF78-413F7E9FBEA3}</b:Guid>
    <b:Title>What is Microsoft Word</b:Title>
    <b:Author>
      <b:Author>
        <b:Corporate>Microsoft</b:Corporate>
      </b:Author>
    </b:Author>
    <b:ProductionCompany>Microsoft</b:ProductionCompany>
    <b:URL>https://support.microsoft.com/en-us/word</b:URL>
    <b:RefOrder>5</b:RefOrder>
  </b:Source>
  <b:Source>
    <b:Tag>Mic1</b:Tag>
    <b:SourceType>InternetSite</b:SourceType>
    <b:Guid>{5B2854C7-285B-48F0-83FA-A24FC072BF3F}</b:Guid>
    <b:Author>
      <b:Author>
        <b:Corporate>Microsoft</b:Corporate>
      </b:Author>
    </b:Author>
    <b:Title>What is Microsoft Excel</b:Title>
    <b:URL>https://support.microsoft.com/en-us/excel</b:URL>
    <b:RefOrder>7</b:RefOrder>
  </b:Source>
  <b:Source>
    <b:Tag>Mic2</b:Tag>
    <b:SourceType>InternetSite</b:SourceType>
    <b:Guid>{22225251-1482-416A-B33A-4C1A26B13DAC}</b:Guid>
    <b:Author>
      <b:Author>
        <b:Corporate>Microsoft</b:Corporate>
      </b:Author>
    </b:Author>
    <b:Title>What is Microsoft Access</b:Title>
    <b:URL>https://support.microsoft.com/en-us/access </b:URL>
    <b:RefOrder>8</b:RefOrder>
  </b:Source>
  <b:Source>
    <b:Tag>Mic3</b:Tag>
    <b:SourceType>InternetSite</b:SourceType>
    <b:Guid>{20577573-D38E-4A53-B43E-58F085AACBF1}</b:Guid>
    <b:Author>
      <b:Author>
        <b:Corporate>Microsoft</b:Corporate>
      </b:Author>
    </b:Author>
    <b:Title>What is Microsoft PowerPoint</b:Title>
    <b:URL>https://support.microsoft.com/en-us/powerpoint</b:URL>
    <b:RefOrder>6</b:RefOrder>
  </b:Source>
  <b:Source>
    <b:Tag>Ell25</b:Tag>
    <b:SourceType>InternetSite</b:SourceType>
    <b:Guid>{65A718D0-7BA2-4B41-B408-5DFE7B0F5D8D}</b:Guid>
    <b:Author>
      <b:Author>
        <b:NameList>
          <b:Person>
            <b:Last>Rieth</b:Last>
            <b:First>Elliot</b:First>
          </b:Person>
        </b:NameList>
      </b:Author>
    </b:Author>
    <b:Title>The pros and cons of Microsoft Teams</b:Title>
    <b:Year>2025</b:Year>
    <b:Month>July</b:Month>
    <b:Day>9</b:Day>
    <b:URL>https://www.jotform.com/blog/microsoft-teams-pros-and-cons/</b:URL>
    <b:RefOrder>9</b:RefOrder>
  </b:Source>
  <b:Source>
    <b:Tag>Fra25</b:Tag>
    <b:SourceType>InternetSite</b:SourceType>
    <b:Guid>{39873CF9-62E0-4256-89DB-F006B0905361}</b:Guid>
    <b:Title>Pros and Cons of SharePoint: Is SharePoint worth it?</b:Title>
    <b:Year>2025</b:Year>
    <b:URL>https://www.frameworkit.com/cloud/pros-and-cons-of-sharepoint</b:URL>
    <b:Author>
      <b:Author>
        <b:Corporate>Framwork IT</b:Corporate>
      </b:Author>
    </b:Author>
    <b:RefOrder>10</b:RefOrder>
  </b:Source>
  <b:Source>
    <b:Tag>Olg25</b:Tag>
    <b:SourceType>InternetSite</b:SourceType>
    <b:Guid>{8FA631B2-49C8-474E-8BCB-31EC6D2BD3DD}</b:Guid>
    <b:Author>
      <b:Author>
        <b:NameList>
          <b:Person>
            <b:Last>Weis</b:Last>
            <b:First>Olga</b:First>
          </b:Person>
        </b:NameList>
      </b:Author>
    </b:Author>
    <b:Year>2025</b:Year>
    <b:Month>April</b:Month>
    <b:Day>9</b:Day>
    <b:URL>https://cloudmounter.net/pros-and-cons-of-onedrive/</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1D750C-9BCA-4850-BE22-CE7E7FCE6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10</Pages>
  <Words>2466</Words>
  <Characters>14060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dc:creator>
  <cp:keywords/>
  <dc:description/>
  <cp:lastModifiedBy>Jussara Coser (2442073)</cp:lastModifiedBy>
  <cp:revision>25</cp:revision>
  <dcterms:created xsi:type="dcterms:W3CDTF">2025-12-06T11:21:00Z</dcterms:created>
  <dcterms:modified xsi:type="dcterms:W3CDTF">2026-07-28T08:26:00Z</dcterms:modified>
</cp:coreProperties>
</file>