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515CAF" w14:textId="77777777" w:rsidR="0035083C" w:rsidRDefault="0035083C" w:rsidP="0035083C">
      <w:pPr>
        <w:spacing w:after="0" w:line="360" w:lineRule="auto"/>
        <w:rPr>
          <w:rFonts w:cs="Arial"/>
          <w:b/>
          <w:bCs/>
          <w:color w:val="222222"/>
          <w:sz w:val="22"/>
          <w:shd w:val="clear" w:color="auto" w:fill="FFFFFF"/>
        </w:rPr>
      </w:pPr>
    </w:p>
    <w:p w14:paraId="52F36B69" w14:textId="77777777" w:rsidR="0035083C" w:rsidRDefault="0035083C" w:rsidP="0035083C">
      <w:pPr>
        <w:spacing w:after="0" w:line="360" w:lineRule="auto"/>
        <w:rPr>
          <w:rFonts w:cs="Arial"/>
          <w:b/>
          <w:bCs/>
          <w:color w:val="222222"/>
          <w:sz w:val="22"/>
          <w:shd w:val="clear" w:color="auto" w:fill="FFFFFF"/>
        </w:rPr>
      </w:pPr>
    </w:p>
    <w:p w14:paraId="126BA62C" w14:textId="5ADD7BF9" w:rsidR="0035083C" w:rsidRPr="000556EF" w:rsidRDefault="00345B51" w:rsidP="000556EF">
      <w:pPr>
        <w:spacing w:after="0" w:line="360" w:lineRule="auto"/>
        <w:jc w:val="center"/>
        <w:rPr>
          <w:rFonts w:cs="Arial"/>
          <w:b/>
          <w:bCs/>
          <w:color w:val="222222"/>
          <w:sz w:val="40"/>
          <w:szCs w:val="40"/>
          <w:shd w:val="clear" w:color="auto" w:fill="FFFFFF"/>
        </w:rPr>
      </w:pPr>
      <w:r w:rsidRPr="000556EF">
        <w:rPr>
          <w:rFonts w:cs="Arial"/>
          <w:b/>
          <w:bCs/>
          <w:color w:val="222222"/>
          <w:sz w:val="40"/>
          <w:szCs w:val="40"/>
          <w:shd w:val="clear" w:color="auto" w:fill="FFFFFF"/>
        </w:rPr>
        <w:t>Naila Waheed</w:t>
      </w:r>
    </w:p>
    <w:p w14:paraId="19392B53" w14:textId="2231D06C" w:rsidR="0035083C" w:rsidRPr="00710750" w:rsidRDefault="00710750" w:rsidP="009E4664">
      <w:pPr>
        <w:spacing w:after="0" w:line="360" w:lineRule="auto"/>
        <w:jc w:val="center"/>
        <w:rPr>
          <w:rFonts w:cs="Arial"/>
          <w:b/>
          <w:bCs/>
          <w:color w:val="222222"/>
          <w:sz w:val="40"/>
          <w:szCs w:val="40"/>
          <w:shd w:val="clear" w:color="auto" w:fill="FFFFFF"/>
        </w:rPr>
      </w:pPr>
      <w:r w:rsidRPr="00710750">
        <w:rPr>
          <w:rFonts w:cs="Arial"/>
          <w:b/>
          <w:bCs/>
          <w:color w:val="222222"/>
          <w:sz w:val="40"/>
          <w:szCs w:val="40"/>
          <w:shd w:val="clear" w:color="auto" w:fill="FFFFFF"/>
        </w:rPr>
        <w:t>2246132</w:t>
      </w:r>
    </w:p>
    <w:p w14:paraId="48FD2AEC" w14:textId="77777777" w:rsidR="0035083C" w:rsidRDefault="0035083C" w:rsidP="0035083C">
      <w:pPr>
        <w:spacing w:after="0" w:line="360" w:lineRule="auto"/>
        <w:rPr>
          <w:rFonts w:cs="Arial"/>
          <w:b/>
          <w:bCs/>
          <w:color w:val="222222"/>
          <w:sz w:val="22"/>
          <w:shd w:val="clear" w:color="auto" w:fill="FFFFFF"/>
        </w:rPr>
      </w:pPr>
    </w:p>
    <w:p w14:paraId="32C954DB" w14:textId="77777777" w:rsidR="0035083C" w:rsidRDefault="0035083C" w:rsidP="0035083C">
      <w:pPr>
        <w:spacing w:after="0" w:line="360" w:lineRule="auto"/>
        <w:rPr>
          <w:rFonts w:cs="Arial"/>
          <w:b/>
          <w:bCs/>
          <w:color w:val="222222"/>
          <w:sz w:val="22"/>
          <w:shd w:val="clear" w:color="auto" w:fill="FFFFFF"/>
        </w:rPr>
      </w:pPr>
    </w:p>
    <w:p w14:paraId="71688B02" w14:textId="55AE56BB" w:rsidR="0035083C" w:rsidRPr="00AA0243" w:rsidRDefault="008A1537" w:rsidP="00AA0243">
      <w:pPr>
        <w:spacing w:after="0" w:line="360" w:lineRule="auto"/>
        <w:jc w:val="center"/>
        <w:rPr>
          <w:rFonts w:cs="Arial"/>
          <w:b/>
          <w:bCs/>
          <w:color w:val="222222"/>
          <w:sz w:val="40"/>
          <w:szCs w:val="40"/>
          <w:shd w:val="clear" w:color="auto" w:fill="FFFFFF"/>
        </w:rPr>
      </w:pPr>
      <w:r w:rsidRPr="00AA0243">
        <w:rPr>
          <w:rFonts w:cs="Arial"/>
          <w:b/>
          <w:bCs/>
          <w:color w:val="222222"/>
          <w:sz w:val="40"/>
          <w:szCs w:val="40"/>
          <w:shd w:val="clear" w:color="auto" w:fill="FFFFFF"/>
        </w:rPr>
        <w:t>Component 2 – Debate Discussion</w:t>
      </w:r>
    </w:p>
    <w:p w14:paraId="3300BE20" w14:textId="4771E951" w:rsidR="008A1537" w:rsidRPr="00AA0243" w:rsidRDefault="008A1537" w:rsidP="00AA0243">
      <w:pPr>
        <w:spacing w:after="0" w:line="360" w:lineRule="auto"/>
        <w:jc w:val="center"/>
        <w:rPr>
          <w:rFonts w:cs="Arial"/>
          <w:b/>
          <w:bCs/>
          <w:color w:val="222222"/>
          <w:sz w:val="40"/>
          <w:szCs w:val="40"/>
          <w:shd w:val="clear" w:color="auto" w:fill="FFFFFF"/>
        </w:rPr>
      </w:pPr>
      <w:r w:rsidRPr="00AA0243">
        <w:rPr>
          <w:rFonts w:cs="Arial"/>
          <w:b/>
          <w:bCs/>
          <w:color w:val="222222"/>
          <w:sz w:val="40"/>
          <w:szCs w:val="40"/>
          <w:shd w:val="clear" w:color="auto" w:fill="FFFFFF"/>
        </w:rPr>
        <w:t>BMH</w:t>
      </w:r>
      <w:r w:rsidR="00AA0243" w:rsidRPr="00AA0243">
        <w:rPr>
          <w:rFonts w:cs="Arial"/>
          <w:b/>
          <w:bCs/>
          <w:color w:val="222222"/>
          <w:sz w:val="40"/>
          <w:szCs w:val="40"/>
          <w:shd w:val="clear" w:color="auto" w:fill="FFFFFF"/>
        </w:rPr>
        <w:t>P6027</w:t>
      </w:r>
    </w:p>
    <w:p w14:paraId="557A4CCC" w14:textId="77777777" w:rsidR="0035083C" w:rsidRPr="00AA0243" w:rsidRDefault="0035083C" w:rsidP="00AA0243">
      <w:pPr>
        <w:spacing w:after="0" w:line="360" w:lineRule="auto"/>
        <w:jc w:val="center"/>
        <w:rPr>
          <w:rFonts w:cs="Arial"/>
          <w:b/>
          <w:bCs/>
          <w:color w:val="222222"/>
          <w:sz w:val="40"/>
          <w:szCs w:val="40"/>
          <w:shd w:val="clear" w:color="auto" w:fill="FFFFFF"/>
        </w:rPr>
      </w:pPr>
    </w:p>
    <w:p w14:paraId="4A936842" w14:textId="52A9C1BD" w:rsidR="0035083C" w:rsidRPr="003C23D6" w:rsidRDefault="0035083C" w:rsidP="0035083C">
      <w:pPr>
        <w:spacing w:after="0" w:line="360" w:lineRule="auto"/>
        <w:jc w:val="center"/>
        <w:rPr>
          <w:rFonts w:cs="Arial"/>
          <w:b/>
          <w:bCs/>
          <w:color w:val="222222"/>
          <w:sz w:val="40"/>
          <w:szCs w:val="40"/>
          <w:shd w:val="clear" w:color="auto" w:fill="FFFFFF"/>
        </w:rPr>
      </w:pPr>
      <w:r w:rsidRPr="003C23D6">
        <w:rPr>
          <w:rFonts w:cs="Arial"/>
          <w:b/>
          <w:bCs/>
          <w:color w:val="222222"/>
          <w:sz w:val="40"/>
          <w:szCs w:val="40"/>
          <w:shd w:val="clear" w:color="auto" w:fill="FFFFFF"/>
        </w:rPr>
        <w:t>Should GPS Tracking for Dementia Patients Be Mandatory for Safety?</w:t>
      </w:r>
    </w:p>
    <w:p w14:paraId="5147DF77" w14:textId="5DA8D1B9" w:rsidR="00856D62" w:rsidRPr="005E6BA3" w:rsidRDefault="0035083C" w:rsidP="005E6BA3">
      <w:pPr>
        <w:rPr>
          <w:rFonts w:cs="Arial"/>
          <w:sz w:val="22"/>
        </w:rPr>
      </w:pPr>
      <w:r>
        <w:rPr>
          <w:rFonts w:cs="Arial"/>
          <w:b/>
          <w:bCs/>
          <w:color w:val="222222"/>
          <w:sz w:val="22"/>
          <w:shd w:val="clear" w:color="auto" w:fill="FFFFFF"/>
        </w:rPr>
        <w:br w:type="page"/>
      </w:r>
    </w:p>
    <w:p w14:paraId="4614E4A4" w14:textId="761C8335" w:rsidR="005D5A6D" w:rsidRPr="00A668BE" w:rsidRDefault="005D5A6D" w:rsidP="00A668BE">
      <w:pPr>
        <w:spacing w:after="0" w:line="360" w:lineRule="auto"/>
        <w:rPr>
          <w:rFonts w:eastAsiaTheme="majorEastAsia" w:cs="Arial"/>
          <w:b/>
          <w:bCs/>
          <w:sz w:val="22"/>
        </w:rPr>
      </w:pPr>
    </w:p>
    <w:p w14:paraId="77003CCC" w14:textId="7E134DA2" w:rsidR="004B566B" w:rsidRPr="00017ECC" w:rsidRDefault="00765699" w:rsidP="00DD4D19">
      <w:pPr>
        <w:rPr>
          <w:rFonts w:eastAsiaTheme="majorEastAsia" w:cs="Arial"/>
          <w:b/>
          <w:bCs/>
          <w:szCs w:val="24"/>
        </w:rPr>
      </w:pPr>
      <w:bookmarkStart w:id="0" w:name="_Toc212644111"/>
      <w:r w:rsidRPr="00017ECC">
        <w:rPr>
          <w:rFonts w:cs="Arial"/>
          <w:b/>
          <w:bCs/>
          <w:szCs w:val="24"/>
        </w:rPr>
        <w:t>References</w:t>
      </w:r>
      <w:bookmarkEnd w:id="0"/>
    </w:p>
    <w:p w14:paraId="5F294EA6" w14:textId="77777777" w:rsidR="004B566B" w:rsidRDefault="004B566B" w:rsidP="004B566B">
      <w:pPr>
        <w:spacing w:after="0" w:line="360" w:lineRule="auto"/>
        <w:jc w:val="both"/>
        <w:rPr>
          <w:rFonts w:eastAsia="Times New Roman" w:cs="Arial"/>
          <w:color w:val="auto"/>
          <w:sz w:val="22"/>
        </w:rPr>
      </w:pPr>
    </w:p>
    <w:p w14:paraId="4EBB2FC3" w14:textId="77777777" w:rsidR="004B566B" w:rsidRPr="004B566B" w:rsidRDefault="004B566B" w:rsidP="004B566B">
      <w:pPr>
        <w:spacing w:after="0" w:line="360" w:lineRule="auto"/>
        <w:ind w:left="720" w:hanging="720"/>
        <w:jc w:val="both"/>
        <w:rPr>
          <w:rFonts w:cs="Arial"/>
          <w:color w:val="222222"/>
          <w:sz w:val="22"/>
          <w:shd w:val="clear" w:color="auto" w:fill="FFFFFF"/>
        </w:rPr>
      </w:pPr>
      <w:r w:rsidRPr="004B566B">
        <w:rPr>
          <w:rFonts w:cs="Arial"/>
          <w:color w:val="222222"/>
          <w:sz w:val="22"/>
          <w:shd w:val="clear" w:color="auto" w:fill="FFFFFF"/>
        </w:rPr>
        <w:t>Barde, S., Upendra, S., &amp; Kaur, J. (2023). Using Tracking Device on Patients with Dementia: A Systematic Review. In </w:t>
      </w:r>
      <w:r w:rsidRPr="004B566B">
        <w:rPr>
          <w:rFonts w:cs="Arial"/>
          <w:i/>
          <w:iCs/>
          <w:color w:val="222222"/>
          <w:sz w:val="22"/>
          <w:shd w:val="clear" w:color="auto" w:fill="FFFFFF"/>
        </w:rPr>
        <w:t>2023 International Conference on Integration of Computational Intelligent System (ICICIS)</w:t>
      </w:r>
      <w:r w:rsidRPr="004B566B">
        <w:rPr>
          <w:rFonts w:cs="Arial"/>
          <w:color w:val="222222"/>
          <w:sz w:val="22"/>
          <w:shd w:val="clear" w:color="auto" w:fill="FFFFFF"/>
        </w:rPr>
        <w:t> (pp. 1-4). IEEE.</w:t>
      </w:r>
    </w:p>
    <w:p w14:paraId="7E243689" w14:textId="77777777" w:rsidR="004B566B" w:rsidRPr="004B566B" w:rsidRDefault="004B566B" w:rsidP="004B566B">
      <w:pPr>
        <w:spacing w:after="0" w:line="360" w:lineRule="auto"/>
        <w:ind w:left="720" w:hanging="720"/>
        <w:jc w:val="both"/>
        <w:rPr>
          <w:rFonts w:cs="Arial"/>
          <w:color w:val="222222"/>
          <w:sz w:val="22"/>
          <w:shd w:val="clear" w:color="auto" w:fill="FFFFFF"/>
        </w:rPr>
      </w:pPr>
      <w:r w:rsidRPr="004B566B">
        <w:rPr>
          <w:rFonts w:cs="Arial"/>
          <w:color w:val="222222"/>
          <w:sz w:val="22"/>
          <w:shd w:val="clear" w:color="auto" w:fill="FFFFFF"/>
        </w:rPr>
        <w:t>Cullen, A., Mazhar, M. K. A., Smith, M. D., Lithander, F. E., Ó Breasail, M., &amp; Henderson, E. J. (2022). Wearable and portable GPS solutions for monitoring mobility in dementia: a systematic review. </w:t>
      </w:r>
      <w:r w:rsidRPr="004B566B">
        <w:rPr>
          <w:rFonts w:cs="Arial"/>
          <w:i/>
          <w:iCs/>
          <w:color w:val="222222"/>
          <w:sz w:val="22"/>
          <w:shd w:val="clear" w:color="auto" w:fill="FFFFFF"/>
        </w:rPr>
        <w:t>Sensors</w:t>
      </w:r>
      <w:r w:rsidRPr="004B566B">
        <w:rPr>
          <w:rFonts w:cs="Arial"/>
          <w:color w:val="222222"/>
          <w:sz w:val="22"/>
          <w:shd w:val="clear" w:color="auto" w:fill="FFFFFF"/>
        </w:rPr>
        <w:t>, </w:t>
      </w:r>
      <w:r w:rsidRPr="004B566B">
        <w:rPr>
          <w:rFonts w:cs="Arial"/>
          <w:i/>
          <w:iCs/>
          <w:color w:val="222222"/>
          <w:sz w:val="22"/>
          <w:shd w:val="clear" w:color="auto" w:fill="FFFFFF"/>
        </w:rPr>
        <w:t>22</w:t>
      </w:r>
      <w:r w:rsidRPr="004B566B">
        <w:rPr>
          <w:rFonts w:cs="Arial"/>
          <w:color w:val="222222"/>
          <w:sz w:val="22"/>
          <w:shd w:val="clear" w:color="auto" w:fill="FFFFFF"/>
        </w:rPr>
        <w:t>(9), 3336.</w:t>
      </w:r>
    </w:p>
    <w:p w14:paraId="4E4D18C9" w14:textId="7B0A4A40" w:rsidR="004B566B" w:rsidRPr="00A668BE" w:rsidRDefault="004B566B" w:rsidP="004B566B">
      <w:pPr>
        <w:spacing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A668BE">
        <w:rPr>
          <w:rFonts w:eastAsia="Times New Roman" w:cs="Arial"/>
          <w:color w:val="auto"/>
          <w:sz w:val="22"/>
        </w:rPr>
        <w:t>Dubois, B., Villain, N., Schneider, L., Fox, N., Campbell, N., Galasko, D., Kivipelto, M., Jessen, F., Hanseeuw, B., Boada, M. and Barkhof, F., 2024. Alzheimer disease as a clinical-biological constructan International Working Group recommendation. JAMA neurology, 81(12), pp.1304-1311.</w:t>
      </w:r>
    </w:p>
    <w:p w14:paraId="7EBCA9F6" w14:textId="77777777" w:rsidR="004B566B" w:rsidRPr="002F44F7" w:rsidRDefault="004B566B" w:rsidP="004B566B">
      <w:pPr>
        <w:spacing w:before="100" w:beforeAutospacing="1"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2F44F7">
        <w:rPr>
          <w:rFonts w:eastAsia="Times New Roman" w:cs="Arial"/>
          <w:color w:val="auto"/>
          <w:sz w:val="22"/>
        </w:rPr>
        <w:t xml:space="preserve">Einola, K. and Alvesson, M. (2021) ‘Behind the numbers: Questioning questionnaires’, </w:t>
      </w:r>
      <w:r w:rsidRPr="00A668BE">
        <w:rPr>
          <w:rFonts w:eastAsia="Times New Roman" w:cs="Arial"/>
          <w:i/>
          <w:iCs/>
          <w:color w:val="auto"/>
          <w:sz w:val="22"/>
        </w:rPr>
        <w:t>Journal of Management Inquiry</w:t>
      </w:r>
      <w:r w:rsidRPr="002F44F7">
        <w:rPr>
          <w:rFonts w:eastAsia="Times New Roman" w:cs="Arial"/>
          <w:color w:val="auto"/>
          <w:sz w:val="22"/>
        </w:rPr>
        <w:t>, 30(1), pp. 102–114. doi:10.1177/1056492620938139.</w:t>
      </w:r>
    </w:p>
    <w:p w14:paraId="26D1457E" w14:textId="77777777" w:rsidR="004B566B" w:rsidRPr="00A668BE" w:rsidRDefault="004B566B" w:rsidP="004B566B">
      <w:pPr>
        <w:spacing w:before="100" w:beforeAutospacing="1"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A668BE">
        <w:rPr>
          <w:rFonts w:cs="Arial"/>
          <w:color w:val="222222"/>
          <w:sz w:val="22"/>
          <w:shd w:val="clear" w:color="auto" w:fill="FFFFFF"/>
        </w:rPr>
        <w:t>Grey, E., Baber, F., Corbett, E., Ellis, D., Gillison, F. and Barnett, J., 2024. The use of technology to address loneliness and social isolation among older adults: the role of social care providers. </w:t>
      </w:r>
      <w:r w:rsidRPr="00A668BE">
        <w:rPr>
          <w:rFonts w:cs="Arial"/>
          <w:i/>
          <w:iCs/>
          <w:color w:val="222222"/>
          <w:sz w:val="22"/>
          <w:shd w:val="clear" w:color="auto" w:fill="FFFFFF"/>
        </w:rPr>
        <w:t>BMC Public Health</w:t>
      </w:r>
      <w:r w:rsidRPr="00A668BE">
        <w:rPr>
          <w:rFonts w:cs="Arial"/>
          <w:color w:val="222222"/>
          <w:sz w:val="22"/>
          <w:shd w:val="clear" w:color="auto" w:fill="FFFFFF"/>
        </w:rPr>
        <w:t>, </w:t>
      </w:r>
      <w:r w:rsidRPr="00A668BE">
        <w:rPr>
          <w:rFonts w:cs="Arial"/>
          <w:i/>
          <w:iCs/>
          <w:color w:val="222222"/>
          <w:sz w:val="22"/>
          <w:shd w:val="clear" w:color="auto" w:fill="FFFFFF"/>
        </w:rPr>
        <w:t>24</w:t>
      </w:r>
      <w:r w:rsidRPr="00A668BE">
        <w:rPr>
          <w:rFonts w:cs="Arial"/>
          <w:color w:val="222222"/>
          <w:sz w:val="22"/>
          <w:shd w:val="clear" w:color="auto" w:fill="FFFFFF"/>
        </w:rPr>
        <w:t>(1), p.108.</w:t>
      </w:r>
    </w:p>
    <w:p w14:paraId="4563C7AB" w14:textId="77777777" w:rsidR="004B566B" w:rsidRPr="002F44F7" w:rsidRDefault="004B566B" w:rsidP="004B566B">
      <w:pPr>
        <w:spacing w:before="100" w:beforeAutospacing="1"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2F44F7">
        <w:rPr>
          <w:rFonts w:eastAsia="Times New Roman" w:cs="Arial"/>
          <w:color w:val="auto"/>
          <w:sz w:val="22"/>
        </w:rPr>
        <w:t xml:space="preserve">Hine, C., Nilforooshan, R. and Barnaghi, P. (2022) ‘Ethical considerations in design and implementation of home-based smart care for dementia’, </w:t>
      </w:r>
      <w:r w:rsidRPr="00A668BE">
        <w:rPr>
          <w:rFonts w:eastAsia="Times New Roman" w:cs="Arial"/>
          <w:i/>
          <w:iCs/>
          <w:color w:val="auto"/>
          <w:sz w:val="22"/>
        </w:rPr>
        <w:t>Nursing Ethics</w:t>
      </w:r>
      <w:r w:rsidRPr="002F44F7">
        <w:rPr>
          <w:rFonts w:eastAsia="Times New Roman" w:cs="Arial"/>
          <w:color w:val="auto"/>
          <w:sz w:val="22"/>
        </w:rPr>
        <w:t>, 29(4), pp. 1035–1046. doi:10.1177/09697330211062980.</w:t>
      </w:r>
    </w:p>
    <w:p w14:paraId="1FEFBD3F" w14:textId="77777777" w:rsidR="004B566B" w:rsidRPr="002F44F7" w:rsidRDefault="004B566B" w:rsidP="004B566B">
      <w:pPr>
        <w:spacing w:before="100" w:beforeAutospacing="1"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A668BE">
        <w:rPr>
          <w:rFonts w:cs="Arial"/>
          <w:color w:val="222222"/>
          <w:sz w:val="22"/>
          <w:shd w:val="clear" w:color="auto" w:fill="FFFFFF"/>
        </w:rPr>
        <w:t>Howes, J., Denier, Y., Vandemeulebroucke, T. and Gastmans, C., 2024. The ethics of electronic tracking devices in dementia care: an interview study with developers. </w:t>
      </w:r>
      <w:r w:rsidRPr="00A668BE">
        <w:rPr>
          <w:rFonts w:cs="Arial"/>
          <w:i/>
          <w:iCs/>
          <w:color w:val="222222"/>
          <w:sz w:val="22"/>
          <w:shd w:val="clear" w:color="auto" w:fill="FFFFFF"/>
        </w:rPr>
        <w:t>Science and Engineering Ethics</w:t>
      </w:r>
      <w:r w:rsidRPr="00A668BE">
        <w:rPr>
          <w:rFonts w:cs="Arial"/>
          <w:color w:val="222222"/>
          <w:sz w:val="22"/>
          <w:shd w:val="clear" w:color="auto" w:fill="FFFFFF"/>
        </w:rPr>
        <w:t>, </w:t>
      </w:r>
      <w:r w:rsidRPr="00A668BE">
        <w:rPr>
          <w:rFonts w:cs="Arial"/>
          <w:i/>
          <w:iCs/>
          <w:color w:val="222222"/>
          <w:sz w:val="22"/>
          <w:shd w:val="clear" w:color="auto" w:fill="FFFFFF"/>
        </w:rPr>
        <w:t>30</w:t>
      </w:r>
      <w:r w:rsidRPr="00A668BE">
        <w:rPr>
          <w:rFonts w:cs="Arial"/>
          <w:color w:val="222222"/>
          <w:sz w:val="22"/>
          <w:shd w:val="clear" w:color="auto" w:fill="FFFFFF"/>
        </w:rPr>
        <w:t>(3), p.17.</w:t>
      </w:r>
    </w:p>
    <w:p w14:paraId="4B3BD05C" w14:textId="77777777" w:rsidR="004B566B" w:rsidRPr="00A668BE" w:rsidRDefault="004B566B" w:rsidP="004B566B">
      <w:pPr>
        <w:spacing w:before="100" w:beforeAutospacing="1"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A668BE">
        <w:rPr>
          <w:rFonts w:cs="Arial"/>
          <w:color w:val="222222"/>
          <w:sz w:val="22"/>
          <w:shd w:val="clear" w:color="auto" w:fill="FFFFFF"/>
        </w:rPr>
        <w:t>Jimoh, O.F., Ryan, H., Killett, A., Shiggins, C., Langdon, P.E., Heywood, R. and Bunning, K., 2021. A systematic review and narrative synthesis of the research provisions under the Mental Capacity Act (2005) in England and Wales: Recruitment of adults with capacity and communication difficulties. </w:t>
      </w:r>
      <w:r w:rsidRPr="00A668BE">
        <w:rPr>
          <w:rFonts w:cs="Arial"/>
          <w:i/>
          <w:iCs/>
          <w:color w:val="222222"/>
          <w:sz w:val="22"/>
          <w:shd w:val="clear" w:color="auto" w:fill="FFFFFF"/>
        </w:rPr>
        <w:t>PLoS One</w:t>
      </w:r>
      <w:r w:rsidRPr="00A668BE">
        <w:rPr>
          <w:rFonts w:cs="Arial"/>
          <w:color w:val="222222"/>
          <w:sz w:val="22"/>
          <w:shd w:val="clear" w:color="auto" w:fill="FFFFFF"/>
        </w:rPr>
        <w:t>, </w:t>
      </w:r>
      <w:r w:rsidRPr="00A668BE">
        <w:rPr>
          <w:rFonts w:cs="Arial"/>
          <w:i/>
          <w:iCs/>
          <w:color w:val="222222"/>
          <w:sz w:val="22"/>
          <w:shd w:val="clear" w:color="auto" w:fill="FFFFFF"/>
        </w:rPr>
        <w:t>16</w:t>
      </w:r>
      <w:r w:rsidRPr="00A668BE">
        <w:rPr>
          <w:rFonts w:cs="Arial"/>
          <w:color w:val="222222"/>
          <w:sz w:val="22"/>
          <w:shd w:val="clear" w:color="auto" w:fill="FFFFFF"/>
        </w:rPr>
        <w:t>(9), p.e0256697.</w:t>
      </w:r>
      <w:r w:rsidRPr="00A668BE">
        <w:rPr>
          <w:rFonts w:eastAsia="Times New Roman" w:cs="Arial"/>
          <w:color w:val="auto"/>
          <w:sz w:val="22"/>
        </w:rPr>
        <w:t xml:space="preserve"> </w:t>
      </w:r>
    </w:p>
    <w:p w14:paraId="50B53549" w14:textId="77777777" w:rsidR="004B566B" w:rsidRPr="004B566B" w:rsidRDefault="004B566B" w:rsidP="004B566B">
      <w:pPr>
        <w:spacing w:after="0" w:line="360" w:lineRule="auto"/>
        <w:ind w:left="720" w:hanging="720"/>
        <w:jc w:val="both"/>
        <w:rPr>
          <w:rFonts w:cs="Arial"/>
          <w:color w:val="222222"/>
          <w:sz w:val="22"/>
          <w:shd w:val="clear" w:color="auto" w:fill="FFFFFF"/>
        </w:rPr>
      </w:pPr>
      <w:r w:rsidRPr="004B566B">
        <w:rPr>
          <w:rFonts w:cs="Arial"/>
          <w:color w:val="222222"/>
          <w:sz w:val="22"/>
          <w:shd w:val="clear" w:color="auto" w:fill="FFFFFF"/>
        </w:rPr>
        <w:t xml:space="preserve">Lancioni, G. E., Desideri, L., Singh, N. N., O’Reilly, M. F., Sigafoos, J., De Caro, M. F., &amp; Taurisano, P. (2023). Use of technology to sustain mobility in older people with cognitive </w:t>
      </w:r>
      <w:r w:rsidRPr="004B566B">
        <w:rPr>
          <w:rFonts w:cs="Arial"/>
          <w:color w:val="222222"/>
          <w:sz w:val="22"/>
          <w:shd w:val="clear" w:color="auto" w:fill="FFFFFF"/>
        </w:rPr>
        <w:lastRenderedPageBreak/>
        <w:t>impairment and dementia: a scoping review. </w:t>
      </w:r>
      <w:r w:rsidRPr="004B566B">
        <w:rPr>
          <w:rFonts w:cs="Arial"/>
          <w:i/>
          <w:iCs/>
          <w:color w:val="222222"/>
          <w:sz w:val="22"/>
          <w:shd w:val="clear" w:color="auto" w:fill="FFFFFF"/>
        </w:rPr>
        <w:t>Disability and Rehabilitation: Assistive Technology</w:t>
      </w:r>
      <w:r w:rsidRPr="004B566B">
        <w:rPr>
          <w:rFonts w:cs="Arial"/>
          <w:color w:val="222222"/>
          <w:sz w:val="22"/>
          <w:shd w:val="clear" w:color="auto" w:fill="FFFFFF"/>
        </w:rPr>
        <w:t>, </w:t>
      </w:r>
      <w:r w:rsidRPr="004B566B">
        <w:rPr>
          <w:rFonts w:cs="Arial"/>
          <w:i/>
          <w:iCs/>
          <w:color w:val="222222"/>
          <w:sz w:val="22"/>
          <w:shd w:val="clear" w:color="auto" w:fill="FFFFFF"/>
        </w:rPr>
        <w:t>18</w:t>
      </w:r>
      <w:r w:rsidRPr="004B566B">
        <w:rPr>
          <w:rFonts w:cs="Arial"/>
          <w:color w:val="222222"/>
          <w:sz w:val="22"/>
          <w:shd w:val="clear" w:color="auto" w:fill="FFFFFF"/>
        </w:rPr>
        <w:t>(5), 635-649.</w:t>
      </w:r>
    </w:p>
    <w:p w14:paraId="52C9FF85" w14:textId="77777777" w:rsidR="004B566B" w:rsidRDefault="004B566B" w:rsidP="004B566B">
      <w:pPr>
        <w:spacing w:after="0" w:line="360" w:lineRule="auto"/>
        <w:ind w:left="720" w:hanging="720"/>
        <w:jc w:val="both"/>
        <w:rPr>
          <w:rFonts w:cs="Arial"/>
          <w:color w:val="222222"/>
          <w:sz w:val="20"/>
          <w:szCs w:val="20"/>
          <w:shd w:val="clear" w:color="auto" w:fill="FFFFFF"/>
        </w:rPr>
      </w:pPr>
      <w:r w:rsidRPr="004B566B">
        <w:rPr>
          <w:rFonts w:cs="Arial"/>
          <w:color w:val="222222"/>
          <w:sz w:val="22"/>
          <w:shd w:val="clear" w:color="auto" w:fill="FFFFFF"/>
        </w:rPr>
        <w:t>Lee-Cheong, S., Amanullah, S., &amp; Jardine, M. (2022). New assistive technologies in dementia and</w:t>
      </w:r>
      <w:r>
        <w:rPr>
          <w:rFonts w:cs="Arial"/>
          <w:color w:val="222222"/>
          <w:sz w:val="20"/>
          <w:szCs w:val="20"/>
          <w:shd w:val="clear" w:color="auto" w:fill="FFFFFF"/>
        </w:rPr>
        <w:t xml:space="preserve"> mild cognitive impairment care: A PubMed review.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Asian Journal of Psychiatry</w:t>
      </w:r>
      <w:r>
        <w:rPr>
          <w:rFonts w:cs="Arial"/>
          <w:color w:val="222222"/>
          <w:sz w:val="20"/>
          <w:szCs w:val="20"/>
          <w:shd w:val="clear" w:color="auto" w:fill="FFFFFF"/>
        </w:rPr>
        <w:t>, </w:t>
      </w:r>
      <w:r>
        <w:rPr>
          <w:rFonts w:cs="Arial"/>
          <w:i/>
          <w:iCs/>
          <w:color w:val="222222"/>
          <w:sz w:val="20"/>
          <w:szCs w:val="20"/>
          <w:shd w:val="clear" w:color="auto" w:fill="FFFFFF"/>
        </w:rPr>
        <w:t>73</w:t>
      </w:r>
      <w:r>
        <w:rPr>
          <w:rFonts w:cs="Arial"/>
          <w:color w:val="222222"/>
          <w:sz w:val="20"/>
          <w:szCs w:val="20"/>
          <w:shd w:val="clear" w:color="auto" w:fill="FFFFFF"/>
        </w:rPr>
        <w:t>, 103135.</w:t>
      </w:r>
    </w:p>
    <w:p w14:paraId="2A5C6E87" w14:textId="77777777" w:rsidR="004B566B" w:rsidRPr="002F44F7" w:rsidRDefault="004B566B" w:rsidP="004B566B">
      <w:pPr>
        <w:spacing w:before="100" w:beforeAutospacing="1"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2F44F7">
        <w:rPr>
          <w:rFonts w:eastAsia="Times New Roman" w:cs="Arial"/>
          <w:color w:val="auto"/>
          <w:sz w:val="22"/>
        </w:rPr>
        <w:t xml:space="preserve">Lorenz, K., Freddolino, P.P., Comas-Herrera, A., Knapp, M. and Damant, J. (2017) ‘Technology-based tools and services for people with dementia and carers: Mapping technology onto the dementia care pathway’, </w:t>
      </w:r>
      <w:r w:rsidRPr="00A668BE">
        <w:rPr>
          <w:rFonts w:eastAsia="Times New Roman" w:cs="Arial"/>
          <w:i/>
          <w:iCs/>
          <w:color w:val="auto"/>
          <w:sz w:val="22"/>
        </w:rPr>
        <w:t>Dementia</w:t>
      </w:r>
      <w:r w:rsidRPr="002F44F7">
        <w:rPr>
          <w:rFonts w:eastAsia="Times New Roman" w:cs="Arial"/>
          <w:color w:val="auto"/>
          <w:sz w:val="22"/>
        </w:rPr>
        <w:t>, 18(2), pp. 725–741. doi:10.1177/1471301217691617.</w:t>
      </w:r>
    </w:p>
    <w:p w14:paraId="37090962" w14:textId="77777777" w:rsidR="004B566B" w:rsidRPr="002F44F7" w:rsidRDefault="004B566B" w:rsidP="004B566B">
      <w:pPr>
        <w:spacing w:before="100" w:beforeAutospacing="1"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2F44F7">
        <w:rPr>
          <w:rFonts w:eastAsia="Times New Roman" w:cs="Arial"/>
          <w:color w:val="auto"/>
          <w:sz w:val="22"/>
        </w:rPr>
        <w:t xml:space="preserve">Marques, I.C.P. and Ferreira, J.J.M. (2020) ‘Digital transformation in the area of health: Systematic review of 45 years of evolution’, </w:t>
      </w:r>
      <w:r w:rsidRPr="00A668BE">
        <w:rPr>
          <w:rFonts w:eastAsia="Times New Roman" w:cs="Arial"/>
          <w:i/>
          <w:iCs/>
          <w:color w:val="auto"/>
          <w:sz w:val="22"/>
        </w:rPr>
        <w:t>Health Technology</w:t>
      </w:r>
      <w:r w:rsidRPr="002F44F7">
        <w:rPr>
          <w:rFonts w:eastAsia="Times New Roman" w:cs="Arial"/>
          <w:color w:val="auto"/>
          <w:sz w:val="22"/>
        </w:rPr>
        <w:t>, 10, pp. 575–586. doi:10.1007/s12553-019-00402-8.</w:t>
      </w:r>
    </w:p>
    <w:p w14:paraId="70B9D45B" w14:textId="77777777" w:rsidR="004B566B" w:rsidRPr="004B566B" w:rsidRDefault="004B566B" w:rsidP="004B566B">
      <w:pPr>
        <w:spacing w:after="0" w:line="360" w:lineRule="auto"/>
        <w:ind w:left="720" w:hanging="720"/>
        <w:jc w:val="both"/>
        <w:rPr>
          <w:rFonts w:cs="Arial"/>
          <w:color w:val="222222"/>
          <w:sz w:val="22"/>
          <w:shd w:val="clear" w:color="auto" w:fill="FFFFFF"/>
        </w:rPr>
      </w:pPr>
      <w:r w:rsidRPr="004B566B">
        <w:rPr>
          <w:rFonts w:cs="Arial"/>
          <w:color w:val="222222"/>
          <w:sz w:val="22"/>
          <w:shd w:val="clear" w:color="auto" w:fill="FFFFFF"/>
        </w:rPr>
        <w:t>Meyer, A. (2024). The Changing Roles of GPS-Tracking in Dementia Care. </w:t>
      </w:r>
      <w:r w:rsidRPr="004B566B">
        <w:rPr>
          <w:rFonts w:cs="Arial"/>
          <w:i/>
          <w:iCs/>
          <w:color w:val="222222"/>
          <w:sz w:val="22"/>
          <w:shd w:val="clear" w:color="auto" w:fill="FFFFFF"/>
        </w:rPr>
        <w:t>Tidsskrift for Forskning i Sygdom Og Samfund</w:t>
      </w:r>
      <w:r w:rsidRPr="004B566B">
        <w:rPr>
          <w:rFonts w:cs="Arial"/>
          <w:color w:val="222222"/>
          <w:sz w:val="22"/>
          <w:shd w:val="clear" w:color="auto" w:fill="FFFFFF"/>
        </w:rPr>
        <w:t>, </w:t>
      </w:r>
      <w:r w:rsidRPr="004B566B">
        <w:rPr>
          <w:rFonts w:cs="Arial"/>
          <w:i/>
          <w:iCs/>
          <w:color w:val="222222"/>
          <w:sz w:val="22"/>
          <w:shd w:val="clear" w:color="auto" w:fill="FFFFFF"/>
        </w:rPr>
        <w:t>22</w:t>
      </w:r>
      <w:r w:rsidRPr="004B566B">
        <w:rPr>
          <w:rFonts w:cs="Arial"/>
          <w:color w:val="222222"/>
          <w:sz w:val="22"/>
          <w:shd w:val="clear" w:color="auto" w:fill="FFFFFF"/>
        </w:rPr>
        <w:t>(40).</w:t>
      </w:r>
    </w:p>
    <w:p w14:paraId="2414AC82" w14:textId="77777777" w:rsidR="004B566B" w:rsidRPr="002F44F7" w:rsidRDefault="004B566B" w:rsidP="004B566B">
      <w:pPr>
        <w:spacing w:before="100" w:beforeAutospacing="1"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2F44F7">
        <w:rPr>
          <w:rFonts w:eastAsia="Times New Roman" w:cs="Arial"/>
          <w:color w:val="auto"/>
          <w:sz w:val="22"/>
        </w:rPr>
        <w:t xml:space="preserve">Mojtabai, R. (2019) ‘Insurance loss in the era of the Affordable Care Act: Association with access to health services’, </w:t>
      </w:r>
      <w:r w:rsidRPr="00A668BE">
        <w:rPr>
          <w:rFonts w:eastAsia="Times New Roman" w:cs="Arial"/>
          <w:i/>
          <w:iCs/>
          <w:color w:val="auto"/>
          <w:sz w:val="22"/>
        </w:rPr>
        <w:t>Medical Care</w:t>
      </w:r>
      <w:r w:rsidRPr="002F44F7">
        <w:rPr>
          <w:rFonts w:eastAsia="Times New Roman" w:cs="Arial"/>
          <w:color w:val="auto"/>
          <w:sz w:val="22"/>
        </w:rPr>
        <w:t>, 57(8), pp. 567–573. doi:10.1097/MLR.0000000000001150.</w:t>
      </w:r>
    </w:p>
    <w:p w14:paraId="482ABE09" w14:textId="77777777" w:rsidR="004B566B" w:rsidRPr="004B566B" w:rsidRDefault="004B566B" w:rsidP="004B566B">
      <w:pPr>
        <w:spacing w:after="0" w:line="360" w:lineRule="auto"/>
        <w:ind w:left="720" w:hanging="720"/>
        <w:jc w:val="both"/>
        <w:rPr>
          <w:rFonts w:cs="Arial"/>
          <w:color w:val="222222"/>
          <w:sz w:val="22"/>
          <w:shd w:val="clear" w:color="auto" w:fill="FFFFFF"/>
        </w:rPr>
      </w:pPr>
      <w:r w:rsidRPr="004B566B">
        <w:rPr>
          <w:rFonts w:cs="Arial"/>
          <w:color w:val="222222"/>
          <w:sz w:val="22"/>
          <w:shd w:val="clear" w:color="auto" w:fill="FFFFFF"/>
        </w:rPr>
        <w:t>Neubauer, N., Spenrath, C., Philip, S., Daum, C., Liu, L., &amp; Miguel-Cruz, A. (2022). Identifying adoption and usability factors of locator devices for persons living with dementia. </w:t>
      </w:r>
      <w:r w:rsidRPr="004B566B">
        <w:rPr>
          <w:rFonts w:cs="Arial"/>
          <w:i/>
          <w:iCs/>
          <w:color w:val="222222"/>
          <w:sz w:val="22"/>
          <w:shd w:val="clear" w:color="auto" w:fill="FFFFFF"/>
        </w:rPr>
        <w:t>Dementia</w:t>
      </w:r>
      <w:r w:rsidRPr="004B566B">
        <w:rPr>
          <w:rFonts w:cs="Arial"/>
          <w:color w:val="222222"/>
          <w:sz w:val="22"/>
          <w:shd w:val="clear" w:color="auto" w:fill="FFFFFF"/>
        </w:rPr>
        <w:t>, </w:t>
      </w:r>
      <w:r w:rsidRPr="004B566B">
        <w:rPr>
          <w:rFonts w:cs="Arial"/>
          <w:i/>
          <w:iCs/>
          <w:color w:val="222222"/>
          <w:sz w:val="22"/>
          <w:shd w:val="clear" w:color="auto" w:fill="FFFFFF"/>
        </w:rPr>
        <w:t>21</w:t>
      </w:r>
      <w:r w:rsidRPr="004B566B">
        <w:rPr>
          <w:rFonts w:cs="Arial"/>
          <w:color w:val="222222"/>
          <w:sz w:val="22"/>
          <w:shd w:val="clear" w:color="auto" w:fill="FFFFFF"/>
        </w:rPr>
        <w:t>(3), 862-881.</w:t>
      </w:r>
    </w:p>
    <w:p w14:paraId="2AC92BB3" w14:textId="77777777" w:rsidR="004B566B" w:rsidRPr="002F44F7" w:rsidRDefault="004B566B" w:rsidP="004B566B">
      <w:pPr>
        <w:spacing w:before="100" w:beforeAutospacing="1"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2F44F7">
        <w:rPr>
          <w:rFonts w:eastAsia="Times New Roman" w:cs="Arial"/>
          <w:color w:val="auto"/>
          <w:sz w:val="22"/>
        </w:rPr>
        <w:t xml:space="preserve">Rasi-Heikkinen, P. and Doh, M. (2023) ‘Older adults and digital inclusion’, </w:t>
      </w:r>
      <w:r w:rsidRPr="00A668BE">
        <w:rPr>
          <w:rFonts w:eastAsia="Times New Roman" w:cs="Arial"/>
          <w:i/>
          <w:iCs/>
          <w:color w:val="auto"/>
          <w:sz w:val="22"/>
        </w:rPr>
        <w:t>Educational Gerontology</w:t>
      </w:r>
      <w:r w:rsidRPr="002F44F7">
        <w:rPr>
          <w:rFonts w:eastAsia="Times New Roman" w:cs="Arial"/>
          <w:color w:val="auto"/>
          <w:sz w:val="22"/>
        </w:rPr>
        <w:t>, 49(5), pp. 345–347. doi:10.1080/03601277.2023.2205743.</w:t>
      </w:r>
    </w:p>
    <w:p w14:paraId="029E2FFF" w14:textId="77777777" w:rsidR="004B566B" w:rsidRPr="00A668BE" w:rsidRDefault="004B566B" w:rsidP="004B566B">
      <w:pPr>
        <w:spacing w:before="100" w:beforeAutospacing="1"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A668BE">
        <w:rPr>
          <w:rFonts w:eastAsia="Times New Roman" w:cs="Arial"/>
          <w:color w:val="auto"/>
          <w:sz w:val="22"/>
        </w:rPr>
        <w:t>Richardson, S., Lawrence, K., Schoenthaler, A.M. and Mann, D., 2022. A framework for digital health equity. NPJ digital medicine, 5(1), p.119.</w:t>
      </w:r>
    </w:p>
    <w:p w14:paraId="09A4056F" w14:textId="77777777" w:rsidR="004B566B" w:rsidRPr="002F44F7" w:rsidRDefault="004B566B" w:rsidP="004B566B">
      <w:pPr>
        <w:spacing w:before="100" w:beforeAutospacing="1"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2F44F7">
        <w:rPr>
          <w:rFonts w:eastAsia="Times New Roman" w:cs="Arial"/>
          <w:color w:val="auto"/>
          <w:sz w:val="22"/>
        </w:rPr>
        <w:t xml:space="preserve">Sanders, D. and Scott, P. (2020) ‘Literature review: Technological interventions and their impact on quality of life for people living with dementia’, </w:t>
      </w:r>
      <w:r w:rsidRPr="00A668BE">
        <w:rPr>
          <w:rFonts w:eastAsia="Times New Roman" w:cs="Arial"/>
          <w:i/>
          <w:iCs/>
          <w:color w:val="auto"/>
          <w:sz w:val="22"/>
        </w:rPr>
        <w:t>BMJ Health &amp; Care Informatics</w:t>
      </w:r>
      <w:r w:rsidRPr="002F44F7">
        <w:rPr>
          <w:rFonts w:eastAsia="Times New Roman" w:cs="Arial"/>
          <w:color w:val="auto"/>
          <w:sz w:val="22"/>
        </w:rPr>
        <w:t>, 27(1), e100064. doi:10.1136/bmjhci-2019-100064.</w:t>
      </w:r>
    </w:p>
    <w:p w14:paraId="747124DA" w14:textId="77777777" w:rsidR="004B566B" w:rsidRPr="00A668BE" w:rsidRDefault="004B566B" w:rsidP="004B566B">
      <w:pPr>
        <w:spacing w:before="100" w:beforeAutospacing="1"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A668BE">
        <w:rPr>
          <w:rFonts w:eastAsia="Times New Roman" w:cs="Arial"/>
          <w:color w:val="auto"/>
          <w:sz w:val="22"/>
        </w:rPr>
        <w:t xml:space="preserve">Scerri, A., Schou Juul, F., Silva, R., Serrat, R., Grech, A., Jarašiūnaitė Fedosejeva, G., Celdrán, M., Trypka, E., Borg Xuereb, C., Korkmaz-Yaylagul, N. and Evripidou, M., 2025. Ethical </w:t>
      </w:r>
      <w:r w:rsidRPr="00A668BE">
        <w:rPr>
          <w:rFonts w:eastAsia="Times New Roman" w:cs="Arial"/>
          <w:color w:val="auto"/>
          <w:sz w:val="22"/>
        </w:rPr>
        <w:lastRenderedPageBreak/>
        <w:t>issues associated with assistive technologies for persons living with dementia and their caregivers–An overview of reviews. Dementia, p.14713012251341374.</w:t>
      </w:r>
    </w:p>
    <w:p w14:paraId="339FB280" w14:textId="77777777" w:rsidR="004B566B" w:rsidRPr="002F44F7" w:rsidRDefault="004B566B" w:rsidP="004B566B">
      <w:pPr>
        <w:spacing w:before="100" w:beforeAutospacing="1"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2F44F7">
        <w:rPr>
          <w:rFonts w:eastAsia="Times New Roman" w:cs="Arial"/>
          <w:color w:val="auto"/>
          <w:sz w:val="22"/>
        </w:rPr>
        <w:t xml:space="preserve">Smith, E.M. (2022) ‘The global report on assistive technology: A new era in assistive technology’, </w:t>
      </w:r>
      <w:r w:rsidRPr="00A668BE">
        <w:rPr>
          <w:rFonts w:eastAsia="Times New Roman" w:cs="Arial"/>
          <w:i/>
          <w:iCs/>
          <w:color w:val="auto"/>
          <w:sz w:val="22"/>
        </w:rPr>
        <w:t>Assistive Technology</w:t>
      </w:r>
      <w:r w:rsidRPr="002F44F7">
        <w:rPr>
          <w:rFonts w:eastAsia="Times New Roman" w:cs="Arial"/>
          <w:color w:val="auto"/>
          <w:sz w:val="22"/>
        </w:rPr>
        <w:t>, 34(3), p. 255. doi:10.1080/10400435.2022.2077596.</w:t>
      </w:r>
    </w:p>
    <w:p w14:paraId="108FB809" w14:textId="77777777" w:rsidR="004B566B" w:rsidRPr="002F44F7" w:rsidRDefault="004B566B" w:rsidP="004B566B">
      <w:pPr>
        <w:spacing w:before="100" w:beforeAutospacing="1" w:after="0" w:line="360" w:lineRule="auto"/>
        <w:ind w:left="720" w:hanging="720"/>
        <w:jc w:val="both"/>
        <w:rPr>
          <w:rFonts w:eastAsia="Times New Roman" w:cs="Arial"/>
          <w:color w:val="auto"/>
          <w:sz w:val="22"/>
        </w:rPr>
      </w:pPr>
      <w:r w:rsidRPr="002F44F7">
        <w:rPr>
          <w:rFonts w:eastAsia="Times New Roman" w:cs="Arial"/>
          <w:color w:val="auto"/>
          <w:sz w:val="22"/>
        </w:rPr>
        <w:t xml:space="preserve">Soofi, H. (2022) ‘Respect for autonomy and dementia care in nursing homes: Revising Beauchamp and Childress’s account of autonomous decision-making’, </w:t>
      </w:r>
      <w:r w:rsidRPr="00A668BE">
        <w:rPr>
          <w:rFonts w:eastAsia="Times New Roman" w:cs="Arial"/>
          <w:i/>
          <w:iCs/>
          <w:color w:val="auto"/>
          <w:sz w:val="22"/>
        </w:rPr>
        <w:t>Bioethical Inquiry</w:t>
      </w:r>
      <w:r w:rsidRPr="002F44F7">
        <w:rPr>
          <w:rFonts w:eastAsia="Times New Roman" w:cs="Arial"/>
          <w:color w:val="auto"/>
          <w:sz w:val="22"/>
        </w:rPr>
        <w:t>, 19, pp. 467–479. doi:10.1007/s11673-022-10195-7.</w:t>
      </w:r>
    </w:p>
    <w:p w14:paraId="69F47873" w14:textId="77777777" w:rsidR="00B84508" w:rsidRPr="00A668BE" w:rsidRDefault="00B84508" w:rsidP="00A668BE">
      <w:pPr>
        <w:spacing w:after="0" w:line="360" w:lineRule="auto"/>
        <w:rPr>
          <w:rFonts w:cs="Arial"/>
          <w:sz w:val="22"/>
        </w:rPr>
      </w:pPr>
    </w:p>
    <w:p w14:paraId="62BDB6FB" w14:textId="77777777" w:rsidR="00765699" w:rsidRPr="00A668BE" w:rsidRDefault="00765699" w:rsidP="00A668BE">
      <w:pPr>
        <w:spacing w:after="0" w:line="360" w:lineRule="auto"/>
        <w:rPr>
          <w:rFonts w:cs="Arial"/>
          <w:sz w:val="22"/>
        </w:rPr>
      </w:pPr>
    </w:p>
    <w:p w14:paraId="2321A7E8" w14:textId="77777777" w:rsidR="00765699" w:rsidRPr="00A668BE" w:rsidRDefault="00765699" w:rsidP="00A668BE">
      <w:pPr>
        <w:spacing w:after="0" w:line="360" w:lineRule="auto"/>
        <w:rPr>
          <w:rFonts w:cs="Arial"/>
          <w:sz w:val="22"/>
        </w:rPr>
      </w:pPr>
    </w:p>
    <w:p w14:paraId="5D333843" w14:textId="77777777" w:rsidR="00765699" w:rsidRPr="00A668BE" w:rsidRDefault="00765699" w:rsidP="00A668BE">
      <w:pPr>
        <w:spacing w:after="0" w:line="360" w:lineRule="auto"/>
        <w:rPr>
          <w:rFonts w:cs="Arial"/>
          <w:sz w:val="22"/>
        </w:rPr>
      </w:pPr>
    </w:p>
    <w:sectPr w:rsidR="00765699" w:rsidRPr="00A668BE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238679" w14:textId="77777777" w:rsidR="003A3A1D" w:rsidRDefault="003A3A1D" w:rsidP="009B2B74">
      <w:pPr>
        <w:spacing w:after="0" w:line="240" w:lineRule="auto"/>
      </w:pPr>
      <w:r>
        <w:separator/>
      </w:r>
    </w:p>
  </w:endnote>
  <w:endnote w:type="continuationSeparator" w:id="0">
    <w:p w14:paraId="192CCA09" w14:textId="77777777" w:rsidR="003A3A1D" w:rsidRDefault="003A3A1D" w:rsidP="009B2B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36329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A1E50F" w14:textId="77777777" w:rsidR="009B2B74" w:rsidRDefault="009B2B7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668BE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27DD59A7" w14:textId="77777777" w:rsidR="009B2B74" w:rsidRDefault="009B2B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A4A417" w14:textId="77777777" w:rsidR="003A3A1D" w:rsidRDefault="003A3A1D" w:rsidP="009B2B74">
      <w:pPr>
        <w:spacing w:after="0" w:line="240" w:lineRule="auto"/>
      </w:pPr>
      <w:r>
        <w:separator/>
      </w:r>
    </w:p>
  </w:footnote>
  <w:footnote w:type="continuationSeparator" w:id="0">
    <w:p w14:paraId="08675DF0" w14:textId="77777777" w:rsidR="003A3A1D" w:rsidRDefault="003A3A1D" w:rsidP="009B2B7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DB7C60"/>
    <w:multiLevelType w:val="hybridMultilevel"/>
    <w:tmpl w:val="67F0F88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846E1E"/>
    <w:multiLevelType w:val="hybridMultilevel"/>
    <w:tmpl w:val="9386FC9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626474">
    <w:abstractNumId w:val="0"/>
  </w:num>
  <w:num w:numId="2" w16cid:durableId="17271006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5699"/>
    <w:rsid w:val="00017ECC"/>
    <w:rsid w:val="000556EF"/>
    <w:rsid w:val="000D5F3A"/>
    <w:rsid w:val="000E65BC"/>
    <w:rsid w:val="00126931"/>
    <w:rsid w:val="00287137"/>
    <w:rsid w:val="002F44F7"/>
    <w:rsid w:val="0030267F"/>
    <w:rsid w:val="00345B51"/>
    <w:rsid w:val="0035083C"/>
    <w:rsid w:val="003843B5"/>
    <w:rsid w:val="003A3A1D"/>
    <w:rsid w:val="003C23D6"/>
    <w:rsid w:val="004208B0"/>
    <w:rsid w:val="00425387"/>
    <w:rsid w:val="00443401"/>
    <w:rsid w:val="004B566B"/>
    <w:rsid w:val="00506835"/>
    <w:rsid w:val="005D5A6D"/>
    <w:rsid w:val="005E6BA3"/>
    <w:rsid w:val="00677E6B"/>
    <w:rsid w:val="00710750"/>
    <w:rsid w:val="007365C1"/>
    <w:rsid w:val="00760915"/>
    <w:rsid w:val="00765699"/>
    <w:rsid w:val="00777215"/>
    <w:rsid w:val="007D5238"/>
    <w:rsid w:val="00825220"/>
    <w:rsid w:val="00856D62"/>
    <w:rsid w:val="00864E28"/>
    <w:rsid w:val="008A1537"/>
    <w:rsid w:val="008B30F4"/>
    <w:rsid w:val="008E375F"/>
    <w:rsid w:val="00956F31"/>
    <w:rsid w:val="009B2B74"/>
    <w:rsid w:val="009D5EA4"/>
    <w:rsid w:val="009E4664"/>
    <w:rsid w:val="009F7596"/>
    <w:rsid w:val="00A64E6D"/>
    <w:rsid w:val="00A668BE"/>
    <w:rsid w:val="00A672F2"/>
    <w:rsid w:val="00AA0243"/>
    <w:rsid w:val="00AA3FBB"/>
    <w:rsid w:val="00B84508"/>
    <w:rsid w:val="00B872D9"/>
    <w:rsid w:val="00BD4FA1"/>
    <w:rsid w:val="00C02A9B"/>
    <w:rsid w:val="00D54D73"/>
    <w:rsid w:val="00DD4D19"/>
    <w:rsid w:val="00E116FD"/>
    <w:rsid w:val="00E674A6"/>
    <w:rsid w:val="00E80BC7"/>
    <w:rsid w:val="00EC0EE2"/>
    <w:rsid w:val="00F1116B"/>
    <w:rsid w:val="00F23561"/>
    <w:rsid w:val="00F3298D"/>
    <w:rsid w:val="00F537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ne-N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53FE0"/>
  <w15:docId w15:val="{5E4E886F-80B9-4916-B40F-36BF12EFFD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5699"/>
    <w:rPr>
      <w:rFonts w:ascii="Arial" w:hAnsi="Arial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5699"/>
    <w:pPr>
      <w:keepNext/>
      <w:keepLines/>
      <w:spacing w:before="480" w:after="0" w:line="360" w:lineRule="auto"/>
      <w:jc w:val="both"/>
      <w:outlineLvl w:val="0"/>
    </w:pPr>
    <w:rPr>
      <w:rFonts w:eastAsiaTheme="majorEastAsia" w:cstheme="majorBidi"/>
      <w:b/>
      <w:bCs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65699"/>
    <w:pPr>
      <w:keepNext/>
      <w:keepLines/>
      <w:spacing w:before="200" w:after="0" w:line="360" w:lineRule="auto"/>
      <w:jc w:val="both"/>
      <w:outlineLvl w:val="1"/>
    </w:pPr>
    <w:rPr>
      <w:rFonts w:eastAsiaTheme="majorEastAsia" w:cstheme="majorBidi"/>
      <w:b/>
      <w:bCs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298D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5699"/>
    <w:rPr>
      <w:rFonts w:ascii="Arial" w:eastAsiaTheme="majorEastAsia" w:hAnsi="Arial" w:cstheme="majorBidi"/>
      <w:b/>
      <w:bCs/>
      <w:color w:val="000000" w:themeColor="text1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765699"/>
    <w:rPr>
      <w:rFonts w:ascii="Arial" w:eastAsiaTheme="majorEastAsia" w:hAnsi="Arial" w:cstheme="majorBidi"/>
      <w:b/>
      <w:bCs/>
      <w:color w:val="000000" w:themeColor="text1"/>
      <w:sz w:val="28"/>
      <w:szCs w:val="26"/>
    </w:rPr>
  </w:style>
  <w:style w:type="character" w:styleId="Hyperlink">
    <w:name w:val="Hyperlink"/>
    <w:basedOn w:val="DefaultParagraphFont"/>
    <w:uiPriority w:val="99"/>
    <w:unhideWhenUsed/>
    <w:rsid w:val="00B84508"/>
    <w:rPr>
      <w:color w:val="0000FF" w:themeColor="hyperlink"/>
      <w:u w:val="single"/>
    </w:rPr>
  </w:style>
  <w:style w:type="paragraph" w:customStyle="1" w:styleId="c-bibliographic-informationcitation">
    <w:name w:val="c-bibliographic-information__citation"/>
    <w:basedOn w:val="Normal"/>
    <w:rsid w:val="00B845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Cs w:val="24"/>
      <w:lang w:bidi="ne-NP"/>
    </w:rPr>
  </w:style>
  <w:style w:type="paragraph" w:customStyle="1" w:styleId="c-bibliographic-informationdownload-citation">
    <w:name w:val="c-bibliographic-information__download-citation"/>
    <w:basedOn w:val="Normal"/>
    <w:rsid w:val="00B845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Cs w:val="24"/>
      <w:lang w:bidi="ne-NP"/>
    </w:rPr>
  </w:style>
  <w:style w:type="paragraph" w:styleId="ListParagraph">
    <w:name w:val="List Paragraph"/>
    <w:basedOn w:val="Normal"/>
    <w:uiPriority w:val="34"/>
    <w:qFormat/>
    <w:rsid w:val="008E375F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3298D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F3298D"/>
    <w:pPr>
      <w:spacing w:after="1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3298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3298D"/>
    <w:rPr>
      <w:rFonts w:ascii="Tahoma" w:hAnsi="Tahoma" w:cs="Tahoma"/>
      <w:color w:val="000000" w:themeColor="text1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298D"/>
    <w:rPr>
      <w:rFonts w:asciiTheme="majorHAnsi" w:eastAsiaTheme="majorEastAsia" w:hAnsiTheme="majorHAnsi" w:cstheme="majorBidi"/>
      <w:b/>
      <w:bCs/>
      <w:color w:val="4F81BD" w:themeColor="accent1"/>
      <w:sz w:val="24"/>
    </w:rPr>
  </w:style>
  <w:style w:type="character" w:styleId="Strong">
    <w:name w:val="Strong"/>
    <w:basedOn w:val="DefaultParagraphFont"/>
    <w:uiPriority w:val="22"/>
    <w:qFormat/>
    <w:rsid w:val="00F3298D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F329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Cs w:val="24"/>
      <w:lang w:bidi="ne-NP"/>
    </w:rPr>
  </w:style>
  <w:style w:type="character" w:styleId="Emphasis">
    <w:name w:val="Emphasis"/>
    <w:basedOn w:val="DefaultParagraphFont"/>
    <w:uiPriority w:val="20"/>
    <w:qFormat/>
    <w:rsid w:val="00F3298D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9B2B7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2B74"/>
    <w:rPr>
      <w:rFonts w:ascii="Arial" w:hAnsi="Arial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9B2B7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2B74"/>
    <w:rPr>
      <w:rFonts w:ascii="Arial" w:hAnsi="Arial"/>
      <w:color w:val="000000" w:themeColor="text1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783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42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139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982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234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65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6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30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97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8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8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33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86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8F693FA-DC29-4852-B7C6-50E6409A13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4</Pages>
  <Words>711</Words>
  <Characters>4059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naila waheed</cp:lastModifiedBy>
  <cp:revision>22</cp:revision>
  <dcterms:created xsi:type="dcterms:W3CDTF">2025-11-03T20:13:00Z</dcterms:created>
  <dcterms:modified xsi:type="dcterms:W3CDTF">2025-11-03T22:26:00Z</dcterms:modified>
</cp:coreProperties>
</file>