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13140" w14:textId="0418C1C5" w:rsidR="006C120E" w:rsidRPr="00CF7692" w:rsidRDefault="006C120E" w:rsidP="00CF7692">
      <w:pPr>
        <w:pStyle w:val="NormalWeb"/>
        <w:spacing w:before="200" w:beforeAutospacing="0" w:after="0" w:afterAutospacing="0" w:line="360" w:lineRule="auto"/>
        <w:jc w:val="center"/>
        <w:rPr>
          <w:rFonts w:ascii="Arial" w:hAnsi="Arial" w:cs="Arial"/>
          <w:sz w:val="22"/>
          <w:szCs w:val="22"/>
        </w:rPr>
      </w:pPr>
      <w:r w:rsidRPr="00CF7692">
        <w:rPr>
          <w:rFonts w:ascii="Arial" w:eastAsiaTheme="minorEastAsia" w:hAnsi="Arial" w:cs="Arial"/>
          <w:color w:val="000000" w:themeColor="text1"/>
          <w:kern w:val="24"/>
          <w:sz w:val="22"/>
          <w:szCs w:val="22"/>
        </w:rPr>
        <w:t>Amanda McCann – 2521421</w:t>
      </w:r>
      <w:r w:rsidRPr="00CF7692">
        <w:rPr>
          <w:rFonts w:ascii="Arial" w:eastAsiaTheme="minorEastAsia" w:hAnsi="Arial" w:cs="Arial"/>
          <w:color w:val="000000" w:themeColor="text1"/>
          <w:kern w:val="24"/>
          <w:sz w:val="22"/>
          <w:szCs w:val="22"/>
        </w:rPr>
        <w:br/>
      </w:r>
      <w:r w:rsidRPr="00CF7692">
        <w:rPr>
          <w:rFonts w:ascii="Arial" w:hAnsi="Arial" w:cs="Arial"/>
          <w:sz w:val="22"/>
          <w:szCs w:val="22"/>
        </w:rPr>
        <w:t>Introduction to Health and Social Care</w:t>
      </w:r>
      <w:r w:rsidRPr="00CF7692">
        <w:rPr>
          <w:rFonts w:ascii="Arial" w:eastAsiaTheme="minorEastAsia" w:hAnsi="Arial" w:cs="Arial"/>
          <w:color w:val="000000" w:themeColor="text1"/>
          <w:kern w:val="24"/>
          <w:sz w:val="22"/>
          <w:szCs w:val="22"/>
        </w:rPr>
        <w:br/>
        <w:t>(</w:t>
      </w:r>
      <w:r w:rsidRPr="00CF7692">
        <w:rPr>
          <w:rFonts w:ascii="Arial" w:hAnsi="Arial" w:cs="Arial"/>
          <w:sz w:val="22"/>
          <w:szCs w:val="22"/>
        </w:rPr>
        <w:t>LCHS4003</w:t>
      </w:r>
      <w:r w:rsidRPr="00CF7692">
        <w:rPr>
          <w:rFonts w:ascii="Arial" w:eastAsiaTheme="minorEastAsia" w:hAnsi="Arial" w:cs="Arial"/>
          <w:color w:val="000000" w:themeColor="text1"/>
          <w:kern w:val="24"/>
          <w:sz w:val="22"/>
          <w:szCs w:val="22"/>
        </w:rPr>
        <w:t>_BIRM)</w:t>
      </w:r>
      <w:r w:rsidRPr="00CF7692">
        <w:rPr>
          <w:rFonts w:ascii="Arial" w:eastAsiaTheme="minorEastAsia" w:hAnsi="Arial" w:cs="Arial"/>
          <w:color w:val="000000" w:themeColor="text1"/>
          <w:kern w:val="24"/>
          <w:sz w:val="22"/>
          <w:szCs w:val="22"/>
        </w:rPr>
        <w:br/>
        <w:t>Category: Birmingham Campus</w:t>
      </w:r>
      <w:r w:rsidRPr="00CF7692">
        <w:rPr>
          <w:rFonts w:ascii="Arial" w:eastAsiaTheme="minorEastAsia" w:hAnsi="Arial" w:cs="Arial"/>
          <w:color w:val="000000" w:themeColor="text1"/>
          <w:kern w:val="24"/>
          <w:sz w:val="22"/>
          <w:szCs w:val="22"/>
        </w:rPr>
        <w:br/>
        <w:t xml:space="preserve">Lecturer – </w:t>
      </w:r>
      <w:r w:rsidRPr="00CF7692">
        <w:rPr>
          <w:rFonts w:ascii="Arial" w:hAnsi="Arial" w:cs="Arial"/>
          <w:color w:val="242130"/>
          <w:sz w:val="22"/>
          <w:szCs w:val="22"/>
          <w:shd w:val="clear" w:color="auto" w:fill="FFFFFF"/>
        </w:rPr>
        <w:t>Daniel Haruna</w:t>
      </w:r>
      <w:r w:rsidRPr="00CF7692">
        <w:rPr>
          <w:rFonts w:ascii="Arial" w:eastAsiaTheme="minorEastAsia" w:hAnsi="Arial" w:cs="Arial"/>
          <w:color w:val="000000" w:themeColor="text1"/>
          <w:kern w:val="24"/>
          <w:sz w:val="22"/>
          <w:szCs w:val="22"/>
        </w:rPr>
        <w:br/>
        <w:t xml:space="preserve">Component </w:t>
      </w:r>
      <w:r w:rsidRPr="00CF7692">
        <w:rPr>
          <w:rFonts w:ascii="Arial" w:eastAsiaTheme="minorEastAsia" w:hAnsi="Arial" w:cs="Arial"/>
          <w:color w:val="000000" w:themeColor="text1"/>
          <w:kern w:val="24"/>
          <w:sz w:val="22"/>
          <w:szCs w:val="22"/>
        </w:rPr>
        <w:t>2</w:t>
      </w:r>
      <w:r w:rsidRPr="00CF7692">
        <w:rPr>
          <w:rFonts w:ascii="Arial" w:eastAsiaTheme="minorEastAsia" w:hAnsi="Arial" w:cs="Arial"/>
          <w:color w:val="000000" w:themeColor="text1"/>
          <w:kern w:val="24"/>
          <w:sz w:val="22"/>
          <w:szCs w:val="22"/>
        </w:rPr>
        <w:t xml:space="preserve"> - </w:t>
      </w:r>
      <w:r w:rsidRPr="00CF7692">
        <w:rPr>
          <w:rFonts w:ascii="Arial" w:hAnsi="Arial" w:cs="Arial"/>
          <w:sz w:val="22"/>
          <w:szCs w:val="22"/>
        </w:rPr>
        <w:t>Written Assignment</w:t>
      </w:r>
    </w:p>
    <w:p w14:paraId="6BB9FC00" w14:textId="77777777" w:rsidR="003A4E79" w:rsidRPr="00CF7692" w:rsidRDefault="003A4E79" w:rsidP="00CF7692">
      <w:pPr>
        <w:spacing w:line="360" w:lineRule="auto"/>
        <w:rPr>
          <w:rFonts w:ascii="Arial" w:hAnsi="Arial" w:cs="Arial"/>
          <w:sz w:val="22"/>
          <w:szCs w:val="22"/>
        </w:rPr>
      </w:pPr>
    </w:p>
    <w:p w14:paraId="7907FE14" w14:textId="13E4109D" w:rsidR="00E36EC7" w:rsidRPr="00CF7692" w:rsidRDefault="00E36EC7" w:rsidP="00CF7692">
      <w:pPr>
        <w:spacing w:line="360" w:lineRule="auto"/>
        <w:jc w:val="center"/>
        <w:rPr>
          <w:rFonts w:ascii="Arial" w:hAnsi="Arial" w:cs="Arial"/>
          <w:sz w:val="22"/>
          <w:szCs w:val="22"/>
        </w:rPr>
      </w:pPr>
      <w:r w:rsidRPr="00CF7692">
        <w:rPr>
          <w:rFonts w:ascii="Arial" w:hAnsi="Arial" w:cs="Arial"/>
          <w:sz w:val="22"/>
          <w:szCs w:val="22"/>
        </w:rPr>
        <w:t>Case Study Report: Mrs Thompson</w:t>
      </w:r>
    </w:p>
    <w:p w14:paraId="3EC307DB" w14:textId="77777777" w:rsidR="00E36EC7" w:rsidRPr="00CF7692" w:rsidRDefault="00E36EC7" w:rsidP="00CF7692">
      <w:pPr>
        <w:spacing w:line="360" w:lineRule="auto"/>
        <w:rPr>
          <w:rFonts w:ascii="Arial" w:hAnsi="Arial" w:cs="Arial"/>
          <w:sz w:val="22"/>
          <w:szCs w:val="22"/>
        </w:rPr>
      </w:pPr>
    </w:p>
    <w:p w14:paraId="3F7D4BEC" w14:textId="77777777" w:rsidR="00E36EC7" w:rsidRPr="00CF7692" w:rsidRDefault="00E36EC7" w:rsidP="00CF7692">
      <w:pPr>
        <w:spacing w:line="360" w:lineRule="auto"/>
        <w:rPr>
          <w:rFonts w:ascii="Arial" w:hAnsi="Arial" w:cs="Arial"/>
          <w:sz w:val="22"/>
          <w:szCs w:val="22"/>
        </w:rPr>
      </w:pPr>
    </w:p>
    <w:p w14:paraId="7497FFAA" w14:textId="77777777" w:rsidR="00E36EC7" w:rsidRPr="00CF7692" w:rsidRDefault="00E36EC7" w:rsidP="00CF7692">
      <w:pPr>
        <w:spacing w:line="360" w:lineRule="auto"/>
        <w:rPr>
          <w:rFonts w:ascii="Arial" w:hAnsi="Arial" w:cs="Arial"/>
          <w:sz w:val="22"/>
          <w:szCs w:val="22"/>
        </w:rPr>
      </w:pPr>
    </w:p>
    <w:p w14:paraId="2F1E1953" w14:textId="77777777" w:rsidR="00E36EC7" w:rsidRPr="00CF7692" w:rsidRDefault="00E36EC7" w:rsidP="00CF7692">
      <w:pPr>
        <w:spacing w:line="360" w:lineRule="auto"/>
        <w:rPr>
          <w:rFonts w:ascii="Arial" w:hAnsi="Arial" w:cs="Arial"/>
          <w:sz w:val="22"/>
          <w:szCs w:val="22"/>
        </w:rPr>
      </w:pPr>
    </w:p>
    <w:p w14:paraId="0EBFD0F2" w14:textId="77777777" w:rsidR="00E36EC7" w:rsidRPr="00CF7692" w:rsidRDefault="00E36EC7" w:rsidP="00CF7692">
      <w:pPr>
        <w:spacing w:line="360" w:lineRule="auto"/>
        <w:rPr>
          <w:rFonts w:ascii="Arial" w:hAnsi="Arial" w:cs="Arial"/>
          <w:sz w:val="22"/>
          <w:szCs w:val="22"/>
        </w:rPr>
      </w:pPr>
    </w:p>
    <w:p w14:paraId="21F63649" w14:textId="77777777" w:rsidR="00E36EC7" w:rsidRPr="00CF7692" w:rsidRDefault="00E36EC7" w:rsidP="00CF7692">
      <w:pPr>
        <w:spacing w:line="360" w:lineRule="auto"/>
        <w:rPr>
          <w:rFonts w:ascii="Arial" w:hAnsi="Arial" w:cs="Arial"/>
          <w:sz w:val="22"/>
          <w:szCs w:val="22"/>
        </w:rPr>
      </w:pPr>
    </w:p>
    <w:p w14:paraId="336274AF" w14:textId="77777777" w:rsidR="00E36EC7" w:rsidRPr="00CF7692" w:rsidRDefault="00E36EC7" w:rsidP="00CF7692">
      <w:pPr>
        <w:spacing w:line="360" w:lineRule="auto"/>
        <w:rPr>
          <w:rFonts w:ascii="Arial" w:hAnsi="Arial" w:cs="Arial"/>
          <w:sz w:val="22"/>
          <w:szCs w:val="22"/>
        </w:rPr>
      </w:pPr>
    </w:p>
    <w:p w14:paraId="56C74990" w14:textId="77777777" w:rsidR="00E36EC7" w:rsidRPr="00CF7692" w:rsidRDefault="00E36EC7" w:rsidP="00CF7692">
      <w:pPr>
        <w:spacing w:line="360" w:lineRule="auto"/>
        <w:rPr>
          <w:rFonts w:ascii="Arial" w:hAnsi="Arial" w:cs="Arial"/>
          <w:sz w:val="22"/>
          <w:szCs w:val="22"/>
        </w:rPr>
      </w:pPr>
    </w:p>
    <w:p w14:paraId="4CB6374E" w14:textId="77777777" w:rsidR="00E36EC7" w:rsidRPr="00CF7692" w:rsidRDefault="00E36EC7" w:rsidP="00CF7692">
      <w:pPr>
        <w:spacing w:line="360" w:lineRule="auto"/>
        <w:rPr>
          <w:rFonts w:ascii="Arial" w:hAnsi="Arial" w:cs="Arial"/>
          <w:sz w:val="22"/>
          <w:szCs w:val="22"/>
        </w:rPr>
      </w:pPr>
    </w:p>
    <w:p w14:paraId="6436C939" w14:textId="77777777" w:rsidR="00E36EC7" w:rsidRPr="00CF7692" w:rsidRDefault="00E36EC7" w:rsidP="00CF7692">
      <w:pPr>
        <w:spacing w:line="360" w:lineRule="auto"/>
        <w:rPr>
          <w:rFonts w:ascii="Arial" w:hAnsi="Arial" w:cs="Arial"/>
          <w:sz w:val="22"/>
          <w:szCs w:val="22"/>
        </w:rPr>
      </w:pPr>
    </w:p>
    <w:p w14:paraId="386FA2CA" w14:textId="77777777" w:rsidR="00E36EC7" w:rsidRPr="00CF7692" w:rsidRDefault="00E36EC7" w:rsidP="00CF7692">
      <w:pPr>
        <w:spacing w:line="360" w:lineRule="auto"/>
        <w:rPr>
          <w:rFonts w:ascii="Arial" w:hAnsi="Arial" w:cs="Arial"/>
          <w:sz w:val="22"/>
          <w:szCs w:val="22"/>
        </w:rPr>
      </w:pPr>
    </w:p>
    <w:p w14:paraId="771E6272" w14:textId="77777777" w:rsidR="00E36EC7" w:rsidRPr="00CF7692" w:rsidRDefault="00E36EC7" w:rsidP="00CF7692">
      <w:pPr>
        <w:spacing w:line="360" w:lineRule="auto"/>
        <w:rPr>
          <w:rFonts w:ascii="Arial" w:hAnsi="Arial" w:cs="Arial"/>
          <w:sz w:val="22"/>
          <w:szCs w:val="22"/>
        </w:rPr>
      </w:pPr>
    </w:p>
    <w:p w14:paraId="005C4707" w14:textId="77777777" w:rsidR="00E36EC7" w:rsidRPr="00CF7692" w:rsidRDefault="00E36EC7" w:rsidP="00CF7692">
      <w:pPr>
        <w:spacing w:line="360" w:lineRule="auto"/>
        <w:rPr>
          <w:rFonts w:ascii="Arial" w:hAnsi="Arial" w:cs="Arial"/>
          <w:sz w:val="22"/>
          <w:szCs w:val="22"/>
        </w:rPr>
      </w:pPr>
    </w:p>
    <w:p w14:paraId="5B067504" w14:textId="77777777" w:rsidR="00E36EC7" w:rsidRPr="00CF7692" w:rsidRDefault="00E36EC7" w:rsidP="00CF7692">
      <w:pPr>
        <w:spacing w:line="360" w:lineRule="auto"/>
        <w:rPr>
          <w:rFonts w:ascii="Arial" w:hAnsi="Arial" w:cs="Arial"/>
          <w:sz w:val="22"/>
          <w:szCs w:val="22"/>
        </w:rPr>
      </w:pPr>
    </w:p>
    <w:p w14:paraId="7637AAA3" w14:textId="77777777" w:rsidR="00E36EC7" w:rsidRPr="00CF7692" w:rsidRDefault="00E36EC7" w:rsidP="00CF7692">
      <w:pPr>
        <w:spacing w:line="360" w:lineRule="auto"/>
        <w:rPr>
          <w:rFonts w:ascii="Arial" w:hAnsi="Arial" w:cs="Arial"/>
          <w:sz w:val="22"/>
          <w:szCs w:val="22"/>
        </w:rPr>
      </w:pPr>
    </w:p>
    <w:p w14:paraId="0798030A" w14:textId="77777777" w:rsidR="00E36EC7" w:rsidRPr="00CF7692" w:rsidRDefault="00E36EC7" w:rsidP="00CF7692">
      <w:pPr>
        <w:spacing w:before="100" w:beforeAutospacing="1" w:after="100" w:afterAutospacing="1" w:line="360" w:lineRule="auto"/>
        <w:outlineLvl w:val="1"/>
        <w:rPr>
          <w:rFonts w:ascii="Arial" w:hAnsi="Arial" w:cs="Arial"/>
          <w:sz w:val="22"/>
          <w:szCs w:val="22"/>
        </w:rPr>
      </w:pPr>
    </w:p>
    <w:p w14:paraId="76715BF5" w14:textId="77777777" w:rsidR="00E36EC7" w:rsidRPr="00CF7692" w:rsidRDefault="00E36EC7" w:rsidP="00CF7692">
      <w:pPr>
        <w:spacing w:before="100" w:beforeAutospacing="1" w:after="100" w:afterAutospacing="1" w:line="360" w:lineRule="auto"/>
        <w:outlineLvl w:val="1"/>
        <w:rPr>
          <w:rFonts w:ascii="Arial" w:hAnsi="Arial" w:cs="Arial"/>
          <w:sz w:val="22"/>
          <w:szCs w:val="22"/>
        </w:rPr>
      </w:pPr>
    </w:p>
    <w:p w14:paraId="6DCEDB6B" w14:textId="77777777" w:rsidR="00E36EC7" w:rsidRPr="00CF7692" w:rsidRDefault="00E36EC7" w:rsidP="00CF7692">
      <w:pPr>
        <w:spacing w:before="100" w:beforeAutospacing="1" w:after="100" w:afterAutospacing="1" w:line="360" w:lineRule="auto"/>
        <w:outlineLvl w:val="1"/>
        <w:rPr>
          <w:rFonts w:ascii="Arial" w:hAnsi="Arial" w:cs="Arial"/>
          <w:sz w:val="22"/>
          <w:szCs w:val="22"/>
        </w:rPr>
      </w:pPr>
    </w:p>
    <w:p w14:paraId="7A109ABD" w14:textId="01081BE8" w:rsidR="00E36EC7" w:rsidRPr="00CF7692" w:rsidRDefault="00E36EC7" w:rsidP="00CF7692">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lastRenderedPageBreak/>
        <w:t xml:space="preserve"> </w:t>
      </w:r>
    </w:p>
    <w:p w14:paraId="1ABB7C97" w14:textId="2F233839" w:rsidR="00E36EC7" w:rsidRPr="00E36EC7" w:rsidRDefault="00E36EC7" w:rsidP="00E36EC7">
      <w:pPr>
        <w:spacing w:before="100" w:beforeAutospacing="1" w:after="100" w:afterAutospacing="1" w:line="360" w:lineRule="auto"/>
        <w:rPr>
          <w:rFonts w:ascii="Arial" w:eastAsia="Times New Roman" w:hAnsi="Arial" w:cs="Arial"/>
          <w:kern w:val="0"/>
          <w:sz w:val="22"/>
          <w:szCs w:val="22"/>
          <w:lang w:eastAsia="en-GB"/>
          <w14:ligatures w14:val="none"/>
        </w:rPr>
      </w:pPr>
      <w:r w:rsidRPr="00E36EC7">
        <w:rPr>
          <w:rFonts w:ascii="Arial" w:eastAsia="Times New Roman" w:hAnsi="Arial" w:cs="Arial"/>
          <w:kern w:val="0"/>
          <w:sz w:val="22"/>
          <w:szCs w:val="22"/>
          <w:lang w:eastAsia="en-GB"/>
          <w14:ligatures w14:val="none"/>
        </w:rPr>
        <w:t>This report examines three essential components of effective health and social care practice—communication, administrative skills, and collaborative working—within the context of Mrs Thompson’s case. Mrs Thompson is an 84</w:t>
      </w:r>
      <w:r w:rsidRPr="00E36EC7">
        <w:rPr>
          <w:rFonts w:ascii="Arial" w:eastAsia="Times New Roman" w:hAnsi="Arial" w:cs="Arial"/>
          <w:kern w:val="0"/>
          <w:sz w:val="22"/>
          <w:szCs w:val="22"/>
          <w:lang w:eastAsia="en-GB"/>
          <w14:ligatures w14:val="none"/>
        </w:rPr>
        <w:noBreakHyphen/>
        <w:t>year</w:t>
      </w:r>
      <w:r w:rsidRPr="00E36EC7">
        <w:rPr>
          <w:rFonts w:ascii="Arial" w:eastAsia="Times New Roman" w:hAnsi="Arial" w:cs="Arial"/>
          <w:kern w:val="0"/>
          <w:sz w:val="22"/>
          <w:szCs w:val="22"/>
          <w:lang w:eastAsia="en-GB"/>
          <w14:ligatures w14:val="none"/>
        </w:rPr>
        <w:noBreakHyphen/>
        <w:t>old woman recently discharged from hospital following pneumonia. She lives alone, has mild dementia, and receives domiciliary care twice daily. Recent incidents, including missed medication and being found outside inadequately dressed, highlight the importance of coordinated, safe, and person</w:t>
      </w:r>
      <w:r w:rsidRPr="00E36EC7">
        <w:rPr>
          <w:rFonts w:ascii="Arial" w:eastAsia="Times New Roman" w:hAnsi="Arial" w:cs="Arial"/>
          <w:kern w:val="0"/>
          <w:sz w:val="22"/>
          <w:szCs w:val="22"/>
          <w:lang w:eastAsia="en-GB"/>
          <w14:ligatures w14:val="none"/>
        </w:rPr>
        <w:noBreakHyphen/>
        <w:t>centred care. The report explores how effective communication supports her wellbeing, how accurate record</w:t>
      </w:r>
      <w:r w:rsidRPr="00E36EC7">
        <w:rPr>
          <w:rFonts w:ascii="Arial" w:eastAsia="Times New Roman" w:hAnsi="Arial" w:cs="Arial"/>
          <w:kern w:val="0"/>
          <w:sz w:val="22"/>
          <w:szCs w:val="22"/>
          <w:lang w:eastAsia="en-GB"/>
          <w14:ligatures w14:val="none"/>
        </w:rPr>
        <w:noBreakHyphen/>
        <w:t>keeping and administrative processes ensure legal compliance and continuity of care, and how multi</w:t>
      </w:r>
      <w:r w:rsidRPr="00E36EC7">
        <w:rPr>
          <w:rFonts w:ascii="Arial" w:eastAsia="Times New Roman" w:hAnsi="Arial" w:cs="Arial"/>
          <w:kern w:val="0"/>
          <w:sz w:val="22"/>
          <w:szCs w:val="22"/>
          <w:lang w:eastAsia="en-GB"/>
          <w14:ligatures w14:val="none"/>
        </w:rPr>
        <w:noBreakHyphen/>
        <w:t>agency working enables professionals to respond to her complex needs. Drawing on legislation such as the Equality Act 2010, the Data Protection Act 2018, and the Care Act 2014, as well as relevant communication models and policy frameworks, this report demonstrates how high</w:t>
      </w:r>
      <w:r w:rsidRPr="00E36EC7">
        <w:rPr>
          <w:rFonts w:ascii="Arial" w:eastAsia="Times New Roman" w:hAnsi="Arial" w:cs="Arial"/>
          <w:kern w:val="0"/>
          <w:sz w:val="22"/>
          <w:szCs w:val="22"/>
          <w:lang w:eastAsia="en-GB"/>
          <w14:ligatures w14:val="none"/>
        </w:rPr>
        <w:noBreakHyphen/>
        <w:t>quality practice can safeguard vulnerable adults and promote positive outcomes.</w:t>
      </w:r>
      <w:r w:rsidRPr="00E36EC7">
        <w:rPr>
          <w:rFonts w:ascii="Arial" w:eastAsia="Times New Roman" w:hAnsi="Arial" w:cs="Arial"/>
          <w:kern w:val="36"/>
          <w:sz w:val="22"/>
          <w:szCs w:val="22"/>
          <w:lang w:eastAsia="en-GB"/>
          <w14:ligatures w14:val="none"/>
        </w:rPr>
        <w:t xml:space="preserve"> Importance of Effective Communication </w:t>
      </w:r>
    </w:p>
    <w:p w14:paraId="25A75B2A" w14:textId="77777777" w:rsidR="00E36EC7" w:rsidRPr="00E36EC7" w:rsidRDefault="00E36EC7" w:rsidP="00E36EC7">
      <w:pPr>
        <w:spacing w:before="100" w:beforeAutospacing="1" w:after="100" w:afterAutospacing="1" w:line="360" w:lineRule="auto"/>
        <w:rPr>
          <w:rFonts w:ascii="Arial" w:eastAsia="Times New Roman" w:hAnsi="Arial" w:cs="Arial"/>
          <w:kern w:val="0"/>
          <w:sz w:val="22"/>
          <w:szCs w:val="22"/>
          <w:lang w:eastAsia="en-GB"/>
          <w14:ligatures w14:val="none"/>
        </w:rPr>
      </w:pPr>
      <w:r w:rsidRPr="00E36EC7">
        <w:rPr>
          <w:rFonts w:ascii="Arial" w:eastAsia="Times New Roman" w:hAnsi="Arial" w:cs="Arial"/>
          <w:kern w:val="0"/>
          <w:sz w:val="22"/>
          <w:szCs w:val="22"/>
          <w:lang w:eastAsia="en-GB"/>
          <w14:ligatures w14:val="none"/>
        </w:rPr>
        <w:t>Effective communication is central to ensuring safe, person</w:t>
      </w:r>
      <w:r w:rsidRPr="00E36EC7">
        <w:rPr>
          <w:rFonts w:ascii="Arial" w:eastAsia="Times New Roman" w:hAnsi="Arial" w:cs="Arial"/>
          <w:kern w:val="0"/>
          <w:sz w:val="22"/>
          <w:szCs w:val="22"/>
          <w:lang w:eastAsia="en-GB"/>
          <w14:ligatures w14:val="none"/>
        </w:rPr>
        <w:noBreakHyphen/>
        <w:t>centred care for Mrs Thompson, particularly given her mild dementia and recent episodes of confusion. Dementia can affect memory, processing speed, and the ability to understand complex information, meaning communication must be adapted to her cognitive needs (Alzheimer’s Society, 2023). Using clear, simple language, maintaining eye contact, and allowing extra time for responses can help reduce anxiety and support understanding. Tone of voice, body language, and reassurance are also essential, as individuals with dementia often rely on non</w:t>
      </w:r>
      <w:r w:rsidRPr="00E36EC7">
        <w:rPr>
          <w:rFonts w:ascii="Arial" w:eastAsia="Times New Roman" w:hAnsi="Arial" w:cs="Arial"/>
          <w:kern w:val="0"/>
          <w:sz w:val="22"/>
          <w:szCs w:val="22"/>
          <w:lang w:eastAsia="en-GB"/>
          <w14:ligatures w14:val="none"/>
        </w:rPr>
        <w:noBreakHyphen/>
        <w:t>verbal cues (</w:t>
      </w:r>
      <w:proofErr w:type="spellStart"/>
      <w:r w:rsidRPr="00E36EC7">
        <w:rPr>
          <w:rFonts w:ascii="Arial" w:eastAsia="Times New Roman" w:hAnsi="Arial" w:cs="Arial"/>
          <w:kern w:val="0"/>
          <w:sz w:val="22"/>
          <w:szCs w:val="22"/>
          <w:lang w:eastAsia="en-GB"/>
          <w14:ligatures w14:val="none"/>
        </w:rPr>
        <w:t>Kitwood</w:t>
      </w:r>
      <w:proofErr w:type="spellEnd"/>
      <w:r w:rsidRPr="00E36EC7">
        <w:rPr>
          <w:rFonts w:ascii="Arial" w:eastAsia="Times New Roman" w:hAnsi="Arial" w:cs="Arial"/>
          <w:kern w:val="0"/>
          <w:sz w:val="22"/>
          <w:szCs w:val="22"/>
          <w:lang w:eastAsia="en-GB"/>
          <w14:ligatures w14:val="none"/>
        </w:rPr>
        <w:t>, 1997).</w:t>
      </w:r>
    </w:p>
    <w:p w14:paraId="2061177A" w14:textId="77777777" w:rsidR="00E36EC7" w:rsidRPr="00E36EC7" w:rsidRDefault="00E36EC7" w:rsidP="00E36EC7">
      <w:pPr>
        <w:spacing w:before="100" w:beforeAutospacing="1" w:after="100" w:afterAutospacing="1" w:line="360" w:lineRule="auto"/>
        <w:rPr>
          <w:rFonts w:ascii="Arial" w:eastAsia="Times New Roman" w:hAnsi="Arial" w:cs="Arial"/>
          <w:kern w:val="0"/>
          <w:sz w:val="22"/>
          <w:szCs w:val="22"/>
          <w:lang w:eastAsia="en-GB"/>
          <w14:ligatures w14:val="none"/>
        </w:rPr>
      </w:pPr>
      <w:r w:rsidRPr="00E36EC7">
        <w:rPr>
          <w:rFonts w:ascii="Arial" w:eastAsia="Times New Roman" w:hAnsi="Arial" w:cs="Arial"/>
          <w:kern w:val="0"/>
          <w:sz w:val="22"/>
          <w:szCs w:val="22"/>
          <w:lang w:eastAsia="en-GB"/>
          <w14:ligatures w14:val="none"/>
        </w:rPr>
        <w:t>Communication with family members is equally important, as they may provide insight into Mrs Thompson’s routines, preferences, and early signs of deterioration. Engaging families respectfully aligns with the Equality Act 2010, which requires services to make reasonable adjustments for individuals with disabilities, including cognitive impairments. This means adapting communication methods—such as using visual prompts, written reminders, or simplified explanations—to ensure Mrs Thompson is not disadvantaged because of her dementia (Equality Act, 2010).</w:t>
      </w:r>
    </w:p>
    <w:p w14:paraId="47CE6628" w14:textId="77777777" w:rsidR="00E36EC7" w:rsidRPr="00E36EC7" w:rsidRDefault="00E36EC7" w:rsidP="00E36EC7">
      <w:pPr>
        <w:spacing w:before="100" w:beforeAutospacing="1" w:after="100" w:afterAutospacing="1" w:line="360" w:lineRule="auto"/>
        <w:rPr>
          <w:rFonts w:ascii="Arial" w:eastAsia="Times New Roman" w:hAnsi="Arial" w:cs="Arial"/>
          <w:kern w:val="0"/>
          <w:sz w:val="22"/>
          <w:szCs w:val="22"/>
          <w:lang w:eastAsia="en-GB"/>
          <w14:ligatures w14:val="none"/>
        </w:rPr>
      </w:pPr>
      <w:r w:rsidRPr="00E36EC7">
        <w:rPr>
          <w:rFonts w:ascii="Arial" w:eastAsia="Times New Roman" w:hAnsi="Arial" w:cs="Arial"/>
          <w:kern w:val="0"/>
          <w:sz w:val="22"/>
          <w:szCs w:val="22"/>
          <w:lang w:eastAsia="en-GB"/>
          <w14:ligatures w14:val="none"/>
        </w:rPr>
        <w:t>A useful framework for supporting communication in this case is the SOLER model (Egan, 2014). This model encourages care workers to adopt an open posture, maintain appropriate eye contact, and listen attentively. Applying SOLER when speaking with Mrs Thompson can help build trust, reduce confusion, and encourage her to express concerns, such as difficulties managing medication. Active listening also ensures that care workers notice subtle changes in her behaviour, which is crucial for safeguarding.</w:t>
      </w:r>
    </w:p>
    <w:p w14:paraId="5431E745" w14:textId="77777777" w:rsidR="00E36EC7" w:rsidRPr="00E36EC7" w:rsidRDefault="00E36EC7" w:rsidP="00E36EC7">
      <w:pPr>
        <w:spacing w:before="100" w:beforeAutospacing="1" w:after="100" w:afterAutospacing="1" w:line="360" w:lineRule="auto"/>
        <w:rPr>
          <w:rFonts w:ascii="Arial" w:eastAsia="Times New Roman" w:hAnsi="Arial" w:cs="Arial"/>
          <w:kern w:val="0"/>
          <w:sz w:val="22"/>
          <w:szCs w:val="22"/>
          <w:lang w:eastAsia="en-GB"/>
          <w14:ligatures w14:val="none"/>
        </w:rPr>
      </w:pPr>
      <w:r w:rsidRPr="00E36EC7">
        <w:rPr>
          <w:rFonts w:ascii="Arial" w:eastAsia="Times New Roman" w:hAnsi="Arial" w:cs="Arial"/>
          <w:kern w:val="0"/>
          <w:sz w:val="22"/>
          <w:szCs w:val="22"/>
          <w:lang w:eastAsia="en-GB"/>
          <w14:ligatures w14:val="none"/>
        </w:rPr>
        <w:t>Communication between professionals is equally vital. The missed medication incident demonstrates the need for clear handovers, accurate reporting, and timely escalation. Poor communication is a leading cause of medication errors and safeguarding concerns in older adults (CQC, 2022). Using structured communication tools such as SBAR (Situation, Background, Assessment, Recommendation) ensures that information is passed on consistently and reduces the risk of misunderstandings.</w:t>
      </w:r>
    </w:p>
    <w:p w14:paraId="19821AA2" w14:textId="77777777" w:rsidR="00E36EC7" w:rsidRPr="00E36EC7" w:rsidRDefault="00E36EC7" w:rsidP="00E36EC7">
      <w:pPr>
        <w:spacing w:before="100" w:beforeAutospacing="1" w:after="100" w:afterAutospacing="1" w:line="360" w:lineRule="auto"/>
        <w:rPr>
          <w:rFonts w:ascii="Arial" w:eastAsia="Times New Roman" w:hAnsi="Arial" w:cs="Arial"/>
          <w:kern w:val="0"/>
          <w:sz w:val="22"/>
          <w:szCs w:val="22"/>
          <w:lang w:eastAsia="en-GB"/>
          <w14:ligatures w14:val="none"/>
        </w:rPr>
      </w:pPr>
      <w:r w:rsidRPr="00E36EC7">
        <w:rPr>
          <w:rFonts w:ascii="Arial" w:eastAsia="Times New Roman" w:hAnsi="Arial" w:cs="Arial"/>
          <w:kern w:val="0"/>
          <w:sz w:val="22"/>
          <w:szCs w:val="22"/>
          <w:lang w:eastAsia="en-GB"/>
          <w14:ligatures w14:val="none"/>
        </w:rPr>
        <w:t>Cultural sensitivity is also important. The Equality Act 2010 protects individuals from discrimination based on age, disability, race, religion, and other characteristics. Care workers must therefore communicate in a way that respects Mrs Thompson’s identity, values, and preferences. This may include checking how she prefers to be addressed, being aware of sensory impairments, and ensuring written information is accessible.</w:t>
      </w:r>
    </w:p>
    <w:p w14:paraId="2F448727" w14:textId="77777777" w:rsidR="00E36EC7" w:rsidRPr="00E36EC7" w:rsidRDefault="00E36EC7" w:rsidP="00E36EC7">
      <w:pPr>
        <w:spacing w:before="100" w:beforeAutospacing="1" w:after="100" w:afterAutospacing="1" w:line="360" w:lineRule="auto"/>
        <w:rPr>
          <w:rFonts w:ascii="Arial" w:eastAsia="Times New Roman" w:hAnsi="Arial" w:cs="Arial"/>
          <w:kern w:val="0"/>
          <w:sz w:val="22"/>
          <w:szCs w:val="22"/>
          <w:lang w:eastAsia="en-GB"/>
          <w14:ligatures w14:val="none"/>
        </w:rPr>
      </w:pPr>
      <w:r w:rsidRPr="00E36EC7">
        <w:rPr>
          <w:rFonts w:ascii="Arial" w:eastAsia="Times New Roman" w:hAnsi="Arial" w:cs="Arial"/>
          <w:kern w:val="0"/>
          <w:sz w:val="22"/>
          <w:szCs w:val="22"/>
          <w:lang w:eastAsia="en-GB"/>
          <w14:ligatures w14:val="none"/>
        </w:rPr>
        <w:t>Overall, effective communication supports safety, dignity, and autonomy. For Mrs Thompson, it ensures she understands her care, reduces the risk of further incidents, and strengthens relationships between her, her family, and the professionals supporting her.</w:t>
      </w:r>
    </w:p>
    <w:p w14:paraId="7301B5E3" w14:textId="656595C0" w:rsidR="00E36EC7" w:rsidRPr="00CF7692" w:rsidRDefault="00E36EC7" w:rsidP="00CF7692">
      <w:pPr>
        <w:spacing w:before="100" w:beforeAutospacing="1" w:after="100" w:afterAutospacing="1" w:line="360" w:lineRule="auto"/>
        <w:outlineLvl w:val="0"/>
        <w:rPr>
          <w:rFonts w:ascii="Arial" w:eastAsia="Times New Roman" w:hAnsi="Arial" w:cs="Arial"/>
          <w:kern w:val="36"/>
          <w:sz w:val="22"/>
          <w:szCs w:val="22"/>
          <w:lang w:eastAsia="en-GB"/>
          <w14:ligatures w14:val="none"/>
        </w:rPr>
      </w:pPr>
      <w:r w:rsidRPr="00CF7692">
        <w:rPr>
          <w:rFonts w:ascii="Arial" w:eastAsia="Times New Roman" w:hAnsi="Arial" w:cs="Arial"/>
          <w:kern w:val="36"/>
          <w:sz w:val="22"/>
          <w:szCs w:val="22"/>
          <w:lang w:eastAsia="en-GB"/>
          <w14:ligatures w14:val="none"/>
        </w:rPr>
        <w:t xml:space="preserve"> Importance of Administrative Skills and Record</w:t>
      </w:r>
      <w:r w:rsidRPr="00CF7692">
        <w:rPr>
          <w:rFonts w:ascii="Arial" w:eastAsia="Times New Roman" w:hAnsi="Arial" w:cs="Arial"/>
          <w:kern w:val="36"/>
          <w:sz w:val="22"/>
          <w:szCs w:val="22"/>
          <w:lang w:eastAsia="en-GB"/>
          <w14:ligatures w14:val="none"/>
        </w:rPr>
        <w:noBreakHyphen/>
        <w:t xml:space="preserve">Keeping </w:t>
      </w:r>
    </w:p>
    <w:p w14:paraId="23ABB3B0"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t>Good administrative skills are essential in health and social care because they ensure accurate documentation, legal compliance, and continuity of care. In Mrs Thompson’s case, the missed medication incident and the safeguarding concern about her being found outside highlight the importance of precise, timely, and factual record</w:t>
      </w:r>
      <w:r w:rsidRPr="00CF7692">
        <w:rPr>
          <w:rFonts w:ascii="Arial" w:eastAsia="Times New Roman" w:hAnsi="Arial" w:cs="Arial"/>
          <w:kern w:val="0"/>
          <w:sz w:val="22"/>
          <w:szCs w:val="22"/>
          <w:lang w:eastAsia="en-GB"/>
          <w14:ligatures w14:val="none"/>
        </w:rPr>
        <w:noBreakHyphen/>
        <w:t>keeping. Records provide an evidence base for decision</w:t>
      </w:r>
      <w:r w:rsidRPr="00CF7692">
        <w:rPr>
          <w:rFonts w:ascii="Arial" w:eastAsia="Times New Roman" w:hAnsi="Arial" w:cs="Arial"/>
          <w:kern w:val="0"/>
          <w:sz w:val="22"/>
          <w:szCs w:val="22"/>
          <w:lang w:eastAsia="en-GB"/>
          <w14:ligatures w14:val="none"/>
        </w:rPr>
        <w:noBreakHyphen/>
        <w:t>making, support risk assessments, and ensure that all professionals involved have access to the same information (NMC, 2018).</w:t>
      </w:r>
    </w:p>
    <w:p w14:paraId="0D1921E9"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t>The Data Protection Act 2018 and the UK GDPR set out strict requirements for how personal data must be collected, stored, and shared. Care providers must ensure that Mrs Thompson’s records are accurate, up to date, and stored securely. Information should only be shared with professionals who have a legitimate need to know, such as her GP, community nurse, or social worker. This protects her privacy while ensuring that essential information is available to support her care.</w:t>
      </w:r>
    </w:p>
    <w:p w14:paraId="18369940"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t>Accurate medication records are particularly important. Missed doses can lead to serious health consequences, especially for older adults with multiple conditions. The incident report submitted by the domiciliary care team ensures transparency and accountability. It also triggers a medication review, which aligns with NICE guidelines on safe medicines management (NICE, 2022). Without proper documentation, patterns of missed medication or deterioration may go unnoticed.</w:t>
      </w:r>
    </w:p>
    <w:p w14:paraId="01A1E92C"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t>Administrative skills also support safeguarding responsibilities under the Care Act 2014, which requires local authorities and care providers to protect adults at risk of harm. Recording concerns such as Mrs Thompson being found outside without appropriate clothing ensures that risks are identified and acted upon. These records contribute to multi</w:t>
      </w:r>
      <w:r w:rsidRPr="00CF7692">
        <w:rPr>
          <w:rFonts w:ascii="Arial" w:eastAsia="Times New Roman" w:hAnsi="Arial" w:cs="Arial"/>
          <w:kern w:val="0"/>
          <w:sz w:val="22"/>
          <w:szCs w:val="22"/>
          <w:lang w:eastAsia="en-GB"/>
          <w14:ligatures w14:val="none"/>
        </w:rPr>
        <w:noBreakHyphen/>
        <w:t>agency safeguarding enquiries and help determine whether additional support or supervision is needed.</w:t>
      </w:r>
    </w:p>
    <w:p w14:paraId="3B7AE3F3"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t>Policies such as the Caldicott Principles further guide information governance in health and social care. These principles emphasise the need to justify the use of personal information, use the minimum necessary data, and ensure that access is strictly controlled (Caldicott Review, 2013). Applying these principles ensures that Mrs Thompson’s dignity and confidentiality are respected.</w:t>
      </w:r>
    </w:p>
    <w:p w14:paraId="7487A622"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lastRenderedPageBreak/>
        <w:t>Good administrative practice also includes maintaining clear care plans, risk assessments, and daily notes. These documents help staff understand Mrs Thompson’s routines, triggers for confusion, and early warning signs of deterioration. They also support continuity of care, ensuring that all workers follow consistent approaches.</w:t>
      </w:r>
    </w:p>
    <w:p w14:paraId="12FD6F40"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t>In summary, strong administrative skills ensure legal compliance, protect Mrs Thompson’s rights, and support safe, coordinated care.</w:t>
      </w:r>
    </w:p>
    <w:p w14:paraId="1FA19855" w14:textId="02A960EF" w:rsidR="00E36EC7" w:rsidRPr="00CF7692" w:rsidRDefault="00E36EC7" w:rsidP="00CF7692">
      <w:pPr>
        <w:spacing w:before="100" w:beforeAutospacing="1" w:after="100" w:afterAutospacing="1" w:line="360" w:lineRule="auto"/>
        <w:outlineLvl w:val="0"/>
        <w:rPr>
          <w:rFonts w:ascii="Arial" w:eastAsia="Times New Roman" w:hAnsi="Arial" w:cs="Arial"/>
          <w:kern w:val="36"/>
          <w:sz w:val="22"/>
          <w:szCs w:val="22"/>
          <w:lang w:eastAsia="en-GB"/>
          <w14:ligatures w14:val="none"/>
        </w:rPr>
      </w:pPr>
      <w:r w:rsidRPr="00CF7692">
        <w:rPr>
          <w:rFonts w:ascii="Arial" w:eastAsia="Times New Roman" w:hAnsi="Arial" w:cs="Arial"/>
          <w:kern w:val="36"/>
          <w:sz w:val="22"/>
          <w:szCs w:val="22"/>
          <w:lang w:eastAsia="en-GB"/>
          <w14:ligatures w14:val="none"/>
        </w:rPr>
        <w:t xml:space="preserve"> Importance of Collaborative Working </w:t>
      </w:r>
    </w:p>
    <w:p w14:paraId="155DC38E"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t>Multi</w:t>
      </w:r>
      <w:r w:rsidRPr="00CF7692">
        <w:rPr>
          <w:rFonts w:ascii="Arial" w:eastAsia="Times New Roman" w:hAnsi="Arial" w:cs="Arial"/>
          <w:kern w:val="0"/>
          <w:sz w:val="22"/>
          <w:szCs w:val="22"/>
          <w:lang w:eastAsia="en-GB"/>
          <w14:ligatures w14:val="none"/>
        </w:rPr>
        <w:noBreakHyphen/>
        <w:t>agency working is essential for meeting Mrs Thompson’s complex needs. Her care involves several professionals, including her GP, community nurse, domiciliary care workers, and the local authority safeguarding team. Effective collaboration ensures that each professional contributes their expertise, leading to holistic and coordinated support (Glasby &amp; Dickinson, 2014).</w:t>
      </w:r>
    </w:p>
    <w:p w14:paraId="4923EDC9"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t>Approaches such as interdisciplinary team meetings, shared electronic records, and structured communication tools (e.g., SBAR) help ensure that information is shared accurately and promptly. For example, the GP may adjust her medication following the review, while the community nurse monitors her physical health, and care workers observe her daily functioning. Without collaboration, important information—such as changes in cognition or mobility—may be missed.</w:t>
      </w:r>
    </w:p>
    <w:p w14:paraId="026611A3"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t>Common challenges in multi</w:t>
      </w:r>
      <w:r w:rsidRPr="00CF7692">
        <w:rPr>
          <w:rFonts w:ascii="Arial" w:eastAsia="Times New Roman" w:hAnsi="Arial" w:cs="Arial"/>
          <w:kern w:val="0"/>
          <w:sz w:val="22"/>
          <w:szCs w:val="22"/>
          <w:lang w:eastAsia="en-GB"/>
          <w14:ligatures w14:val="none"/>
        </w:rPr>
        <w:noBreakHyphen/>
        <w:t>agency working include unclear roles, communication breakdowns, and differing organisational priorities. These can be addressed through shared care plans, regular case reviews, and clear escalation pathways. The Care Act 2014 emphasises the duty of organisations to cooperate in safeguarding adults, making collaboration a legal requirement.</w:t>
      </w:r>
    </w:p>
    <w:p w14:paraId="20BF56FC"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t>For Mrs Thompson, effective collaboration reduces the risk of further incidents, supports early intervention, and ensures that her care remains person</w:t>
      </w:r>
      <w:r w:rsidRPr="00CF7692">
        <w:rPr>
          <w:rFonts w:ascii="Arial" w:eastAsia="Times New Roman" w:hAnsi="Arial" w:cs="Arial"/>
          <w:kern w:val="0"/>
          <w:sz w:val="22"/>
          <w:szCs w:val="22"/>
          <w:lang w:eastAsia="en-GB"/>
          <w14:ligatures w14:val="none"/>
        </w:rPr>
        <w:noBreakHyphen/>
        <w:t>centred and responsive.</w:t>
      </w:r>
    </w:p>
    <w:p w14:paraId="6778C0F0" w14:textId="730445F2" w:rsidR="00E36EC7" w:rsidRPr="00CF7692" w:rsidRDefault="00E36EC7" w:rsidP="00CF7692">
      <w:pPr>
        <w:spacing w:before="100" w:beforeAutospacing="1" w:after="100" w:afterAutospacing="1" w:line="360" w:lineRule="auto"/>
        <w:outlineLvl w:val="0"/>
        <w:rPr>
          <w:rFonts w:ascii="Arial" w:eastAsia="Times New Roman" w:hAnsi="Arial" w:cs="Arial"/>
          <w:kern w:val="36"/>
          <w:sz w:val="22"/>
          <w:szCs w:val="22"/>
          <w:lang w:eastAsia="en-GB"/>
          <w14:ligatures w14:val="none"/>
        </w:rPr>
      </w:pPr>
      <w:r w:rsidRPr="00CF7692">
        <w:rPr>
          <w:rFonts w:ascii="Arial" w:eastAsia="Times New Roman" w:hAnsi="Arial" w:cs="Arial"/>
          <w:kern w:val="36"/>
          <w:sz w:val="22"/>
          <w:szCs w:val="22"/>
          <w:lang w:eastAsia="en-GB"/>
          <w14:ligatures w14:val="none"/>
        </w:rPr>
        <w:t xml:space="preserve">Conclusion </w:t>
      </w:r>
    </w:p>
    <w:p w14:paraId="1E8E9B4B" w14:textId="77777777" w:rsidR="00E36EC7" w:rsidRPr="00CF7692" w:rsidRDefault="00E36EC7" w:rsidP="00CF7692">
      <w:pPr>
        <w:spacing w:before="100" w:beforeAutospacing="1" w:after="100" w:afterAutospacing="1" w:line="360" w:lineRule="auto"/>
        <w:rPr>
          <w:rFonts w:ascii="Arial" w:eastAsia="Times New Roman" w:hAnsi="Arial" w:cs="Arial"/>
          <w:kern w:val="0"/>
          <w:sz w:val="22"/>
          <w:szCs w:val="22"/>
          <w:lang w:eastAsia="en-GB"/>
          <w14:ligatures w14:val="none"/>
        </w:rPr>
      </w:pPr>
      <w:r w:rsidRPr="00CF7692">
        <w:rPr>
          <w:rFonts w:ascii="Arial" w:eastAsia="Times New Roman" w:hAnsi="Arial" w:cs="Arial"/>
          <w:kern w:val="0"/>
          <w:sz w:val="22"/>
          <w:szCs w:val="22"/>
          <w:lang w:eastAsia="en-GB"/>
          <w14:ligatures w14:val="none"/>
        </w:rPr>
        <w:t>Mrs Thompson’s case highlights the importance of communication, administrative skills, and collaborative working in delivering safe, person</w:t>
      </w:r>
      <w:r w:rsidRPr="00CF7692">
        <w:rPr>
          <w:rFonts w:ascii="Arial" w:eastAsia="Times New Roman" w:hAnsi="Arial" w:cs="Arial"/>
          <w:kern w:val="0"/>
          <w:sz w:val="22"/>
          <w:szCs w:val="22"/>
          <w:lang w:eastAsia="en-GB"/>
          <w14:ligatures w14:val="none"/>
        </w:rPr>
        <w:noBreakHyphen/>
        <w:t xml:space="preserve">centred care. Effective communication ensures that her cognitive needs are understood and respected, supports meaningful engagement with her family, and enables professionals to share essential information. Strong administrative skills ensure accurate documentation, legal compliance, and timely </w:t>
      </w:r>
      <w:r w:rsidRPr="00CF7692">
        <w:rPr>
          <w:rFonts w:ascii="Arial" w:eastAsia="Times New Roman" w:hAnsi="Arial" w:cs="Arial"/>
          <w:kern w:val="0"/>
          <w:sz w:val="22"/>
          <w:szCs w:val="22"/>
          <w:lang w:eastAsia="en-GB"/>
          <w14:ligatures w14:val="none"/>
        </w:rPr>
        <w:lastRenderedPageBreak/>
        <w:t>responses to risks such as missed medication. Collaborative working brings together the expertise of multiple professionals, ensuring that her physical, cognitive, and social needs are addressed holistically. Together, these three components form the foundation of high</w:t>
      </w:r>
      <w:r w:rsidRPr="00CF7692">
        <w:rPr>
          <w:rFonts w:ascii="Arial" w:eastAsia="Times New Roman" w:hAnsi="Arial" w:cs="Arial"/>
          <w:kern w:val="0"/>
          <w:sz w:val="22"/>
          <w:szCs w:val="22"/>
          <w:lang w:eastAsia="en-GB"/>
          <w14:ligatures w14:val="none"/>
        </w:rPr>
        <w:noBreakHyphen/>
        <w:t>quality health and social care practice. By applying relevant legislation, communication models, and policy frameworks, professionals can safeguard vulnerable adults like Mrs Thompson and promote their wellbeing, dignity, and independence.</w:t>
      </w:r>
    </w:p>
    <w:p w14:paraId="42DFC873" w14:textId="77777777" w:rsidR="00E36EC7" w:rsidRPr="00CF7692" w:rsidRDefault="00E36EC7" w:rsidP="00CF7692">
      <w:pPr>
        <w:spacing w:line="360" w:lineRule="auto"/>
        <w:rPr>
          <w:rFonts w:ascii="Arial" w:hAnsi="Arial" w:cs="Arial"/>
          <w:sz w:val="22"/>
          <w:szCs w:val="22"/>
        </w:rPr>
      </w:pPr>
    </w:p>
    <w:p w14:paraId="672621E8" w14:textId="77777777" w:rsidR="00E36EC7" w:rsidRPr="00CF7692" w:rsidRDefault="00E36EC7" w:rsidP="00CF7692">
      <w:pPr>
        <w:spacing w:line="360" w:lineRule="auto"/>
        <w:rPr>
          <w:rFonts w:ascii="Arial" w:hAnsi="Arial" w:cs="Arial"/>
          <w:sz w:val="22"/>
          <w:szCs w:val="22"/>
        </w:rPr>
      </w:pPr>
    </w:p>
    <w:p w14:paraId="5032B985" w14:textId="77777777" w:rsidR="00E36EC7" w:rsidRPr="00CF7692" w:rsidRDefault="00E36EC7" w:rsidP="00CF7692">
      <w:pPr>
        <w:spacing w:line="360" w:lineRule="auto"/>
        <w:rPr>
          <w:rFonts w:ascii="Arial" w:hAnsi="Arial" w:cs="Arial"/>
          <w:sz w:val="22"/>
          <w:szCs w:val="22"/>
        </w:rPr>
      </w:pPr>
    </w:p>
    <w:p w14:paraId="43368EAC" w14:textId="77777777" w:rsidR="00E36EC7" w:rsidRPr="00CF7692" w:rsidRDefault="00E36EC7" w:rsidP="00CF7692">
      <w:pPr>
        <w:spacing w:line="360" w:lineRule="auto"/>
        <w:rPr>
          <w:rFonts w:ascii="Arial" w:hAnsi="Arial" w:cs="Arial"/>
          <w:sz w:val="22"/>
          <w:szCs w:val="22"/>
        </w:rPr>
      </w:pPr>
    </w:p>
    <w:p w14:paraId="31846BB9" w14:textId="77777777" w:rsidR="00E36EC7" w:rsidRPr="00CF7692" w:rsidRDefault="00E36EC7" w:rsidP="00CF7692">
      <w:pPr>
        <w:spacing w:line="360" w:lineRule="auto"/>
        <w:rPr>
          <w:rFonts w:ascii="Arial" w:hAnsi="Arial" w:cs="Arial"/>
          <w:sz w:val="22"/>
          <w:szCs w:val="22"/>
        </w:rPr>
      </w:pPr>
    </w:p>
    <w:p w14:paraId="76D75090" w14:textId="77777777" w:rsidR="00E36EC7" w:rsidRPr="00CF7692" w:rsidRDefault="00E36EC7" w:rsidP="00CF7692">
      <w:pPr>
        <w:spacing w:line="360" w:lineRule="auto"/>
        <w:rPr>
          <w:rFonts w:ascii="Arial" w:hAnsi="Arial" w:cs="Arial"/>
          <w:sz w:val="22"/>
          <w:szCs w:val="22"/>
        </w:rPr>
      </w:pPr>
    </w:p>
    <w:p w14:paraId="0E392888" w14:textId="77777777" w:rsidR="00E36EC7" w:rsidRPr="00CF7692" w:rsidRDefault="00E36EC7" w:rsidP="00CF7692">
      <w:pPr>
        <w:spacing w:line="360" w:lineRule="auto"/>
        <w:rPr>
          <w:rFonts w:ascii="Arial" w:hAnsi="Arial" w:cs="Arial"/>
          <w:sz w:val="22"/>
          <w:szCs w:val="22"/>
        </w:rPr>
      </w:pPr>
    </w:p>
    <w:p w14:paraId="13D8842F" w14:textId="77777777" w:rsidR="00E36EC7" w:rsidRPr="00CF7692" w:rsidRDefault="00E36EC7" w:rsidP="00CF7692">
      <w:pPr>
        <w:spacing w:line="360" w:lineRule="auto"/>
        <w:rPr>
          <w:rFonts w:ascii="Arial" w:hAnsi="Arial" w:cs="Arial"/>
          <w:sz w:val="22"/>
          <w:szCs w:val="22"/>
        </w:rPr>
      </w:pPr>
    </w:p>
    <w:p w14:paraId="49CA7ED6" w14:textId="77777777" w:rsidR="00E36EC7" w:rsidRPr="00CF7692" w:rsidRDefault="00E36EC7" w:rsidP="00CF7692">
      <w:pPr>
        <w:spacing w:line="360" w:lineRule="auto"/>
        <w:rPr>
          <w:rFonts w:ascii="Arial" w:hAnsi="Arial" w:cs="Arial"/>
          <w:sz w:val="22"/>
          <w:szCs w:val="22"/>
        </w:rPr>
      </w:pPr>
    </w:p>
    <w:p w14:paraId="140F0D30" w14:textId="77777777" w:rsidR="00E36EC7" w:rsidRPr="00CF7692" w:rsidRDefault="00E36EC7" w:rsidP="00CF7692">
      <w:pPr>
        <w:spacing w:line="360" w:lineRule="auto"/>
        <w:rPr>
          <w:rFonts w:ascii="Arial" w:hAnsi="Arial" w:cs="Arial"/>
          <w:sz w:val="22"/>
          <w:szCs w:val="22"/>
        </w:rPr>
      </w:pPr>
    </w:p>
    <w:p w14:paraId="7421F1E2" w14:textId="77777777" w:rsidR="00E36EC7" w:rsidRPr="00CF7692" w:rsidRDefault="00E36EC7" w:rsidP="00CF7692">
      <w:pPr>
        <w:spacing w:line="360" w:lineRule="auto"/>
        <w:rPr>
          <w:rFonts w:ascii="Arial" w:hAnsi="Arial" w:cs="Arial"/>
          <w:sz w:val="22"/>
          <w:szCs w:val="22"/>
        </w:rPr>
      </w:pPr>
    </w:p>
    <w:p w14:paraId="7D7B1782" w14:textId="77777777" w:rsidR="00E36EC7" w:rsidRPr="00CF7692" w:rsidRDefault="00E36EC7" w:rsidP="00CF7692">
      <w:pPr>
        <w:spacing w:line="360" w:lineRule="auto"/>
        <w:rPr>
          <w:rFonts w:ascii="Arial" w:hAnsi="Arial" w:cs="Arial"/>
          <w:sz w:val="22"/>
          <w:szCs w:val="22"/>
        </w:rPr>
      </w:pPr>
    </w:p>
    <w:p w14:paraId="5810DD05" w14:textId="77777777" w:rsidR="00E36EC7" w:rsidRPr="00CF7692" w:rsidRDefault="00E36EC7" w:rsidP="00CF7692">
      <w:pPr>
        <w:spacing w:line="360" w:lineRule="auto"/>
        <w:rPr>
          <w:rFonts w:ascii="Arial" w:hAnsi="Arial" w:cs="Arial"/>
          <w:sz w:val="22"/>
          <w:szCs w:val="22"/>
        </w:rPr>
      </w:pPr>
    </w:p>
    <w:p w14:paraId="6E58A288" w14:textId="77777777" w:rsidR="00E36EC7" w:rsidRPr="00CF7692" w:rsidRDefault="00E36EC7" w:rsidP="00CF7692">
      <w:pPr>
        <w:spacing w:line="360" w:lineRule="auto"/>
        <w:rPr>
          <w:rFonts w:ascii="Arial" w:hAnsi="Arial" w:cs="Arial"/>
          <w:sz w:val="22"/>
          <w:szCs w:val="22"/>
        </w:rPr>
      </w:pPr>
    </w:p>
    <w:p w14:paraId="56FC198C" w14:textId="77777777" w:rsidR="00E36EC7" w:rsidRPr="00CF7692" w:rsidRDefault="00E36EC7" w:rsidP="00CF7692">
      <w:pPr>
        <w:spacing w:line="360" w:lineRule="auto"/>
        <w:rPr>
          <w:rFonts w:ascii="Arial" w:hAnsi="Arial" w:cs="Arial"/>
          <w:sz w:val="22"/>
          <w:szCs w:val="22"/>
        </w:rPr>
      </w:pPr>
    </w:p>
    <w:p w14:paraId="0C1AB78A" w14:textId="77777777" w:rsidR="00E36EC7" w:rsidRPr="00CF7692" w:rsidRDefault="00E36EC7" w:rsidP="00CF7692">
      <w:pPr>
        <w:spacing w:line="360" w:lineRule="auto"/>
        <w:rPr>
          <w:rFonts w:ascii="Arial" w:hAnsi="Arial" w:cs="Arial"/>
          <w:sz w:val="22"/>
          <w:szCs w:val="22"/>
        </w:rPr>
      </w:pPr>
    </w:p>
    <w:p w14:paraId="30851E67" w14:textId="77777777" w:rsidR="00E36EC7" w:rsidRPr="00CF7692" w:rsidRDefault="00E36EC7" w:rsidP="00CF7692">
      <w:pPr>
        <w:spacing w:line="360" w:lineRule="auto"/>
        <w:rPr>
          <w:rFonts w:ascii="Arial" w:hAnsi="Arial" w:cs="Arial"/>
          <w:sz w:val="22"/>
          <w:szCs w:val="22"/>
        </w:rPr>
      </w:pPr>
    </w:p>
    <w:p w14:paraId="65BEAC99" w14:textId="77777777" w:rsidR="00E36EC7" w:rsidRPr="00CF7692" w:rsidRDefault="00E36EC7" w:rsidP="00CF7692">
      <w:pPr>
        <w:spacing w:line="360" w:lineRule="auto"/>
        <w:rPr>
          <w:rFonts w:ascii="Arial" w:hAnsi="Arial" w:cs="Arial"/>
          <w:sz w:val="22"/>
          <w:szCs w:val="22"/>
        </w:rPr>
      </w:pPr>
    </w:p>
    <w:p w14:paraId="473C9F85" w14:textId="77777777" w:rsidR="00E36EC7" w:rsidRPr="00CF7692" w:rsidRDefault="00E36EC7" w:rsidP="00CF7692">
      <w:pPr>
        <w:spacing w:line="360" w:lineRule="auto"/>
        <w:rPr>
          <w:rFonts w:ascii="Arial" w:hAnsi="Arial" w:cs="Arial"/>
          <w:sz w:val="22"/>
          <w:szCs w:val="22"/>
        </w:rPr>
      </w:pPr>
    </w:p>
    <w:p w14:paraId="2587851E" w14:textId="77777777" w:rsidR="00E36EC7" w:rsidRPr="00CF7692" w:rsidRDefault="00E36EC7" w:rsidP="00CF7692">
      <w:pPr>
        <w:spacing w:line="360" w:lineRule="auto"/>
        <w:rPr>
          <w:rFonts w:ascii="Arial" w:hAnsi="Arial" w:cs="Arial"/>
          <w:sz w:val="22"/>
          <w:szCs w:val="22"/>
        </w:rPr>
      </w:pPr>
    </w:p>
    <w:p w14:paraId="40DFA333" w14:textId="77777777" w:rsidR="00E36EC7" w:rsidRPr="00CF7692" w:rsidRDefault="00E36EC7" w:rsidP="00CF7692">
      <w:pPr>
        <w:spacing w:line="360" w:lineRule="auto"/>
        <w:rPr>
          <w:rFonts w:ascii="Arial" w:hAnsi="Arial" w:cs="Arial"/>
          <w:sz w:val="22"/>
          <w:szCs w:val="22"/>
        </w:rPr>
      </w:pPr>
    </w:p>
    <w:p w14:paraId="21268BBE" w14:textId="77777777" w:rsidR="00E36EC7" w:rsidRPr="00CF7692" w:rsidRDefault="00E36EC7" w:rsidP="00CF7692">
      <w:pPr>
        <w:spacing w:line="360" w:lineRule="auto"/>
        <w:rPr>
          <w:rFonts w:ascii="Arial" w:hAnsi="Arial" w:cs="Arial"/>
          <w:sz w:val="22"/>
          <w:szCs w:val="22"/>
        </w:rPr>
      </w:pPr>
    </w:p>
    <w:p w14:paraId="2142AEE2" w14:textId="77777777" w:rsidR="00E36EC7" w:rsidRPr="00CF7692" w:rsidRDefault="00E36EC7" w:rsidP="00CF7692">
      <w:pPr>
        <w:spacing w:line="360" w:lineRule="auto"/>
        <w:rPr>
          <w:rFonts w:ascii="Arial" w:hAnsi="Arial" w:cs="Arial"/>
          <w:sz w:val="22"/>
          <w:szCs w:val="22"/>
        </w:rPr>
      </w:pPr>
    </w:p>
    <w:p w14:paraId="0E530B37" w14:textId="1936604C" w:rsidR="00E36EC7" w:rsidRPr="00CF7692" w:rsidRDefault="00E36EC7" w:rsidP="00CF7692">
      <w:pPr>
        <w:spacing w:line="360" w:lineRule="auto"/>
        <w:rPr>
          <w:rFonts w:ascii="Arial" w:hAnsi="Arial" w:cs="Arial"/>
          <w:sz w:val="22"/>
          <w:szCs w:val="22"/>
        </w:rPr>
      </w:pPr>
      <w:r w:rsidRPr="00CF7692">
        <w:rPr>
          <w:rFonts w:ascii="Arial" w:hAnsi="Arial" w:cs="Arial"/>
          <w:sz w:val="22"/>
          <w:szCs w:val="22"/>
        </w:rPr>
        <w:t>Reference List</w:t>
      </w:r>
    </w:p>
    <w:p w14:paraId="3BA324F1" w14:textId="77777777" w:rsidR="00E36EC7" w:rsidRPr="00CF7692" w:rsidRDefault="00E36EC7" w:rsidP="00CF7692">
      <w:pPr>
        <w:pStyle w:val="NormalWeb"/>
        <w:spacing w:line="360" w:lineRule="auto"/>
        <w:rPr>
          <w:rFonts w:ascii="Arial" w:hAnsi="Arial" w:cs="Arial"/>
          <w:sz w:val="22"/>
          <w:szCs w:val="22"/>
        </w:rPr>
      </w:pPr>
      <w:r w:rsidRPr="00CF7692">
        <w:rPr>
          <w:rFonts w:ascii="Arial" w:hAnsi="Arial" w:cs="Arial"/>
          <w:sz w:val="22"/>
          <w:szCs w:val="22"/>
        </w:rPr>
        <w:t xml:space="preserve">Alzheimer’s Society (2023) </w:t>
      </w:r>
      <w:r w:rsidRPr="00CF7692">
        <w:rPr>
          <w:rStyle w:val="Emphasis"/>
          <w:rFonts w:ascii="Arial" w:hAnsi="Arial" w:cs="Arial"/>
          <w:sz w:val="22"/>
          <w:szCs w:val="22"/>
        </w:rPr>
        <w:t>Dementia and Communication</w:t>
      </w:r>
      <w:r w:rsidRPr="00CF7692">
        <w:rPr>
          <w:rFonts w:ascii="Arial" w:hAnsi="Arial" w:cs="Arial"/>
          <w:sz w:val="22"/>
          <w:szCs w:val="22"/>
        </w:rPr>
        <w:t>. London: Alzheimer’s Society.</w:t>
      </w:r>
    </w:p>
    <w:p w14:paraId="7CCCF8BB" w14:textId="77777777" w:rsidR="00E36EC7" w:rsidRPr="00CF7692" w:rsidRDefault="00E36EC7" w:rsidP="00CF7692">
      <w:pPr>
        <w:pStyle w:val="NormalWeb"/>
        <w:spacing w:line="360" w:lineRule="auto"/>
        <w:rPr>
          <w:rFonts w:ascii="Arial" w:hAnsi="Arial" w:cs="Arial"/>
          <w:sz w:val="22"/>
          <w:szCs w:val="22"/>
        </w:rPr>
      </w:pPr>
      <w:r w:rsidRPr="00CF7692">
        <w:rPr>
          <w:rFonts w:ascii="Arial" w:hAnsi="Arial" w:cs="Arial"/>
          <w:sz w:val="22"/>
          <w:szCs w:val="22"/>
        </w:rPr>
        <w:t xml:space="preserve">Caldicott Review (2013) </w:t>
      </w:r>
      <w:r w:rsidRPr="00CF7692">
        <w:rPr>
          <w:rStyle w:val="Emphasis"/>
          <w:rFonts w:ascii="Arial" w:hAnsi="Arial" w:cs="Arial"/>
          <w:sz w:val="22"/>
          <w:szCs w:val="22"/>
        </w:rPr>
        <w:t>Information Governance Review</w:t>
      </w:r>
      <w:r w:rsidRPr="00CF7692">
        <w:rPr>
          <w:rFonts w:ascii="Arial" w:hAnsi="Arial" w:cs="Arial"/>
          <w:sz w:val="22"/>
          <w:szCs w:val="22"/>
        </w:rPr>
        <w:t>. London: Department of Health.</w:t>
      </w:r>
    </w:p>
    <w:p w14:paraId="5E6F0D33" w14:textId="77777777" w:rsidR="00E36EC7" w:rsidRPr="00CF7692" w:rsidRDefault="00E36EC7" w:rsidP="00CF7692">
      <w:pPr>
        <w:pStyle w:val="NormalWeb"/>
        <w:spacing w:line="360" w:lineRule="auto"/>
        <w:rPr>
          <w:rFonts w:ascii="Arial" w:hAnsi="Arial" w:cs="Arial"/>
          <w:sz w:val="22"/>
          <w:szCs w:val="22"/>
        </w:rPr>
      </w:pPr>
      <w:r w:rsidRPr="00CF7692">
        <w:rPr>
          <w:rFonts w:ascii="Arial" w:hAnsi="Arial" w:cs="Arial"/>
          <w:sz w:val="22"/>
          <w:szCs w:val="22"/>
        </w:rPr>
        <w:t xml:space="preserve">Care Quality Commission (2022) </w:t>
      </w:r>
      <w:r w:rsidRPr="00CF7692">
        <w:rPr>
          <w:rStyle w:val="Emphasis"/>
          <w:rFonts w:ascii="Arial" w:hAnsi="Arial" w:cs="Arial"/>
          <w:sz w:val="22"/>
          <w:szCs w:val="22"/>
        </w:rPr>
        <w:t>Safety in Adult Social Care</w:t>
      </w:r>
      <w:r w:rsidRPr="00CF7692">
        <w:rPr>
          <w:rFonts w:ascii="Arial" w:hAnsi="Arial" w:cs="Arial"/>
          <w:sz w:val="22"/>
          <w:szCs w:val="22"/>
        </w:rPr>
        <w:t>. London: CQC.</w:t>
      </w:r>
    </w:p>
    <w:p w14:paraId="655A53B0" w14:textId="77777777" w:rsidR="00E36EC7" w:rsidRPr="00CF7692" w:rsidRDefault="00E36EC7" w:rsidP="00CF7692">
      <w:pPr>
        <w:pStyle w:val="NormalWeb"/>
        <w:spacing w:line="360" w:lineRule="auto"/>
        <w:rPr>
          <w:rFonts w:ascii="Arial" w:hAnsi="Arial" w:cs="Arial"/>
          <w:sz w:val="22"/>
          <w:szCs w:val="22"/>
        </w:rPr>
      </w:pPr>
      <w:r w:rsidRPr="00CF7692">
        <w:rPr>
          <w:rFonts w:ascii="Arial" w:hAnsi="Arial" w:cs="Arial"/>
          <w:sz w:val="22"/>
          <w:szCs w:val="22"/>
        </w:rPr>
        <w:t xml:space="preserve">Department of Health and Social Care (2014) </w:t>
      </w:r>
      <w:r w:rsidRPr="00CF7692">
        <w:rPr>
          <w:rStyle w:val="Emphasis"/>
          <w:rFonts w:ascii="Arial" w:hAnsi="Arial" w:cs="Arial"/>
          <w:sz w:val="22"/>
          <w:szCs w:val="22"/>
        </w:rPr>
        <w:t>Care Act 2014</w:t>
      </w:r>
      <w:r w:rsidRPr="00CF7692">
        <w:rPr>
          <w:rFonts w:ascii="Arial" w:hAnsi="Arial" w:cs="Arial"/>
          <w:sz w:val="22"/>
          <w:szCs w:val="22"/>
        </w:rPr>
        <w:t>. London: DHSC.</w:t>
      </w:r>
    </w:p>
    <w:p w14:paraId="554971EF" w14:textId="77777777" w:rsidR="00E36EC7" w:rsidRPr="00CF7692" w:rsidRDefault="00E36EC7" w:rsidP="00CF7692">
      <w:pPr>
        <w:pStyle w:val="NormalWeb"/>
        <w:spacing w:line="360" w:lineRule="auto"/>
        <w:rPr>
          <w:rFonts w:ascii="Arial" w:hAnsi="Arial" w:cs="Arial"/>
          <w:sz w:val="22"/>
          <w:szCs w:val="22"/>
        </w:rPr>
      </w:pPr>
      <w:r w:rsidRPr="00CF7692">
        <w:rPr>
          <w:rFonts w:ascii="Arial" w:hAnsi="Arial" w:cs="Arial"/>
          <w:sz w:val="22"/>
          <w:szCs w:val="22"/>
        </w:rPr>
        <w:t xml:space="preserve">Egan, G. (2014) </w:t>
      </w:r>
      <w:r w:rsidRPr="00CF7692">
        <w:rPr>
          <w:rStyle w:val="Emphasis"/>
          <w:rFonts w:ascii="Arial" w:hAnsi="Arial" w:cs="Arial"/>
          <w:sz w:val="22"/>
          <w:szCs w:val="22"/>
        </w:rPr>
        <w:t>The Skilled Helper</w:t>
      </w:r>
      <w:r w:rsidRPr="00CF7692">
        <w:rPr>
          <w:rFonts w:ascii="Arial" w:hAnsi="Arial" w:cs="Arial"/>
          <w:sz w:val="22"/>
          <w:szCs w:val="22"/>
        </w:rPr>
        <w:t xml:space="preserve">. 10th </w:t>
      </w:r>
      <w:proofErr w:type="spellStart"/>
      <w:r w:rsidRPr="00CF7692">
        <w:rPr>
          <w:rFonts w:ascii="Arial" w:hAnsi="Arial" w:cs="Arial"/>
          <w:sz w:val="22"/>
          <w:szCs w:val="22"/>
        </w:rPr>
        <w:t>edn</w:t>
      </w:r>
      <w:proofErr w:type="spellEnd"/>
      <w:r w:rsidRPr="00CF7692">
        <w:rPr>
          <w:rFonts w:ascii="Arial" w:hAnsi="Arial" w:cs="Arial"/>
          <w:sz w:val="22"/>
          <w:szCs w:val="22"/>
        </w:rPr>
        <w:t>. Belmont: Brooks/Cole.</w:t>
      </w:r>
    </w:p>
    <w:p w14:paraId="7DA4C659" w14:textId="77777777" w:rsidR="00E36EC7" w:rsidRPr="00CF7692" w:rsidRDefault="00E36EC7" w:rsidP="00CF7692">
      <w:pPr>
        <w:pStyle w:val="NormalWeb"/>
        <w:spacing w:line="360" w:lineRule="auto"/>
        <w:rPr>
          <w:rFonts w:ascii="Arial" w:hAnsi="Arial" w:cs="Arial"/>
          <w:sz w:val="22"/>
          <w:szCs w:val="22"/>
        </w:rPr>
      </w:pPr>
      <w:r w:rsidRPr="00CF7692">
        <w:rPr>
          <w:rFonts w:ascii="Arial" w:hAnsi="Arial" w:cs="Arial"/>
          <w:sz w:val="22"/>
          <w:szCs w:val="22"/>
        </w:rPr>
        <w:t xml:space="preserve">Equality Act (2010) </w:t>
      </w:r>
      <w:r w:rsidRPr="00CF7692">
        <w:rPr>
          <w:rStyle w:val="Emphasis"/>
          <w:rFonts w:ascii="Arial" w:hAnsi="Arial" w:cs="Arial"/>
          <w:sz w:val="22"/>
          <w:szCs w:val="22"/>
        </w:rPr>
        <w:t>Equality Act 2010</w:t>
      </w:r>
      <w:r w:rsidRPr="00CF7692">
        <w:rPr>
          <w:rFonts w:ascii="Arial" w:hAnsi="Arial" w:cs="Arial"/>
          <w:sz w:val="22"/>
          <w:szCs w:val="22"/>
        </w:rPr>
        <w:t>. London: HMSO.</w:t>
      </w:r>
    </w:p>
    <w:p w14:paraId="355A2D15" w14:textId="77777777" w:rsidR="00E36EC7" w:rsidRPr="00CF7692" w:rsidRDefault="00E36EC7" w:rsidP="00CF7692">
      <w:pPr>
        <w:pStyle w:val="NormalWeb"/>
        <w:spacing w:line="360" w:lineRule="auto"/>
        <w:rPr>
          <w:rFonts w:ascii="Arial" w:hAnsi="Arial" w:cs="Arial"/>
          <w:sz w:val="22"/>
          <w:szCs w:val="22"/>
        </w:rPr>
      </w:pPr>
      <w:r w:rsidRPr="00CF7692">
        <w:rPr>
          <w:rFonts w:ascii="Arial" w:hAnsi="Arial" w:cs="Arial"/>
          <w:sz w:val="22"/>
          <w:szCs w:val="22"/>
        </w:rPr>
        <w:t xml:space="preserve">Glasby, J. and Dickinson, H. (2014) </w:t>
      </w:r>
      <w:r w:rsidRPr="00CF7692">
        <w:rPr>
          <w:rStyle w:val="Emphasis"/>
          <w:rFonts w:ascii="Arial" w:hAnsi="Arial" w:cs="Arial"/>
          <w:sz w:val="22"/>
          <w:szCs w:val="22"/>
        </w:rPr>
        <w:t>Partnership Working in Health and Social Care</w:t>
      </w:r>
      <w:r w:rsidRPr="00CF7692">
        <w:rPr>
          <w:rFonts w:ascii="Arial" w:hAnsi="Arial" w:cs="Arial"/>
          <w:sz w:val="22"/>
          <w:szCs w:val="22"/>
        </w:rPr>
        <w:t xml:space="preserve">. 2nd </w:t>
      </w:r>
      <w:proofErr w:type="spellStart"/>
      <w:r w:rsidRPr="00CF7692">
        <w:rPr>
          <w:rFonts w:ascii="Arial" w:hAnsi="Arial" w:cs="Arial"/>
          <w:sz w:val="22"/>
          <w:szCs w:val="22"/>
        </w:rPr>
        <w:t>edn</w:t>
      </w:r>
      <w:proofErr w:type="spellEnd"/>
      <w:r w:rsidRPr="00CF7692">
        <w:rPr>
          <w:rFonts w:ascii="Arial" w:hAnsi="Arial" w:cs="Arial"/>
          <w:sz w:val="22"/>
          <w:szCs w:val="22"/>
        </w:rPr>
        <w:t>. Bristol: Policy Press.</w:t>
      </w:r>
    </w:p>
    <w:p w14:paraId="5F805612" w14:textId="77777777" w:rsidR="00E36EC7" w:rsidRPr="00CF7692" w:rsidRDefault="00E36EC7" w:rsidP="00CF7692">
      <w:pPr>
        <w:pStyle w:val="NormalWeb"/>
        <w:spacing w:line="360" w:lineRule="auto"/>
        <w:rPr>
          <w:rFonts w:ascii="Arial" w:hAnsi="Arial" w:cs="Arial"/>
          <w:sz w:val="22"/>
          <w:szCs w:val="22"/>
        </w:rPr>
      </w:pPr>
      <w:proofErr w:type="spellStart"/>
      <w:r w:rsidRPr="00CF7692">
        <w:rPr>
          <w:rFonts w:ascii="Arial" w:hAnsi="Arial" w:cs="Arial"/>
          <w:sz w:val="22"/>
          <w:szCs w:val="22"/>
        </w:rPr>
        <w:t>Kitwood</w:t>
      </w:r>
      <w:proofErr w:type="spellEnd"/>
      <w:r w:rsidRPr="00CF7692">
        <w:rPr>
          <w:rFonts w:ascii="Arial" w:hAnsi="Arial" w:cs="Arial"/>
          <w:sz w:val="22"/>
          <w:szCs w:val="22"/>
        </w:rPr>
        <w:t xml:space="preserve">, T. (1997) </w:t>
      </w:r>
      <w:r w:rsidRPr="00CF7692">
        <w:rPr>
          <w:rStyle w:val="Emphasis"/>
          <w:rFonts w:ascii="Arial" w:hAnsi="Arial" w:cs="Arial"/>
          <w:sz w:val="22"/>
          <w:szCs w:val="22"/>
        </w:rPr>
        <w:t>Dementia Reconsidered</w:t>
      </w:r>
      <w:r w:rsidRPr="00CF7692">
        <w:rPr>
          <w:rFonts w:ascii="Arial" w:hAnsi="Arial" w:cs="Arial"/>
          <w:sz w:val="22"/>
          <w:szCs w:val="22"/>
        </w:rPr>
        <w:t>. Buckingham: Open University Press.</w:t>
      </w:r>
    </w:p>
    <w:p w14:paraId="5972C967" w14:textId="77777777" w:rsidR="00E36EC7" w:rsidRPr="00CF7692" w:rsidRDefault="00E36EC7" w:rsidP="00CF7692">
      <w:pPr>
        <w:pStyle w:val="NormalWeb"/>
        <w:spacing w:line="360" w:lineRule="auto"/>
        <w:rPr>
          <w:rFonts w:ascii="Arial" w:hAnsi="Arial" w:cs="Arial"/>
          <w:sz w:val="22"/>
          <w:szCs w:val="22"/>
        </w:rPr>
      </w:pPr>
      <w:r w:rsidRPr="00CF7692">
        <w:rPr>
          <w:rFonts w:ascii="Arial" w:hAnsi="Arial" w:cs="Arial"/>
          <w:sz w:val="22"/>
          <w:szCs w:val="22"/>
        </w:rPr>
        <w:t xml:space="preserve">NICE (2022) </w:t>
      </w:r>
      <w:r w:rsidRPr="00CF7692">
        <w:rPr>
          <w:rStyle w:val="Emphasis"/>
          <w:rFonts w:ascii="Arial" w:hAnsi="Arial" w:cs="Arial"/>
          <w:sz w:val="22"/>
          <w:szCs w:val="22"/>
        </w:rPr>
        <w:t>Medicines Management in Care Homes</w:t>
      </w:r>
      <w:r w:rsidRPr="00CF7692">
        <w:rPr>
          <w:rFonts w:ascii="Arial" w:hAnsi="Arial" w:cs="Arial"/>
          <w:sz w:val="22"/>
          <w:szCs w:val="22"/>
        </w:rPr>
        <w:t>. London: NICE.</w:t>
      </w:r>
    </w:p>
    <w:p w14:paraId="23A55E98" w14:textId="77777777" w:rsidR="00E36EC7" w:rsidRPr="00CF7692" w:rsidRDefault="00E36EC7" w:rsidP="00CF7692">
      <w:pPr>
        <w:pStyle w:val="NormalWeb"/>
        <w:spacing w:line="360" w:lineRule="auto"/>
        <w:rPr>
          <w:rFonts w:ascii="Arial" w:hAnsi="Arial" w:cs="Arial"/>
          <w:sz w:val="22"/>
          <w:szCs w:val="22"/>
        </w:rPr>
      </w:pPr>
      <w:r w:rsidRPr="00CF7692">
        <w:rPr>
          <w:rFonts w:ascii="Arial" w:hAnsi="Arial" w:cs="Arial"/>
          <w:sz w:val="22"/>
          <w:szCs w:val="22"/>
        </w:rPr>
        <w:t xml:space="preserve">NMC (2018) </w:t>
      </w:r>
      <w:r w:rsidRPr="00CF7692">
        <w:rPr>
          <w:rStyle w:val="Emphasis"/>
          <w:rFonts w:ascii="Arial" w:hAnsi="Arial" w:cs="Arial"/>
          <w:sz w:val="22"/>
          <w:szCs w:val="22"/>
        </w:rPr>
        <w:t>The Code: Professional Standards of Practice and Behaviour</w:t>
      </w:r>
      <w:r w:rsidRPr="00CF7692">
        <w:rPr>
          <w:rFonts w:ascii="Arial" w:hAnsi="Arial" w:cs="Arial"/>
          <w:sz w:val="22"/>
          <w:szCs w:val="22"/>
        </w:rPr>
        <w:t>. London: Nursing and Midwifery Council.</w:t>
      </w:r>
    </w:p>
    <w:p w14:paraId="1A976CF4" w14:textId="77777777" w:rsidR="00E36EC7" w:rsidRDefault="00E36EC7"/>
    <w:sectPr w:rsidR="00E36EC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3E09E" w14:textId="77777777" w:rsidR="0021796B" w:rsidRDefault="0021796B" w:rsidP="006C120E">
      <w:pPr>
        <w:spacing w:after="0" w:line="240" w:lineRule="auto"/>
      </w:pPr>
      <w:r>
        <w:separator/>
      </w:r>
    </w:p>
  </w:endnote>
  <w:endnote w:type="continuationSeparator" w:id="0">
    <w:p w14:paraId="5F837D78" w14:textId="77777777" w:rsidR="0021796B" w:rsidRDefault="0021796B" w:rsidP="006C1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5288092"/>
      <w:docPartObj>
        <w:docPartGallery w:val="Page Numbers (Bottom of Page)"/>
        <w:docPartUnique/>
      </w:docPartObj>
    </w:sdtPr>
    <w:sdtContent>
      <w:p w14:paraId="5783A1CD" w14:textId="7736660E" w:rsidR="006C120E" w:rsidRDefault="006C120E">
        <w:pPr>
          <w:pStyle w:val="Footer"/>
          <w:jc w:val="center"/>
        </w:pPr>
        <w:r>
          <w:fldChar w:fldCharType="begin"/>
        </w:r>
        <w:r>
          <w:instrText>PAGE   \* MERGEFORMAT</w:instrText>
        </w:r>
        <w:r>
          <w:fldChar w:fldCharType="separate"/>
        </w:r>
        <w:r>
          <w:t>2</w:t>
        </w:r>
        <w:r>
          <w:fldChar w:fldCharType="end"/>
        </w:r>
      </w:p>
    </w:sdtContent>
  </w:sdt>
  <w:p w14:paraId="76F74BFD" w14:textId="77777777" w:rsidR="006C120E" w:rsidRDefault="006C1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C8A758" w14:textId="77777777" w:rsidR="0021796B" w:rsidRDefault="0021796B" w:rsidP="006C120E">
      <w:pPr>
        <w:spacing w:after="0" w:line="240" w:lineRule="auto"/>
      </w:pPr>
      <w:r>
        <w:separator/>
      </w:r>
    </w:p>
  </w:footnote>
  <w:footnote w:type="continuationSeparator" w:id="0">
    <w:p w14:paraId="0B51CBF2" w14:textId="77777777" w:rsidR="0021796B" w:rsidRDefault="0021796B" w:rsidP="006C12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20E"/>
    <w:rsid w:val="0021796B"/>
    <w:rsid w:val="003A4E79"/>
    <w:rsid w:val="006C120E"/>
    <w:rsid w:val="00710083"/>
    <w:rsid w:val="00BA4DD8"/>
    <w:rsid w:val="00CF7692"/>
    <w:rsid w:val="00D9239E"/>
    <w:rsid w:val="00E36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4B1AA"/>
  <w15:chartTrackingRefBased/>
  <w15:docId w15:val="{16E5296F-8845-46C5-A720-ADD156C61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2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12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12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12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12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12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12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12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12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2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12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12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12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12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12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2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2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20E"/>
    <w:rPr>
      <w:rFonts w:eastAsiaTheme="majorEastAsia" w:cstheme="majorBidi"/>
      <w:color w:val="272727" w:themeColor="text1" w:themeTint="D8"/>
    </w:rPr>
  </w:style>
  <w:style w:type="paragraph" w:styleId="Title">
    <w:name w:val="Title"/>
    <w:basedOn w:val="Normal"/>
    <w:next w:val="Normal"/>
    <w:link w:val="TitleChar"/>
    <w:uiPriority w:val="10"/>
    <w:qFormat/>
    <w:rsid w:val="006C12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2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12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12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120E"/>
    <w:pPr>
      <w:spacing w:before="160"/>
      <w:jc w:val="center"/>
    </w:pPr>
    <w:rPr>
      <w:i/>
      <w:iCs/>
      <w:color w:val="404040" w:themeColor="text1" w:themeTint="BF"/>
    </w:rPr>
  </w:style>
  <w:style w:type="character" w:customStyle="1" w:styleId="QuoteChar">
    <w:name w:val="Quote Char"/>
    <w:basedOn w:val="DefaultParagraphFont"/>
    <w:link w:val="Quote"/>
    <w:uiPriority w:val="29"/>
    <w:rsid w:val="006C120E"/>
    <w:rPr>
      <w:i/>
      <w:iCs/>
      <w:color w:val="404040" w:themeColor="text1" w:themeTint="BF"/>
    </w:rPr>
  </w:style>
  <w:style w:type="paragraph" w:styleId="ListParagraph">
    <w:name w:val="List Paragraph"/>
    <w:basedOn w:val="Normal"/>
    <w:uiPriority w:val="34"/>
    <w:qFormat/>
    <w:rsid w:val="006C120E"/>
    <w:pPr>
      <w:ind w:left="720"/>
      <w:contextualSpacing/>
    </w:pPr>
  </w:style>
  <w:style w:type="character" w:styleId="IntenseEmphasis">
    <w:name w:val="Intense Emphasis"/>
    <w:basedOn w:val="DefaultParagraphFont"/>
    <w:uiPriority w:val="21"/>
    <w:qFormat/>
    <w:rsid w:val="006C120E"/>
    <w:rPr>
      <w:i/>
      <w:iCs/>
      <w:color w:val="0F4761" w:themeColor="accent1" w:themeShade="BF"/>
    </w:rPr>
  </w:style>
  <w:style w:type="paragraph" w:styleId="IntenseQuote">
    <w:name w:val="Intense Quote"/>
    <w:basedOn w:val="Normal"/>
    <w:next w:val="Normal"/>
    <w:link w:val="IntenseQuoteChar"/>
    <w:uiPriority w:val="30"/>
    <w:qFormat/>
    <w:rsid w:val="006C12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120E"/>
    <w:rPr>
      <w:i/>
      <w:iCs/>
      <w:color w:val="0F4761" w:themeColor="accent1" w:themeShade="BF"/>
    </w:rPr>
  </w:style>
  <w:style w:type="character" w:styleId="IntenseReference">
    <w:name w:val="Intense Reference"/>
    <w:basedOn w:val="DefaultParagraphFont"/>
    <w:uiPriority w:val="32"/>
    <w:qFormat/>
    <w:rsid w:val="006C120E"/>
    <w:rPr>
      <w:b/>
      <w:bCs/>
      <w:smallCaps/>
      <w:color w:val="0F4761" w:themeColor="accent1" w:themeShade="BF"/>
      <w:spacing w:val="5"/>
    </w:rPr>
  </w:style>
  <w:style w:type="paragraph" w:styleId="NormalWeb">
    <w:name w:val="Normal (Web)"/>
    <w:basedOn w:val="Normal"/>
    <w:uiPriority w:val="99"/>
    <w:semiHidden/>
    <w:unhideWhenUsed/>
    <w:rsid w:val="006C120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C1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20E"/>
  </w:style>
  <w:style w:type="paragraph" w:styleId="Footer">
    <w:name w:val="footer"/>
    <w:basedOn w:val="Normal"/>
    <w:link w:val="FooterChar"/>
    <w:uiPriority w:val="99"/>
    <w:unhideWhenUsed/>
    <w:rsid w:val="006C1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20E"/>
  </w:style>
  <w:style w:type="character" w:styleId="Emphasis">
    <w:name w:val="Emphasis"/>
    <w:basedOn w:val="DefaultParagraphFont"/>
    <w:uiPriority w:val="20"/>
    <w:qFormat/>
    <w:rsid w:val="00E36E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1529</Words>
  <Characters>8719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McCann</dc:creator>
  <cp:keywords/>
  <dc:description/>
  <cp:lastModifiedBy>Adele McCann</cp:lastModifiedBy>
  <cp:revision>2</cp:revision>
  <dcterms:created xsi:type="dcterms:W3CDTF">2026-05-19T13:48:00Z</dcterms:created>
  <dcterms:modified xsi:type="dcterms:W3CDTF">2026-05-19T14:02:00Z</dcterms:modified>
</cp:coreProperties>
</file>