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34C465" w14:textId="10003733" w:rsidR="00A366BF" w:rsidRPr="00321589" w:rsidRDefault="00321589" w:rsidP="00A366BF">
      <w:pPr>
        <w:jc w:val="center"/>
        <w:rPr>
          <w:rFonts w:ascii="Georgia" w:hAnsi="Georgia"/>
          <w:sz w:val="28"/>
          <w:szCs w:val="28"/>
          <w:u w:val="single"/>
        </w:rPr>
      </w:pPr>
      <w:r w:rsidRPr="00321589">
        <w:rPr>
          <w:rFonts w:ascii="Georgia" w:hAnsi="Georgia"/>
          <w:sz w:val="28"/>
          <w:szCs w:val="28"/>
          <w:u w:val="single"/>
        </w:rPr>
        <w:t>Identity or Society?</w:t>
      </w:r>
    </w:p>
    <w:p w14:paraId="5F7CDE1B" w14:textId="77777777" w:rsidR="00A366BF" w:rsidRDefault="00A366BF" w:rsidP="00A366BF">
      <w:pPr>
        <w:jc w:val="center"/>
        <w:rPr>
          <w:rFonts w:ascii="Georgia" w:hAnsi="Georgia"/>
        </w:rPr>
      </w:pPr>
    </w:p>
    <w:p w14:paraId="7A883E95" w14:textId="351BF28C" w:rsidR="00A366BF" w:rsidRPr="00A366BF" w:rsidRDefault="00A366BF" w:rsidP="00A366BF">
      <w:pPr>
        <w:rPr>
          <w:rFonts w:ascii="Georgia" w:hAnsi="Georgia"/>
        </w:rPr>
      </w:pPr>
      <w:r w:rsidRPr="00A366BF">
        <w:rPr>
          <w:rFonts w:ascii="Georgia" w:hAnsi="Georgia"/>
        </w:rPr>
        <w:t>This presentation will focus on the argument whether objects express our identity or uphold social expectation. To do this, the lecture will be split into 3 topics including: </w:t>
      </w:r>
    </w:p>
    <w:p w14:paraId="57D5E379" w14:textId="77777777" w:rsidR="00A366BF" w:rsidRPr="00A366BF" w:rsidRDefault="00A366BF" w:rsidP="00A366BF">
      <w:pPr>
        <w:numPr>
          <w:ilvl w:val="0"/>
          <w:numId w:val="1"/>
        </w:numPr>
        <w:rPr>
          <w:rFonts w:ascii="Georgia" w:hAnsi="Georgia"/>
        </w:rPr>
      </w:pPr>
      <w:r w:rsidRPr="00A366BF">
        <w:rPr>
          <w:rFonts w:ascii="Georgia" w:hAnsi="Georgia"/>
        </w:rPr>
        <w:t>Objects shaping our identities. </w:t>
      </w:r>
    </w:p>
    <w:p w14:paraId="438470D9" w14:textId="77777777" w:rsidR="00A366BF" w:rsidRPr="00A366BF" w:rsidRDefault="00A366BF" w:rsidP="00A366BF">
      <w:pPr>
        <w:numPr>
          <w:ilvl w:val="0"/>
          <w:numId w:val="1"/>
        </w:numPr>
        <w:rPr>
          <w:rFonts w:ascii="Georgia" w:hAnsi="Georgia"/>
        </w:rPr>
      </w:pPr>
      <w:r w:rsidRPr="00A366BF">
        <w:rPr>
          <w:rFonts w:ascii="Georgia" w:hAnsi="Georgia"/>
        </w:rPr>
        <w:t>Social expectations. </w:t>
      </w:r>
    </w:p>
    <w:p w14:paraId="4AEA1125" w14:textId="77777777" w:rsidR="00A366BF" w:rsidRPr="00A366BF" w:rsidRDefault="00A366BF" w:rsidP="00A366BF">
      <w:pPr>
        <w:numPr>
          <w:ilvl w:val="0"/>
          <w:numId w:val="1"/>
        </w:numPr>
        <w:rPr>
          <w:rFonts w:ascii="Georgia" w:hAnsi="Georgia"/>
        </w:rPr>
      </w:pPr>
      <w:r w:rsidRPr="00A366BF">
        <w:rPr>
          <w:rFonts w:ascii="Georgia" w:hAnsi="Georgia"/>
        </w:rPr>
        <w:t>Consumerism and the Power of an Object. </w:t>
      </w:r>
    </w:p>
    <w:p w14:paraId="10A089E4" w14:textId="77777777" w:rsidR="00A366BF" w:rsidRPr="00A366BF" w:rsidRDefault="00A366BF" w:rsidP="00A366BF">
      <w:pPr>
        <w:rPr>
          <w:rFonts w:ascii="Georgia" w:hAnsi="Georgia"/>
        </w:rPr>
      </w:pPr>
    </w:p>
    <w:p w14:paraId="79D6B44F" w14:textId="77777777" w:rsidR="00A366BF" w:rsidRPr="00A366BF" w:rsidRDefault="00A366BF" w:rsidP="00A366BF">
      <w:pPr>
        <w:rPr>
          <w:rFonts w:ascii="Georgia" w:hAnsi="Georgia"/>
        </w:rPr>
      </w:pPr>
      <w:r w:rsidRPr="00A366BF">
        <w:rPr>
          <w:rFonts w:ascii="Georgia" w:hAnsi="Georgia"/>
        </w:rPr>
        <w:t>The core item will be my 4 year old Class wiz calculator which has been used and abused throughout its time with me. </w:t>
      </w:r>
    </w:p>
    <w:p w14:paraId="3CD03BA7" w14:textId="77777777" w:rsidR="00A366BF" w:rsidRPr="00A366BF" w:rsidRDefault="00A366BF" w:rsidP="00A366BF">
      <w:pPr>
        <w:rPr>
          <w:rFonts w:ascii="Georgia" w:hAnsi="Georgia"/>
        </w:rPr>
      </w:pPr>
    </w:p>
    <w:p w14:paraId="1B8D4060" w14:textId="77777777" w:rsidR="00A366BF" w:rsidRPr="00A366BF" w:rsidRDefault="00A366BF" w:rsidP="00A366BF">
      <w:pPr>
        <w:rPr>
          <w:rFonts w:ascii="Georgia" w:hAnsi="Georgia"/>
        </w:rPr>
      </w:pPr>
      <w:r w:rsidRPr="00A366BF">
        <w:rPr>
          <w:rFonts w:ascii="Georgia" w:hAnsi="Georgia"/>
        </w:rPr>
        <w:t xml:space="preserve">But what does a calculator have to do with who I am? Susanne Küchler states in her analysis of objectification that objects are part of the sequence which builds our identity step by step. They do this by influencing how we behave and act, how we interact with a certain group of people or even how we dress ourselves (Carroll, Walford and Walton, 2020, pp.115–128). The calculator would have influenced my behaviour by having me form relationships with the people around me through the shared experience of using it in an A-level maths class, be it intentional or not. Küchler goes on to use Mauss’s idea of the gift to explain how objects carry a historical and emotional weight with them, this therefore changes how people react to the object and their surroundings (Carroll, Walford and Walton, 2020, pp.115–128). The movement of me putting the calculator into my backpack or the confused use of it through my exams is imprinted onto this calculator, it is no longer just its function but rather an embodiment of that portion of my life, the good and the bad. This is similar to Miller's outlook on objectivity as in </w:t>
      </w:r>
      <w:r w:rsidRPr="00A366BF">
        <w:rPr>
          <w:rFonts w:ascii="Georgia" w:hAnsi="Georgia"/>
          <w:i/>
          <w:iCs/>
        </w:rPr>
        <w:t>The Comfort of Things</w:t>
      </w:r>
      <w:r w:rsidRPr="00A366BF">
        <w:rPr>
          <w:rFonts w:ascii="Georgia" w:hAnsi="Georgia"/>
        </w:rPr>
        <w:t xml:space="preserve"> he expresses how objects don’t just mark that part of our lives but becomes part of our subjectivity and allows us to remember and feel just from an object's presence (Miller, 2008). But knowing what an object represents to an individual isn’t the end of its perception. </w:t>
      </w:r>
    </w:p>
    <w:p w14:paraId="14EB5A06" w14:textId="77777777" w:rsidR="00A366BF" w:rsidRPr="00A366BF" w:rsidRDefault="00A366BF" w:rsidP="00A366BF">
      <w:pPr>
        <w:rPr>
          <w:rFonts w:ascii="Georgia" w:hAnsi="Georgia"/>
        </w:rPr>
      </w:pPr>
    </w:p>
    <w:p w14:paraId="23E96608" w14:textId="77777777" w:rsidR="00A366BF" w:rsidRPr="00A366BF" w:rsidRDefault="00A366BF" w:rsidP="00A366BF">
      <w:pPr>
        <w:rPr>
          <w:rFonts w:ascii="Georgia" w:hAnsi="Georgia"/>
        </w:rPr>
      </w:pPr>
      <w:r w:rsidRPr="00A366BF">
        <w:rPr>
          <w:rFonts w:ascii="Georgia" w:hAnsi="Georgia"/>
        </w:rPr>
        <w:t xml:space="preserve">Social expectations would have us believe that everything we carry somehow shows our background and identity without us realising. Media depicting people who carry calculators as students, nerds and predominantly males formulate these stereotypes that culturally we are drawn to believing from a young age. Mary Douglas’s theory of dirt being disorder further emulates that objects carry with them perceptions of a person's social status (Douglas, 1966). The brand of calculator suggests that the person is of higher wealth or the look of the object (its state of distress) being telling of how they look after items. This is evident in the look of the calculator, its exterior being covered in scratches and doodles indicating that a lack of care was present during its use. Onto this Douglas goes on to show that purity is often linked to class or importance, the more clean or preserved an item is the more upstanding you are as a person and often the more respected you are by those around you (Douglas, 1966). The lacklustre attempt to patch up the most critical crack on the back of the calculator therefore shows the class of the owner, as instead of buying a new one, for £30, I have instead messily stuck a bit of duct tape onto it. With Class being so deeply ingrained into our western culture it is not hard to believe that a level of sexism is not far behind. Sherry Ortner suggests that gender is not an innate structure but rather a cultural concept in which those with power have the ability to control the lesser (Ortner, 1996). </w:t>
      </w:r>
      <w:r w:rsidRPr="00A366BF">
        <w:rPr>
          <w:rFonts w:ascii="Georgia" w:hAnsi="Georgia"/>
        </w:rPr>
        <w:lastRenderedPageBreak/>
        <w:t>Calculators are often a form of intelligence, a symbol of logic and strategy. Throughout history this position has been mainly dominated by men and therefore the cultural perception of said object is that STEM subjects are mainly geared towards men. This touches on the stereotype that men are innately better at such subjects and therefore the idea of a woman studying would be rare or not beneficial to the study. These social expectations uphold harsh stereotypes which affect marginalised genders, races and classes, letting those with greater status influence and control those who are seen as lesser than them. </w:t>
      </w:r>
    </w:p>
    <w:p w14:paraId="4BFC102E" w14:textId="77777777" w:rsidR="00A366BF" w:rsidRPr="00A366BF" w:rsidRDefault="00A366BF" w:rsidP="00A366BF">
      <w:pPr>
        <w:rPr>
          <w:rFonts w:ascii="Georgia" w:hAnsi="Georgia"/>
        </w:rPr>
      </w:pPr>
    </w:p>
    <w:p w14:paraId="2005954C" w14:textId="460D670B" w:rsidR="00A366BF" w:rsidRPr="00A366BF" w:rsidRDefault="00A366BF" w:rsidP="00A366BF">
      <w:pPr>
        <w:rPr>
          <w:rFonts w:ascii="Georgia" w:hAnsi="Georgia"/>
        </w:rPr>
      </w:pPr>
      <w:r w:rsidRPr="00A366BF">
        <w:rPr>
          <w:rFonts w:ascii="Georgia" w:hAnsi="Georgia"/>
        </w:rPr>
        <w:t>Powers like big businesses focus their marketing efforts into the desires of newfound trends and aesthetics that, with the uptake in social media, have encompassed our lives. Miller writes how systems often push standardised preferences, making objects less of a show of internal expression but a performance (Miller, 1998). Items that may hold personal meaning now get lumped into the collective, calculators being produced towards wider demographics by adding certain characteristics like changing the colour or making it more inviting. These changes continue to endorse the stereotypes we have in western culture, pink calculators being marketed towards girls- pushing the view of aesthetics over knowledge. Despite this looking like a way forward, it hinges on the beliefs that only certain people can understand or use certain objects without external ridicule. Furthermore, Miller and Appadurai introduce the idea that mass production of things is not intrinsically linked to individualism but rather a way in which those in power drive for homogenisation (Miller, 1998; Appadurai, 1986). If we all find certain objects valuable then capitalising off them is just a case of getting the rights or materials to extort that object. </w:t>
      </w:r>
    </w:p>
    <w:p w14:paraId="41D904A3" w14:textId="33E89BE7" w:rsidR="006E52E6" w:rsidRDefault="00A366BF" w:rsidP="00A366BF">
      <w:pPr>
        <w:rPr>
          <w:rFonts w:ascii="Georgia" w:hAnsi="Georgia"/>
        </w:rPr>
      </w:pPr>
      <w:r w:rsidRPr="00A366BF">
        <w:rPr>
          <w:rFonts w:ascii="Georgia" w:hAnsi="Georgia"/>
        </w:rPr>
        <w:br/>
        <w:t xml:space="preserve">To recap, an object may be presented by the person as a show of their internal identity, however, this cannot be without the use of stereotypes for which the object and then person is viewed against. Things that are seen as dirty or impure are not held to the standard that you would something clean, displaying how our culture categorises people from just a look at their clothes, their food and their items. Yet, we are far from breaking this barrier between harmony and condemnation as societally we continue to complicitly buy into the mass production of items and therefore lose our own individualism. Those seeing themselves through the lens of a certain label begin to become idolised by the media as being a perfect representation of what we should strive towards instead of capturing who we are. Millers </w:t>
      </w:r>
      <w:r w:rsidRPr="00A366BF">
        <w:rPr>
          <w:rFonts w:ascii="Georgia" w:hAnsi="Georgia"/>
          <w:i/>
          <w:iCs/>
        </w:rPr>
        <w:t>the comfort of things</w:t>
      </w:r>
      <w:r w:rsidRPr="00A366BF">
        <w:rPr>
          <w:rFonts w:ascii="Georgia" w:hAnsi="Georgia"/>
        </w:rPr>
        <w:t xml:space="preserve"> brings this up in the first chapter with the character becoming more and more emotionally isolated from himself (Miller, 2008, pp.1–15) showing how when we feed into these narratives certain markets want us to fall into</w:t>
      </w:r>
      <w:r>
        <w:rPr>
          <w:rFonts w:ascii="Georgia" w:hAnsi="Georgia"/>
        </w:rPr>
        <w:t>,</w:t>
      </w:r>
      <w:r w:rsidRPr="00A366BF">
        <w:rPr>
          <w:rFonts w:ascii="Georgia" w:hAnsi="Georgia"/>
        </w:rPr>
        <w:t xml:space="preserve"> we forget the importance of items that are not flashy or performative but instead give us some form of comfort and connection in which we can find ourselves.</w:t>
      </w:r>
    </w:p>
    <w:p w14:paraId="3FBDF3E1" w14:textId="77777777" w:rsidR="00A366BF" w:rsidRDefault="00A366BF" w:rsidP="00A366BF">
      <w:pPr>
        <w:rPr>
          <w:rFonts w:ascii="Georgia" w:hAnsi="Georgia"/>
        </w:rPr>
      </w:pPr>
    </w:p>
    <w:p w14:paraId="79132376" w14:textId="77777777" w:rsidR="00A366BF" w:rsidRDefault="00A366BF" w:rsidP="00A366BF">
      <w:pPr>
        <w:rPr>
          <w:rFonts w:ascii="Georgia" w:hAnsi="Georgia"/>
        </w:rPr>
      </w:pPr>
    </w:p>
    <w:p w14:paraId="50EFD394" w14:textId="77777777" w:rsidR="00A366BF" w:rsidRDefault="00A366BF" w:rsidP="00A366BF">
      <w:pPr>
        <w:rPr>
          <w:rFonts w:ascii="Georgia" w:hAnsi="Georgia"/>
        </w:rPr>
      </w:pPr>
    </w:p>
    <w:p w14:paraId="336571B0" w14:textId="77777777" w:rsidR="00A366BF" w:rsidRDefault="00A366BF" w:rsidP="00A366BF">
      <w:pPr>
        <w:rPr>
          <w:rFonts w:ascii="Georgia" w:hAnsi="Georgia"/>
        </w:rPr>
      </w:pPr>
    </w:p>
    <w:p w14:paraId="55CE362D" w14:textId="77777777" w:rsidR="00A366BF" w:rsidRDefault="00A366BF" w:rsidP="00A366BF">
      <w:pPr>
        <w:rPr>
          <w:rFonts w:ascii="Georgia" w:hAnsi="Georgia"/>
        </w:rPr>
      </w:pPr>
    </w:p>
    <w:p w14:paraId="40EA5CB6" w14:textId="77777777" w:rsidR="00A366BF" w:rsidRDefault="00A366BF" w:rsidP="00A366BF">
      <w:pPr>
        <w:rPr>
          <w:rFonts w:ascii="Georgia" w:hAnsi="Georgia"/>
        </w:rPr>
      </w:pPr>
    </w:p>
    <w:p w14:paraId="113B716F" w14:textId="77777777" w:rsidR="00A366BF" w:rsidRDefault="00A366BF" w:rsidP="00A366BF">
      <w:pPr>
        <w:rPr>
          <w:rFonts w:ascii="Georgia" w:hAnsi="Georgia"/>
        </w:rPr>
      </w:pPr>
    </w:p>
    <w:p w14:paraId="0B810202" w14:textId="77777777" w:rsidR="00A366BF" w:rsidRDefault="00A366BF" w:rsidP="00A366BF">
      <w:pPr>
        <w:rPr>
          <w:rFonts w:ascii="Georgia" w:hAnsi="Georgia"/>
        </w:rPr>
      </w:pPr>
    </w:p>
    <w:p w14:paraId="0A1A0742" w14:textId="63994144" w:rsidR="00A366BF" w:rsidRDefault="00A366BF" w:rsidP="00A366BF">
      <w:pPr>
        <w:rPr>
          <w:rFonts w:ascii="Georgia" w:hAnsi="Georgia"/>
        </w:rPr>
      </w:pPr>
      <w:r>
        <w:rPr>
          <w:rFonts w:ascii="Georgia" w:hAnsi="Georgia"/>
        </w:rPr>
        <w:lastRenderedPageBreak/>
        <w:t xml:space="preserve">Bibliography: </w:t>
      </w:r>
    </w:p>
    <w:p w14:paraId="29270708" w14:textId="77777777" w:rsidR="00A366BF" w:rsidRDefault="00A366BF" w:rsidP="00A366BF">
      <w:pPr>
        <w:rPr>
          <w:rFonts w:ascii="Georgia" w:hAnsi="Georgia"/>
        </w:rPr>
      </w:pPr>
    </w:p>
    <w:p w14:paraId="29E47047" w14:textId="1FE4082A" w:rsidR="00A366BF" w:rsidRPr="00A366BF" w:rsidRDefault="00A366BF" w:rsidP="00A366BF">
      <w:pPr>
        <w:rPr>
          <w:rFonts w:ascii="Georgia" w:hAnsi="Georgia"/>
        </w:rPr>
      </w:pPr>
      <w:r w:rsidRPr="00A366BF">
        <w:rPr>
          <w:rFonts w:ascii="Georgia" w:hAnsi="Georgia"/>
        </w:rPr>
        <w:t xml:space="preserve">Appadurai, A., ed., 1986. </w:t>
      </w:r>
      <w:r w:rsidRPr="00A366BF">
        <w:rPr>
          <w:rFonts w:ascii="Georgia" w:hAnsi="Georgia"/>
          <w:i/>
          <w:iCs/>
        </w:rPr>
        <w:t>The Social Life of Things: Commodities in Cultural Perspective</w:t>
      </w:r>
      <w:r w:rsidRPr="00A366BF">
        <w:rPr>
          <w:rFonts w:ascii="Georgia" w:hAnsi="Georgia"/>
        </w:rPr>
        <w:t>. Cambridge: Cambridge University Press.</w:t>
      </w:r>
    </w:p>
    <w:p w14:paraId="3BB41056" w14:textId="77777777" w:rsidR="00A366BF" w:rsidRPr="00A366BF" w:rsidRDefault="00A366BF" w:rsidP="00A366BF">
      <w:pPr>
        <w:rPr>
          <w:rFonts w:ascii="Georgia" w:hAnsi="Georgia"/>
        </w:rPr>
      </w:pPr>
      <w:r w:rsidRPr="00A366BF">
        <w:rPr>
          <w:rFonts w:ascii="Georgia" w:hAnsi="Georgia"/>
        </w:rPr>
        <w:t xml:space="preserve">Carroll, T., Walford, A. and Walton, S.M., 2020. Lineages and advancements in material culture studies. </w:t>
      </w:r>
      <w:r w:rsidRPr="00A366BF">
        <w:rPr>
          <w:rFonts w:ascii="Georgia" w:hAnsi="Georgia"/>
          <w:i/>
          <w:iCs/>
        </w:rPr>
        <w:t>Routledge</w:t>
      </w:r>
      <w:r w:rsidRPr="00A366BF">
        <w:rPr>
          <w:rFonts w:ascii="Georgia" w:hAnsi="Georgia"/>
        </w:rPr>
        <w:t>, pp.115–128.</w:t>
      </w:r>
    </w:p>
    <w:p w14:paraId="05E38418" w14:textId="16D019C5" w:rsidR="00A366BF" w:rsidRPr="00A366BF" w:rsidRDefault="00A366BF" w:rsidP="00A366BF">
      <w:pPr>
        <w:rPr>
          <w:rFonts w:ascii="Georgia" w:hAnsi="Georgia"/>
        </w:rPr>
      </w:pPr>
      <w:r w:rsidRPr="00A366BF">
        <w:rPr>
          <w:rFonts w:ascii="Georgia" w:hAnsi="Georgia"/>
        </w:rPr>
        <w:t xml:space="preserve">Douglas, M., 1966. Purity and danger. </w:t>
      </w:r>
      <w:r w:rsidRPr="00A366BF">
        <w:rPr>
          <w:rFonts w:ascii="Georgia" w:hAnsi="Georgia"/>
          <w:i/>
          <w:iCs/>
        </w:rPr>
        <w:t>Materials Today</w:t>
      </w:r>
      <w:r w:rsidRPr="00A366BF">
        <w:rPr>
          <w:rFonts w:ascii="Georgia" w:hAnsi="Georgia"/>
        </w:rPr>
        <w:t xml:space="preserve">, [online] 4(1). Available at: </w:t>
      </w:r>
      <w:hyperlink r:id="rId5" w:history="1">
        <w:r w:rsidRPr="00A366BF">
          <w:rPr>
            <w:rStyle w:val="Hyperlink"/>
            <w:rFonts w:ascii="Georgia" w:hAnsi="Georgia"/>
          </w:rPr>
          <w:t>https://doi.org/10.1016/s1369-7021(01)80186-3</w:t>
        </w:r>
      </w:hyperlink>
      <w:r w:rsidRPr="00A366BF">
        <w:rPr>
          <w:rFonts w:ascii="Georgia" w:hAnsi="Georgia"/>
        </w:rPr>
        <w:t>.</w:t>
      </w:r>
      <w:r>
        <w:rPr>
          <w:rFonts w:ascii="Georgia" w:hAnsi="Georgia"/>
        </w:rPr>
        <w:t xml:space="preserve"> </w:t>
      </w:r>
    </w:p>
    <w:p w14:paraId="044F3FD3" w14:textId="33F049F3" w:rsidR="00A366BF" w:rsidRPr="00A366BF" w:rsidRDefault="00A366BF" w:rsidP="00A366BF">
      <w:pPr>
        <w:rPr>
          <w:rFonts w:ascii="Georgia" w:hAnsi="Georgia"/>
        </w:rPr>
      </w:pPr>
      <w:r w:rsidRPr="00A366BF">
        <w:rPr>
          <w:rFonts w:ascii="Georgia" w:hAnsi="Georgia"/>
        </w:rPr>
        <w:t xml:space="preserve">Küchler, S. and Carroll, T., 2020. </w:t>
      </w:r>
      <w:r w:rsidRPr="00A366BF">
        <w:rPr>
          <w:rFonts w:ascii="Georgia" w:hAnsi="Georgia"/>
          <w:i/>
          <w:iCs/>
        </w:rPr>
        <w:t>A Return to the Object</w:t>
      </w:r>
      <w:r w:rsidRPr="00A366BF">
        <w:rPr>
          <w:rFonts w:ascii="Georgia" w:hAnsi="Georgia"/>
        </w:rPr>
        <w:t xml:space="preserve">. Routledge eBooks. Informa. Available at: </w:t>
      </w:r>
      <w:hyperlink r:id="rId6" w:history="1">
        <w:r w:rsidRPr="00A366BF">
          <w:rPr>
            <w:rStyle w:val="Hyperlink"/>
            <w:rFonts w:ascii="Georgia" w:hAnsi="Georgia"/>
          </w:rPr>
          <w:t>https://doi.org/10.4324/9781003084334</w:t>
        </w:r>
      </w:hyperlink>
      <w:r w:rsidRPr="00A366BF">
        <w:rPr>
          <w:rFonts w:ascii="Georgia" w:hAnsi="Georgia"/>
        </w:rPr>
        <w:t>.</w:t>
      </w:r>
      <w:r>
        <w:rPr>
          <w:rFonts w:ascii="Georgia" w:hAnsi="Georgia"/>
        </w:rPr>
        <w:t xml:space="preserve"> </w:t>
      </w:r>
    </w:p>
    <w:p w14:paraId="6F50307B" w14:textId="77777777" w:rsidR="00A366BF" w:rsidRPr="00A366BF" w:rsidRDefault="00A366BF" w:rsidP="00A366BF">
      <w:pPr>
        <w:rPr>
          <w:rFonts w:ascii="Georgia" w:hAnsi="Georgia"/>
        </w:rPr>
      </w:pPr>
      <w:r w:rsidRPr="00A366BF">
        <w:rPr>
          <w:rFonts w:ascii="Georgia" w:hAnsi="Georgia"/>
        </w:rPr>
        <w:t xml:space="preserve">Miller, D., ed., 1998. </w:t>
      </w:r>
      <w:r w:rsidRPr="00A366BF">
        <w:rPr>
          <w:rFonts w:ascii="Georgia" w:hAnsi="Georgia"/>
          <w:i/>
          <w:iCs/>
        </w:rPr>
        <w:t>Material Cultures: Why Some Things Matter</w:t>
      </w:r>
      <w:r w:rsidRPr="00A366BF">
        <w:rPr>
          <w:rFonts w:ascii="Georgia" w:hAnsi="Georgia"/>
        </w:rPr>
        <w:t>. London: UCL Press.</w:t>
      </w:r>
    </w:p>
    <w:p w14:paraId="7260CCAD" w14:textId="1895D062" w:rsidR="00A366BF" w:rsidRPr="00A366BF" w:rsidRDefault="00A366BF" w:rsidP="00A366BF">
      <w:pPr>
        <w:rPr>
          <w:rFonts w:ascii="Georgia" w:hAnsi="Georgia"/>
        </w:rPr>
      </w:pPr>
      <w:r w:rsidRPr="00A366BF">
        <w:rPr>
          <w:rFonts w:ascii="Georgia" w:hAnsi="Georgia"/>
        </w:rPr>
        <w:t xml:space="preserve">Miller, D., 2008. </w:t>
      </w:r>
      <w:r w:rsidRPr="00A366BF">
        <w:rPr>
          <w:rFonts w:ascii="Georgia" w:hAnsi="Georgia"/>
          <w:i/>
          <w:iCs/>
        </w:rPr>
        <w:t>The Comfort of Things</w:t>
      </w:r>
      <w:r w:rsidRPr="00A366BF">
        <w:rPr>
          <w:rFonts w:ascii="Georgia" w:hAnsi="Georgia"/>
        </w:rPr>
        <w:t xml:space="preserve">. [online] Cambridge: Polity. Available at: </w:t>
      </w:r>
      <w:hyperlink r:id="rId7" w:history="1">
        <w:r w:rsidRPr="00A366BF">
          <w:rPr>
            <w:rStyle w:val="Hyperlink"/>
            <w:rFonts w:ascii="Georgia" w:hAnsi="Georgia"/>
          </w:rPr>
          <w:t>https://books.google.co.uk/books/about/The_Comfort_of_Things.html?id=65NMV1ZgsNgC&amp;redir_esc=y</w:t>
        </w:r>
      </w:hyperlink>
      <w:r w:rsidRPr="00A366BF">
        <w:rPr>
          <w:rFonts w:ascii="Georgia" w:hAnsi="Georgia"/>
        </w:rPr>
        <w:t>.</w:t>
      </w:r>
      <w:r>
        <w:rPr>
          <w:rFonts w:ascii="Georgia" w:hAnsi="Georgia"/>
        </w:rPr>
        <w:t xml:space="preserve"> </w:t>
      </w:r>
    </w:p>
    <w:p w14:paraId="0698FB91" w14:textId="77777777" w:rsidR="00A366BF" w:rsidRPr="00A366BF" w:rsidRDefault="00A366BF" w:rsidP="00A366BF">
      <w:pPr>
        <w:rPr>
          <w:rFonts w:ascii="Georgia" w:hAnsi="Georgia"/>
        </w:rPr>
      </w:pPr>
      <w:r w:rsidRPr="00A366BF">
        <w:rPr>
          <w:rFonts w:ascii="Georgia" w:hAnsi="Georgia"/>
        </w:rPr>
        <w:t xml:space="preserve">Ortner, S.B., 1996. </w:t>
      </w:r>
      <w:r w:rsidRPr="00A366BF">
        <w:rPr>
          <w:rFonts w:ascii="Georgia" w:hAnsi="Georgia"/>
          <w:i/>
          <w:iCs/>
        </w:rPr>
        <w:t xml:space="preserve">Making Gender: The Politics and </w:t>
      </w:r>
      <w:proofErr w:type="spellStart"/>
      <w:r w:rsidRPr="00A366BF">
        <w:rPr>
          <w:rFonts w:ascii="Georgia" w:hAnsi="Georgia"/>
          <w:i/>
          <w:iCs/>
        </w:rPr>
        <w:t>Erotics</w:t>
      </w:r>
      <w:proofErr w:type="spellEnd"/>
      <w:r w:rsidRPr="00A366BF">
        <w:rPr>
          <w:rFonts w:ascii="Georgia" w:hAnsi="Georgia"/>
          <w:i/>
          <w:iCs/>
        </w:rPr>
        <w:t xml:space="preserve"> of Culture</w:t>
      </w:r>
      <w:r w:rsidRPr="00A366BF">
        <w:rPr>
          <w:rFonts w:ascii="Georgia" w:hAnsi="Georgia"/>
        </w:rPr>
        <w:t>. Boston, Mass.: Beacon Press.</w:t>
      </w:r>
    </w:p>
    <w:p w14:paraId="1F700723" w14:textId="35F7A0C0" w:rsidR="00A366BF" w:rsidRPr="00A366BF" w:rsidRDefault="00A366BF" w:rsidP="00A366BF">
      <w:pPr>
        <w:rPr>
          <w:rFonts w:ascii="Georgia" w:hAnsi="Georgia"/>
        </w:rPr>
      </w:pPr>
      <w:r w:rsidRPr="00A366BF">
        <w:rPr>
          <w:rFonts w:ascii="Georgia" w:hAnsi="Georgia"/>
        </w:rPr>
        <w:br/>
      </w:r>
      <w:r w:rsidRPr="00A366BF">
        <w:rPr>
          <w:rFonts w:ascii="Georgia" w:hAnsi="Georgia"/>
        </w:rPr>
        <w:br/>
      </w:r>
    </w:p>
    <w:sectPr w:rsidR="00A366BF" w:rsidRPr="00A366B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32529B"/>
    <w:multiLevelType w:val="multilevel"/>
    <w:tmpl w:val="7DFCA5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11506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66BF"/>
    <w:rsid w:val="001D1819"/>
    <w:rsid w:val="00321589"/>
    <w:rsid w:val="00336F61"/>
    <w:rsid w:val="006E52E6"/>
    <w:rsid w:val="00893028"/>
    <w:rsid w:val="00A366BF"/>
    <w:rsid w:val="00FE41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6B0F9D"/>
  <w15:chartTrackingRefBased/>
  <w15:docId w15:val="{66FEDD6A-86B6-4407-BE8A-47D13AAF7B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366B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366B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366B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366B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366B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366B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366B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366B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366B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66B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366B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366B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366B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366B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366B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366B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366B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366BF"/>
    <w:rPr>
      <w:rFonts w:eastAsiaTheme="majorEastAsia" w:cstheme="majorBidi"/>
      <w:color w:val="272727" w:themeColor="text1" w:themeTint="D8"/>
    </w:rPr>
  </w:style>
  <w:style w:type="paragraph" w:styleId="Title">
    <w:name w:val="Title"/>
    <w:basedOn w:val="Normal"/>
    <w:next w:val="Normal"/>
    <w:link w:val="TitleChar"/>
    <w:uiPriority w:val="10"/>
    <w:qFormat/>
    <w:rsid w:val="00A366B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366B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366B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366B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366BF"/>
    <w:pPr>
      <w:spacing w:before="160"/>
      <w:jc w:val="center"/>
    </w:pPr>
    <w:rPr>
      <w:i/>
      <w:iCs/>
      <w:color w:val="404040" w:themeColor="text1" w:themeTint="BF"/>
    </w:rPr>
  </w:style>
  <w:style w:type="character" w:customStyle="1" w:styleId="QuoteChar">
    <w:name w:val="Quote Char"/>
    <w:basedOn w:val="DefaultParagraphFont"/>
    <w:link w:val="Quote"/>
    <w:uiPriority w:val="29"/>
    <w:rsid w:val="00A366BF"/>
    <w:rPr>
      <w:i/>
      <w:iCs/>
      <w:color w:val="404040" w:themeColor="text1" w:themeTint="BF"/>
    </w:rPr>
  </w:style>
  <w:style w:type="paragraph" w:styleId="ListParagraph">
    <w:name w:val="List Paragraph"/>
    <w:basedOn w:val="Normal"/>
    <w:uiPriority w:val="34"/>
    <w:qFormat/>
    <w:rsid w:val="00A366BF"/>
    <w:pPr>
      <w:ind w:left="720"/>
      <w:contextualSpacing/>
    </w:pPr>
  </w:style>
  <w:style w:type="character" w:styleId="IntenseEmphasis">
    <w:name w:val="Intense Emphasis"/>
    <w:basedOn w:val="DefaultParagraphFont"/>
    <w:uiPriority w:val="21"/>
    <w:qFormat/>
    <w:rsid w:val="00A366BF"/>
    <w:rPr>
      <w:i/>
      <w:iCs/>
      <w:color w:val="0F4761" w:themeColor="accent1" w:themeShade="BF"/>
    </w:rPr>
  </w:style>
  <w:style w:type="paragraph" w:styleId="IntenseQuote">
    <w:name w:val="Intense Quote"/>
    <w:basedOn w:val="Normal"/>
    <w:next w:val="Normal"/>
    <w:link w:val="IntenseQuoteChar"/>
    <w:uiPriority w:val="30"/>
    <w:qFormat/>
    <w:rsid w:val="00A366B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366BF"/>
    <w:rPr>
      <w:i/>
      <w:iCs/>
      <w:color w:val="0F4761" w:themeColor="accent1" w:themeShade="BF"/>
    </w:rPr>
  </w:style>
  <w:style w:type="character" w:styleId="IntenseReference">
    <w:name w:val="Intense Reference"/>
    <w:basedOn w:val="DefaultParagraphFont"/>
    <w:uiPriority w:val="32"/>
    <w:qFormat/>
    <w:rsid w:val="00A366BF"/>
    <w:rPr>
      <w:b/>
      <w:bCs/>
      <w:smallCaps/>
      <w:color w:val="0F4761" w:themeColor="accent1" w:themeShade="BF"/>
      <w:spacing w:val="5"/>
    </w:rPr>
  </w:style>
  <w:style w:type="character" w:styleId="Hyperlink">
    <w:name w:val="Hyperlink"/>
    <w:basedOn w:val="DefaultParagraphFont"/>
    <w:uiPriority w:val="99"/>
    <w:unhideWhenUsed/>
    <w:rsid w:val="00A366BF"/>
    <w:rPr>
      <w:color w:val="467886" w:themeColor="hyperlink"/>
      <w:u w:val="single"/>
    </w:rPr>
  </w:style>
  <w:style w:type="character" w:styleId="UnresolvedMention">
    <w:name w:val="Unresolved Mention"/>
    <w:basedOn w:val="DefaultParagraphFont"/>
    <w:uiPriority w:val="99"/>
    <w:semiHidden/>
    <w:unhideWhenUsed/>
    <w:rsid w:val="00A366B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books.google.co.uk/books/about/The_Comfort_of_Things.html?id=65NMV1ZgsNgC&amp;redir_esc=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4324/9781003084334" TargetMode="External"/><Relationship Id="rId5" Type="http://schemas.openxmlformats.org/officeDocument/2006/relationships/hyperlink" Target="https://doi.org/10.1016/s1369-7021(01)80186-3"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1132</Words>
  <Characters>6456</Characters>
  <Application>Microsoft Office Word</Application>
  <DocSecurity>0</DocSecurity>
  <Lines>53</Lines>
  <Paragraphs>15</Paragraphs>
  <ScaleCrop>false</ScaleCrop>
  <Company/>
  <LinksUpToDate>false</LinksUpToDate>
  <CharactersWithSpaces>7573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Jasper (2400802)</dc:creator>
  <cp:keywords/>
  <dc:description/>
  <cp:lastModifiedBy>Elizabeth Jasper (2400802)</cp:lastModifiedBy>
  <cp:revision>2</cp:revision>
  <dcterms:created xsi:type="dcterms:W3CDTF">2025-10-20T16:34:00Z</dcterms:created>
  <dcterms:modified xsi:type="dcterms:W3CDTF">2025-10-20T17:20:00Z</dcterms:modified>
</cp:coreProperties>
</file>