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14FDCC" w14:textId="77777777" w:rsidR="00966FB3" w:rsidRDefault="00966FB3"/>
    <w:p w14:paraId="28C8766E" w14:textId="77777777" w:rsidR="00C00D26" w:rsidRDefault="00C00D26"/>
    <w:p w14:paraId="5C5343E5" w14:textId="77777777" w:rsidR="00C00D26" w:rsidRDefault="00C00D26"/>
    <w:p w14:paraId="71A7F933" w14:textId="77777777" w:rsidR="00C00D26" w:rsidRDefault="00C00D26"/>
    <w:p w14:paraId="08649BE6" w14:textId="77777777" w:rsidR="00C00D26" w:rsidRDefault="00C00D26"/>
    <w:p w14:paraId="7E6F7188" w14:textId="77777777" w:rsidR="00C00D26" w:rsidRDefault="00C00D26"/>
    <w:p w14:paraId="446F15AA" w14:textId="77777777" w:rsidR="00C00D26" w:rsidRDefault="00C00D26"/>
    <w:p w14:paraId="1167FFC4" w14:textId="77777777" w:rsidR="00C00D26" w:rsidRDefault="00C00D26"/>
    <w:p w14:paraId="6B89DFEE" w14:textId="77777777" w:rsidR="00C00D26" w:rsidRDefault="00C00D26"/>
    <w:p w14:paraId="4F382166" w14:textId="77777777" w:rsidR="00C00D26" w:rsidRDefault="00C00D26"/>
    <w:p w14:paraId="16A9E38B" w14:textId="77777777" w:rsidR="00C00D26" w:rsidRDefault="00C00D26"/>
    <w:p w14:paraId="7C6C36E3" w14:textId="77777777" w:rsidR="008E4FBD" w:rsidRDefault="008E4FBD"/>
    <w:p w14:paraId="33995D3B" w14:textId="77777777" w:rsidR="00C00D26" w:rsidRDefault="008E4FBD" w:rsidP="00C00D26">
      <w:pPr>
        <w:spacing w:line="480" w:lineRule="auto"/>
        <w:jc w:val="center"/>
        <w:rPr>
          <w:rFonts w:ascii="Arial" w:hAnsi="Arial" w:cs="Arial"/>
          <w:b/>
          <w:bCs/>
        </w:rPr>
      </w:pPr>
      <w:r w:rsidRPr="00C00D26">
        <w:rPr>
          <w:rFonts w:ascii="Arial" w:hAnsi="Arial" w:cs="Arial"/>
          <w:b/>
          <w:bCs/>
        </w:rPr>
        <w:t>Assignment Title: Psychological Theories and Wellbeing in Older Adults</w:t>
      </w:r>
      <w:r w:rsidRPr="00C00D26">
        <w:rPr>
          <w:rFonts w:ascii="Arial" w:hAnsi="Arial" w:cs="Arial"/>
          <w:b/>
          <w:bCs/>
        </w:rPr>
        <w:br/>
        <w:t>Module Code and Title: LCHS4010 Psychology in Health and Social Care</w:t>
      </w:r>
    </w:p>
    <w:p w14:paraId="00E95828" w14:textId="77777777" w:rsidR="00106AC4" w:rsidRDefault="008E4FBD" w:rsidP="00C00D26">
      <w:pPr>
        <w:spacing w:line="480" w:lineRule="auto"/>
        <w:jc w:val="center"/>
        <w:rPr>
          <w:rFonts w:ascii="Arial" w:hAnsi="Arial" w:cs="Arial"/>
        </w:rPr>
      </w:pPr>
      <w:r w:rsidRPr="00C00D26">
        <w:rPr>
          <w:rFonts w:ascii="Arial" w:hAnsi="Arial" w:cs="Arial"/>
        </w:rPr>
        <w:br/>
        <w:t xml:space="preserve">Student </w:t>
      </w:r>
      <w:proofErr w:type="gramStart"/>
      <w:r w:rsidRPr="00C00D26">
        <w:rPr>
          <w:rFonts w:ascii="Arial" w:hAnsi="Arial" w:cs="Arial"/>
        </w:rPr>
        <w:t>Name</w:t>
      </w:r>
      <w:r w:rsidR="00106AC4">
        <w:rPr>
          <w:rFonts w:ascii="Arial" w:hAnsi="Arial" w:cs="Arial"/>
        </w:rPr>
        <w:t xml:space="preserve"> </w:t>
      </w:r>
      <w:r w:rsidRPr="00C00D26">
        <w:rPr>
          <w:rFonts w:ascii="Arial" w:hAnsi="Arial" w:cs="Arial"/>
        </w:rPr>
        <w:t>:</w:t>
      </w:r>
      <w:proofErr w:type="gramEnd"/>
    </w:p>
    <w:p w14:paraId="5AA8A07D" w14:textId="4A74E105" w:rsidR="00106AC4" w:rsidRDefault="00106AC4" w:rsidP="00F00887">
      <w:pPr>
        <w:tabs>
          <w:tab w:val="left" w:pos="142"/>
        </w:tabs>
        <w:spacing w:line="480" w:lineRule="auto"/>
        <w:jc w:val="center"/>
        <w:rPr>
          <w:rFonts w:ascii="Arial" w:hAnsi="Arial" w:cs="Arial"/>
        </w:rPr>
      </w:pPr>
      <w:r>
        <w:rPr>
          <w:rFonts w:ascii="Arial" w:hAnsi="Arial" w:cs="Arial"/>
        </w:rPr>
        <w:t>Shabana Sharif</w:t>
      </w:r>
    </w:p>
    <w:p w14:paraId="30D527B7" w14:textId="3E97FB0E" w:rsidR="00C00D26" w:rsidRDefault="008E4FBD" w:rsidP="00C00D26">
      <w:pPr>
        <w:spacing w:line="480" w:lineRule="auto"/>
        <w:jc w:val="center"/>
        <w:rPr>
          <w:rFonts w:ascii="Arial" w:hAnsi="Arial" w:cs="Arial"/>
        </w:rPr>
      </w:pPr>
      <w:r w:rsidRPr="00C00D26">
        <w:rPr>
          <w:rFonts w:ascii="Arial" w:hAnsi="Arial" w:cs="Arial"/>
        </w:rPr>
        <w:t xml:space="preserve">Student Number: </w:t>
      </w:r>
      <w:r w:rsidR="00106AC4">
        <w:rPr>
          <w:rFonts w:ascii="Arial" w:hAnsi="Arial" w:cs="Arial"/>
        </w:rPr>
        <w:t>2439077</w:t>
      </w:r>
      <w:r w:rsidRPr="00C00D26">
        <w:rPr>
          <w:rFonts w:ascii="Arial" w:hAnsi="Arial" w:cs="Arial"/>
        </w:rPr>
        <w:br/>
        <w:t xml:space="preserve">Lecturer: </w:t>
      </w:r>
      <w:r w:rsidR="00106AC4">
        <w:rPr>
          <w:rFonts w:ascii="Arial" w:hAnsi="Arial" w:cs="Arial"/>
        </w:rPr>
        <w:t>Helen Parsons</w:t>
      </w:r>
    </w:p>
    <w:p w14:paraId="417EA5E0" w14:textId="77777777" w:rsidR="00C00D26" w:rsidRDefault="00C00D26" w:rsidP="00C00D26">
      <w:pPr>
        <w:spacing w:line="480" w:lineRule="auto"/>
        <w:jc w:val="center"/>
        <w:rPr>
          <w:rFonts w:ascii="Arial" w:hAnsi="Arial" w:cs="Arial"/>
        </w:rPr>
      </w:pPr>
    </w:p>
    <w:p w14:paraId="5234A80F" w14:textId="1CC3050A" w:rsidR="008E4FBD" w:rsidRPr="00C00D26" w:rsidRDefault="008E4FBD" w:rsidP="00C00D26">
      <w:pPr>
        <w:spacing w:line="480" w:lineRule="auto"/>
        <w:jc w:val="center"/>
        <w:rPr>
          <w:rFonts w:ascii="Arial" w:hAnsi="Arial" w:cs="Arial"/>
        </w:rPr>
      </w:pPr>
    </w:p>
    <w:p w14:paraId="4DA35C8A" w14:textId="77777777" w:rsidR="008E4FBD" w:rsidRDefault="008E4FBD"/>
    <w:p w14:paraId="27372AFF" w14:textId="77777777" w:rsidR="008E4FBD" w:rsidRDefault="008E4FBD"/>
    <w:p w14:paraId="6B2186B5" w14:textId="77777777" w:rsidR="008E4FBD" w:rsidRDefault="008E4FBD"/>
    <w:p w14:paraId="404693BA" w14:textId="77777777" w:rsidR="008E4FBD" w:rsidRDefault="008E4FBD"/>
    <w:p w14:paraId="40C7794D" w14:textId="77777777" w:rsidR="008E4FBD" w:rsidRDefault="008E4FBD"/>
    <w:p w14:paraId="6D7AADFF" w14:textId="77777777" w:rsidR="00C00D26" w:rsidRDefault="00C00D26"/>
    <w:p w14:paraId="30B11E76" w14:textId="77777777" w:rsidR="00C00D26" w:rsidRDefault="00C00D26"/>
    <w:p w14:paraId="6EEEEB2A" w14:textId="77777777" w:rsidR="00C00D26" w:rsidRDefault="00C00D26"/>
    <w:p w14:paraId="1D8C82BE" w14:textId="77777777" w:rsidR="00C00D26" w:rsidRDefault="00C00D26"/>
    <w:p w14:paraId="0724BD6B" w14:textId="77777777" w:rsidR="00C00D26" w:rsidRDefault="00C00D26"/>
    <w:p w14:paraId="79A5588A" w14:textId="77777777" w:rsidR="00C00D26" w:rsidRDefault="00C00D26"/>
    <w:p w14:paraId="3319613C" w14:textId="77777777" w:rsidR="00C00D26" w:rsidRDefault="00C00D26"/>
    <w:p w14:paraId="682FBDEA" w14:textId="77777777" w:rsidR="00C00D26" w:rsidRDefault="00C00D26"/>
    <w:p w14:paraId="29DF6047" w14:textId="77777777" w:rsidR="00C00D26" w:rsidRDefault="00C00D26"/>
    <w:p w14:paraId="57D474AA" w14:textId="77777777" w:rsidR="00C00D26" w:rsidRDefault="00C00D26"/>
    <w:p w14:paraId="032E41C2" w14:textId="77777777" w:rsidR="00C00D26" w:rsidRDefault="00C00D26"/>
    <w:p w14:paraId="522BEDD4" w14:textId="77777777" w:rsidR="00C00D26" w:rsidRDefault="00C00D26"/>
    <w:p w14:paraId="79E0B2E7" w14:textId="77777777" w:rsidR="008E4FBD" w:rsidRDefault="008E4FBD"/>
    <w:sdt>
      <w:sdtPr>
        <w:rPr>
          <w:rFonts w:ascii="Arial" w:eastAsiaTheme="minorHAnsi" w:hAnsi="Arial" w:cs="Arial"/>
          <w:b w:val="0"/>
          <w:bCs w:val="0"/>
          <w:color w:val="auto"/>
          <w:kern w:val="2"/>
          <w:sz w:val="24"/>
          <w:szCs w:val="24"/>
          <w:lang w:val="en-GB"/>
          <w14:ligatures w14:val="standardContextual"/>
        </w:rPr>
        <w:id w:val="-715650898"/>
        <w:docPartObj>
          <w:docPartGallery w:val="Table of Contents"/>
          <w:docPartUnique/>
        </w:docPartObj>
      </w:sdtPr>
      <w:sdtEndPr>
        <w:rPr>
          <w:noProof/>
        </w:rPr>
      </w:sdtEndPr>
      <w:sdtContent>
        <w:p w14:paraId="60246380" w14:textId="4E0681C2" w:rsidR="009C53C7" w:rsidRPr="009C53C7" w:rsidRDefault="009C53C7" w:rsidP="009C53C7">
          <w:pPr>
            <w:pStyle w:val="TOCHeading"/>
            <w:spacing w:line="360" w:lineRule="auto"/>
            <w:jc w:val="center"/>
            <w:rPr>
              <w:rFonts w:ascii="Arial" w:hAnsi="Arial" w:cs="Arial"/>
            </w:rPr>
          </w:pPr>
          <w:r w:rsidRPr="009C53C7">
            <w:rPr>
              <w:rFonts w:ascii="Arial" w:hAnsi="Arial" w:cs="Arial"/>
            </w:rPr>
            <w:t>Table of Contents</w:t>
          </w:r>
        </w:p>
        <w:p w14:paraId="3ED0F593" w14:textId="4D701ADE" w:rsidR="009C53C7" w:rsidRPr="009C53C7" w:rsidRDefault="009C53C7" w:rsidP="009C53C7">
          <w:pPr>
            <w:pStyle w:val="TOC1"/>
            <w:tabs>
              <w:tab w:val="right" w:leader="dot" w:pos="9016"/>
            </w:tabs>
            <w:spacing w:line="360" w:lineRule="auto"/>
            <w:rPr>
              <w:rFonts w:ascii="Arial" w:hAnsi="Arial" w:cs="Arial"/>
              <w:noProof/>
            </w:rPr>
          </w:pPr>
          <w:r w:rsidRPr="009C53C7">
            <w:rPr>
              <w:rFonts w:ascii="Arial" w:hAnsi="Arial" w:cs="Arial"/>
              <w:b w:val="0"/>
              <w:bCs w:val="0"/>
            </w:rPr>
            <w:fldChar w:fldCharType="begin"/>
          </w:r>
          <w:r w:rsidRPr="009C53C7">
            <w:rPr>
              <w:rFonts w:ascii="Arial" w:hAnsi="Arial" w:cs="Arial"/>
            </w:rPr>
            <w:instrText xml:space="preserve"> TOC \o "1-3" \h \z \u </w:instrText>
          </w:r>
          <w:r w:rsidRPr="009C53C7">
            <w:rPr>
              <w:rFonts w:ascii="Arial" w:hAnsi="Arial" w:cs="Arial"/>
              <w:b w:val="0"/>
              <w:bCs w:val="0"/>
            </w:rPr>
            <w:fldChar w:fldCharType="separate"/>
          </w:r>
          <w:hyperlink w:anchor="_Toc223991077" w:history="1">
            <w:r w:rsidRPr="009C53C7">
              <w:rPr>
                <w:rStyle w:val="Hyperlink"/>
                <w:rFonts w:ascii="Arial" w:hAnsi="Arial" w:cs="Arial"/>
                <w:noProof/>
                <w:lang w:eastAsia="en-GB"/>
              </w:rPr>
              <w:t>Part A: Annotated Bibliography</w:t>
            </w:r>
            <w:r w:rsidRPr="009C53C7">
              <w:rPr>
                <w:rFonts w:ascii="Arial" w:hAnsi="Arial" w:cs="Arial"/>
                <w:noProof/>
                <w:webHidden/>
              </w:rPr>
              <w:tab/>
            </w:r>
            <w:r w:rsidRPr="009C53C7">
              <w:rPr>
                <w:rFonts w:ascii="Arial" w:hAnsi="Arial" w:cs="Arial"/>
                <w:noProof/>
                <w:webHidden/>
              </w:rPr>
              <w:fldChar w:fldCharType="begin"/>
            </w:r>
            <w:r w:rsidRPr="009C53C7">
              <w:rPr>
                <w:rFonts w:ascii="Arial" w:hAnsi="Arial" w:cs="Arial"/>
                <w:noProof/>
                <w:webHidden/>
              </w:rPr>
              <w:instrText xml:space="preserve"> PAGEREF _Toc223991077 \h </w:instrText>
            </w:r>
            <w:r w:rsidRPr="009C53C7">
              <w:rPr>
                <w:rFonts w:ascii="Arial" w:hAnsi="Arial" w:cs="Arial"/>
                <w:noProof/>
                <w:webHidden/>
              </w:rPr>
            </w:r>
            <w:r w:rsidRPr="009C53C7">
              <w:rPr>
                <w:rFonts w:ascii="Arial" w:hAnsi="Arial" w:cs="Arial"/>
                <w:noProof/>
                <w:webHidden/>
              </w:rPr>
              <w:fldChar w:fldCharType="separate"/>
            </w:r>
            <w:r>
              <w:rPr>
                <w:rFonts w:ascii="Arial" w:hAnsi="Arial" w:cs="Arial"/>
                <w:noProof/>
                <w:webHidden/>
              </w:rPr>
              <w:t>3</w:t>
            </w:r>
            <w:r w:rsidRPr="009C53C7">
              <w:rPr>
                <w:rFonts w:ascii="Arial" w:hAnsi="Arial" w:cs="Arial"/>
                <w:noProof/>
                <w:webHidden/>
              </w:rPr>
              <w:fldChar w:fldCharType="end"/>
            </w:r>
          </w:hyperlink>
        </w:p>
        <w:p w14:paraId="7169DB58" w14:textId="4917E241" w:rsidR="009C53C7" w:rsidRPr="009C53C7" w:rsidRDefault="005D41D0" w:rsidP="009C53C7">
          <w:pPr>
            <w:pStyle w:val="TOC2"/>
            <w:tabs>
              <w:tab w:val="right" w:leader="dot" w:pos="9016"/>
            </w:tabs>
            <w:spacing w:line="360" w:lineRule="auto"/>
            <w:rPr>
              <w:rFonts w:ascii="Arial" w:hAnsi="Arial" w:cs="Arial"/>
              <w:noProof/>
            </w:rPr>
          </w:pPr>
          <w:hyperlink w:anchor="_Toc223991078" w:history="1">
            <w:r w:rsidR="009C53C7" w:rsidRPr="009C53C7">
              <w:rPr>
                <w:rStyle w:val="Hyperlink"/>
                <w:rFonts w:ascii="Arial" w:hAnsi="Arial" w:cs="Arial"/>
                <w:noProof/>
                <w:lang w:eastAsia="en-GB"/>
              </w:rPr>
              <w:t>Source 1 – Maslow’s Hierarchy of Needs</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_Toc223991078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3</w:t>
            </w:r>
            <w:r w:rsidR="009C53C7" w:rsidRPr="009C53C7">
              <w:rPr>
                <w:rFonts w:ascii="Arial" w:hAnsi="Arial" w:cs="Arial"/>
                <w:noProof/>
                <w:webHidden/>
              </w:rPr>
              <w:fldChar w:fldCharType="end"/>
            </w:r>
          </w:hyperlink>
        </w:p>
        <w:p w14:paraId="0510C219" w14:textId="71FB2DEE" w:rsidR="009C53C7" w:rsidRPr="009C53C7" w:rsidRDefault="005D41D0" w:rsidP="009C53C7">
          <w:pPr>
            <w:pStyle w:val="TOC2"/>
            <w:tabs>
              <w:tab w:val="right" w:leader="dot" w:pos="9016"/>
            </w:tabs>
            <w:spacing w:line="360" w:lineRule="auto"/>
            <w:rPr>
              <w:rFonts w:ascii="Arial" w:hAnsi="Arial" w:cs="Arial"/>
              <w:noProof/>
            </w:rPr>
          </w:pPr>
          <w:hyperlink w:anchor="_Toc223991079" w:history="1">
            <w:r w:rsidR="009C53C7" w:rsidRPr="009C53C7">
              <w:rPr>
                <w:rStyle w:val="Hyperlink"/>
                <w:rFonts w:ascii="Arial" w:hAnsi="Arial" w:cs="Arial"/>
                <w:noProof/>
                <w:lang w:eastAsia="en-GB"/>
              </w:rPr>
              <w:t>Source 2 – Activity Theory of Ageing</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_Toc223991079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3</w:t>
            </w:r>
            <w:r w:rsidR="009C53C7" w:rsidRPr="009C53C7">
              <w:rPr>
                <w:rFonts w:ascii="Arial" w:hAnsi="Arial" w:cs="Arial"/>
                <w:noProof/>
                <w:webHidden/>
              </w:rPr>
              <w:fldChar w:fldCharType="end"/>
            </w:r>
          </w:hyperlink>
        </w:p>
        <w:p w14:paraId="6EF2E79C" w14:textId="3280108C" w:rsidR="009C53C7" w:rsidRPr="009C53C7" w:rsidRDefault="005D41D0" w:rsidP="009C53C7">
          <w:pPr>
            <w:pStyle w:val="TOC2"/>
            <w:tabs>
              <w:tab w:val="right" w:leader="dot" w:pos="9016"/>
            </w:tabs>
            <w:spacing w:line="360" w:lineRule="auto"/>
            <w:rPr>
              <w:rFonts w:ascii="Arial" w:hAnsi="Arial" w:cs="Arial"/>
              <w:noProof/>
            </w:rPr>
          </w:pPr>
          <w:hyperlink w:anchor="_Toc223991080" w:history="1">
            <w:r w:rsidR="009C53C7" w:rsidRPr="009C53C7">
              <w:rPr>
                <w:rStyle w:val="Hyperlink"/>
                <w:rFonts w:ascii="Arial" w:hAnsi="Arial" w:cs="Arial"/>
                <w:noProof/>
                <w:lang w:eastAsia="en-GB"/>
              </w:rPr>
              <w:t>Source 3 – Social Disengagement Theory</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_Toc223991080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4</w:t>
            </w:r>
            <w:r w:rsidR="009C53C7" w:rsidRPr="009C53C7">
              <w:rPr>
                <w:rFonts w:ascii="Arial" w:hAnsi="Arial" w:cs="Arial"/>
                <w:noProof/>
                <w:webHidden/>
              </w:rPr>
              <w:fldChar w:fldCharType="end"/>
            </w:r>
          </w:hyperlink>
        </w:p>
        <w:p w14:paraId="77AC4427" w14:textId="1AE4FFA1" w:rsidR="009C53C7" w:rsidRPr="009C53C7" w:rsidRDefault="005D41D0" w:rsidP="009C53C7">
          <w:pPr>
            <w:pStyle w:val="TOC2"/>
            <w:tabs>
              <w:tab w:val="right" w:leader="dot" w:pos="9016"/>
            </w:tabs>
            <w:spacing w:line="360" w:lineRule="auto"/>
            <w:rPr>
              <w:rFonts w:ascii="Arial" w:hAnsi="Arial" w:cs="Arial"/>
              <w:noProof/>
            </w:rPr>
          </w:pPr>
          <w:hyperlink w:anchor="_Toc223991081" w:history="1">
            <w:r w:rsidR="009C53C7" w:rsidRPr="009C53C7">
              <w:rPr>
                <w:rStyle w:val="Hyperlink"/>
                <w:rFonts w:ascii="Arial" w:hAnsi="Arial" w:cs="Arial"/>
                <w:noProof/>
                <w:lang w:eastAsia="en-GB"/>
              </w:rPr>
              <w:t>Source 4 – Positive Psychology (PERMA Model)</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_Toc223991081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4</w:t>
            </w:r>
            <w:r w:rsidR="009C53C7" w:rsidRPr="009C53C7">
              <w:rPr>
                <w:rFonts w:ascii="Arial" w:hAnsi="Arial" w:cs="Arial"/>
                <w:noProof/>
                <w:webHidden/>
              </w:rPr>
              <w:fldChar w:fldCharType="end"/>
            </w:r>
          </w:hyperlink>
        </w:p>
        <w:p w14:paraId="26BF8F5F" w14:textId="5FD0DDEF" w:rsidR="009C53C7" w:rsidRPr="009C53C7" w:rsidRDefault="005D41D0" w:rsidP="009C53C7">
          <w:pPr>
            <w:pStyle w:val="TOC1"/>
            <w:tabs>
              <w:tab w:val="right" w:leader="dot" w:pos="9016"/>
            </w:tabs>
            <w:spacing w:line="360" w:lineRule="auto"/>
            <w:rPr>
              <w:rFonts w:ascii="Arial" w:hAnsi="Arial" w:cs="Arial"/>
              <w:noProof/>
            </w:rPr>
          </w:pPr>
          <w:hyperlink w:anchor="_Toc223991082" w:history="1">
            <w:r w:rsidR="009C53C7" w:rsidRPr="009C53C7">
              <w:rPr>
                <w:rStyle w:val="Hyperlink"/>
                <w:rFonts w:ascii="Arial" w:hAnsi="Arial" w:cs="Arial"/>
                <w:noProof/>
                <w:lang w:eastAsia="en-GB"/>
              </w:rPr>
              <w:t>Part B: Short Report</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_Toc223991082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5</w:t>
            </w:r>
            <w:r w:rsidR="009C53C7" w:rsidRPr="009C53C7">
              <w:rPr>
                <w:rFonts w:ascii="Arial" w:hAnsi="Arial" w:cs="Arial"/>
                <w:noProof/>
                <w:webHidden/>
              </w:rPr>
              <w:fldChar w:fldCharType="end"/>
            </w:r>
          </w:hyperlink>
        </w:p>
        <w:p w14:paraId="1DEBE516" w14:textId="071C8816" w:rsidR="009C53C7" w:rsidRPr="009C53C7" w:rsidRDefault="005D41D0" w:rsidP="009C53C7">
          <w:pPr>
            <w:pStyle w:val="TOC2"/>
            <w:tabs>
              <w:tab w:val="right" w:leader="dot" w:pos="9016"/>
            </w:tabs>
            <w:spacing w:line="360" w:lineRule="auto"/>
            <w:rPr>
              <w:rFonts w:ascii="Arial" w:hAnsi="Arial" w:cs="Arial"/>
              <w:noProof/>
            </w:rPr>
          </w:pPr>
          <w:hyperlink w:anchor="_Toc223991083" w:history="1">
            <w:r w:rsidR="009C53C7" w:rsidRPr="009C53C7">
              <w:rPr>
                <w:rStyle w:val="Hyperlink"/>
                <w:rFonts w:ascii="Arial" w:hAnsi="Arial" w:cs="Arial"/>
                <w:noProof/>
                <w:lang w:eastAsia="en-GB"/>
              </w:rPr>
              <w:t>1. Introduction</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_Toc223991083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5</w:t>
            </w:r>
            <w:r w:rsidR="009C53C7" w:rsidRPr="009C53C7">
              <w:rPr>
                <w:rFonts w:ascii="Arial" w:hAnsi="Arial" w:cs="Arial"/>
                <w:noProof/>
                <w:webHidden/>
              </w:rPr>
              <w:fldChar w:fldCharType="end"/>
            </w:r>
          </w:hyperlink>
        </w:p>
        <w:p w14:paraId="7DC051F5" w14:textId="6FDBDE24" w:rsidR="009C53C7" w:rsidRPr="009C53C7" w:rsidRDefault="005D41D0" w:rsidP="009C53C7">
          <w:pPr>
            <w:pStyle w:val="TOC2"/>
            <w:tabs>
              <w:tab w:val="right" w:leader="dot" w:pos="9016"/>
            </w:tabs>
            <w:spacing w:line="360" w:lineRule="auto"/>
            <w:rPr>
              <w:rFonts w:ascii="Arial" w:hAnsi="Arial" w:cs="Arial"/>
              <w:noProof/>
            </w:rPr>
          </w:pPr>
          <w:hyperlink w:anchor="_Toc223991084" w:history="1">
            <w:r w:rsidR="009C53C7" w:rsidRPr="009C53C7">
              <w:rPr>
                <w:rStyle w:val="Hyperlink"/>
                <w:rFonts w:ascii="Arial" w:hAnsi="Arial" w:cs="Arial"/>
                <w:noProof/>
                <w:lang w:eastAsia="en-GB"/>
              </w:rPr>
              <w:t>2. Explanation of the Theory</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_Toc223991084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5</w:t>
            </w:r>
            <w:r w:rsidR="009C53C7" w:rsidRPr="009C53C7">
              <w:rPr>
                <w:rFonts w:ascii="Arial" w:hAnsi="Arial" w:cs="Arial"/>
                <w:noProof/>
                <w:webHidden/>
              </w:rPr>
              <w:fldChar w:fldCharType="end"/>
            </w:r>
          </w:hyperlink>
        </w:p>
        <w:p w14:paraId="56152375" w14:textId="703549FA" w:rsidR="009C53C7" w:rsidRPr="009C53C7" w:rsidRDefault="005D41D0" w:rsidP="009C53C7">
          <w:pPr>
            <w:pStyle w:val="TOC2"/>
            <w:tabs>
              <w:tab w:val="right" w:leader="dot" w:pos="9016"/>
            </w:tabs>
            <w:spacing w:line="360" w:lineRule="auto"/>
            <w:rPr>
              <w:rFonts w:ascii="Arial" w:hAnsi="Arial" w:cs="Arial"/>
              <w:noProof/>
            </w:rPr>
          </w:pPr>
          <w:hyperlink w:anchor="_Toc223991085" w:history="1">
            <w:r w:rsidR="009C53C7" w:rsidRPr="009C53C7">
              <w:rPr>
                <w:rStyle w:val="Hyperlink"/>
                <w:rFonts w:ascii="Arial" w:hAnsi="Arial" w:cs="Arial"/>
                <w:noProof/>
                <w:lang w:eastAsia="en-GB"/>
              </w:rPr>
              <w:t>3. Application in Residential Care</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_Toc223991085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5</w:t>
            </w:r>
            <w:r w:rsidR="009C53C7" w:rsidRPr="009C53C7">
              <w:rPr>
                <w:rFonts w:ascii="Arial" w:hAnsi="Arial" w:cs="Arial"/>
                <w:noProof/>
                <w:webHidden/>
              </w:rPr>
              <w:fldChar w:fldCharType="end"/>
            </w:r>
          </w:hyperlink>
        </w:p>
        <w:p w14:paraId="03FE184C" w14:textId="5D981417" w:rsidR="009C53C7" w:rsidRPr="009C53C7" w:rsidRDefault="005D41D0" w:rsidP="009C53C7">
          <w:pPr>
            <w:pStyle w:val="TOC2"/>
            <w:tabs>
              <w:tab w:val="right" w:leader="dot" w:pos="9016"/>
            </w:tabs>
            <w:spacing w:line="360" w:lineRule="auto"/>
            <w:rPr>
              <w:rFonts w:ascii="Arial" w:hAnsi="Arial" w:cs="Arial"/>
              <w:noProof/>
            </w:rPr>
          </w:pPr>
          <w:hyperlink w:anchor="_Toc223991086" w:history="1">
            <w:r w:rsidR="009C53C7" w:rsidRPr="009C53C7">
              <w:rPr>
                <w:rStyle w:val="Hyperlink"/>
                <w:rFonts w:ascii="Arial" w:hAnsi="Arial" w:cs="Arial"/>
                <w:noProof/>
                <w:lang w:eastAsia="en-GB"/>
              </w:rPr>
              <w:t>4. Case Scenario</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_Toc223991086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6</w:t>
            </w:r>
            <w:r w:rsidR="009C53C7" w:rsidRPr="009C53C7">
              <w:rPr>
                <w:rFonts w:ascii="Arial" w:hAnsi="Arial" w:cs="Arial"/>
                <w:noProof/>
                <w:webHidden/>
              </w:rPr>
              <w:fldChar w:fldCharType="end"/>
            </w:r>
          </w:hyperlink>
        </w:p>
        <w:p w14:paraId="45F6D873" w14:textId="0AC6FC17" w:rsidR="009C53C7" w:rsidRPr="009C53C7" w:rsidRDefault="005D41D0" w:rsidP="009C53C7">
          <w:pPr>
            <w:pStyle w:val="TOC2"/>
            <w:tabs>
              <w:tab w:val="right" w:leader="dot" w:pos="9016"/>
            </w:tabs>
            <w:spacing w:line="360" w:lineRule="auto"/>
            <w:rPr>
              <w:rFonts w:ascii="Arial" w:hAnsi="Arial" w:cs="Arial"/>
              <w:noProof/>
            </w:rPr>
          </w:pPr>
          <w:hyperlink w:anchor="_Toc223991087" w:history="1">
            <w:r w:rsidR="009C53C7" w:rsidRPr="009C53C7">
              <w:rPr>
                <w:rStyle w:val="Hyperlink"/>
                <w:rFonts w:ascii="Arial" w:hAnsi="Arial" w:cs="Arial"/>
                <w:noProof/>
                <w:lang w:eastAsia="en-GB"/>
              </w:rPr>
              <w:t>5. Challenge in Applying the Theory</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_Toc223991087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6</w:t>
            </w:r>
            <w:r w:rsidR="009C53C7" w:rsidRPr="009C53C7">
              <w:rPr>
                <w:rFonts w:ascii="Arial" w:hAnsi="Arial" w:cs="Arial"/>
                <w:noProof/>
                <w:webHidden/>
              </w:rPr>
              <w:fldChar w:fldCharType="end"/>
            </w:r>
          </w:hyperlink>
        </w:p>
        <w:p w14:paraId="29DAA080" w14:textId="37153275" w:rsidR="009C53C7" w:rsidRPr="009C53C7" w:rsidRDefault="005D41D0" w:rsidP="009C53C7">
          <w:pPr>
            <w:pStyle w:val="TOC2"/>
            <w:tabs>
              <w:tab w:val="right" w:leader="dot" w:pos="9016"/>
            </w:tabs>
            <w:spacing w:line="360" w:lineRule="auto"/>
            <w:rPr>
              <w:rFonts w:ascii="Arial" w:hAnsi="Arial" w:cs="Arial"/>
              <w:noProof/>
            </w:rPr>
          </w:pPr>
          <w:hyperlink w:anchor="_Toc223991088" w:history="1">
            <w:r w:rsidR="009C53C7" w:rsidRPr="009C53C7">
              <w:rPr>
                <w:rStyle w:val="Hyperlink"/>
                <w:rFonts w:ascii="Arial" w:hAnsi="Arial" w:cs="Arial"/>
                <w:noProof/>
                <w:lang w:eastAsia="en-GB"/>
              </w:rPr>
              <w:t>6. Strategy to Overcome the Challenge</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_Toc223991088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6</w:t>
            </w:r>
            <w:r w:rsidR="009C53C7" w:rsidRPr="009C53C7">
              <w:rPr>
                <w:rFonts w:ascii="Arial" w:hAnsi="Arial" w:cs="Arial"/>
                <w:noProof/>
                <w:webHidden/>
              </w:rPr>
              <w:fldChar w:fldCharType="end"/>
            </w:r>
          </w:hyperlink>
        </w:p>
        <w:p w14:paraId="434C177B" w14:textId="2B12BF95" w:rsidR="009C53C7" w:rsidRPr="009C53C7" w:rsidRDefault="005D41D0" w:rsidP="009C53C7">
          <w:pPr>
            <w:pStyle w:val="TOC2"/>
            <w:tabs>
              <w:tab w:val="right" w:leader="dot" w:pos="9016"/>
            </w:tabs>
            <w:spacing w:line="360" w:lineRule="auto"/>
            <w:rPr>
              <w:rFonts w:ascii="Arial" w:hAnsi="Arial" w:cs="Arial"/>
              <w:noProof/>
            </w:rPr>
          </w:pPr>
          <w:hyperlink w:anchor="_Toc223991089" w:history="1">
            <w:r w:rsidR="009C53C7" w:rsidRPr="009C53C7">
              <w:rPr>
                <w:rStyle w:val="Hyperlink"/>
                <w:rFonts w:ascii="Arial" w:hAnsi="Arial" w:cs="Arial"/>
                <w:noProof/>
                <w:lang w:eastAsia="en-GB"/>
              </w:rPr>
              <w:t>7. Conclusion</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_Toc223991089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7</w:t>
            </w:r>
            <w:r w:rsidR="009C53C7" w:rsidRPr="009C53C7">
              <w:rPr>
                <w:rFonts w:ascii="Arial" w:hAnsi="Arial" w:cs="Arial"/>
                <w:noProof/>
                <w:webHidden/>
              </w:rPr>
              <w:fldChar w:fldCharType="end"/>
            </w:r>
          </w:hyperlink>
        </w:p>
        <w:p w14:paraId="592DA060" w14:textId="57150647" w:rsidR="009C53C7" w:rsidRPr="009C53C7" w:rsidRDefault="005D41D0" w:rsidP="009C53C7">
          <w:pPr>
            <w:pStyle w:val="TOC1"/>
            <w:tabs>
              <w:tab w:val="right" w:leader="dot" w:pos="9016"/>
            </w:tabs>
            <w:spacing w:line="360" w:lineRule="auto"/>
            <w:rPr>
              <w:rFonts w:ascii="Arial" w:hAnsi="Arial" w:cs="Arial"/>
              <w:noProof/>
            </w:rPr>
          </w:pPr>
          <w:hyperlink w:anchor="_Toc223991090" w:history="1">
            <w:r w:rsidR="009C53C7" w:rsidRPr="009C53C7">
              <w:rPr>
                <w:rStyle w:val="Hyperlink"/>
                <w:rFonts w:ascii="Arial" w:hAnsi="Arial" w:cs="Arial"/>
                <w:noProof/>
              </w:rPr>
              <w:t>References</w:t>
            </w:r>
            <w:r w:rsidR="009C53C7" w:rsidRPr="009C53C7">
              <w:rPr>
                <w:rFonts w:ascii="Arial" w:hAnsi="Arial" w:cs="Arial"/>
                <w:noProof/>
                <w:webHidden/>
              </w:rPr>
              <w:tab/>
            </w:r>
            <w:r w:rsidR="009C53C7" w:rsidRPr="009C53C7">
              <w:rPr>
                <w:rFonts w:ascii="Arial" w:hAnsi="Arial" w:cs="Arial"/>
                <w:noProof/>
                <w:webHidden/>
              </w:rPr>
              <w:fldChar w:fldCharType="begin"/>
            </w:r>
            <w:r w:rsidR="009C53C7" w:rsidRPr="009C53C7">
              <w:rPr>
                <w:rFonts w:ascii="Arial" w:hAnsi="Arial" w:cs="Arial"/>
                <w:noProof/>
                <w:webHidden/>
              </w:rPr>
              <w:instrText xml:space="preserve"> PAGEREF _Toc223991090 \h </w:instrText>
            </w:r>
            <w:r w:rsidR="009C53C7" w:rsidRPr="009C53C7">
              <w:rPr>
                <w:rFonts w:ascii="Arial" w:hAnsi="Arial" w:cs="Arial"/>
                <w:noProof/>
                <w:webHidden/>
              </w:rPr>
            </w:r>
            <w:r w:rsidR="009C53C7" w:rsidRPr="009C53C7">
              <w:rPr>
                <w:rFonts w:ascii="Arial" w:hAnsi="Arial" w:cs="Arial"/>
                <w:noProof/>
                <w:webHidden/>
              </w:rPr>
              <w:fldChar w:fldCharType="separate"/>
            </w:r>
            <w:r w:rsidR="009C53C7">
              <w:rPr>
                <w:rFonts w:ascii="Arial" w:hAnsi="Arial" w:cs="Arial"/>
                <w:noProof/>
                <w:webHidden/>
              </w:rPr>
              <w:t>8</w:t>
            </w:r>
            <w:r w:rsidR="009C53C7" w:rsidRPr="009C53C7">
              <w:rPr>
                <w:rFonts w:ascii="Arial" w:hAnsi="Arial" w:cs="Arial"/>
                <w:noProof/>
                <w:webHidden/>
              </w:rPr>
              <w:fldChar w:fldCharType="end"/>
            </w:r>
          </w:hyperlink>
        </w:p>
        <w:p w14:paraId="6F0A1464" w14:textId="55CA5407" w:rsidR="009C53C7" w:rsidRDefault="009C53C7" w:rsidP="009C53C7">
          <w:pPr>
            <w:spacing w:line="360" w:lineRule="auto"/>
          </w:pPr>
          <w:r w:rsidRPr="009C53C7">
            <w:rPr>
              <w:rFonts w:ascii="Arial" w:hAnsi="Arial" w:cs="Arial"/>
              <w:b/>
              <w:bCs/>
              <w:noProof/>
            </w:rPr>
            <w:fldChar w:fldCharType="end"/>
          </w:r>
        </w:p>
      </w:sdtContent>
    </w:sdt>
    <w:p w14:paraId="279AFD82" w14:textId="77777777" w:rsidR="009C53C7" w:rsidRDefault="009C53C7"/>
    <w:p w14:paraId="0183C18E" w14:textId="77777777" w:rsidR="009C53C7" w:rsidRDefault="009C53C7"/>
    <w:p w14:paraId="74C184B1" w14:textId="77777777" w:rsidR="009C53C7" w:rsidRDefault="009C53C7"/>
    <w:p w14:paraId="02427386" w14:textId="77777777" w:rsidR="009C53C7" w:rsidRDefault="009C53C7">
      <w:bookmarkStart w:id="0" w:name="_GoBack"/>
      <w:bookmarkEnd w:id="0"/>
    </w:p>
    <w:p w14:paraId="79D77A80" w14:textId="77777777" w:rsidR="009C53C7" w:rsidRDefault="009C53C7"/>
    <w:p w14:paraId="36F4986A" w14:textId="77777777" w:rsidR="009C53C7" w:rsidRDefault="009C53C7"/>
    <w:p w14:paraId="793404A8" w14:textId="77777777" w:rsidR="009C53C7" w:rsidRDefault="009C53C7"/>
    <w:p w14:paraId="6FB08379" w14:textId="77777777" w:rsidR="009C53C7" w:rsidRDefault="009C53C7"/>
    <w:p w14:paraId="4354D149" w14:textId="77777777" w:rsidR="009C53C7" w:rsidRDefault="009C53C7"/>
    <w:p w14:paraId="4F52DA3C" w14:textId="77777777" w:rsidR="009C53C7" w:rsidRDefault="009C53C7"/>
    <w:p w14:paraId="611D9712" w14:textId="77777777" w:rsidR="009C53C7" w:rsidRDefault="009C53C7"/>
    <w:p w14:paraId="5E007D99" w14:textId="77777777" w:rsidR="009C53C7" w:rsidRDefault="009C53C7"/>
    <w:p w14:paraId="16E34369" w14:textId="77777777" w:rsidR="009C53C7" w:rsidRDefault="009C53C7"/>
    <w:p w14:paraId="423E0D83" w14:textId="77777777" w:rsidR="009C53C7" w:rsidRDefault="009C53C7"/>
    <w:p w14:paraId="0F4AACD9" w14:textId="77777777" w:rsidR="009C53C7" w:rsidRDefault="009C53C7"/>
    <w:p w14:paraId="42FA71F8" w14:textId="77777777" w:rsidR="009C53C7" w:rsidRDefault="009C53C7"/>
    <w:p w14:paraId="009A687B" w14:textId="77777777" w:rsidR="009C53C7" w:rsidRDefault="009C53C7"/>
    <w:p w14:paraId="23C844F6" w14:textId="77777777" w:rsidR="009C53C7" w:rsidRDefault="009C53C7"/>
    <w:p w14:paraId="66183B2C" w14:textId="77777777" w:rsidR="009C53C7" w:rsidRDefault="009C53C7"/>
    <w:p w14:paraId="7FEEFD00" w14:textId="77777777" w:rsidR="009C53C7" w:rsidRDefault="009C53C7"/>
    <w:p w14:paraId="53E3D8D1" w14:textId="77777777" w:rsidR="009C53C7" w:rsidRDefault="009C53C7"/>
    <w:p w14:paraId="1E87C6DB" w14:textId="201B2B11" w:rsidR="008E4FBD" w:rsidRPr="008E4FBD" w:rsidRDefault="00C00D26" w:rsidP="00C00D26">
      <w:pPr>
        <w:pStyle w:val="Heading1"/>
        <w:rPr>
          <w:lang w:eastAsia="en-GB"/>
        </w:rPr>
      </w:pPr>
      <w:bookmarkStart w:id="1" w:name="_Toc223991077"/>
      <w:r>
        <w:rPr>
          <w:lang w:eastAsia="en-GB"/>
        </w:rPr>
        <w:lastRenderedPageBreak/>
        <w:t xml:space="preserve">Part A: </w:t>
      </w:r>
      <w:r w:rsidR="008E4FBD" w:rsidRPr="008E4FBD">
        <w:rPr>
          <w:lang w:eastAsia="en-GB"/>
        </w:rPr>
        <w:t>Annotated Bibliography</w:t>
      </w:r>
      <w:bookmarkEnd w:id="1"/>
    </w:p>
    <w:p w14:paraId="59E47A27" w14:textId="1C0971CD" w:rsidR="008E4FBD" w:rsidRPr="008E4FBD" w:rsidRDefault="008E4FBD" w:rsidP="00C00D26">
      <w:pPr>
        <w:pStyle w:val="Heading2"/>
        <w:rPr>
          <w:lang w:eastAsia="en-GB"/>
        </w:rPr>
      </w:pPr>
      <w:bookmarkStart w:id="2" w:name="_Toc223991078"/>
      <w:r w:rsidRPr="008E4FBD">
        <w:rPr>
          <w:lang w:eastAsia="en-GB"/>
        </w:rPr>
        <w:t>Source 1 – Maslow’s Hierarchy of Needs</w:t>
      </w:r>
      <w:bookmarkEnd w:id="2"/>
    </w:p>
    <w:p w14:paraId="037276F3" w14:textId="4C2A87D3" w:rsidR="00477B33" w:rsidRPr="00C00D26" w:rsidRDefault="008E4FBD" w:rsidP="00C00D26">
      <w:pPr>
        <w:spacing w:before="100" w:beforeAutospacing="1" w:after="100" w:afterAutospacing="1"/>
        <w:rPr>
          <w:rFonts w:ascii="Times New Roman" w:eastAsia="Times New Roman" w:hAnsi="Times New Roman" w:cs="Times New Roman"/>
          <w:b/>
          <w:bCs/>
          <w:kern w:val="0"/>
          <w:lang w:eastAsia="en-GB"/>
          <w14:ligatures w14:val="none"/>
        </w:rPr>
      </w:pPr>
      <w:r w:rsidRPr="008E4FBD">
        <w:rPr>
          <w:rFonts w:ascii="Times New Roman" w:eastAsia="Times New Roman" w:hAnsi="Times New Roman" w:cs="Times New Roman"/>
          <w:b/>
          <w:bCs/>
          <w:kern w:val="0"/>
          <w:lang w:eastAsia="en-GB"/>
          <w14:ligatures w14:val="none"/>
        </w:rPr>
        <w:t xml:space="preserve">Maslow, A. (1943) </w:t>
      </w:r>
      <w:r w:rsidRPr="008E4FBD">
        <w:rPr>
          <w:rFonts w:ascii="Times New Roman" w:eastAsia="Times New Roman" w:hAnsi="Times New Roman" w:cs="Times New Roman"/>
          <w:b/>
          <w:bCs/>
          <w:i/>
          <w:iCs/>
          <w:kern w:val="0"/>
          <w:lang w:eastAsia="en-GB"/>
          <w14:ligatures w14:val="none"/>
        </w:rPr>
        <w:t>A theory of human motivation</w:t>
      </w:r>
      <w:r w:rsidRPr="008E4FBD">
        <w:rPr>
          <w:rFonts w:ascii="Times New Roman" w:eastAsia="Times New Roman" w:hAnsi="Times New Roman" w:cs="Times New Roman"/>
          <w:b/>
          <w:bCs/>
          <w:kern w:val="0"/>
          <w:lang w:eastAsia="en-GB"/>
          <w14:ligatures w14:val="none"/>
        </w:rPr>
        <w:t>. Psychological Review, 50(4), pp. 370–396.</w:t>
      </w:r>
    </w:p>
    <w:p w14:paraId="145215AA" w14:textId="666031D7" w:rsidR="00C54F9F" w:rsidRDefault="00E30F9F" w:rsidP="00C00D26">
      <w:pPr>
        <w:spacing w:line="360" w:lineRule="auto"/>
        <w:jc w:val="both"/>
        <w:rPr>
          <w:rFonts w:ascii="Arial" w:hAnsi="Arial" w:cs="Arial"/>
          <w:sz w:val="22"/>
          <w:szCs w:val="22"/>
        </w:rPr>
      </w:pPr>
      <w:r w:rsidRPr="00C00D26">
        <w:rPr>
          <w:rFonts w:ascii="Arial" w:hAnsi="Arial" w:cs="Arial"/>
          <w:sz w:val="22"/>
          <w:szCs w:val="22"/>
        </w:rPr>
        <w:t xml:space="preserve">The Hierarchy of Needs is a theory of motivation that is presented by Maslow as the way human behaviour is motivated based on the satisfaction of various levels of needs. Maslow (1943) suggested that the human needs are arranged in a hierarchical order with the most fundamental needs like food, water and shelter being the first. When these basic needs have been met, people get the impetus to attain the higher needs such as safety, love and belonging, esteem and finally </w:t>
      </w:r>
      <w:proofErr w:type="spellStart"/>
      <w:r w:rsidRPr="00C00D26">
        <w:rPr>
          <w:rFonts w:ascii="Arial" w:hAnsi="Arial" w:cs="Arial"/>
          <w:sz w:val="22"/>
          <w:szCs w:val="22"/>
        </w:rPr>
        <w:t>self actualisation</w:t>
      </w:r>
      <w:proofErr w:type="spellEnd"/>
      <w:r w:rsidRPr="00C00D26">
        <w:rPr>
          <w:rFonts w:ascii="Arial" w:hAnsi="Arial" w:cs="Arial"/>
          <w:sz w:val="22"/>
          <w:szCs w:val="22"/>
        </w:rPr>
        <w:t>. Self-actualisation can be described as the potential and development as a person. According to the theory, the lower needs should be satisfied as a rule before people can concentrate on the high ones (Maslow, 1943). This theory can be applied in health and social care environments in an attempt to make professionals realise that unmet needs may influence motivation, behaviour and wellbeing among older adults. By being able to access healthcare, safety and social support, quality of life can be improved. But critics also say that the hierarchy does not necessarily take place in the same order and they can be different in various cultures and different people</w:t>
      </w:r>
      <w:r w:rsidR="00C54F9F" w:rsidRPr="00C00D26">
        <w:rPr>
          <w:rFonts w:ascii="Arial" w:hAnsi="Arial" w:cs="Arial"/>
          <w:sz w:val="22"/>
          <w:szCs w:val="22"/>
        </w:rPr>
        <w:t>.</w:t>
      </w:r>
    </w:p>
    <w:p w14:paraId="68FAD11B" w14:textId="77777777" w:rsidR="00C00D26" w:rsidRPr="008E4FBD" w:rsidRDefault="00C00D26" w:rsidP="00C00D26">
      <w:pPr>
        <w:spacing w:line="360" w:lineRule="auto"/>
        <w:jc w:val="both"/>
        <w:rPr>
          <w:rFonts w:ascii="Arial" w:hAnsi="Arial" w:cs="Arial"/>
          <w:sz w:val="22"/>
          <w:szCs w:val="22"/>
          <w:lang w:eastAsia="en-GB"/>
        </w:rPr>
      </w:pPr>
    </w:p>
    <w:p w14:paraId="104FA5E7" w14:textId="2DFC4C6B" w:rsidR="008E4FBD" w:rsidRPr="008E4FBD" w:rsidRDefault="008E4FBD" w:rsidP="00C00D26">
      <w:pPr>
        <w:pStyle w:val="Heading2"/>
        <w:rPr>
          <w:lang w:eastAsia="en-GB"/>
        </w:rPr>
      </w:pPr>
      <w:bookmarkStart w:id="3" w:name="_Toc223991079"/>
      <w:r w:rsidRPr="008E4FBD">
        <w:rPr>
          <w:lang w:eastAsia="en-GB"/>
        </w:rPr>
        <w:t>Source 2 – Activity Theory of Ageing</w:t>
      </w:r>
      <w:bookmarkEnd w:id="3"/>
    </w:p>
    <w:p w14:paraId="33B66DDC" w14:textId="52CAE11A" w:rsidR="00477B33" w:rsidRPr="00C00D26" w:rsidRDefault="008E4FBD" w:rsidP="00C00D26">
      <w:pPr>
        <w:spacing w:before="100" w:beforeAutospacing="1" w:after="100" w:afterAutospacing="1"/>
        <w:rPr>
          <w:rFonts w:ascii="Times New Roman" w:eastAsia="Times New Roman" w:hAnsi="Times New Roman" w:cs="Times New Roman"/>
          <w:b/>
          <w:bCs/>
          <w:kern w:val="0"/>
          <w:lang w:eastAsia="en-GB"/>
          <w14:ligatures w14:val="none"/>
        </w:rPr>
      </w:pPr>
      <w:r w:rsidRPr="008E4FBD">
        <w:rPr>
          <w:rFonts w:ascii="Times New Roman" w:eastAsia="Times New Roman" w:hAnsi="Times New Roman" w:cs="Times New Roman"/>
          <w:b/>
          <w:bCs/>
          <w:kern w:val="0"/>
          <w:lang w:eastAsia="en-GB"/>
          <w14:ligatures w14:val="none"/>
        </w:rPr>
        <w:t xml:space="preserve">Havighurst, R. (1961) </w:t>
      </w:r>
      <w:r w:rsidRPr="008E4FBD">
        <w:rPr>
          <w:rFonts w:ascii="Times New Roman" w:eastAsia="Times New Roman" w:hAnsi="Times New Roman" w:cs="Times New Roman"/>
          <w:b/>
          <w:bCs/>
          <w:i/>
          <w:iCs/>
          <w:kern w:val="0"/>
          <w:lang w:eastAsia="en-GB"/>
          <w14:ligatures w14:val="none"/>
        </w:rPr>
        <w:t>Successful ageing</w:t>
      </w:r>
      <w:r w:rsidRPr="008E4FBD">
        <w:rPr>
          <w:rFonts w:ascii="Times New Roman" w:eastAsia="Times New Roman" w:hAnsi="Times New Roman" w:cs="Times New Roman"/>
          <w:b/>
          <w:bCs/>
          <w:kern w:val="0"/>
          <w:lang w:eastAsia="en-GB"/>
          <w14:ligatures w14:val="none"/>
        </w:rPr>
        <w:t>. The Gerontologist, 1(1), pp. 8–13.</w:t>
      </w:r>
    </w:p>
    <w:p w14:paraId="279944A3" w14:textId="0297060D" w:rsidR="00C54F9F" w:rsidRPr="008E4FBD" w:rsidRDefault="00E30F9F" w:rsidP="00C00D26">
      <w:pPr>
        <w:spacing w:line="360" w:lineRule="auto"/>
        <w:jc w:val="both"/>
        <w:rPr>
          <w:rFonts w:ascii="Arial" w:hAnsi="Arial" w:cs="Arial"/>
          <w:sz w:val="22"/>
          <w:szCs w:val="22"/>
          <w:lang w:eastAsia="en-GB"/>
        </w:rPr>
      </w:pPr>
      <w:r w:rsidRPr="00C00D26">
        <w:rPr>
          <w:rFonts w:ascii="Arial" w:hAnsi="Arial" w:cs="Arial"/>
          <w:sz w:val="22"/>
          <w:szCs w:val="22"/>
        </w:rPr>
        <w:t>The Activity Theory of Ageing implies that ageing is successful when the older adults are socially and physically active and they can still play various and significant roles in the society. Havighurst (1961) believed that by sustaining activities and social relationships, the older adults continue to identify themselves, experience life satisfaction, and have a good life. This theory suggests that those who substitute the roles they have lost like jobs lost during retirement with other activities like volunteering, hobbies or community participation have higher chances of enjoying positive ageing consequences. The feeling of purpose and loneliness or isolation can be decreased by staying active in social networks and by carrying out meaningful activities. The theory thus believes that the ageing process is an active and positive phase of life as opposed to a decline process. This outlook in health and social care stimulates participative and social mobilisation promotion programmes. The theory can however be inefficient in dealing with obstacles like chronic illness, disability or limited mobility that might incapacitate some older adults to stay active</w:t>
      </w:r>
      <w:r w:rsidR="00C54F9F" w:rsidRPr="00C00D26">
        <w:rPr>
          <w:rFonts w:ascii="Arial" w:hAnsi="Arial" w:cs="Arial"/>
          <w:sz w:val="22"/>
          <w:szCs w:val="22"/>
        </w:rPr>
        <w:t>.</w:t>
      </w:r>
    </w:p>
    <w:p w14:paraId="6F5C67C1" w14:textId="11573378" w:rsidR="008E4FBD" w:rsidRPr="008E4FBD" w:rsidRDefault="008E4FBD" w:rsidP="00C00D26">
      <w:pPr>
        <w:pStyle w:val="Heading2"/>
        <w:rPr>
          <w:lang w:eastAsia="en-GB"/>
        </w:rPr>
      </w:pPr>
      <w:bookmarkStart w:id="4" w:name="_Toc223991080"/>
      <w:r w:rsidRPr="008E4FBD">
        <w:rPr>
          <w:lang w:eastAsia="en-GB"/>
        </w:rPr>
        <w:lastRenderedPageBreak/>
        <w:t>Source 3 – Social Disengagement Theory</w:t>
      </w:r>
      <w:bookmarkEnd w:id="4"/>
    </w:p>
    <w:p w14:paraId="618AE421" w14:textId="7CF15EB3" w:rsidR="008E4FBD" w:rsidRPr="00C00D26" w:rsidRDefault="008E4FBD" w:rsidP="00C00D26">
      <w:pPr>
        <w:spacing w:before="100" w:beforeAutospacing="1" w:after="100" w:afterAutospacing="1"/>
        <w:rPr>
          <w:rFonts w:ascii="Times New Roman" w:eastAsia="Times New Roman" w:hAnsi="Times New Roman" w:cs="Times New Roman"/>
          <w:b/>
          <w:bCs/>
          <w:kern w:val="0"/>
          <w:lang w:eastAsia="en-GB"/>
          <w14:ligatures w14:val="none"/>
        </w:rPr>
      </w:pPr>
      <w:r w:rsidRPr="008E4FBD">
        <w:rPr>
          <w:rFonts w:ascii="Times New Roman" w:eastAsia="Times New Roman" w:hAnsi="Times New Roman" w:cs="Times New Roman"/>
          <w:b/>
          <w:bCs/>
          <w:kern w:val="0"/>
          <w:lang w:eastAsia="en-GB"/>
          <w14:ligatures w14:val="none"/>
        </w:rPr>
        <w:t xml:space="preserve">Cumming, E. and Henry, W. (1961) </w:t>
      </w:r>
      <w:r w:rsidRPr="008E4FBD">
        <w:rPr>
          <w:rFonts w:ascii="Times New Roman" w:eastAsia="Times New Roman" w:hAnsi="Times New Roman" w:cs="Times New Roman"/>
          <w:b/>
          <w:bCs/>
          <w:i/>
          <w:iCs/>
          <w:kern w:val="0"/>
          <w:lang w:eastAsia="en-GB"/>
          <w14:ligatures w14:val="none"/>
        </w:rPr>
        <w:t>Growing Old: The Process of Disengagement</w:t>
      </w:r>
      <w:r w:rsidRPr="008E4FBD">
        <w:rPr>
          <w:rFonts w:ascii="Times New Roman" w:eastAsia="Times New Roman" w:hAnsi="Times New Roman" w:cs="Times New Roman"/>
          <w:b/>
          <w:bCs/>
          <w:kern w:val="0"/>
          <w:lang w:eastAsia="en-GB"/>
          <w14:ligatures w14:val="none"/>
        </w:rPr>
        <w:t>. New York: Basic Books.</w:t>
      </w:r>
    </w:p>
    <w:p w14:paraId="24FF6812" w14:textId="5C3281BE" w:rsidR="00477B33" w:rsidRDefault="00E30F9F" w:rsidP="00C00D26">
      <w:pPr>
        <w:spacing w:line="360" w:lineRule="auto"/>
        <w:jc w:val="both"/>
        <w:rPr>
          <w:rFonts w:ascii="Arial" w:hAnsi="Arial" w:cs="Arial"/>
          <w:sz w:val="22"/>
          <w:szCs w:val="22"/>
        </w:rPr>
      </w:pPr>
      <w:r w:rsidRPr="00C00D26">
        <w:rPr>
          <w:rFonts w:ascii="Arial" w:hAnsi="Arial" w:cs="Arial"/>
          <w:sz w:val="22"/>
          <w:szCs w:val="22"/>
        </w:rPr>
        <w:t>According to Social Disengagement Theory, ageing implies the progressive process of withdrawal of social roles, responsibilities, and relationship. According to Cumming and Henry (1961) the withdrawal is done by both the individual and the society. The elderly could decrease their socialization and participation in job or community activities as they age, and society urgently asks the younger generations to replace them in these duties. The theory views this process as natural and unavoidable with ageing that enables people to adapt to later life and prepare to reach the end of life. Disengagement can include decreased work, social and civic participation. Nevertheless, according to numerous scholars, the theory paints a very negative picture of ageing. There exists evidence that a good number of the older adults want to be socially active and participate in their communities. Active ageing, social inclusion and participation opportunities ought then to be encouraged by professionals in health and social care practice</w:t>
      </w:r>
      <w:r w:rsidR="00C54F9F" w:rsidRPr="00C00D26">
        <w:rPr>
          <w:rFonts w:ascii="Arial" w:hAnsi="Arial" w:cs="Arial"/>
          <w:sz w:val="22"/>
          <w:szCs w:val="22"/>
        </w:rPr>
        <w:t>.</w:t>
      </w:r>
    </w:p>
    <w:p w14:paraId="7C1A299C" w14:textId="77777777" w:rsidR="00C00D26" w:rsidRPr="008E4FBD" w:rsidRDefault="00C00D26" w:rsidP="00C00D26">
      <w:pPr>
        <w:spacing w:line="360" w:lineRule="auto"/>
        <w:jc w:val="both"/>
        <w:rPr>
          <w:rFonts w:ascii="Arial" w:hAnsi="Arial" w:cs="Arial"/>
          <w:sz w:val="22"/>
          <w:szCs w:val="22"/>
          <w:lang w:eastAsia="en-GB"/>
        </w:rPr>
      </w:pPr>
    </w:p>
    <w:p w14:paraId="285EAFCA" w14:textId="7CCF807B" w:rsidR="008E4FBD" w:rsidRPr="008E4FBD" w:rsidRDefault="008E4FBD" w:rsidP="00C00D26">
      <w:pPr>
        <w:pStyle w:val="Heading2"/>
        <w:rPr>
          <w:lang w:eastAsia="en-GB"/>
        </w:rPr>
      </w:pPr>
      <w:bookmarkStart w:id="5" w:name="_Toc223991081"/>
      <w:r w:rsidRPr="008E4FBD">
        <w:rPr>
          <w:lang w:eastAsia="en-GB"/>
        </w:rPr>
        <w:t>Source 4 – Positive Psychology (PERMA Model)</w:t>
      </w:r>
      <w:bookmarkEnd w:id="5"/>
    </w:p>
    <w:p w14:paraId="07E1A90B" w14:textId="77777777" w:rsidR="008E4FBD" w:rsidRPr="008E4FBD" w:rsidRDefault="008E4FBD" w:rsidP="008E4FBD">
      <w:pPr>
        <w:spacing w:before="100" w:beforeAutospacing="1" w:after="100" w:afterAutospacing="1"/>
        <w:rPr>
          <w:rFonts w:ascii="Times New Roman" w:eastAsia="Times New Roman" w:hAnsi="Times New Roman" w:cs="Times New Roman"/>
          <w:b/>
          <w:bCs/>
          <w:kern w:val="0"/>
          <w:lang w:eastAsia="en-GB"/>
          <w14:ligatures w14:val="none"/>
        </w:rPr>
      </w:pPr>
      <w:r w:rsidRPr="008E4FBD">
        <w:rPr>
          <w:rFonts w:ascii="Times New Roman" w:eastAsia="Times New Roman" w:hAnsi="Times New Roman" w:cs="Times New Roman"/>
          <w:b/>
          <w:bCs/>
          <w:kern w:val="0"/>
          <w:lang w:eastAsia="en-GB"/>
          <w14:ligatures w14:val="none"/>
        </w:rPr>
        <w:t xml:space="preserve">Seligman, M. (2011) </w:t>
      </w:r>
      <w:r w:rsidRPr="008E4FBD">
        <w:rPr>
          <w:rFonts w:ascii="Times New Roman" w:eastAsia="Times New Roman" w:hAnsi="Times New Roman" w:cs="Times New Roman"/>
          <w:b/>
          <w:bCs/>
          <w:i/>
          <w:iCs/>
          <w:kern w:val="0"/>
          <w:lang w:eastAsia="en-GB"/>
          <w14:ligatures w14:val="none"/>
        </w:rPr>
        <w:t>Flourish: A Visionary New Understanding of Happiness and Well-being</w:t>
      </w:r>
      <w:r w:rsidRPr="008E4FBD">
        <w:rPr>
          <w:rFonts w:ascii="Times New Roman" w:eastAsia="Times New Roman" w:hAnsi="Times New Roman" w:cs="Times New Roman"/>
          <w:b/>
          <w:bCs/>
          <w:kern w:val="0"/>
          <w:lang w:eastAsia="en-GB"/>
          <w14:ligatures w14:val="none"/>
        </w:rPr>
        <w:t>. New York: Free Press.</w:t>
      </w:r>
    </w:p>
    <w:p w14:paraId="2263D649" w14:textId="691B86CB" w:rsidR="008E4FBD" w:rsidRPr="00C00D26" w:rsidRDefault="00E30F9F" w:rsidP="00C00D26">
      <w:pPr>
        <w:spacing w:line="360" w:lineRule="auto"/>
        <w:jc w:val="both"/>
        <w:rPr>
          <w:rFonts w:ascii="Arial" w:hAnsi="Arial" w:cs="Arial"/>
          <w:sz w:val="22"/>
          <w:szCs w:val="22"/>
        </w:rPr>
      </w:pPr>
      <w:r w:rsidRPr="00C00D26">
        <w:rPr>
          <w:rFonts w:ascii="Arial" w:hAnsi="Arial" w:cs="Arial"/>
          <w:sz w:val="22"/>
          <w:szCs w:val="22"/>
        </w:rPr>
        <w:t xml:space="preserve">Positive psychology </w:t>
      </w:r>
      <w:proofErr w:type="spellStart"/>
      <w:r w:rsidRPr="00C00D26">
        <w:rPr>
          <w:rFonts w:ascii="Arial" w:hAnsi="Arial" w:cs="Arial"/>
          <w:sz w:val="22"/>
          <w:szCs w:val="22"/>
        </w:rPr>
        <w:t>centers</w:t>
      </w:r>
      <w:proofErr w:type="spellEnd"/>
      <w:r w:rsidRPr="00C00D26">
        <w:rPr>
          <w:rFonts w:ascii="Arial" w:hAnsi="Arial" w:cs="Arial"/>
          <w:sz w:val="22"/>
          <w:szCs w:val="22"/>
        </w:rPr>
        <w:t xml:space="preserve"> on finding out what makes people live meaningful and satisfying lives instead of being concerned only with mental illnesses or other psychological challenges. Seligman (2011) has come up with the PERMA model of wellbeing that has identified five major factors that can make humans flourish, including positive emotions, engagement, relationships, meaning, and accomplishment. Happiness, gratitude, and hope are considered to be positive emotions, and engagement is a strong involvement in activities that bring pleasure and a feeling of flow. Relationships bring about the significance of positive social ties, meaning, having a sense in life and achievement, which is attaining objectives and self-development. These factors, in combination, will lead to wellbeing, resilience, and life satisfaction. The PERMA model can be used in health and social care to assist the older adults to be socially engaged, find interests, and set targets to curb loneliness. Critics however believe that positive psychology can ignore structural elements like poverty, disparities in health or chronic conditions that can influence later life wellbeing</w:t>
      </w:r>
      <w:r w:rsidR="00C54F9F" w:rsidRPr="00C00D26">
        <w:rPr>
          <w:rFonts w:ascii="Arial" w:hAnsi="Arial" w:cs="Arial"/>
          <w:sz w:val="22"/>
          <w:szCs w:val="22"/>
        </w:rPr>
        <w:t>.</w:t>
      </w:r>
    </w:p>
    <w:p w14:paraId="27975E5D" w14:textId="77777777" w:rsidR="00C54F9F" w:rsidRDefault="00C54F9F" w:rsidP="00C00D26">
      <w:pPr>
        <w:spacing w:line="360" w:lineRule="auto"/>
        <w:jc w:val="both"/>
      </w:pPr>
    </w:p>
    <w:p w14:paraId="103436D8" w14:textId="77777777" w:rsidR="00C00D26" w:rsidRPr="00C00D26" w:rsidRDefault="00C00D26" w:rsidP="00C00D26">
      <w:pPr>
        <w:spacing w:line="360" w:lineRule="auto"/>
        <w:jc w:val="both"/>
        <w:rPr>
          <w:rFonts w:ascii="Arial" w:hAnsi="Arial" w:cs="Arial"/>
          <w:sz w:val="22"/>
          <w:szCs w:val="22"/>
        </w:rPr>
      </w:pPr>
    </w:p>
    <w:p w14:paraId="6B443809" w14:textId="2D3C8219" w:rsidR="00C54F9F" w:rsidRPr="00C54F9F" w:rsidRDefault="00C54F9F" w:rsidP="00C00D26">
      <w:pPr>
        <w:pStyle w:val="Heading1"/>
        <w:rPr>
          <w:lang w:eastAsia="en-GB"/>
        </w:rPr>
      </w:pPr>
      <w:bookmarkStart w:id="6" w:name="_Toc223991082"/>
      <w:r w:rsidRPr="00C54F9F">
        <w:rPr>
          <w:lang w:eastAsia="en-GB"/>
        </w:rPr>
        <w:lastRenderedPageBreak/>
        <w:t>Part B: Short Report</w:t>
      </w:r>
      <w:bookmarkEnd w:id="6"/>
      <w:r w:rsidRPr="00C54F9F">
        <w:rPr>
          <w:lang w:eastAsia="en-GB"/>
        </w:rPr>
        <w:t xml:space="preserve"> </w:t>
      </w:r>
    </w:p>
    <w:p w14:paraId="33268F02" w14:textId="51B204C5" w:rsidR="00C54F9F" w:rsidRPr="00C54F9F" w:rsidRDefault="00C54F9F" w:rsidP="00C00D26">
      <w:pPr>
        <w:pStyle w:val="Heading2"/>
        <w:rPr>
          <w:lang w:eastAsia="en-GB"/>
        </w:rPr>
      </w:pPr>
      <w:bookmarkStart w:id="7" w:name="_Toc223991083"/>
      <w:r w:rsidRPr="00C54F9F">
        <w:rPr>
          <w:lang w:eastAsia="en-GB"/>
        </w:rPr>
        <w:t>1. Introduction</w:t>
      </w:r>
      <w:bookmarkEnd w:id="7"/>
    </w:p>
    <w:p w14:paraId="588993BD" w14:textId="6F8186C2" w:rsidR="00C00D26" w:rsidRPr="00C54F9F" w:rsidRDefault="00C00D26" w:rsidP="00C00D26">
      <w:pPr>
        <w:spacing w:line="360" w:lineRule="auto"/>
        <w:jc w:val="both"/>
        <w:rPr>
          <w:rFonts w:ascii="Arial" w:hAnsi="Arial" w:cs="Arial"/>
          <w:sz w:val="22"/>
          <w:szCs w:val="22"/>
        </w:rPr>
      </w:pPr>
      <w:r w:rsidRPr="00C00D26">
        <w:rPr>
          <w:rFonts w:ascii="Arial" w:hAnsi="Arial" w:cs="Arial"/>
          <w:sz w:val="22"/>
          <w:szCs w:val="22"/>
        </w:rPr>
        <w:t>Older adults require psychological welfare in residential care where loneliness, loss of independence and social interaction are prevalent. Research indicates that social isolation exacerbates the risk of mortality by 26 percent (Holt-</w:t>
      </w:r>
      <w:proofErr w:type="spellStart"/>
      <w:r w:rsidRPr="00C00D26">
        <w:rPr>
          <w:rFonts w:ascii="Arial" w:hAnsi="Arial" w:cs="Arial"/>
          <w:sz w:val="22"/>
          <w:szCs w:val="22"/>
        </w:rPr>
        <w:t>Lunstad</w:t>
      </w:r>
      <w:proofErr w:type="spellEnd"/>
      <w:r w:rsidRPr="00C00D26">
        <w:rPr>
          <w:rFonts w:ascii="Arial" w:hAnsi="Arial" w:cs="Arial"/>
          <w:sz w:val="22"/>
          <w:szCs w:val="22"/>
        </w:rPr>
        <w:t xml:space="preserve"> et al., 2015). The supportive interventions can be guided by psychological frameworks. This report takes a critical look at the potential of the PERMA model of positive psychology (Seligman, 2011) to enhance wellbeing within residential care</w:t>
      </w:r>
      <w:r w:rsidR="00C54F9F" w:rsidRPr="00C00D26">
        <w:rPr>
          <w:rFonts w:ascii="Arial" w:hAnsi="Arial" w:cs="Arial"/>
          <w:sz w:val="22"/>
          <w:szCs w:val="22"/>
        </w:rPr>
        <w:t>.</w:t>
      </w:r>
    </w:p>
    <w:p w14:paraId="73C1BD0B" w14:textId="4B180D07" w:rsidR="00C54F9F" w:rsidRPr="00C00D26" w:rsidRDefault="00C54F9F" w:rsidP="00C00D26">
      <w:pPr>
        <w:pStyle w:val="Heading2"/>
        <w:rPr>
          <w:lang w:eastAsia="en-GB"/>
        </w:rPr>
      </w:pPr>
      <w:bookmarkStart w:id="8" w:name="_Toc223991084"/>
      <w:r w:rsidRPr="00C54F9F">
        <w:rPr>
          <w:lang w:eastAsia="en-GB"/>
        </w:rPr>
        <w:t>2. Explanation of the Theory</w:t>
      </w:r>
      <w:bookmarkEnd w:id="8"/>
    </w:p>
    <w:p w14:paraId="74171FC8" w14:textId="2862C08C" w:rsidR="00C00D26" w:rsidRPr="00C54F9F" w:rsidRDefault="00C00D26" w:rsidP="00C00D26">
      <w:pPr>
        <w:spacing w:line="360" w:lineRule="auto"/>
        <w:jc w:val="both"/>
        <w:rPr>
          <w:rFonts w:ascii="Arial" w:hAnsi="Arial" w:cs="Arial"/>
          <w:sz w:val="22"/>
          <w:szCs w:val="22"/>
        </w:rPr>
      </w:pPr>
      <w:r w:rsidRPr="00C00D26">
        <w:rPr>
          <w:rFonts w:ascii="Arial" w:hAnsi="Arial" w:cs="Arial"/>
          <w:sz w:val="22"/>
          <w:szCs w:val="22"/>
        </w:rPr>
        <w:t>Positive psychology changes the context of mental health towards curing illness to human flourishing and wellbeing. Seligman (2011) theorised this strategy by the use of the PERMA model that examines five quantifiable aspects of wellbeing, namely positive emotions, engagement, relationships, meaning, and accomplishment. These factors, empirically, have indicated that they are strong predictors of psychological health and satisfaction in life. Indicatively, longitudinal research indicates that close social ties are one of the best predictors of wellbeing and lower mortality risk (Holt-</w:t>
      </w:r>
      <w:proofErr w:type="spellStart"/>
      <w:r w:rsidRPr="00C00D26">
        <w:rPr>
          <w:rFonts w:ascii="Arial" w:hAnsi="Arial" w:cs="Arial"/>
          <w:sz w:val="22"/>
          <w:szCs w:val="22"/>
        </w:rPr>
        <w:t>Lunstad</w:t>
      </w:r>
      <w:proofErr w:type="spellEnd"/>
      <w:r w:rsidRPr="00C00D26">
        <w:rPr>
          <w:rFonts w:ascii="Arial" w:hAnsi="Arial" w:cs="Arial"/>
          <w:sz w:val="22"/>
          <w:szCs w:val="22"/>
        </w:rPr>
        <w:t xml:space="preserve"> et al., 2010). The PERMA framework is especially topical in the context of residential care since up to 40 percent of the older residents of care homes suffer from loneliness and depression (Gordon et al., 2014). By encouraging positive emotions by meaningful activities, encouraging hobbies, enhancing social relationships, supporting purpose, and encouraging achievable goals, resilience and wellbeing can be promoted. Critics believe that positive psychology can be blind to structural factors of wellbeing like health disparities or care institutions (Cabanas and Illouz, 2019). However, the PERMA model offers a viable evidence-based model of enhancing the psychological wellbeing of older adults living in residential care</w:t>
      </w:r>
      <w:r w:rsidR="00C54F9F" w:rsidRPr="00C00D26">
        <w:rPr>
          <w:rFonts w:ascii="Arial" w:hAnsi="Arial" w:cs="Arial"/>
          <w:sz w:val="22"/>
          <w:szCs w:val="22"/>
        </w:rPr>
        <w:t>.</w:t>
      </w:r>
    </w:p>
    <w:p w14:paraId="67FB172A" w14:textId="421E16ED" w:rsidR="00C54F9F" w:rsidRPr="00C00D26" w:rsidRDefault="00C54F9F" w:rsidP="00C00D26">
      <w:pPr>
        <w:pStyle w:val="Heading2"/>
        <w:rPr>
          <w:lang w:eastAsia="en-GB"/>
        </w:rPr>
      </w:pPr>
      <w:bookmarkStart w:id="9" w:name="_Toc223991085"/>
      <w:r w:rsidRPr="00C54F9F">
        <w:rPr>
          <w:lang w:eastAsia="en-GB"/>
        </w:rPr>
        <w:t>3. Application in Residential Care</w:t>
      </w:r>
      <w:bookmarkEnd w:id="9"/>
    </w:p>
    <w:p w14:paraId="1816E781" w14:textId="4BD79458" w:rsidR="00C00D26" w:rsidRPr="00C54F9F" w:rsidRDefault="00C00D26" w:rsidP="00C00D26">
      <w:pPr>
        <w:spacing w:line="360" w:lineRule="auto"/>
        <w:jc w:val="both"/>
        <w:rPr>
          <w:rFonts w:ascii="Arial" w:hAnsi="Arial" w:cs="Arial"/>
          <w:sz w:val="22"/>
          <w:szCs w:val="22"/>
        </w:rPr>
      </w:pPr>
      <w:r w:rsidRPr="00C00D26">
        <w:rPr>
          <w:rFonts w:ascii="Arial" w:hAnsi="Arial" w:cs="Arial"/>
          <w:sz w:val="22"/>
          <w:szCs w:val="22"/>
        </w:rPr>
        <w:t>The implementation of the PERMA model in residential care needs systematic interventions that support positive emotions, engagement, relationships, meaning, and accomplishment in older adults. There is an indication that psychosocial activities like music therapy and reminiscence groups reduce depressive symptoms and enhance mood in care home residents (</w:t>
      </w:r>
      <w:proofErr w:type="spellStart"/>
      <w:r w:rsidRPr="00C00D26">
        <w:rPr>
          <w:rFonts w:ascii="Arial" w:hAnsi="Arial" w:cs="Arial"/>
          <w:sz w:val="22"/>
          <w:szCs w:val="22"/>
        </w:rPr>
        <w:t>Särkämö</w:t>
      </w:r>
      <w:proofErr w:type="spellEnd"/>
      <w:r w:rsidRPr="00C00D26">
        <w:rPr>
          <w:rFonts w:ascii="Arial" w:hAnsi="Arial" w:cs="Arial"/>
          <w:sz w:val="22"/>
          <w:szCs w:val="22"/>
        </w:rPr>
        <w:t xml:space="preserve"> et al., 2014). The promotion of active lifestyles and cognitive performance as well as life satisfaction in adulthood can also be facilitated by promoting creative activities such as gardening, art, or exercise classes (Park et al., 2014). Social relations are also vital, because frequent group meetings and family interaction can alleviate loneliness, a common condition </w:t>
      </w:r>
      <w:r w:rsidRPr="00C00D26">
        <w:rPr>
          <w:rFonts w:ascii="Arial" w:hAnsi="Arial" w:cs="Arial"/>
          <w:sz w:val="22"/>
          <w:szCs w:val="22"/>
        </w:rPr>
        <w:lastRenderedPageBreak/>
        <w:t>among most care home residents (Victor et al., 2008). Moreover, meaningful roles (assistance with minor activities or peer mentorship) can be beneficial to the purposefulness of the residents. To enhance self-esteem and inspiration, it can be recommended to set attainable goals and applaud achievements. All these interventions have been linked to beneficial wellbeing, resilience in social relationships, and quality of life in older adults residing in residential care</w:t>
      </w:r>
      <w:r w:rsidR="00E30F9F" w:rsidRPr="00C00D26">
        <w:rPr>
          <w:rFonts w:ascii="Arial" w:hAnsi="Arial" w:cs="Arial"/>
          <w:sz w:val="22"/>
          <w:szCs w:val="22"/>
        </w:rPr>
        <w:t>.</w:t>
      </w:r>
    </w:p>
    <w:p w14:paraId="7FAD56FB" w14:textId="7800095E" w:rsidR="00C54F9F" w:rsidRPr="00C00D26" w:rsidRDefault="00C54F9F" w:rsidP="00C00D26">
      <w:pPr>
        <w:pStyle w:val="Heading2"/>
        <w:rPr>
          <w:lang w:eastAsia="en-GB"/>
        </w:rPr>
      </w:pPr>
      <w:bookmarkStart w:id="10" w:name="_Toc223991086"/>
      <w:r w:rsidRPr="00C54F9F">
        <w:rPr>
          <w:lang w:eastAsia="en-GB"/>
        </w:rPr>
        <w:t>4. Case Scenario</w:t>
      </w:r>
      <w:bookmarkEnd w:id="10"/>
    </w:p>
    <w:p w14:paraId="48327E11" w14:textId="680DE3AD" w:rsidR="00E30F9F" w:rsidRPr="00C54F9F" w:rsidRDefault="00C00D26" w:rsidP="00C00D26">
      <w:pPr>
        <w:spacing w:line="360" w:lineRule="auto"/>
        <w:jc w:val="both"/>
        <w:rPr>
          <w:rFonts w:ascii="Arial" w:hAnsi="Arial" w:cs="Arial"/>
          <w:sz w:val="22"/>
          <w:szCs w:val="22"/>
          <w:lang w:eastAsia="en-GB"/>
        </w:rPr>
      </w:pPr>
      <w:r w:rsidRPr="00C00D26">
        <w:rPr>
          <w:rFonts w:ascii="Arial" w:hAnsi="Arial" w:cs="Arial"/>
          <w:sz w:val="22"/>
          <w:szCs w:val="22"/>
        </w:rPr>
        <w:t xml:space="preserve">Mrs. Patel is an 82-year-old resident who entered a residential care facility after the loss of her husband and she was initially lonely and withdrew socially, as is the case with new residents (Victor et al., 2008). The staff in the care used the PERMA model to enhance her wellbeing. Singing songs that she listened to during her childhood enhanced positive feelings, and involvement in a knitting club enhanced involvement and intellectual stimulation. These activities helped Mrs. Patel form friendships with fellow residents which enhanced the bonding and minimized loneliness. The employees also pushed her to instruct others on how to knit since she got a sense of </w:t>
      </w:r>
      <w:proofErr w:type="spellStart"/>
      <w:r w:rsidRPr="00C00D26">
        <w:rPr>
          <w:rFonts w:ascii="Arial" w:hAnsi="Arial" w:cs="Arial"/>
          <w:sz w:val="22"/>
          <w:szCs w:val="22"/>
        </w:rPr>
        <w:t>fulfillment</w:t>
      </w:r>
      <w:proofErr w:type="spellEnd"/>
      <w:r w:rsidRPr="00C00D26">
        <w:rPr>
          <w:rFonts w:ascii="Arial" w:hAnsi="Arial" w:cs="Arial"/>
          <w:sz w:val="22"/>
          <w:szCs w:val="22"/>
        </w:rPr>
        <w:t xml:space="preserve"> and goals in the society. Her work was eventually registered in one of the care home events, which helped in accomplishment. Consequently, Mrs. Patel had stated that she felt better, more social and less lonely. This case demonstrates that interventions utilizing PERMA can promote the psychological wellbeing and quality of life of older adults in residential care</w:t>
      </w:r>
      <w:r w:rsidR="00E30F9F" w:rsidRPr="00C00D26">
        <w:rPr>
          <w:rFonts w:ascii="Arial" w:hAnsi="Arial" w:cs="Arial"/>
          <w:sz w:val="22"/>
          <w:szCs w:val="22"/>
        </w:rPr>
        <w:t>.</w:t>
      </w:r>
    </w:p>
    <w:p w14:paraId="37EEC954" w14:textId="68A1D9D4" w:rsidR="00C54F9F" w:rsidRPr="00C54F9F" w:rsidRDefault="00C54F9F" w:rsidP="00C00D26">
      <w:pPr>
        <w:pStyle w:val="Heading2"/>
        <w:rPr>
          <w:lang w:eastAsia="en-GB"/>
        </w:rPr>
      </w:pPr>
      <w:bookmarkStart w:id="11" w:name="_Toc223991087"/>
      <w:r w:rsidRPr="00C54F9F">
        <w:rPr>
          <w:lang w:eastAsia="en-GB"/>
        </w:rPr>
        <w:t>5. Challenge in Applying the Theory</w:t>
      </w:r>
      <w:bookmarkEnd w:id="11"/>
    </w:p>
    <w:p w14:paraId="284B750A" w14:textId="15422203" w:rsidR="00C54F9F" w:rsidRPr="00C54F9F" w:rsidRDefault="00C00D26" w:rsidP="00C00D26">
      <w:pPr>
        <w:spacing w:line="360" w:lineRule="auto"/>
        <w:jc w:val="both"/>
        <w:rPr>
          <w:rFonts w:ascii="Arial" w:hAnsi="Arial" w:cs="Arial"/>
          <w:sz w:val="22"/>
          <w:szCs w:val="22"/>
          <w:lang w:eastAsia="en-GB"/>
        </w:rPr>
      </w:pPr>
      <w:r w:rsidRPr="00C00D26">
        <w:rPr>
          <w:rFonts w:ascii="Arial" w:hAnsi="Arial" w:cs="Arial"/>
          <w:sz w:val="22"/>
          <w:szCs w:val="22"/>
        </w:rPr>
        <w:t>The insufficient availability of staff time and resources is one of the problems related to the implementation of the PERMA model in residential care. Care homes are subject to high demands of staffing, and the workers give priority to the physical care procedures rather than the psychosocial interventions. Care home in the UK is experiencing ongoing shortages to workforce, the vacancy rates are close to 10% of the adult social care workforce (Skills for Care, 2023). Consequently, employees might not have adequate time to plan an activity that will encourage engagement and socialisation. Moreover, most residents are cognitively impaired or physically restricted (e.g., dementia or frailty), and this feature can complicate their engagement in wellbeing activities (Prince et al., 2015). Such obstacles may limit the systematic application of the interventions based on the use of PERMA to enhance psychological wellbeing</w:t>
      </w:r>
      <w:r w:rsidR="00E30F9F" w:rsidRPr="00C00D26">
        <w:rPr>
          <w:rFonts w:ascii="Arial" w:hAnsi="Arial" w:cs="Arial"/>
          <w:sz w:val="22"/>
          <w:szCs w:val="22"/>
        </w:rPr>
        <w:t>.</w:t>
      </w:r>
    </w:p>
    <w:p w14:paraId="71D5C411" w14:textId="5EBE84C0" w:rsidR="00C54F9F" w:rsidRPr="00C54F9F" w:rsidRDefault="00C54F9F" w:rsidP="00C00D26">
      <w:pPr>
        <w:pStyle w:val="Heading2"/>
        <w:rPr>
          <w:lang w:eastAsia="en-GB"/>
        </w:rPr>
      </w:pPr>
      <w:bookmarkStart w:id="12" w:name="_Toc223991088"/>
      <w:r w:rsidRPr="00C54F9F">
        <w:rPr>
          <w:lang w:eastAsia="en-GB"/>
        </w:rPr>
        <w:t>6. Strategy to Overcome the Challenge</w:t>
      </w:r>
      <w:bookmarkEnd w:id="12"/>
    </w:p>
    <w:p w14:paraId="1DDA3F42" w14:textId="18BE23BD" w:rsidR="00C54F9F" w:rsidRPr="00C54F9F" w:rsidRDefault="00C00D26" w:rsidP="00C00D26">
      <w:pPr>
        <w:spacing w:line="360" w:lineRule="auto"/>
        <w:jc w:val="both"/>
        <w:rPr>
          <w:rFonts w:ascii="Arial" w:hAnsi="Arial" w:cs="Arial"/>
          <w:sz w:val="22"/>
          <w:szCs w:val="22"/>
          <w:lang w:eastAsia="en-GB"/>
        </w:rPr>
      </w:pPr>
      <w:r w:rsidRPr="00C00D26">
        <w:rPr>
          <w:rFonts w:ascii="Arial" w:hAnsi="Arial" w:cs="Arial"/>
          <w:sz w:val="22"/>
          <w:szCs w:val="22"/>
        </w:rPr>
        <w:t xml:space="preserve">An effective plan to manage the problem of staffing and resource shortages is the implementation of a person-centred approach that is backed up by the community alliances. </w:t>
      </w:r>
      <w:r w:rsidRPr="00C00D26">
        <w:rPr>
          <w:rFonts w:ascii="Arial" w:hAnsi="Arial" w:cs="Arial"/>
          <w:sz w:val="22"/>
          <w:szCs w:val="22"/>
        </w:rPr>
        <w:lastRenderedPageBreak/>
        <w:t>Person-centred care, is a type of care where activities are designed based on the abilities, preferences and cognitive abilities of the residents, making them feel more included and better (</w:t>
      </w:r>
      <w:proofErr w:type="spellStart"/>
      <w:r w:rsidRPr="00C00D26">
        <w:rPr>
          <w:rFonts w:ascii="Arial" w:hAnsi="Arial" w:cs="Arial"/>
          <w:sz w:val="22"/>
          <w:szCs w:val="22"/>
        </w:rPr>
        <w:t>Kitwood</w:t>
      </w:r>
      <w:proofErr w:type="spellEnd"/>
      <w:r w:rsidRPr="00C00D26">
        <w:rPr>
          <w:rFonts w:ascii="Arial" w:hAnsi="Arial" w:cs="Arial"/>
          <w:sz w:val="22"/>
          <w:szCs w:val="22"/>
        </w:rPr>
        <w:t>, 1997). The care homes may also liaise with the volunteers, community groups or family members to assist in the social activities like music or hobby groups. It has been indicated that programmes that are run by volunteers may greatly enhance social participation among the old (Anderson et al., 2014). These strategies allow the adoption of activities that promote wellbeing experienced using the PERMA model and do not overburden the already overstretched care personnel</w:t>
      </w:r>
      <w:r w:rsidR="00E30F9F" w:rsidRPr="00C00D26">
        <w:rPr>
          <w:rFonts w:ascii="Arial" w:hAnsi="Arial" w:cs="Arial"/>
          <w:sz w:val="22"/>
          <w:szCs w:val="22"/>
        </w:rPr>
        <w:t>.</w:t>
      </w:r>
    </w:p>
    <w:p w14:paraId="58B983E4" w14:textId="2219C75B" w:rsidR="00C54F9F" w:rsidRPr="00C54F9F" w:rsidRDefault="00C54F9F" w:rsidP="00C00D26">
      <w:pPr>
        <w:pStyle w:val="Heading2"/>
        <w:rPr>
          <w:lang w:eastAsia="en-GB"/>
        </w:rPr>
      </w:pPr>
      <w:bookmarkStart w:id="13" w:name="_Toc223991089"/>
      <w:r w:rsidRPr="00C54F9F">
        <w:rPr>
          <w:lang w:eastAsia="en-GB"/>
        </w:rPr>
        <w:t>7. Conclusion</w:t>
      </w:r>
      <w:bookmarkEnd w:id="13"/>
    </w:p>
    <w:p w14:paraId="6581A3F8" w14:textId="1C8362AB" w:rsidR="00C54F9F" w:rsidRPr="008E4FBD" w:rsidRDefault="00C00D26" w:rsidP="00C00D26">
      <w:pPr>
        <w:spacing w:line="360" w:lineRule="auto"/>
        <w:jc w:val="both"/>
        <w:rPr>
          <w:rFonts w:ascii="Arial" w:hAnsi="Arial" w:cs="Arial"/>
          <w:sz w:val="22"/>
          <w:szCs w:val="22"/>
          <w:lang w:eastAsia="en-GB"/>
        </w:rPr>
      </w:pPr>
      <w:r w:rsidRPr="00C00D26">
        <w:rPr>
          <w:rFonts w:ascii="Arial" w:hAnsi="Arial" w:cs="Arial"/>
          <w:sz w:val="22"/>
          <w:szCs w:val="22"/>
        </w:rPr>
        <w:t>Loneliness and low independence are issues that are usually faced by older adults in residential care and require psychological wellbeing to improve their quality of life. The PERMA model offers an effective model of improving wellbeing through a promotion of positive feelings, engagement, relationships, meaning, and achievement (Seligman, 2011). Applied effectively, the interventions based on PERMA have the potential to enhance the social connection, mood, and general life satisfaction of the residents and assist in a more holistic and person-centred approach to care</w:t>
      </w:r>
      <w:r w:rsidR="00E30F9F" w:rsidRPr="00C00D26">
        <w:rPr>
          <w:rFonts w:ascii="Arial" w:hAnsi="Arial" w:cs="Arial"/>
          <w:sz w:val="22"/>
          <w:szCs w:val="22"/>
        </w:rPr>
        <w:t>.</w:t>
      </w:r>
    </w:p>
    <w:p w14:paraId="6FF81B62" w14:textId="77777777" w:rsidR="008E4FBD" w:rsidRDefault="008E4FBD"/>
    <w:p w14:paraId="5ACB6FFD" w14:textId="77777777" w:rsidR="009C53C7" w:rsidRDefault="009C53C7"/>
    <w:p w14:paraId="5358DCFA" w14:textId="77777777" w:rsidR="009C53C7" w:rsidRDefault="009C53C7"/>
    <w:p w14:paraId="276EE3AD" w14:textId="77777777" w:rsidR="009C53C7" w:rsidRDefault="009C53C7"/>
    <w:p w14:paraId="66296A12" w14:textId="77777777" w:rsidR="009C53C7" w:rsidRDefault="009C53C7"/>
    <w:p w14:paraId="20ADF5A0" w14:textId="77777777" w:rsidR="009C53C7" w:rsidRDefault="009C53C7"/>
    <w:p w14:paraId="4C756647" w14:textId="77777777" w:rsidR="009C53C7" w:rsidRDefault="009C53C7"/>
    <w:p w14:paraId="3F3AA611" w14:textId="77777777" w:rsidR="009C53C7" w:rsidRDefault="009C53C7"/>
    <w:p w14:paraId="016FD124" w14:textId="77777777" w:rsidR="009C53C7" w:rsidRDefault="009C53C7"/>
    <w:p w14:paraId="3EBE7A5A" w14:textId="77777777" w:rsidR="009C53C7" w:rsidRDefault="009C53C7"/>
    <w:p w14:paraId="46839C87" w14:textId="77777777" w:rsidR="009C53C7" w:rsidRDefault="009C53C7"/>
    <w:p w14:paraId="4A2275FB" w14:textId="77777777" w:rsidR="009C53C7" w:rsidRDefault="009C53C7"/>
    <w:p w14:paraId="6B508647" w14:textId="77777777" w:rsidR="009C53C7" w:rsidRDefault="009C53C7"/>
    <w:p w14:paraId="245BF2CD" w14:textId="77777777" w:rsidR="009C53C7" w:rsidRDefault="009C53C7"/>
    <w:p w14:paraId="67D3BB86" w14:textId="77777777" w:rsidR="009C53C7" w:rsidRDefault="009C53C7"/>
    <w:p w14:paraId="395E1373" w14:textId="77777777" w:rsidR="009C53C7" w:rsidRDefault="009C53C7"/>
    <w:p w14:paraId="154B2B25" w14:textId="77777777" w:rsidR="009C53C7" w:rsidRDefault="009C53C7"/>
    <w:p w14:paraId="7565E866" w14:textId="77777777" w:rsidR="009C53C7" w:rsidRDefault="009C53C7"/>
    <w:p w14:paraId="25090A8F" w14:textId="77777777" w:rsidR="009C53C7" w:rsidRDefault="009C53C7"/>
    <w:p w14:paraId="3F5C8D54" w14:textId="77777777" w:rsidR="009C53C7" w:rsidRDefault="009C53C7"/>
    <w:p w14:paraId="00403F4C" w14:textId="77777777" w:rsidR="009C53C7" w:rsidRDefault="009C53C7"/>
    <w:p w14:paraId="25ED29A9" w14:textId="77777777" w:rsidR="009C53C7" w:rsidRDefault="009C53C7"/>
    <w:p w14:paraId="17DA3C72" w14:textId="77777777" w:rsidR="009C53C7" w:rsidRDefault="009C53C7"/>
    <w:p w14:paraId="7FF9421B" w14:textId="77777777" w:rsidR="009C53C7" w:rsidRDefault="009C53C7"/>
    <w:p w14:paraId="34FCE3B4" w14:textId="77777777" w:rsidR="009C53C7" w:rsidRDefault="009C53C7"/>
    <w:p w14:paraId="0D5DA71A" w14:textId="6CA97A41" w:rsidR="009C53C7" w:rsidRDefault="009C53C7" w:rsidP="009C53C7">
      <w:pPr>
        <w:pStyle w:val="Heading1"/>
      </w:pPr>
      <w:bookmarkStart w:id="14" w:name="_Toc223991090"/>
      <w:r>
        <w:lastRenderedPageBreak/>
        <w:t>References</w:t>
      </w:r>
      <w:bookmarkEnd w:id="14"/>
    </w:p>
    <w:p w14:paraId="2322B622" w14:textId="77777777" w:rsidR="009C53C7" w:rsidRPr="009C53C7" w:rsidRDefault="009C53C7" w:rsidP="009C53C7">
      <w:pPr>
        <w:spacing w:line="360" w:lineRule="auto"/>
        <w:rPr>
          <w:rFonts w:ascii="Arial" w:hAnsi="Arial" w:cs="Arial"/>
          <w:sz w:val="22"/>
          <w:szCs w:val="22"/>
        </w:rPr>
      </w:pPr>
      <w:r w:rsidRPr="009C53C7">
        <w:rPr>
          <w:rFonts w:ascii="Arial" w:hAnsi="Arial" w:cs="Arial"/>
          <w:sz w:val="22"/>
          <w:szCs w:val="22"/>
        </w:rPr>
        <w:t xml:space="preserve">Anderson, K.A., Bird, M., MacPherson, S. and McPherson, I. (2014) ‘Volunteer involvement in residential care homes’, </w:t>
      </w:r>
      <w:r w:rsidRPr="009C53C7">
        <w:rPr>
          <w:rStyle w:val="Emphasis"/>
          <w:rFonts w:ascii="Arial" w:hAnsi="Arial" w:cs="Arial"/>
          <w:sz w:val="22"/>
          <w:szCs w:val="22"/>
        </w:rPr>
        <w:t>Journal of Gerontological Social Work</w:t>
      </w:r>
      <w:r w:rsidRPr="009C53C7">
        <w:rPr>
          <w:rFonts w:ascii="Arial" w:hAnsi="Arial" w:cs="Arial"/>
          <w:sz w:val="22"/>
          <w:szCs w:val="22"/>
        </w:rPr>
        <w:t>, 57(2–4), pp. 188–203.</w:t>
      </w:r>
    </w:p>
    <w:p w14:paraId="05B1F452" w14:textId="77777777" w:rsidR="009C53C7" w:rsidRPr="009C53C7" w:rsidRDefault="009C53C7" w:rsidP="009C53C7">
      <w:pPr>
        <w:spacing w:line="360" w:lineRule="auto"/>
        <w:rPr>
          <w:rFonts w:ascii="Arial" w:hAnsi="Arial" w:cs="Arial"/>
          <w:sz w:val="22"/>
          <w:szCs w:val="22"/>
        </w:rPr>
      </w:pPr>
      <w:r w:rsidRPr="009C53C7">
        <w:rPr>
          <w:rFonts w:ascii="Arial" w:hAnsi="Arial" w:cs="Arial"/>
          <w:sz w:val="22"/>
          <w:szCs w:val="22"/>
        </w:rPr>
        <w:t xml:space="preserve">Cabanas, E. and Illouz, E. (2019) </w:t>
      </w:r>
      <w:r w:rsidRPr="009C53C7">
        <w:rPr>
          <w:rStyle w:val="Emphasis"/>
          <w:rFonts w:ascii="Arial" w:hAnsi="Arial" w:cs="Arial"/>
          <w:sz w:val="22"/>
          <w:szCs w:val="22"/>
        </w:rPr>
        <w:t>Manufacturing happy citizens: How the science and industry of happiness control our lives</w:t>
      </w:r>
      <w:r w:rsidRPr="009C53C7">
        <w:rPr>
          <w:rFonts w:ascii="Arial" w:hAnsi="Arial" w:cs="Arial"/>
          <w:sz w:val="22"/>
          <w:szCs w:val="22"/>
        </w:rPr>
        <w:t>. Cambridge: Polity Press.</w:t>
      </w:r>
    </w:p>
    <w:p w14:paraId="16F6A996" w14:textId="77777777" w:rsidR="009C53C7" w:rsidRPr="009C53C7" w:rsidRDefault="009C53C7" w:rsidP="009C53C7">
      <w:pPr>
        <w:spacing w:line="360" w:lineRule="auto"/>
        <w:rPr>
          <w:rFonts w:ascii="Arial" w:eastAsia="Times New Roman" w:hAnsi="Arial" w:cs="Arial"/>
          <w:kern w:val="0"/>
          <w:sz w:val="22"/>
          <w:szCs w:val="22"/>
          <w:lang w:eastAsia="en-GB"/>
          <w14:ligatures w14:val="none"/>
        </w:rPr>
      </w:pPr>
      <w:r w:rsidRPr="008E4FBD">
        <w:rPr>
          <w:rFonts w:ascii="Arial" w:eastAsia="Times New Roman" w:hAnsi="Arial" w:cs="Arial"/>
          <w:kern w:val="0"/>
          <w:sz w:val="22"/>
          <w:szCs w:val="22"/>
          <w:lang w:eastAsia="en-GB"/>
          <w14:ligatures w14:val="none"/>
        </w:rPr>
        <w:t xml:space="preserve">Cumming, E. and Henry, W. (1961) </w:t>
      </w:r>
      <w:r w:rsidRPr="008E4FBD">
        <w:rPr>
          <w:rFonts w:ascii="Arial" w:eastAsia="Times New Roman" w:hAnsi="Arial" w:cs="Arial"/>
          <w:i/>
          <w:iCs/>
          <w:kern w:val="0"/>
          <w:sz w:val="22"/>
          <w:szCs w:val="22"/>
          <w:lang w:eastAsia="en-GB"/>
          <w14:ligatures w14:val="none"/>
        </w:rPr>
        <w:t>Growing Old: The Process of Disengagement</w:t>
      </w:r>
      <w:r w:rsidRPr="008E4FBD">
        <w:rPr>
          <w:rFonts w:ascii="Arial" w:eastAsia="Times New Roman" w:hAnsi="Arial" w:cs="Arial"/>
          <w:kern w:val="0"/>
          <w:sz w:val="22"/>
          <w:szCs w:val="22"/>
          <w:lang w:eastAsia="en-GB"/>
          <w14:ligatures w14:val="none"/>
        </w:rPr>
        <w:t>. New York: Basic Books.</w:t>
      </w:r>
    </w:p>
    <w:p w14:paraId="0FD49106" w14:textId="77777777" w:rsidR="009C53C7" w:rsidRPr="009C53C7" w:rsidRDefault="009C53C7" w:rsidP="009C53C7">
      <w:pPr>
        <w:spacing w:line="360" w:lineRule="auto"/>
        <w:rPr>
          <w:rFonts w:ascii="Arial" w:eastAsia="Times New Roman" w:hAnsi="Arial" w:cs="Arial"/>
          <w:kern w:val="0"/>
          <w:sz w:val="22"/>
          <w:szCs w:val="22"/>
          <w:lang w:eastAsia="en-GB"/>
          <w14:ligatures w14:val="none"/>
        </w:rPr>
      </w:pPr>
      <w:r w:rsidRPr="009C53C7">
        <w:rPr>
          <w:rFonts w:ascii="Arial" w:hAnsi="Arial" w:cs="Arial"/>
          <w:sz w:val="22"/>
          <w:szCs w:val="22"/>
        </w:rPr>
        <w:t xml:space="preserve">Gordon, A.L., Franklin, M., Bradshaw, L., Logan, P., Elliott, R. and Gladman, J.R.F. (2014) ‘Health status of UK care home residents: A cohort study’, </w:t>
      </w:r>
      <w:r w:rsidRPr="009C53C7">
        <w:rPr>
          <w:rStyle w:val="Emphasis"/>
          <w:rFonts w:ascii="Arial" w:hAnsi="Arial" w:cs="Arial"/>
          <w:sz w:val="22"/>
          <w:szCs w:val="22"/>
        </w:rPr>
        <w:t>Age and Ageing</w:t>
      </w:r>
      <w:r w:rsidRPr="009C53C7">
        <w:rPr>
          <w:rFonts w:ascii="Arial" w:hAnsi="Arial" w:cs="Arial"/>
          <w:sz w:val="22"/>
          <w:szCs w:val="22"/>
        </w:rPr>
        <w:t>, 47(4), pp. 579–584.</w:t>
      </w:r>
    </w:p>
    <w:p w14:paraId="68CC4920" w14:textId="77777777" w:rsidR="009C53C7" w:rsidRPr="009C53C7" w:rsidRDefault="009C53C7" w:rsidP="009C53C7">
      <w:pPr>
        <w:spacing w:line="360" w:lineRule="auto"/>
        <w:rPr>
          <w:rFonts w:ascii="Arial" w:eastAsia="Times New Roman" w:hAnsi="Arial" w:cs="Arial"/>
          <w:kern w:val="0"/>
          <w:sz w:val="22"/>
          <w:szCs w:val="22"/>
          <w:lang w:eastAsia="en-GB"/>
          <w14:ligatures w14:val="none"/>
        </w:rPr>
      </w:pPr>
      <w:r w:rsidRPr="009C53C7">
        <w:rPr>
          <w:rFonts w:ascii="Arial" w:hAnsi="Arial" w:cs="Arial"/>
          <w:color w:val="222222"/>
          <w:sz w:val="22"/>
          <w:szCs w:val="22"/>
          <w:shd w:val="clear" w:color="auto" w:fill="FFFFFF"/>
        </w:rPr>
        <w:t>Holt-</w:t>
      </w:r>
      <w:proofErr w:type="spellStart"/>
      <w:r w:rsidRPr="009C53C7">
        <w:rPr>
          <w:rFonts w:ascii="Arial" w:hAnsi="Arial" w:cs="Arial"/>
          <w:color w:val="222222"/>
          <w:sz w:val="22"/>
          <w:szCs w:val="22"/>
          <w:shd w:val="clear" w:color="auto" w:fill="FFFFFF"/>
        </w:rPr>
        <w:t>Lunstad</w:t>
      </w:r>
      <w:proofErr w:type="spellEnd"/>
      <w:r w:rsidRPr="009C53C7">
        <w:rPr>
          <w:rFonts w:ascii="Arial" w:hAnsi="Arial" w:cs="Arial"/>
          <w:color w:val="222222"/>
          <w:sz w:val="22"/>
          <w:szCs w:val="22"/>
          <w:shd w:val="clear" w:color="auto" w:fill="FFFFFF"/>
        </w:rPr>
        <w:t xml:space="preserve">, J., Smith, T. B., Baker, M., Harris, T., &amp; Stephenson, D. (2015) </w:t>
      </w:r>
      <w:r w:rsidRPr="009C53C7">
        <w:rPr>
          <w:rFonts w:ascii="Arial" w:hAnsi="Arial" w:cs="Arial"/>
          <w:i/>
          <w:iCs/>
          <w:color w:val="222222"/>
          <w:sz w:val="22"/>
          <w:szCs w:val="22"/>
          <w:shd w:val="clear" w:color="auto" w:fill="FFFFFF"/>
        </w:rPr>
        <w:t>Loneliness and social isolation as risk factors for mortality: a meta-analytic review</w:t>
      </w:r>
      <w:r w:rsidRPr="009C53C7">
        <w:rPr>
          <w:rFonts w:ascii="Arial" w:hAnsi="Arial" w:cs="Arial"/>
          <w:color w:val="222222"/>
          <w:sz w:val="22"/>
          <w:szCs w:val="22"/>
          <w:shd w:val="clear" w:color="auto" w:fill="FFFFFF"/>
        </w:rPr>
        <w:t>. Perspectives on psychological science, 10(2), 227-237.</w:t>
      </w:r>
    </w:p>
    <w:p w14:paraId="001E4871" w14:textId="77777777" w:rsidR="009C53C7" w:rsidRPr="009C53C7" w:rsidRDefault="009C53C7" w:rsidP="009C53C7">
      <w:pPr>
        <w:spacing w:line="360" w:lineRule="auto"/>
        <w:rPr>
          <w:rFonts w:ascii="Arial" w:eastAsia="Times New Roman" w:hAnsi="Arial" w:cs="Arial"/>
          <w:kern w:val="0"/>
          <w:sz w:val="22"/>
          <w:szCs w:val="22"/>
          <w:lang w:eastAsia="en-GB"/>
          <w14:ligatures w14:val="none"/>
        </w:rPr>
      </w:pPr>
      <w:r w:rsidRPr="008E4FBD">
        <w:rPr>
          <w:rFonts w:ascii="Arial" w:eastAsia="Times New Roman" w:hAnsi="Arial" w:cs="Arial"/>
          <w:kern w:val="0"/>
          <w:sz w:val="22"/>
          <w:szCs w:val="22"/>
          <w:lang w:eastAsia="en-GB"/>
          <w14:ligatures w14:val="none"/>
        </w:rPr>
        <w:t xml:space="preserve">Havighurst, R. (1961) </w:t>
      </w:r>
      <w:r w:rsidRPr="008E4FBD">
        <w:rPr>
          <w:rFonts w:ascii="Arial" w:eastAsia="Times New Roman" w:hAnsi="Arial" w:cs="Arial"/>
          <w:i/>
          <w:iCs/>
          <w:kern w:val="0"/>
          <w:sz w:val="22"/>
          <w:szCs w:val="22"/>
          <w:lang w:eastAsia="en-GB"/>
          <w14:ligatures w14:val="none"/>
        </w:rPr>
        <w:t>Successful ageing</w:t>
      </w:r>
      <w:r w:rsidRPr="008E4FBD">
        <w:rPr>
          <w:rFonts w:ascii="Arial" w:eastAsia="Times New Roman" w:hAnsi="Arial" w:cs="Arial"/>
          <w:kern w:val="0"/>
          <w:sz w:val="22"/>
          <w:szCs w:val="22"/>
          <w:lang w:eastAsia="en-GB"/>
          <w14:ligatures w14:val="none"/>
        </w:rPr>
        <w:t>. The Gerontologist, 1(1), pp. 8–13.</w:t>
      </w:r>
    </w:p>
    <w:p w14:paraId="24CDB52D" w14:textId="77777777" w:rsidR="009C53C7" w:rsidRPr="009C53C7" w:rsidRDefault="009C53C7" w:rsidP="009C53C7">
      <w:pPr>
        <w:spacing w:line="360" w:lineRule="auto"/>
        <w:rPr>
          <w:rFonts w:ascii="Arial" w:hAnsi="Arial" w:cs="Arial"/>
          <w:sz w:val="22"/>
          <w:szCs w:val="22"/>
        </w:rPr>
      </w:pPr>
      <w:r w:rsidRPr="009C53C7">
        <w:rPr>
          <w:rFonts w:ascii="Arial" w:hAnsi="Arial" w:cs="Arial"/>
          <w:sz w:val="22"/>
          <w:szCs w:val="22"/>
        </w:rPr>
        <w:t>Holt-</w:t>
      </w:r>
      <w:proofErr w:type="spellStart"/>
      <w:r w:rsidRPr="009C53C7">
        <w:rPr>
          <w:rFonts w:ascii="Arial" w:hAnsi="Arial" w:cs="Arial"/>
          <w:sz w:val="22"/>
          <w:szCs w:val="22"/>
        </w:rPr>
        <w:t>Lunstad</w:t>
      </w:r>
      <w:proofErr w:type="spellEnd"/>
      <w:r w:rsidRPr="009C53C7">
        <w:rPr>
          <w:rFonts w:ascii="Arial" w:hAnsi="Arial" w:cs="Arial"/>
          <w:sz w:val="22"/>
          <w:szCs w:val="22"/>
        </w:rPr>
        <w:t xml:space="preserve">, J., Smith, T.B. and Layton, J.B. (2010) ‘Social relationships and mortality risk: A meta-analytic review’, </w:t>
      </w:r>
      <w:proofErr w:type="spellStart"/>
      <w:r w:rsidRPr="009C53C7">
        <w:rPr>
          <w:rStyle w:val="Emphasis"/>
          <w:rFonts w:ascii="Arial" w:hAnsi="Arial" w:cs="Arial"/>
          <w:sz w:val="22"/>
          <w:szCs w:val="22"/>
        </w:rPr>
        <w:t>PLoS</w:t>
      </w:r>
      <w:proofErr w:type="spellEnd"/>
      <w:r w:rsidRPr="009C53C7">
        <w:rPr>
          <w:rStyle w:val="Emphasis"/>
          <w:rFonts w:ascii="Arial" w:hAnsi="Arial" w:cs="Arial"/>
          <w:sz w:val="22"/>
          <w:szCs w:val="22"/>
        </w:rPr>
        <w:t xml:space="preserve"> Medicine</w:t>
      </w:r>
      <w:r w:rsidRPr="009C53C7">
        <w:rPr>
          <w:rFonts w:ascii="Arial" w:hAnsi="Arial" w:cs="Arial"/>
          <w:sz w:val="22"/>
          <w:szCs w:val="22"/>
        </w:rPr>
        <w:t>, 7(7), e1000316.</w:t>
      </w:r>
    </w:p>
    <w:p w14:paraId="02AC3394" w14:textId="77777777" w:rsidR="009C53C7" w:rsidRPr="009C53C7" w:rsidRDefault="009C53C7" w:rsidP="009C53C7">
      <w:pPr>
        <w:spacing w:line="360" w:lineRule="auto"/>
        <w:rPr>
          <w:rFonts w:ascii="Arial" w:eastAsia="Times New Roman" w:hAnsi="Arial" w:cs="Arial"/>
          <w:kern w:val="0"/>
          <w:sz w:val="22"/>
          <w:szCs w:val="22"/>
          <w:lang w:eastAsia="en-GB"/>
          <w14:ligatures w14:val="none"/>
        </w:rPr>
      </w:pPr>
      <w:proofErr w:type="spellStart"/>
      <w:r w:rsidRPr="009C53C7">
        <w:rPr>
          <w:rFonts w:ascii="Arial" w:hAnsi="Arial" w:cs="Arial"/>
          <w:sz w:val="22"/>
          <w:szCs w:val="22"/>
        </w:rPr>
        <w:t>Kitwood</w:t>
      </w:r>
      <w:proofErr w:type="spellEnd"/>
      <w:r w:rsidRPr="009C53C7">
        <w:rPr>
          <w:rFonts w:ascii="Arial" w:hAnsi="Arial" w:cs="Arial"/>
          <w:sz w:val="22"/>
          <w:szCs w:val="22"/>
        </w:rPr>
        <w:t xml:space="preserve">, T. (1997) </w:t>
      </w:r>
      <w:r w:rsidRPr="009C53C7">
        <w:rPr>
          <w:rStyle w:val="Emphasis"/>
          <w:rFonts w:ascii="Arial" w:hAnsi="Arial" w:cs="Arial"/>
          <w:sz w:val="22"/>
          <w:szCs w:val="22"/>
        </w:rPr>
        <w:t>Dementia reconsidered: The person comes first</w:t>
      </w:r>
      <w:r w:rsidRPr="009C53C7">
        <w:rPr>
          <w:rFonts w:ascii="Arial" w:hAnsi="Arial" w:cs="Arial"/>
          <w:sz w:val="22"/>
          <w:szCs w:val="22"/>
        </w:rPr>
        <w:t>. Buckingham: Open University Press.</w:t>
      </w:r>
    </w:p>
    <w:p w14:paraId="2343676B" w14:textId="77777777" w:rsidR="009C53C7" w:rsidRPr="009C53C7" w:rsidRDefault="009C53C7" w:rsidP="009C53C7">
      <w:pPr>
        <w:spacing w:line="360" w:lineRule="auto"/>
        <w:rPr>
          <w:rFonts w:ascii="Arial" w:eastAsia="Times New Roman" w:hAnsi="Arial" w:cs="Arial"/>
          <w:kern w:val="0"/>
          <w:sz w:val="22"/>
          <w:szCs w:val="22"/>
          <w:lang w:eastAsia="en-GB"/>
          <w14:ligatures w14:val="none"/>
        </w:rPr>
      </w:pPr>
      <w:r w:rsidRPr="008E4FBD">
        <w:rPr>
          <w:rFonts w:ascii="Arial" w:eastAsia="Times New Roman" w:hAnsi="Arial" w:cs="Arial"/>
          <w:kern w:val="0"/>
          <w:sz w:val="22"/>
          <w:szCs w:val="22"/>
          <w:lang w:eastAsia="en-GB"/>
          <w14:ligatures w14:val="none"/>
        </w:rPr>
        <w:t xml:space="preserve">Maslow, A. (1943) </w:t>
      </w:r>
      <w:r w:rsidRPr="008E4FBD">
        <w:rPr>
          <w:rFonts w:ascii="Arial" w:eastAsia="Times New Roman" w:hAnsi="Arial" w:cs="Arial"/>
          <w:i/>
          <w:iCs/>
          <w:kern w:val="0"/>
          <w:sz w:val="22"/>
          <w:szCs w:val="22"/>
          <w:lang w:eastAsia="en-GB"/>
          <w14:ligatures w14:val="none"/>
        </w:rPr>
        <w:t>A theory of human motivation</w:t>
      </w:r>
      <w:r w:rsidRPr="008E4FBD">
        <w:rPr>
          <w:rFonts w:ascii="Arial" w:eastAsia="Times New Roman" w:hAnsi="Arial" w:cs="Arial"/>
          <w:kern w:val="0"/>
          <w:sz w:val="22"/>
          <w:szCs w:val="22"/>
          <w:lang w:eastAsia="en-GB"/>
          <w14:ligatures w14:val="none"/>
        </w:rPr>
        <w:t>. Psychological Review, 50(4), pp. 370–396.</w:t>
      </w:r>
    </w:p>
    <w:p w14:paraId="6BE3459E" w14:textId="77777777" w:rsidR="009C53C7" w:rsidRPr="009C53C7" w:rsidRDefault="009C53C7" w:rsidP="009C53C7">
      <w:pPr>
        <w:spacing w:line="360" w:lineRule="auto"/>
        <w:rPr>
          <w:rFonts w:ascii="Arial" w:eastAsia="Times New Roman" w:hAnsi="Arial" w:cs="Arial"/>
          <w:kern w:val="0"/>
          <w:sz w:val="22"/>
          <w:szCs w:val="22"/>
          <w:lang w:eastAsia="en-GB"/>
          <w14:ligatures w14:val="none"/>
        </w:rPr>
      </w:pPr>
      <w:r w:rsidRPr="009C53C7">
        <w:rPr>
          <w:rFonts w:ascii="Arial" w:hAnsi="Arial" w:cs="Arial"/>
          <w:sz w:val="22"/>
          <w:szCs w:val="22"/>
        </w:rPr>
        <w:t xml:space="preserve">Prince, M., Wimo, A., </w:t>
      </w:r>
      <w:proofErr w:type="spellStart"/>
      <w:r w:rsidRPr="009C53C7">
        <w:rPr>
          <w:rFonts w:ascii="Arial" w:hAnsi="Arial" w:cs="Arial"/>
          <w:sz w:val="22"/>
          <w:szCs w:val="22"/>
        </w:rPr>
        <w:t>Guerchet</w:t>
      </w:r>
      <w:proofErr w:type="spellEnd"/>
      <w:r w:rsidRPr="009C53C7">
        <w:rPr>
          <w:rFonts w:ascii="Arial" w:hAnsi="Arial" w:cs="Arial"/>
          <w:sz w:val="22"/>
          <w:szCs w:val="22"/>
        </w:rPr>
        <w:t xml:space="preserve">, M., Ali, G., Wu, Y. and Prina, M. (2015) </w:t>
      </w:r>
      <w:r w:rsidRPr="009C53C7">
        <w:rPr>
          <w:rStyle w:val="Emphasis"/>
          <w:rFonts w:ascii="Arial" w:hAnsi="Arial" w:cs="Arial"/>
          <w:sz w:val="22"/>
          <w:szCs w:val="22"/>
        </w:rPr>
        <w:t>World Alzheimer Report 2015: The global impact of dementia</w:t>
      </w:r>
      <w:r w:rsidRPr="009C53C7">
        <w:rPr>
          <w:rFonts w:ascii="Arial" w:hAnsi="Arial" w:cs="Arial"/>
          <w:sz w:val="22"/>
          <w:szCs w:val="22"/>
        </w:rPr>
        <w:t>. London: Alzheimer’s Disease International.</w:t>
      </w:r>
    </w:p>
    <w:p w14:paraId="08F2B5C3" w14:textId="77777777" w:rsidR="009C53C7" w:rsidRPr="009C53C7" w:rsidRDefault="009C53C7" w:rsidP="009C53C7">
      <w:pPr>
        <w:spacing w:line="360" w:lineRule="auto"/>
        <w:rPr>
          <w:rFonts w:ascii="Arial" w:eastAsia="Times New Roman" w:hAnsi="Arial" w:cs="Arial"/>
          <w:kern w:val="0"/>
          <w:sz w:val="22"/>
          <w:szCs w:val="22"/>
          <w:lang w:eastAsia="en-GB"/>
          <w14:ligatures w14:val="none"/>
        </w:rPr>
      </w:pPr>
      <w:r w:rsidRPr="009C53C7">
        <w:rPr>
          <w:rFonts w:ascii="Arial" w:hAnsi="Arial" w:cs="Arial"/>
          <w:sz w:val="22"/>
          <w:szCs w:val="22"/>
        </w:rPr>
        <w:t xml:space="preserve">Park, N., Peterson, C. and Sun, J.K. (2014) ‘Positive psychology: Research and applications’, </w:t>
      </w:r>
      <w:r w:rsidRPr="009C53C7">
        <w:rPr>
          <w:rStyle w:val="Emphasis"/>
          <w:rFonts w:ascii="Arial" w:hAnsi="Arial" w:cs="Arial"/>
          <w:sz w:val="22"/>
          <w:szCs w:val="22"/>
        </w:rPr>
        <w:t>American Psychologist</w:t>
      </w:r>
      <w:r w:rsidRPr="009C53C7">
        <w:rPr>
          <w:rFonts w:ascii="Arial" w:hAnsi="Arial" w:cs="Arial"/>
          <w:sz w:val="22"/>
          <w:szCs w:val="22"/>
        </w:rPr>
        <w:t>, 69(7), pp. 665–678.</w:t>
      </w:r>
    </w:p>
    <w:p w14:paraId="6233BAF3" w14:textId="77777777" w:rsidR="009C53C7" w:rsidRPr="009C53C7" w:rsidRDefault="009C53C7" w:rsidP="009C53C7">
      <w:pPr>
        <w:spacing w:line="360" w:lineRule="auto"/>
        <w:rPr>
          <w:rFonts w:ascii="Arial" w:eastAsia="Times New Roman" w:hAnsi="Arial" w:cs="Arial"/>
          <w:kern w:val="0"/>
          <w:sz w:val="22"/>
          <w:szCs w:val="22"/>
          <w:lang w:eastAsia="en-GB"/>
          <w14:ligatures w14:val="none"/>
        </w:rPr>
      </w:pPr>
      <w:r w:rsidRPr="008E4FBD">
        <w:rPr>
          <w:rFonts w:ascii="Arial" w:eastAsia="Times New Roman" w:hAnsi="Arial" w:cs="Arial"/>
          <w:kern w:val="0"/>
          <w:sz w:val="22"/>
          <w:szCs w:val="22"/>
          <w:lang w:eastAsia="en-GB"/>
          <w14:ligatures w14:val="none"/>
        </w:rPr>
        <w:t xml:space="preserve">Seligman, M. (2011) </w:t>
      </w:r>
      <w:r w:rsidRPr="008E4FBD">
        <w:rPr>
          <w:rFonts w:ascii="Arial" w:eastAsia="Times New Roman" w:hAnsi="Arial" w:cs="Arial"/>
          <w:i/>
          <w:iCs/>
          <w:kern w:val="0"/>
          <w:sz w:val="22"/>
          <w:szCs w:val="22"/>
          <w:lang w:eastAsia="en-GB"/>
          <w14:ligatures w14:val="none"/>
        </w:rPr>
        <w:t>Flourish: A Visionary New Understanding of Happiness and Well-being</w:t>
      </w:r>
      <w:r w:rsidRPr="008E4FBD">
        <w:rPr>
          <w:rFonts w:ascii="Arial" w:eastAsia="Times New Roman" w:hAnsi="Arial" w:cs="Arial"/>
          <w:kern w:val="0"/>
          <w:sz w:val="22"/>
          <w:szCs w:val="22"/>
          <w:lang w:eastAsia="en-GB"/>
          <w14:ligatures w14:val="none"/>
        </w:rPr>
        <w:t>. New York: Free Press.</w:t>
      </w:r>
    </w:p>
    <w:p w14:paraId="7597F68F" w14:textId="77777777" w:rsidR="009C53C7" w:rsidRPr="009C53C7" w:rsidRDefault="009C53C7" w:rsidP="009C53C7">
      <w:pPr>
        <w:spacing w:line="360" w:lineRule="auto"/>
        <w:rPr>
          <w:rFonts w:ascii="Arial" w:hAnsi="Arial" w:cs="Arial"/>
          <w:sz w:val="22"/>
          <w:szCs w:val="22"/>
        </w:rPr>
      </w:pPr>
      <w:proofErr w:type="spellStart"/>
      <w:r w:rsidRPr="009C53C7">
        <w:rPr>
          <w:rFonts w:ascii="Arial" w:hAnsi="Arial" w:cs="Arial"/>
          <w:sz w:val="22"/>
          <w:szCs w:val="22"/>
        </w:rPr>
        <w:t>Särkämö</w:t>
      </w:r>
      <w:proofErr w:type="spellEnd"/>
      <w:r w:rsidRPr="009C53C7">
        <w:rPr>
          <w:rFonts w:ascii="Arial" w:hAnsi="Arial" w:cs="Arial"/>
          <w:sz w:val="22"/>
          <w:szCs w:val="22"/>
        </w:rPr>
        <w:t xml:space="preserve">, T., </w:t>
      </w:r>
      <w:proofErr w:type="spellStart"/>
      <w:r w:rsidRPr="009C53C7">
        <w:rPr>
          <w:rFonts w:ascii="Arial" w:hAnsi="Arial" w:cs="Arial"/>
          <w:sz w:val="22"/>
          <w:szCs w:val="22"/>
        </w:rPr>
        <w:t>Tervaniemi</w:t>
      </w:r>
      <w:proofErr w:type="spellEnd"/>
      <w:r w:rsidRPr="009C53C7">
        <w:rPr>
          <w:rFonts w:ascii="Arial" w:hAnsi="Arial" w:cs="Arial"/>
          <w:sz w:val="22"/>
          <w:szCs w:val="22"/>
        </w:rPr>
        <w:t xml:space="preserve">, M., Laitinen, S., et al. (2014) ‘Cognitive, emotional, and social benefits of regular musical activities in early dementia’, </w:t>
      </w:r>
      <w:r w:rsidRPr="009C53C7">
        <w:rPr>
          <w:rStyle w:val="Emphasis"/>
          <w:rFonts w:ascii="Arial" w:hAnsi="Arial" w:cs="Arial"/>
          <w:sz w:val="22"/>
          <w:szCs w:val="22"/>
        </w:rPr>
        <w:t>Gerontologist</w:t>
      </w:r>
      <w:r w:rsidRPr="009C53C7">
        <w:rPr>
          <w:rFonts w:ascii="Arial" w:hAnsi="Arial" w:cs="Arial"/>
          <w:sz w:val="22"/>
          <w:szCs w:val="22"/>
        </w:rPr>
        <w:t>, 54(4), pp. 634–650.</w:t>
      </w:r>
    </w:p>
    <w:p w14:paraId="61DAB692" w14:textId="77777777" w:rsidR="009C53C7" w:rsidRPr="009C53C7" w:rsidRDefault="009C53C7" w:rsidP="009C53C7">
      <w:pPr>
        <w:spacing w:line="360" w:lineRule="auto"/>
        <w:rPr>
          <w:rFonts w:ascii="Arial" w:hAnsi="Arial" w:cs="Arial"/>
          <w:sz w:val="22"/>
          <w:szCs w:val="22"/>
        </w:rPr>
      </w:pPr>
      <w:r w:rsidRPr="009C53C7">
        <w:rPr>
          <w:rFonts w:ascii="Arial" w:hAnsi="Arial" w:cs="Arial"/>
          <w:sz w:val="22"/>
          <w:szCs w:val="22"/>
        </w:rPr>
        <w:t xml:space="preserve">Skills for Care (2023) </w:t>
      </w:r>
      <w:r w:rsidRPr="009C53C7">
        <w:rPr>
          <w:rStyle w:val="Emphasis"/>
          <w:rFonts w:ascii="Arial" w:hAnsi="Arial" w:cs="Arial"/>
          <w:sz w:val="22"/>
          <w:szCs w:val="22"/>
        </w:rPr>
        <w:t>The state of the adult social care sector and workforce in England</w:t>
      </w:r>
      <w:r w:rsidRPr="009C53C7">
        <w:rPr>
          <w:rFonts w:ascii="Arial" w:hAnsi="Arial" w:cs="Arial"/>
          <w:sz w:val="22"/>
          <w:szCs w:val="22"/>
        </w:rPr>
        <w:t xml:space="preserve">. Leeds: Skills for Care. Available at </w:t>
      </w:r>
      <w:hyperlink r:id="rId8" w:history="1">
        <w:r w:rsidRPr="009C53C7">
          <w:rPr>
            <w:rStyle w:val="Hyperlink"/>
            <w:rFonts w:ascii="Arial" w:hAnsi="Arial" w:cs="Arial"/>
            <w:sz w:val="22"/>
            <w:szCs w:val="22"/>
          </w:rPr>
          <w:t>https://www.skillsforcare.org.uk/Adult-Social-Care-Workforce-Data/workforceintelligence/resources/Reports/National/The-state-of-the-adult-social-care-sector-and-workforce-in-England-2025-Executive-Summary.pdf</w:t>
        </w:r>
      </w:hyperlink>
      <w:r w:rsidRPr="009C53C7">
        <w:rPr>
          <w:rFonts w:ascii="Arial" w:hAnsi="Arial" w:cs="Arial"/>
          <w:sz w:val="22"/>
          <w:szCs w:val="22"/>
        </w:rPr>
        <w:t xml:space="preserve"> </w:t>
      </w:r>
    </w:p>
    <w:p w14:paraId="1E9AEB2A" w14:textId="77777777" w:rsidR="009C53C7" w:rsidRPr="008E4FBD" w:rsidRDefault="009C53C7" w:rsidP="009C53C7">
      <w:pPr>
        <w:spacing w:line="360" w:lineRule="auto"/>
        <w:rPr>
          <w:rFonts w:ascii="Arial" w:eastAsia="Times New Roman" w:hAnsi="Arial" w:cs="Arial"/>
          <w:kern w:val="0"/>
          <w:sz w:val="22"/>
          <w:szCs w:val="22"/>
          <w:lang w:eastAsia="en-GB"/>
          <w14:ligatures w14:val="none"/>
        </w:rPr>
      </w:pPr>
      <w:r w:rsidRPr="009C53C7">
        <w:rPr>
          <w:rFonts w:ascii="Arial" w:hAnsi="Arial" w:cs="Arial"/>
          <w:sz w:val="22"/>
          <w:szCs w:val="22"/>
        </w:rPr>
        <w:t xml:space="preserve">Victor, C., </w:t>
      </w:r>
      <w:proofErr w:type="spellStart"/>
      <w:r w:rsidRPr="009C53C7">
        <w:rPr>
          <w:rFonts w:ascii="Arial" w:hAnsi="Arial" w:cs="Arial"/>
          <w:sz w:val="22"/>
          <w:szCs w:val="22"/>
        </w:rPr>
        <w:t>Scambler</w:t>
      </w:r>
      <w:proofErr w:type="spellEnd"/>
      <w:r w:rsidRPr="009C53C7">
        <w:rPr>
          <w:rFonts w:ascii="Arial" w:hAnsi="Arial" w:cs="Arial"/>
          <w:sz w:val="22"/>
          <w:szCs w:val="22"/>
        </w:rPr>
        <w:t xml:space="preserve">, S. and Bond, J. (2008) </w:t>
      </w:r>
      <w:r w:rsidRPr="009C53C7">
        <w:rPr>
          <w:rStyle w:val="Emphasis"/>
          <w:rFonts w:ascii="Arial" w:hAnsi="Arial" w:cs="Arial"/>
          <w:sz w:val="22"/>
          <w:szCs w:val="22"/>
        </w:rPr>
        <w:t>The social world of older people: Understanding loneliness and social isolation in later life</w:t>
      </w:r>
      <w:r w:rsidRPr="009C53C7">
        <w:rPr>
          <w:rFonts w:ascii="Arial" w:hAnsi="Arial" w:cs="Arial"/>
          <w:sz w:val="22"/>
          <w:szCs w:val="22"/>
        </w:rPr>
        <w:t>. Maidenhead: Open University Press.</w:t>
      </w:r>
    </w:p>
    <w:p w14:paraId="15C809AA" w14:textId="77777777" w:rsidR="009C53C7" w:rsidRPr="009C53C7" w:rsidRDefault="009C53C7" w:rsidP="009C53C7"/>
    <w:sectPr w:rsidR="009C53C7" w:rsidRPr="009C53C7" w:rsidSect="009C53C7">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5F4E27" w14:textId="77777777" w:rsidR="005D41D0" w:rsidRDefault="005D41D0" w:rsidP="009C53C7">
      <w:r>
        <w:separator/>
      </w:r>
    </w:p>
  </w:endnote>
  <w:endnote w:type="continuationSeparator" w:id="0">
    <w:p w14:paraId="3F4A447A" w14:textId="77777777" w:rsidR="005D41D0" w:rsidRDefault="005D41D0" w:rsidP="009C53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6176628"/>
      <w:docPartObj>
        <w:docPartGallery w:val="Page Numbers (Bottom of Page)"/>
        <w:docPartUnique/>
      </w:docPartObj>
    </w:sdtPr>
    <w:sdtEndPr>
      <w:rPr>
        <w:rStyle w:val="PageNumber"/>
      </w:rPr>
    </w:sdtEndPr>
    <w:sdtContent>
      <w:p w14:paraId="33DF6E64" w14:textId="52E2C9F8" w:rsidR="009C53C7" w:rsidRDefault="009C53C7" w:rsidP="005100E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BA7416" w14:textId="77777777" w:rsidR="009C53C7" w:rsidRDefault="009C53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8990793"/>
      <w:docPartObj>
        <w:docPartGallery w:val="Page Numbers (Bottom of Page)"/>
        <w:docPartUnique/>
      </w:docPartObj>
    </w:sdtPr>
    <w:sdtEndPr>
      <w:rPr>
        <w:rStyle w:val="PageNumber"/>
      </w:rPr>
    </w:sdtEndPr>
    <w:sdtContent>
      <w:p w14:paraId="2B64AB09" w14:textId="4BB0F8C9" w:rsidR="009C53C7" w:rsidRDefault="009C53C7" w:rsidP="005100E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1251ADE1" w14:textId="77777777" w:rsidR="009C53C7" w:rsidRDefault="009C5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52FED" w14:textId="77777777" w:rsidR="005D41D0" w:rsidRDefault="005D41D0" w:rsidP="009C53C7">
      <w:r>
        <w:separator/>
      </w:r>
    </w:p>
  </w:footnote>
  <w:footnote w:type="continuationSeparator" w:id="0">
    <w:p w14:paraId="55963774" w14:textId="77777777" w:rsidR="005D41D0" w:rsidRDefault="005D41D0" w:rsidP="009C53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564E2"/>
    <w:multiLevelType w:val="multilevel"/>
    <w:tmpl w:val="02608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D6999"/>
    <w:multiLevelType w:val="multilevel"/>
    <w:tmpl w:val="D8C6B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54A6C"/>
    <w:multiLevelType w:val="multilevel"/>
    <w:tmpl w:val="ABA201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1C3D60"/>
    <w:multiLevelType w:val="multilevel"/>
    <w:tmpl w:val="7C3A4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396D72"/>
    <w:multiLevelType w:val="multilevel"/>
    <w:tmpl w:val="FC18BB1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9446B0"/>
    <w:multiLevelType w:val="multilevel"/>
    <w:tmpl w:val="0046F6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394350"/>
    <w:multiLevelType w:val="multilevel"/>
    <w:tmpl w:val="30A23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38219A"/>
    <w:multiLevelType w:val="multilevel"/>
    <w:tmpl w:val="A07C2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574E6A"/>
    <w:multiLevelType w:val="multilevel"/>
    <w:tmpl w:val="0A5E3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CB0B8B"/>
    <w:multiLevelType w:val="multilevel"/>
    <w:tmpl w:val="01B84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F94AB5"/>
    <w:multiLevelType w:val="multilevel"/>
    <w:tmpl w:val="6CA21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EE5FC9"/>
    <w:multiLevelType w:val="multilevel"/>
    <w:tmpl w:val="DE341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00079A"/>
    <w:multiLevelType w:val="multilevel"/>
    <w:tmpl w:val="92565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EA2144"/>
    <w:multiLevelType w:val="multilevel"/>
    <w:tmpl w:val="CEDE9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0B21C4"/>
    <w:multiLevelType w:val="multilevel"/>
    <w:tmpl w:val="3994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E800C4"/>
    <w:multiLevelType w:val="multilevel"/>
    <w:tmpl w:val="1938F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8D0A5C"/>
    <w:multiLevelType w:val="multilevel"/>
    <w:tmpl w:val="4A4A9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EF3AD6"/>
    <w:multiLevelType w:val="multilevel"/>
    <w:tmpl w:val="EAFA1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72A55"/>
    <w:multiLevelType w:val="multilevel"/>
    <w:tmpl w:val="741E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DA2230"/>
    <w:multiLevelType w:val="multilevel"/>
    <w:tmpl w:val="9BCC6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7C46F2"/>
    <w:multiLevelType w:val="multilevel"/>
    <w:tmpl w:val="F1140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2F0658"/>
    <w:multiLevelType w:val="multilevel"/>
    <w:tmpl w:val="1AA2F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774455"/>
    <w:multiLevelType w:val="multilevel"/>
    <w:tmpl w:val="45482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7D5B98"/>
    <w:multiLevelType w:val="multilevel"/>
    <w:tmpl w:val="59F0C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141C6F"/>
    <w:multiLevelType w:val="multilevel"/>
    <w:tmpl w:val="EB9AFC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90298D"/>
    <w:multiLevelType w:val="multilevel"/>
    <w:tmpl w:val="7AD6C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D70A24"/>
    <w:multiLevelType w:val="multilevel"/>
    <w:tmpl w:val="7A4E6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D3221D"/>
    <w:multiLevelType w:val="multilevel"/>
    <w:tmpl w:val="E71A7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AD4EDB"/>
    <w:multiLevelType w:val="multilevel"/>
    <w:tmpl w:val="C7A6D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4"/>
  </w:num>
  <w:num w:numId="2">
    <w:abstractNumId w:val="0"/>
  </w:num>
  <w:num w:numId="3">
    <w:abstractNumId w:val="4"/>
  </w:num>
  <w:num w:numId="4">
    <w:abstractNumId w:val="13"/>
  </w:num>
  <w:num w:numId="5">
    <w:abstractNumId w:val="25"/>
  </w:num>
  <w:num w:numId="6">
    <w:abstractNumId w:val="1"/>
  </w:num>
  <w:num w:numId="7">
    <w:abstractNumId w:val="10"/>
  </w:num>
  <w:num w:numId="8">
    <w:abstractNumId w:val="21"/>
  </w:num>
  <w:num w:numId="9">
    <w:abstractNumId w:val="2"/>
  </w:num>
  <w:num w:numId="10">
    <w:abstractNumId w:val="22"/>
  </w:num>
  <w:num w:numId="11">
    <w:abstractNumId w:val="26"/>
  </w:num>
  <w:num w:numId="12">
    <w:abstractNumId w:val="5"/>
  </w:num>
  <w:num w:numId="13">
    <w:abstractNumId w:val="17"/>
  </w:num>
  <w:num w:numId="14">
    <w:abstractNumId w:val="18"/>
  </w:num>
  <w:num w:numId="15">
    <w:abstractNumId w:val="23"/>
  </w:num>
  <w:num w:numId="16">
    <w:abstractNumId w:val="20"/>
  </w:num>
  <w:num w:numId="17">
    <w:abstractNumId w:val="14"/>
  </w:num>
  <w:num w:numId="18">
    <w:abstractNumId w:val="16"/>
  </w:num>
  <w:num w:numId="19">
    <w:abstractNumId w:val="8"/>
  </w:num>
  <w:num w:numId="20">
    <w:abstractNumId w:val="9"/>
  </w:num>
  <w:num w:numId="21">
    <w:abstractNumId w:val="3"/>
  </w:num>
  <w:num w:numId="22">
    <w:abstractNumId w:val="11"/>
  </w:num>
  <w:num w:numId="23">
    <w:abstractNumId w:val="19"/>
  </w:num>
  <w:num w:numId="24">
    <w:abstractNumId w:val="12"/>
  </w:num>
  <w:num w:numId="25">
    <w:abstractNumId w:val="27"/>
  </w:num>
  <w:num w:numId="26">
    <w:abstractNumId w:val="28"/>
  </w:num>
  <w:num w:numId="27">
    <w:abstractNumId w:val="7"/>
  </w:num>
  <w:num w:numId="28">
    <w:abstractNumId w:val="6"/>
  </w:num>
  <w:num w:numId="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FBD"/>
    <w:rsid w:val="00106AC4"/>
    <w:rsid w:val="00477B33"/>
    <w:rsid w:val="004A6540"/>
    <w:rsid w:val="004E3A61"/>
    <w:rsid w:val="00563661"/>
    <w:rsid w:val="005D41D0"/>
    <w:rsid w:val="008E4FBD"/>
    <w:rsid w:val="00966FB3"/>
    <w:rsid w:val="00994926"/>
    <w:rsid w:val="009C53C7"/>
    <w:rsid w:val="00AA7826"/>
    <w:rsid w:val="00C00D26"/>
    <w:rsid w:val="00C05DBF"/>
    <w:rsid w:val="00C05DF7"/>
    <w:rsid w:val="00C54F9F"/>
    <w:rsid w:val="00C767AD"/>
    <w:rsid w:val="00E30F9F"/>
    <w:rsid w:val="00EE695F"/>
    <w:rsid w:val="00F00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4EF6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D26"/>
    <w:pPr>
      <w:keepNext/>
      <w:keepLines/>
      <w:spacing w:before="360" w:after="80" w:line="480" w:lineRule="auto"/>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unhideWhenUsed/>
    <w:qFormat/>
    <w:rsid w:val="00C00D26"/>
    <w:pPr>
      <w:keepNext/>
      <w:keepLines/>
      <w:spacing w:before="160" w:after="80" w:line="480" w:lineRule="auto"/>
      <w:outlineLvl w:val="1"/>
    </w:pPr>
    <w:rPr>
      <w:rFonts w:ascii="Arial" w:eastAsiaTheme="majorEastAsia" w:hAnsi="Arial" w:cstheme="majorBidi"/>
      <w:b/>
      <w:color w:val="000000" w:themeColor="text1"/>
      <w:sz w:val="22"/>
      <w:szCs w:val="32"/>
    </w:rPr>
  </w:style>
  <w:style w:type="paragraph" w:styleId="Heading3">
    <w:name w:val="heading 3"/>
    <w:basedOn w:val="Normal"/>
    <w:next w:val="Normal"/>
    <w:link w:val="Heading3Char"/>
    <w:uiPriority w:val="9"/>
    <w:unhideWhenUsed/>
    <w:qFormat/>
    <w:rsid w:val="008E4F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4F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4F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4FB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4FB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4FB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4FB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D26"/>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C00D26"/>
    <w:rPr>
      <w:rFonts w:ascii="Arial" w:eastAsiaTheme="majorEastAsia" w:hAnsi="Arial" w:cstheme="majorBidi"/>
      <w:b/>
      <w:color w:val="000000" w:themeColor="text1"/>
      <w:sz w:val="22"/>
      <w:szCs w:val="32"/>
    </w:rPr>
  </w:style>
  <w:style w:type="character" w:customStyle="1" w:styleId="Heading3Char">
    <w:name w:val="Heading 3 Char"/>
    <w:basedOn w:val="DefaultParagraphFont"/>
    <w:link w:val="Heading3"/>
    <w:uiPriority w:val="9"/>
    <w:rsid w:val="008E4F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4F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4F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4F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4F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4F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4FBD"/>
    <w:rPr>
      <w:rFonts w:eastAsiaTheme="majorEastAsia" w:cstheme="majorBidi"/>
      <w:color w:val="272727" w:themeColor="text1" w:themeTint="D8"/>
    </w:rPr>
  </w:style>
  <w:style w:type="paragraph" w:styleId="Title">
    <w:name w:val="Title"/>
    <w:basedOn w:val="Normal"/>
    <w:next w:val="Normal"/>
    <w:link w:val="TitleChar"/>
    <w:uiPriority w:val="10"/>
    <w:qFormat/>
    <w:rsid w:val="008E4FB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F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4FB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F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4FB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E4FBD"/>
    <w:rPr>
      <w:i/>
      <w:iCs/>
      <w:color w:val="404040" w:themeColor="text1" w:themeTint="BF"/>
    </w:rPr>
  </w:style>
  <w:style w:type="paragraph" w:styleId="ListParagraph">
    <w:name w:val="List Paragraph"/>
    <w:basedOn w:val="Normal"/>
    <w:uiPriority w:val="34"/>
    <w:qFormat/>
    <w:rsid w:val="008E4FBD"/>
    <w:pPr>
      <w:ind w:left="720"/>
      <w:contextualSpacing/>
    </w:pPr>
  </w:style>
  <w:style w:type="character" w:styleId="IntenseEmphasis">
    <w:name w:val="Intense Emphasis"/>
    <w:basedOn w:val="DefaultParagraphFont"/>
    <w:uiPriority w:val="21"/>
    <w:qFormat/>
    <w:rsid w:val="008E4FBD"/>
    <w:rPr>
      <w:i/>
      <w:iCs/>
      <w:color w:val="0F4761" w:themeColor="accent1" w:themeShade="BF"/>
    </w:rPr>
  </w:style>
  <w:style w:type="paragraph" w:styleId="IntenseQuote">
    <w:name w:val="Intense Quote"/>
    <w:basedOn w:val="Normal"/>
    <w:next w:val="Normal"/>
    <w:link w:val="IntenseQuoteChar"/>
    <w:uiPriority w:val="30"/>
    <w:qFormat/>
    <w:rsid w:val="008E4F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4FBD"/>
    <w:rPr>
      <w:i/>
      <w:iCs/>
      <w:color w:val="0F4761" w:themeColor="accent1" w:themeShade="BF"/>
    </w:rPr>
  </w:style>
  <w:style w:type="character" w:styleId="IntenseReference">
    <w:name w:val="Intense Reference"/>
    <w:basedOn w:val="DefaultParagraphFont"/>
    <w:uiPriority w:val="32"/>
    <w:qFormat/>
    <w:rsid w:val="008E4FBD"/>
    <w:rPr>
      <w:b/>
      <w:bCs/>
      <w:smallCaps/>
      <w:color w:val="0F4761" w:themeColor="accent1" w:themeShade="BF"/>
      <w:spacing w:val="5"/>
    </w:rPr>
  </w:style>
  <w:style w:type="paragraph" w:styleId="NormalWeb">
    <w:name w:val="Normal (Web)"/>
    <w:basedOn w:val="Normal"/>
    <w:uiPriority w:val="99"/>
    <w:semiHidden/>
    <w:unhideWhenUsed/>
    <w:rsid w:val="008E4FB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E4FBD"/>
    <w:rPr>
      <w:b/>
      <w:bCs/>
    </w:rPr>
  </w:style>
  <w:style w:type="character" w:styleId="Emphasis">
    <w:name w:val="Emphasis"/>
    <w:basedOn w:val="DefaultParagraphFont"/>
    <w:uiPriority w:val="20"/>
    <w:qFormat/>
    <w:rsid w:val="008E4FBD"/>
    <w:rPr>
      <w:i/>
      <w:iCs/>
    </w:rPr>
  </w:style>
  <w:style w:type="character" w:styleId="Hyperlink">
    <w:name w:val="Hyperlink"/>
    <w:basedOn w:val="DefaultParagraphFont"/>
    <w:uiPriority w:val="99"/>
    <w:unhideWhenUsed/>
    <w:rsid w:val="009C53C7"/>
    <w:rPr>
      <w:color w:val="467886" w:themeColor="hyperlink"/>
      <w:u w:val="single"/>
    </w:rPr>
  </w:style>
  <w:style w:type="paragraph" w:styleId="Header">
    <w:name w:val="header"/>
    <w:basedOn w:val="Normal"/>
    <w:link w:val="HeaderChar"/>
    <w:uiPriority w:val="99"/>
    <w:unhideWhenUsed/>
    <w:rsid w:val="009C53C7"/>
    <w:pPr>
      <w:tabs>
        <w:tab w:val="center" w:pos="4513"/>
        <w:tab w:val="right" w:pos="9026"/>
      </w:tabs>
    </w:pPr>
  </w:style>
  <w:style w:type="character" w:customStyle="1" w:styleId="HeaderChar">
    <w:name w:val="Header Char"/>
    <w:basedOn w:val="DefaultParagraphFont"/>
    <w:link w:val="Header"/>
    <w:uiPriority w:val="99"/>
    <w:rsid w:val="009C53C7"/>
  </w:style>
  <w:style w:type="paragraph" w:styleId="Footer">
    <w:name w:val="footer"/>
    <w:basedOn w:val="Normal"/>
    <w:link w:val="FooterChar"/>
    <w:uiPriority w:val="99"/>
    <w:unhideWhenUsed/>
    <w:rsid w:val="009C53C7"/>
    <w:pPr>
      <w:tabs>
        <w:tab w:val="center" w:pos="4513"/>
        <w:tab w:val="right" w:pos="9026"/>
      </w:tabs>
    </w:pPr>
  </w:style>
  <w:style w:type="character" w:customStyle="1" w:styleId="FooterChar">
    <w:name w:val="Footer Char"/>
    <w:basedOn w:val="DefaultParagraphFont"/>
    <w:link w:val="Footer"/>
    <w:uiPriority w:val="99"/>
    <w:rsid w:val="009C53C7"/>
  </w:style>
  <w:style w:type="character" w:styleId="PageNumber">
    <w:name w:val="page number"/>
    <w:basedOn w:val="DefaultParagraphFont"/>
    <w:uiPriority w:val="99"/>
    <w:semiHidden/>
    <w:unhideWhenUsed/>
    <w:rsid w:val="009C53C7"/>
  </w:style>
  <w:style w:type="paragraph" w:styleId="TOCHeading">
    <w:name w:val="TOC Heading"/>
    <w:basedOn w:val="Heading1"/>
    <w:next w:val="Normal"/>
    <w:uiPriority w:val="39"/>
    <w:unhideWhenUsed/>
    <w:qFormat/>
    <w:rsid w:val="009C53C7"/>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9C53C7"/>
    <w:pPr>
      <w:spacing w:before="120" w:after="120"/>
    </w:pPr>
    <w:rPr>
      <w:b/>
      <w:bCs/>
      <w:caps/>
      <w:sz w:val="20"/>
      <w:szCs w:val="20"/>
    </w:rPr>
  </w:style>
  <w:style w:type="paragraph" w:styleId="TOC2">
    <w:name w:val="toc 2"/>
    <w:basedOn w:val="Normal"/>
    <w:next w:val="Normal"/>
    <w:autoRedefine/>
    <w:uiPriority w:val="39"/>
    <w:unhideWhenUsed/>
    <w:rsid w:val="009C53C7"/>
    <w:pPr>
      <w:ind w:left="240"/>
    </w:pPr>
    <w:rPr>
      <w:smallCaps/>
      <w:sz w:val="20"/>
      <w:szCs w:val="20"/>
    </w:rPr>
  </w:style>
  <w:style w:type="paragraph" w:styleId="TOC3">
    <w:name w:val="toc 3"/>
    <w:basedOn w:val="Normal"/>
    <w:next w:val="Normal"/>
    <w:autoRedefine/>
    <w:uiPriority w:val="39"/>
    <w:semiHidden/>
    <w:unhideWhenUsed/>
    <w:rsid w:val="009C53C7"/>
    <w:pPr>
      <w:ind w:left="480"/>
    </w:pPr>
    <w:rPr>
      <w:i/>
      <w:iCs/>
      <w:sz w:val="20"/>
      <w:szCs w:val="20"/>
    </w:rPr>
  </w:style>
  <w:style w:type="paragraph" w:styleId="TOC4">
    <w:name w:val="toc 4"/>
    <w:basedOn w:val="Normal"/>
    <w:next w:val="Normal"/>
    <w:autoRedefine/>
    <w:uiPriority w:val="39"/>
    <w:semiHidden/>
    <w:unhideWhenUsed/>
    <w:rsid w:val="009C53C7"/>
    <w:pPr>
      <w:ind w:left="720"/>
    </w:pPr>
    <w:rPr>
      <w:sz w:val="18"/>
      <w:szCs w:val="18"/>
    </w:rPr>
  </w:style>
  <w:style w:type="paragraph" w:styleId="TOC5">
    <w:name w:val="toc 5"/>
    <w:basedOn w:val="Normal"/>
    <w:next w:val="Normal"/>
    <w:autoRedefine/>
    <w:uiPriority w:val="39"/>
    <w:semiHidden/>
    <w:unhideWhenUsed/>
    <w:rsid w:val="009C53C7"/>
    <w:pPr>
      <w:ind w:left="960"/>
    </w:pPr>
    <w:rPr>
      <w:sz w:val="18"/>
      <w:szCs w:val="18"/>
    </w:rPr>
  </w:style>
  <w:style w:type="paragraph" w:styleId="TOC6">
    <w:name w:val="toc 6"/>
    <w:basedOn w:val="Normal"/>
    <w:next w:val="Normal"/>
    <w:autoRedefine/>
    <w:uiPriority w:val="39"/>
    <w:semiHidden/>
    <w:unhideWhenUsed/>
    <w:rsid w:val="009C53C7"/>
    <w:pPr>
      <w:ind w:left="1200"/>
    </w:pPr>
    <w:rPr>
      <w:sz w:val="18"/>
      <w:szCs w:val="18"/>
    </w:rPr>
  </w:style>
  <w:style w:type="paragraph" w:styleId="TOC7">
    <w:name w:val="toc 7"/>
    <w:basedOn w:val="Normal"/>
    <w:next w:val="Normal"/>
    <w:autoRedefine/>
    <w:uiPriority w:val="39"/>
    <w:semiHidden/>
    <w:unhideWhenUsed/>
    <w:rsid w:val="009C53C7"/>
    <w:pPr>
      <w:ind w:left="1440"/>
    </w:pPr>
    <w:rPr>
      <w:sz w:val="18"/>
      <w:szCs w:val="18"/>
    </w:rPr>
  </w:style>
  <w:style w:type="paragraph" w:styleId="TOC8">
    <w:name w:val="toc 8"/>
    <w:basedOn w:val="Normal"/>
    <w:next w:val="Normal"/>
    <w:autoRedefine/>
    <w:uiPriority w:val="39"/>
    <w:semiHidden/>
    <w:unhideWhenUsed/>
    <w:rsid w:val="009C53C7"/>
    <w:pPr>
      <w:ind w:left="1680"/>
    </w:pPr>
    <w:rPr>
      <w:sz w:val="18"/>
      <w:szCs w:val="18"/>
    </w:rPr>
  </w:style>
  <w:style w:type="paragraph" w:styleId="TOC9">
    <w:name w:val="toc 9"/>
    <w:basedOn w:val="Normal"/>
    <w:next w:val="Normal"/>
    <w:autoRedefine/>
    <w:uiPriority w:val="39"/>
    <w:semiHidden/>
    <w:unhideWhenUsed/>
    <w:rsid w:val="009C53C7"/>
    <w:pPr>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Adult-Social-Care-Workforce-Data/workforceintelligence/resources/Reports/National/The-state-of-the-adult-social-care-sector-and-workforce-in-England-2025-Executive-Summary.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979D4-9487-41F1-848C-BFE645BC4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2390</Words>
  <Characters>13625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2026-03-23T18:07:00Z</dcterms:created>
  <dcterms:modified xsi:type="dcterms:W3CDTF">2026-03-23T18:07:00Z</dcterms:modified>
</cp:coreProperties>
</file>