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EEC55" w14:textId="77777777" w:rsidR="002C4558" w:rsidRDefault="002C4558" w:rsidP="002C4558"/>
    <w:p w14:paraId="61ED57E3" w14:textId="77777777" w:rsidR="002C4558" w:rsidRDefault="002C4558" w:rsidP="002C4558"/>
    <w:p w14:paraId="69518597" w14:textId="77777777" w:rsidR="002C4558" w:rsidRDefault="002C4558" w:rsidP="002C4558"/>
    <w:p w14:paraId="777EE1CC" w14:textId="77777777" w:rsidR="002C4558" w:rsidRDefault="002C4558" w:rsidP="002C4558"/>
    <w:p w14:paraId="59A9372F" w14:textId="77777777" w:rsidR="002C4558" w:rsidRDefault="002C4558" w:rsidP="002C4558"/>
    <w:p w14:paraId="4BB6EB74" w14:textId="77777777" w:rsidR="002C4558" w:rsidRDefault="002C4558" w:rsidP="002C4558"/>
    <w:p w14:paraId="437391C3" w14:textId="77777777" w:rsidR="002C4558" w:rsidRDefault="002C4558" w:rsidP="002C4558">
      <w:pPr>
        <w:jc w:val="center"/>
      </w:pPr>
      <w:r>
        <w:t>Exploring the Behavioural Impact of an AR-OCR Mobile Application for Nutrition Labelling and Health Literacy</w:t>
      </w:r>
    </w:p>
    <w:p w14:paraId="43ABD0C3" w14:textId="77777777" w:rsidR="002C4558" w:rsidRDefault="002C4558" w:rsidP="002C4558">
      <w:pPr>
        <w:jc w:val="center"/>
      </w:pPr>
    </w:p>
    <w:p w14:paraId="3174AA66" w14:textId="77777777" w:rsidR="002C4558" w:rsidRDefault="002C4558" w:rsidP="002C4558">
      <w:pPr>
        <w:jc w:val="center"/>
      </w:pPr>
      <w:r>
        <w:t>Iestyn Green</w:t>
      </w:r>
    </w:p>
    <w:p w14:paraId="63B9D18F" w14:textId="77777777" w:rsidR="002C4558" w:rsidRDefault="002C4558" w:rsidP="002C4558">
      <w:pPr>
        <w:jc w:val="center"/>
      </w:pPr>
      <w:r>
        <w:t>2420522</w:t>
      </w:r>
      <w:r>
        <w:br w:type="page"/>
      </w:r>
    </w:p>
    <w:sdt>
      <w:sdtPr>
        <w:rPr>
          <w:rFonts w:asciiTheme="minorHAnsi" w:eastAsiaTheme="minorHAnsi" w:hAnsiTheme="minorHAnsi" w:cstheme="minorBidi"/>
          <w:b w:val="0"/>
          <w:bCs w:val="0"/>
          <w:color w:val="auto"/>
          <w:kern w:val="2"/>
          <w:sz w:val="24"/>
          <w:szCs w:val="24"/>
          <w:lang w:val="en-GB"/>
          <w14:ligatures w14:val="standardContextual"/>
        </w:rPr>
        <w:id w:val="595676693"/>
        <w:docPartObj>
          <w:docPartGallery w:val="Table of Contents"/>
          <w:docPartUnique/>
        </w:docPartObj>
      </w:sdtPr>
      <w:sdtEndPr>
        <w:rPr>
          <w:noProof/>
        </w:rPr>
      </w:sdtEndPr>
      <w:sdtContent>
        <w:p w14:paraId="6AA9583A" w14:textId="77777777" w:rsidR="002C4558" w:rsidRPr="002A6021" w:rsidRDefault="002C4558" w:rsidP="002C4558">
          <w:pPr>
            <w:pStyle w:val="TOCHeading"/>
            <w:rPr>
              <w:b w:val="0"/>
              <w:bCs w:val="0"/>
            </w:rPr>
          </w:pPr>
          <w:r w:rsidRPr="002A6021">
            <w:rPr>
              <w:b w:val="0"/>
              <w:bCs w:val="0"/>
            </w:rPr>
            <w:t>Table of Contents</w:t>
          </w:r>
        </w:p>
        <w:p w14:paraId="7DAA9DE1" w14:textId="77777777" w:rsidR="002C4558" w:rsidRDefault="002C4558" w:rsidP="002C4558">
          <w:pPr>
            <w:pStyle w:val="TOC1"/>
            <w:tabs>
              <w:tab w:val="right" w:leader="dot" w:pos="9016"/>
            </w:tabs>
            <w:rPr>
              <w:rFonts w:eastAsiaTheme="minorEastAsia"/>
              <w:b w:val="0"/>
              <w:bCs w:val="0"/>
              <w:i w:val="0"/>
              <w:iCs w:val="0"/>
              <w:noProof/>
              <w:lang w:eastAsia="en-GB"/>
            </w:rPr>
          </w:pPr>
          <w:r w:rsidRPr="002A6021">
            <w:rPr>
              <w:b w:val="0"/>
              <w:bCs w:val="0"/>
            </w:rPr>
            <w:fldChar w:fldCharType="begin"/>
          </w:r>
          <w:r w:rsidRPr="002A6021">
            <w:rPr>
              <w:b w:val="0"/>
              <w:bCs w:val="0"/>
            </w:rPr>
            <w:instrText xml:space="preserve"> TOC \o "1-3" \h \z \u </w:instrText>
          </w:r>
          <w:r w:rsidRPr="002A6021">
            <w:rPr>
              <w:b w:val="0"/>
              <w:bCs w:val="0"/>
            </w:rPr>
            <w:fldChar w:fldCharType="separate"/>
          </w:r>
          <w:hyperlink w:anchor="_Toc204022690" w:history="1">
            <w:r w:rsidRPr="0019770F">
              <w:rPr>
                <w:rStyle w:val="Hyperlink"/>
                <w:noProof/>
              </w:rPr>
              <w:t>Common Abbreviations</w:t>
            </w:r>
            <w:r>
              <w:rPr>
                <w:noProof/>
                <w:webHidden/>
              </w:rPr>
              <w:tab/>
            </w:r>
            <w:r>
              <w:rPr>
                <w:noProof/>
                <w:webHidden/>
              </w:rPr>
              <w:fldChar w:fldCharType="begin"/>
            </w:r>
            <w:r>
              <w:rPr>
                <w:noProof/>
                <w:webHidden/>
              </w:rPr>
              <w:instrText xml:space="preserve"> PAGEREF _Toc204022690 \h </w:instrText>
            </w:r>
            <w:r>
              <w:rPr>
                <w:noProof/>
                <w:webHidden/>
              </w:rPr>
            </w:r>
            <w:r>
              <w:rPr>
                <w:noProof/>
                <w:webHidden/>
              </w:rPr>
              <w:fldChar w:fldCharType="separate"/>
            </w:r>
            <w:r>
              <w:rPr>
                <w:noProof/>
                <w:webHidden/>
              </w:rPr>
              <w:t>2</w:t>
            </w:r>
            <w:r>
              <w:rPr>
                <w:noProof/>
                <w:webHidden/>
              </w:rPr>
              <w:fldChar w:fldCharType="end"/>
            </w:r>
          </w:hyperlink>
        </w:p>
        <w:p w14:paraId="1577C7C3" w14:textId="77777777" w:rsidR="002C4558" w:rsidRDefault="002C4558" w:rsidP="002C4558">
          <w:pPr>
            <w:pStyle w:val="TOC1"/>
            <w:tabs>
              <w:tab w:val="right" w:leader="dot" w:pos="9016"/>
            </w:tabs>
            <w:rPr>
              <w:rFonts w:eastAsiaTheme="minorEastAsia"/>
              <w:b w:val="0"/>
              <w:bCs w:val="0"/>
              <w:i w:val="0"/>
              <w:iCs w:val="0"/>
              <w:noProof/>
              <w:lang w:eastAsia="en-GB"/>
            </w:rPr>
          </w:pPr>
          <w:hyperlink w:anchor="_Toc204022691" w:history="1">
            <w:r w:rsidRPr="0019770F">
              <w:rPr>
                <w:rStyle w:val="Hyperlink"/>
                <w:noProof/>
              </w:rPr>
              <w:t>Background and Literature Review</w:t>
            </w:r>
            <w:r>
              <w:rPr>
                <w:noProof/>
                <w:webHidden/>
              </w:rPr>
              <w:tab/>
            </w:r>
            <w:r>
              <w:rPr>
                <w:noProof/>
                <w:webHidden/>
              </w:rPr>
              <w:fldChar w:fldCharType="begin"/>
            </w:r>
            <w:r>
              <w:rPr>
                <w:noProof/>
                <w:webHidden/>
              </w:rPr>
              <w:instrText xml:space="preserve"> PAGEREF _Toc204022691 \h </w:instrText>
            </w:r>
            <w:r>
              <w:rPr>
                <w:noProof/>
                <w:webHidden/>
              </w:rPr>
            </w:r>
            <w:r>
              <w:rPr>
                <w:noProof/>
                <w:webHidden/>
              </w:rPr>
              <w:fldChar w:fldCharType="separate"/>
            </w:r>
            <w:r>
              <w:rPr>
                <w:noProof/>
                <w:webHidden/>
              </w:rPr>
              <w:t>3</w:t>
            </w:r>
            <w:r>
              <w:rPr>
                <w:noProof/>
                <w:webHidden/>
              </w:rPr>
              <w:fldChar w:fldCharType="end"/>
            </w:r>
          </w:hyperlink>
        </w:p>
        <w:p w14:paraId="2F374375" w14:textId="77777777" w:rsidR="002C4558" w:rsidRDefault="002C4558" w:rsidP="002C4558">
          <w:pPr>
            <w:pStyle w:val="TOC2"/>
            <w:tabs>
              <w:tab w:val="right" w:leader="dot" w:pos="9016"/>
            </w:tabs>
            <w:rPr>
              <w:rFonts w:eastAsiaTheme="minorEastAsia"/>
              <w:b w:val="0"/>
              <w:bCs w:val="0"/>
              <w:noProof/>
              <w:sz w:val="24"/>
              <w:szCs w:val="24"/>
              <w:lang w:eastAsia="en-GB"/>
            </w:rPr>
          </w:pPr>
          <w:hyperlink w:anchor="_Toc204022692" w:history="1">
            <w:r w:rsidRPr="0019770F">
              <w:rPr>
                <w:rStyle w:val="Hyperlink"/>
                <w:noProof/>
              </w:rPr>
              <w:t>Introduction</w:t>
            </w:r>
            <w:r>
              <w:rPr>
                <w:noProof/>
                <w:webHidden/>
              </w:rPr>
              <w:tab/>
            </w:r>
            <w:r>
              <w:rPr>
                <w:noProof/>
                <w:webHidden/>
              </w:rPr>
              <w:fldChar w:fldCharType="begin"/>
            </w:r>
            <w:r>
              <w:rPr>
                <w:noProof/>
                <w:webHidden/>
              </w:rPr>
              <w:instrText xml:space="preserve"> PAGEREF _Toc204022692 \h </w:instrText>
            </w:r>
            <w:r>
              <w:rPr>
                <w:noProof/>
                <w:webHidden/>
              </w:rPr>
            </w:r>
            <w:r>
              <w:rPr>
                <w:noProof/>
                <w:webHidden/>
              </w:rPr>
              <w:fldChar w:fldCharType="separate"/>
            </w:r>
            <w:r>
              <w:rPr>
                <w:noProof/>
                <w:webHidden/>
              </w:rPr>
              <w:t>3</w:t>
            </w:r>
            <w:r>
              <w:rPr>
                <w:noProof/>
                <w:webHidden/>
              </w:rPr>
              <w:fldChar w:fldCharType="end"/>
            </w:r>
          </w:hyperlink>
        </w:p>
        <w:p w14:paraId="76239B25" w14:textId="77777777" w:rsidR="002C4558" w:rsidRDefault="002C4558" w:rsidP="002C4558">
          <w:pPr>
            <w:pStyle w:val="TOC2"/>
            <w:tabs>
              <w:tab w:val="right" w:leader="dot" w:pos="9016"/>
            </w:tabs>
            <w:rPr>
              <w:rFonts w:eastAsiaTheme="minorEastAsia"/>
              <w:b w:val="0"/>
              <w:bCs w:val="0"/>
              <w:noProof/>
              <w:sz w:val="24"/>
              <w:szCs w:val="24"/>
              <w:lang w:eastAsia="en-GB"/>
            </w:rPr>
          </w:pPr>
          <w:hyperlink w:anchor="_Toc204022693" w:history="1">
            <w:r w:rsidRPr="0019770F">
              <w:rPr>
                <w:rStyle w:val="Hyperlink"/>
                <w:noProof/>
              </w:rPr>
              <w:t>Critical Literature Review</w:t>
            </w:r>
            <w:r>
              <w:rPr>
                <w:noProof/>
                <w:webHidden/>
              </w:rPr>
              <w:tab/>
            </w:r>
            <w:r>
              <w:rPr>
                <w:noProof/>
                <w:webHidden/>
              </w:rPr>
              <w:fldChar w:fldCharType="begin"/>
            </w:r>
            <w:r>
              <w:rPr>
                <w:noProof/>
                <w:webHidden/>
              </w:rPr>
              <w:instrText xml:space="preserve"> PAGEREF _Toc204022693 \h </w:instrText>
            </w:r>
            <w:r>
              <w:rPr>
                <w:noProof/>
                <w:webHidden/>
              </w:rPr>
            </w:r>
            <w:r>
              <w:rPr>
                <w:noProof/>
                <w:webHidden/>
              </w:rPr>
              <w:fldChar w:fldCharType="separate"/>
            </w:r>
            <w:r>
              <w:rPr>
                <w:noProof/>
                <w:webHidden/>
              </w:rPr>
              <w:t>4</w:t>
            </w:r>
            <w:r>
              <w:rPr>
                <w:noProof/>
                <w:webHidden/>
              </w:rPr>
              <w:fldChar w:fldCharType="end"/>
            </w:r>
          </w:hyperlink>
        </w:p>
        <w:p w14:paraId="4F03CAC2" w14:textId="77777777" w:rsidR="002C4558" w:rsidRDefault="002C4558" w:rsidP="002C4558">
          <w:pPr>
            <w:pStyle w:val="TOC2"/>
            <w:tabs>
              <w:tab w:val="right" w:leader="dot" w:pos="9016"/>
            </w:tabs>
            <w:rPr>
              <w:rFonts w:eastAsiaTheme="minorEastAsia"/>
              <w:b w:val="0"/>
              <w:bCs w:val="0"/>
              <w:noProof/>
              <w:sz w:val="24"/>
              <w:szCs w:val="24"/>
              <w:lang w:eastAsia="en-GB"/>
            </w:rPr>
          </w:pPr>
          <w:hyperlink w:anchor="_Toc204022694" w:history="1">
            <w:r w:rsidRPr="0019770F">
              <w:rPr>
                <w:rStyle w:val="Hyperlink"/>
                <w:noProof/>
              </w:rPr>
              <w:t>Research Gap</w:t>
            </w:r>
            <w:r>
              <w:rPr>
                <w:noProof/>
                <w:webHidden/>
              </w:rPr>
              <w:tab/>
            </w:r>
            <w:r>
              <w:rPr>
                <w:noProof/>
                <w:webHidden/>
              </w:rPr>
              <w:fldChar w:fldCharType="begin"/>
            </w:r>
            <w:r>
              <w:rPr>
                <w:noProof/>
                <w:webHidden/>
              </w:rPr>
              <w:instrText xml:space="preserve"> PAGEREF _Toc204022694 \h </w:instrText>
            </w:r>
            <w:r>
              <w:rPr>
                <w:noProof/>
                <w:webHidden/>
              </w:rPr>
            </w:r>
            <w:r>
              <w:rPr>
                <w:noProof/>
                <w:webHidden/>
              </w:rPr>
              <w:fldChar w:fldCharType="separate"/>
            </w:r>
            <w:r>
              <w:rPr>
                <w:noProof/>
                <w:webHidden/>
              </w:rPr>
              <w:t>11</w:t>
            </w:r>
            <w:r>
              <w:rPr>
                <w:noProof/>
                <w:webHidden/>
              </w:rPr>
              <w:fldChar w:fldCharType="end"/>
            </w:r>
          </w:hyperlink>
        </w:p>
        <w:p w14:paraId="5F86591B" w14:textId="77777777" w:rsidR="002C4558" w:rsidRDefault="002C4558" w:rsidP="002C4558">
          <w:pPr>
            <w:pStyle w:val="TOC1"/>
            <w:tabs>
              <w:tab w:val="right" w:leader="dot" w:pos="9016"/>
            </w:tabs>
            <w:rPr>
              <w:rFonts w:eastAsiaTheme="minorEastAsia"/>
              <w:b w:val="0"/>
              <w:bCs w:val="0"/>
              <w:i w:val="0"/>
              <w:iCs w:val="0"/>
              <w:noProof/>
              <w:lang w:eastAsia="en-GB"/>
            </w:rPr>
          </w:pPr>
          <w:hyperlink w:anchor="_Toc204022695" w:history="1">
            <w:r w:rsidRPr="0019770F">
              <w:rPr>
                <w:rStyle w:val="Hyperlink"/>
                <w:noProof/>
              </w:rPr>
              <w:t>Research Context</w:t>
            </w:r>
            <w:r>
              <w:rPr>
                <w:noProof/>
                <w:webHidden/>
              </w:rPr>
              <w:tab/>
            </w:r>
            <w:r>
              <w:rPr>
                <w:noProof/>
                <w:webHidden/>
              </w:rPr>
              <w:fldChar w:fldCharType="begin"/>
            </w:r>
            <w:r>
              <w:rPr>
                <w:noProof/>
                <w:webHidden/>
              </w:rPr>
              <w:instrText xml:space="preserve"> PAGEREF _Toc204022695 \h </w:instrText>
            </w:r>
            <w:r>
              <w:rPr>
                <w:noProof/>
                <w:webHidden/>
              </w:rPr>
            </w:r>
            <w:r>
              <w:rPr>
                <w:noProof/>
                <w:webHidden/>
              </w:rPr>
              <w:fldChar w:fldCharType="separate"/>
            </w:r>
            <w:r>
              <w:rPr>
                <w:noProof/>
                <w:webHidden/>
              </w:rPr>
              <w:t>12</w:t>
            </w:r>
            <w:r>
              <w:rPr>
                <w:noProof/>
                <w:webHidden/>
              </w:rPr>
              <w:fldChar w:fldCharType="end"/>
            </w:r>
          </w:hyperlink>
        </w:p>
        <w:p w14:paraId="4015387A" w14:textId="77777777" w:rsidR="002C4558" w:rsidRDefault="002C4558" w:rsidP="002C4558">
          <w:pPr>
            <w:pStyle w:val="TOC1"/>
            <w:tabs>
              <w:tab w:val="right" w:leader="dot" w:pos="9016"/>
            </w:tabs>
            <w:rPr>
              <w:rFonts w:eastAsiaTheme="minorEastAsia"/>
              <w:b w:val="0"/>
              <w:bCs w:val="0"/>
              <w:i w:val="0"/>
              <w:iCs w:val="0"/>
              <w:noProof/>
              <w:lang w:eastAsia="en-GB"/>
            </w:rPr>
          </w:pPr>
          <w:hyperlink w:anchor="_Toc204022696" w:history="1">
            <w:r w:rsidRPr="0019770F">
              <w:rPr>
                <w:rStyle w:val="Hyperlink"/>
                <w:noProof/>
              </w:rPr>
              <w:t>Aim and Objectives</w:t>
            </w:r>
            <w:r>
              <w:rPr>
                <w:noProof/>
                <w:webHidden/>
              </w:rPr>
              <w:tab/>
            </w:r>
            <w:r>
              <w:rPr>
                <w:noProof/>
                <w:webHidden/>
              </w:rPr>
              <w:fldChar w:fldCharType="begin"/>
            </w:r>
            <w:r>
              <w:rPr>
                <w:noProof/>
                <w:webHidden/>
              </w:rPr>
              <w:instrText xml:space="preserve"> PAGEREF _Toc204022696 \h </w:instrText>
            </w:r>
            <w:r>
              <w:rPr>
                <w:noProof/>
                <w:webHidden/>
              </w:rPr>
            </w:r>
            <w:r>
              <w:rPr>
                <w:noProof/>
                <w:webHidden/>
              </w:rPr>
              <w:fldChar w:fldCharType="separate"/>
            </w:r>
            <w:r>
              <w:rPr>
                <w:noProof/>
                <w:webHidden/>
              </w:rPr>
              <w:t>13</w:t>
            </w:r>
            <w:r>
              <w:rPr>
                <w:noProof/>
                <w:webHidden/>
              </w:rPr>
              <w:fldChar w:fldCharType="end"/>
            </w:r>
          </w:hyperlink>
        </w:p>
        <w:p w14:paraId="092467BB" w14:textId="77777777" w:rsidR="002C4558" w:rsidRDefault="002C4558" w:rsidP="002C4558">
          <w:pPr>
            <w:pStyle w:val="TOC2"/>
            <w:tabs>
              <w:tab w:val="right" w:leader="dot" w:pos="9016"/>
            </w:tabs>
            <w:rPr>
              <w:rFonts w:eastAsiaTheme="minorEastAsia"/>
              <w:b w:val="0"/>
              <w:bCs w:val="0"/>
              <w:noProof/>
              <w:sz w:val="24"/>
              <w:szCs w:val="24"/>
              <w:lang w:eastAsia="en-GB"/>
            </w:rPr>
          </w:pPr>
          <w:hyperlink w:anchor="_Toc204022697" w:history="1">
            <w:r w:rsidRPr="0019770F">
              <w:rPr>
                <w:rStyle w:val="Hyperlink"/>
                <w:noProof/>
              </w:rPr>
              <w:t>Research Aim</w:t>
            </w:r>
            <w:r>
              <w:rPr>
                <w:noProof/>
                <w:webHidden/>
              </w:rPr>
              <w:tab/>
            </w:r>
            <w:r>
              <w:rPr>
                <w:noProof/>
                <w:webHidden/>
              </w:rPr>
              <w:fldChar w:fldCharType="begin"/>
            </w:r>
            <w:r>
              <w:rPr>
                <w:noProof/>
                <w:webHidden/>
              </w:rPr>
              <w:instrText xml:space="preserve"> PAGEREF _Toc204022697 \h </w:instrText>
            </w:r>
            <w:r>
              <w:rPr>
                <w:noProof/>
                <w:webHidden/>
              </w:rPr>
            </w:r>
            <w:r>
              <w:rPr>
                <w:noProof/>
                <w:webHidden/>
              </w:rPr>
              <w:fldChar w:fldCharType="separate"/>
            </w:r>
            <w:r>
              <w:rPr>
                <w:noProof/>
                <w:webHidden/>
              </w:rPr>
              <w:t>13</w:t>
            </w:r>
            <w:r>
              <w:rPr>
                <w:noProof/>
                <w:webHidden/>
              </w:rPr>
              <w:fldChar w:fldCharType="end"/>
            </w:r>
          </w:hyperlink>
        </w:p>
        <w:p w14:paraId="54AC2861" w14:textId="77777777" w:rsidR="002C4558" w:rsidRDefault="002C4558" w:rsidP="002C4558">
          <w:pPr>
            <w:pStyle w:val="TOC2"/>
            <w:tabs>
              <w:tab w:val="right" w:leader="dot" w:pos="9016"/>
            </w:tabs>
            <w:rPr>
              <w:rFonts w:eastAsiaTheme="minorEastAsia"/>
              <w:b w:val="0"/>
              <w:bCs w:val="0"/>
              <w:noProof/>
              <w:sz w:val="24"/>
              <w:szCs w:val="24"/>
              <w:lang w:eastAsia="en-GB"/>
            </w:rPr>
          </w:pPr>
          <w:hyperlink w:anchor="_Toc204022698" w:history="1">
            <w:r w:rsidRPr="0019770F">
              <w:rPr>
                <w:rStyle w:val="Hyperlink"/>
                <w:noProof/>
              </w:rPr>
              <w:t>SMART Research Objectives</w:t>
            </w:r>
            <w:r>
              <w:rPr>
                <w:noProof/>
                <w:webHidden/>
              </w:rPr>
              <w:tab/>
            </w:r>
            <w:r>
              <w:rPr>
                <w:noProof/>
                <w:webHidden/>
              </w:rPr>
              <w:fldChar w:fldCharType="begin"/>
            </w:r>
            <w:r>
              <w:rPr>
                <w:noProof/>
                <w:webHidden/>
              </w:rPr>
              <w:instrText xml:space="preserve"> PAGEREF _Toc204022698 \h </w:instrText>
            </w:r>
            <w:r>
              <w:rPr>
                <w:noProof/>
                <w:webHidden/>
              </w:rPr>
            </w:r>
            <w:r>
              <w:rPr>
                <w:noProof/>
                <w:webHidden/>
              </w:rPr>
              <w:fldChar w:fldCharType="separate"/>
            </w:r>
            <w:r>
              <w:rPr>
                <w:noProof/>
                <w:webHidden/>
              </w:rPr>
              <w:t>13</w:t>
            </w:r>
            <w:r>
              <w:rPr>
                <w:noProof/>
                <w:webHidden/>
              </w:rPr>
              <w:fldChar w:fldCharType="end"/>
            </w:r>
          </w:hyperlink>
        </w:p>
        <w:p w14:paraId="6B95FAF6" w14:textId="77777777" w:rsidR="002C4558" w:rsidRDefault="002C4558" w:rsidP="002C4558">
          <w:pPr>
            <w:pStyle w:val="TOC1"/>
            <w:tabs>
              <w:tab w:val="right" w:leader="dot" w:pos="9016"/>
            </w:tabs>
            <w:rPr>
              <w:rFonts w:eastAsiaTheme="minorEastAsia"/>
              <w:b w:val="0"/>
              <w:bCs w:val="0"/>
              <w:i w:val="0"/>
              <w:iCs w:val="0"/>
              <w:noProof/>
              <w:lang w:eastAsia="en-GB"/>
            </w:rPr>
          </w:pPr>
          <w:hyperlink w:anchor="_Toc204022699" w:history="1">
            <w:r w:rsidRPr="0019770F">
              <w:rPr>
                <w:rStyle w:val="Hyperlink"/>
                <w:noProof/>
              </w:rPr>
              <w:t>Expected Outcomes and Deliverables</w:t>
            </w:r>
            <w:r>
              <w:rPr>
                <w:noProof/>
                <w:webHidden/>
              </w:rPr>
              <w:tab/>
            </w:r>
            <w:r>
              <w:rPr>
                <w:noProof/>
                <w:webHidden/>
              </w:rPr>
              <w:fldChar w:fldCharType="begin"/>
            </w:r>
            <w:r>
              <w:rPr>
                <w:noProof/>
                <w:webHidden/>
              </w:rPr>
              <w:instrText xml:space="preserve"> PAGEREF _Toc204022699 \h </w:instrText>
            </w:r>
            <w:r>
              <w:rPr>
                <w:noProof/>
                <w:webHidden/>
              </w:rPr>
            </w:r>
            <w:r>
              <w:rPr>
                <w:noProof/>
                <w:webHidden/>
              </w:rPr>
              <w:fldChar w:fldCharType="separate"/>
            </w:r>
            <w:r>
              <w:rPr>
                <w:noProof/>
                <w:webHidden/>
              </w:rPr>
              <w:t>15</w:t>
            </w:r>
            <w:r>
              <w:rPr>
                <w:noProof/>
                <w:webHidden/>
              </w:rPr>
              <w:fldChar w:fldCharType="end"/>
            </w:r>
          </w:hyperlink>
        </w:p>
        <w:p w14:paraId="73C99484" w14:textId="77777777" w:rsidR="002C4558" w:rsidRDefault="002C4558" w:rsidP="002C4558">
          <w:pPr>
            <w:pStyle w:val="TOC1"/>
            <w:tabs>
              <w:tab w:val="right" w:leader="dot" w:pos="9016"/>
            </w:tabs>
            <w:rPr>
              <w:rFonts w:eastAsiaTheme="minorEastAsia"/>
              <w:b w:val="0"/>
              <w:bCs w:val="0"/>
              <w:i w:val="0"/>
              <w:iCs w:val="0"/>
              <w:noProof/>
              <w:lang w:eastAsia="en-GB"/>
            </w:rPr>
          </w:pPr>
          <w:hyperlink w:anchor="_Toc204022700" w:history="1">
            <w:r w:rsidRPr="0019770F">
              <w:rPr>
                <w:rStyle w:val="Hyperlink"/>
                <w:noProof/>
              </w:rPr>
              <w:t>Project plan and timeline</w:t>
            </w:r>
            <w:r>
              <w:rPr>
                <w:noProof/>
                <w:webHidden/>
              </w:rPr>
              <w:tab/>
            </w:r>
            <w:r>
              <w:rPr>
                <w:noProof/>
                <w:webHidden/>
              </w:rPr>
              <w:fldChar w:fldCharType="begin"/>
            </w:r>
            <w:r>
              <w:rPr>
                <w:noProof/>
                <w:webHidden/>
              </w:rPr>
              <w:instrText xml:space="preserve"> PAGEREF _Toc204022700 \h </w:instrText>
            </w:r>
            <w:r>
              <w:rPr>
                <w:noProof/>
                <w:webHidden/>
              </w:rPr>
            </w:r>
            <w:r>
              <w:rPr>
                <w:noProof/>
                <w:webHidden/>
              </w:rPr>
              <w:fldChar w:fldCharType="separate"/>
            </w:r>
            <w:r>
              <w:rPr>
                <w:noProof/>
                <w:webHidden/>
              </w:rPr>
              <w:t>17</w:t>
            </w:r>
            <w:r>
              <w:rPr>
                <w:noProof/>
                <w:webHidden/>
              </w:rPr>
              <w:fldChar w:fldCharType="end"/>
            </w:r>
          </w:hyperlink>
        </w:p>
        <w:p w14:paraId="17539466" w14:textId="77777777" w:rsidR="002C4558" w:rsidRDefault="002C4558" w:rsidP="002C4558">
          <w:pPr>
            <w:pStyle w:val="TOC2"/>
            <w:tabs>
              <w:tab w:val="right" w:leader="dot" w:pos="9016"/>
            </w:tabs>
            <w:rPr>
              <w:rFonts w:eastAsiaTheme="minorEastAsia"/>
              <w:b w:val="0"/>
              <w:bCs w:val="0"/>
              <w:noProof/>
              <w:sz w:val="24"/>
              <w:szCs w:val="24"/>
              <w:lang w:eastAsia="en-GB"/>
            </w:rPr>
          </w:pPr>
          <w:hyperlink w:anchor="_Toc204022701" w:history="1">
            <w:r w:rsidRPr="0019770F">
              <w:rPr>
                <w:rStyle w:val="Hyperlink"/>
                <w:noProof/>
              </w:rPr>
              <w:t>Gantt Chart</w:t>
            </w:r>
            <w:r>
              <w:rPr>
                <w:noProof/>
                <w:webHidden/>
              </w:rPr>
              <w:tab/>
            </w:r>
            <w:r>
              <w:rPr>
                <w:noProof/>
                <w:webHidden/>
              </w:rPr>
              <w:fldChar w:fldCharType="begin"/>
            </w:r>
            <w:r>
              <w:rPr>
                <w:noProof/>
                <w:webHidden/>
              </w:rPr>
              <w:instrText xml:space="preserve"> PAGEREF _Toc204022701 \h </w:instrText>
            </w:r>
            <w:r>
              <w:rPr>
                <w:noProof/>
                <w:webHidden/>
              </w:rPr>
            </w:r>
            <w:r>
              <w:rPr>
                <w:noProof/>
                <w:webHidden/>
              </w:rPr>
              <w:fldChar w:fldCharType="separate"/>
            </w:r>
            <w:r>
              <w:rPr>
                <w:noProof/>
                <w:webHidden/>
              </w:rPr>
              <w:t>17</w:t>
            </w:r>
            <w:r>
              <w:rPr>
                <w:noProof/>
                <w:webHidden/>
              </w:rPr>
              <w:fldChar w:fldCharType="end"/>
            </w:r>
          </w:hyperlink>
        </w:p>
        <w:p w14:paraId="7C70DE0C" w14:textId="77777777" w:rsidR="002C4558" w:rsidRDefault="002C4558" w:rsidP="002C4558">
          <w:pPr>
            <w:pStyle w:val="TOC1"/>
            <w:tabs>
              <w:tab w:val="right" w:leader="dot" w:pos="9016"/>
            </w:tabs>
            <w:rPr>
              <w:rFonts w:eastAsiaTheme="minorEastAsia"/>
              <w:b w:val="0"/>
              <w:bCs w:val="0"/>
              <w:i w:val="0"/>
              <w:iCs w:val="0"/>
              <w:noProof/>
              <w:lang w:eastAsia="en-GB"/>
            </w:rPr>
          </w:pPr>
          <w:hyperlink w:anchor="_Toc204022702" w:history="1">
            <w:r w:rsidRPr="0019770F">
              <w:rPr>
                <w:rStyle w:val="Hyperlink"/>
                <w:noProof/>
              </w:rPr>
              <w:t>References</w:t>
            </w:r>
            <w:r>
              <w:rPr>
                <w:noProof/>
                <w:webHidden/>
              </w:rPr>
              <w:tab/>
            </w:r>
            <w:r>
              <w:rPr>
                <w:noProof/>
                <w:webHidden/>
              </w:rPr>
              <w:fldChar w:fldCharType="begin"/>
            </w:r>
            <w:r>
              <w:rPr>
                <w:noProof/>
                <w:webHidden/>
              </w:rPr>
              <w:instrText xml:space="preserve"> PAGEREF _Toc204022702 \h </w:instrText>
            </w:r>
            <w:r>
              <w:rPr>
                <w:noProof/>
                <w:webHidden/>
              </w:rPr>
            </w:r>
            <w:r>
              <w:rPr>
                <w:noProof/>
                <w:webHidden/>
              </w:rPr>
              <w:fldChar w:fldCharType="separate"/>
            </w:r>
            <w:r>
              <w:rPr>
                <w:noProof/>
                <w:webHidden/>
              </w:rPr>
              <w:t>18</w:t>
            </w:r>
            <w:r>
              <w:rPr>
                <w:noProof/>
                <w:webHidden/>
              </w:rPr>
              <w:fldChar w:fldCharType="end"/>
            </w:r>
          </w:hyperlink>
        </w:p>
        <w:p w14:paraId="11038020" w14:textId="77777777" w:rsidR="002C4558" w:rsidRPr="002A6021" w:rsidRDefault="002C4558" w:rsidP="002C4558">
          <w:r w:rsidRPr="002A6021">
            <w:rPr>
              <w:noProof/>
            </w:rPr>
            <w:fldChar w:fldCharType="end"/>
          </w:r>
        </w:p>
      </w:sdtContent>
    </w:sdt>
    <w:p w14:paraId="4E571893" w14:textId="77777777" w:rsidR="002C4558" w:rsidRPr="002A6021" w:rsidRDefault="002C4558" w:rsidP="002C4558">
      <w:pPr>
        <w:pStyle w:val="Heading2"/>
      </w:pPr>
    </w:p>
    <w:p w14:paraId="7E56AE25" w14:textId="77777777" w:rsidR="002C4558" w:rsidRDefault="002C4558" w:rsidP="002C4558">
      <w:pPr>
        <w:pStyle w:val="Heading1"/>
      </w:pPr>
      <w:bookmarkStart w:id="0" w:name="_Toc204022690"/>
      <w:r>
        <w:t>Common Abbreviations</w:t>
      </w:r>
      <w:bookmarkEnd w:id="0"/>
    </w:p>
    <w:tbl>
      <w:tblPr>
        <w:tblStyle w:val="TableGrid"/>
        <w:tblW w:w="0" w:type="auto"/>
        <w:tblLook w:val="04A0" w:firstRow="1" w:lastRow="0" w:firstColumn="1" w:lastColumn="0" w:noHBand="0" w:noVBand="1"/>
      </w:tblPr>
      <w:tblGrid>
        <w:gridCol w:w="1271"/>
        <w:gridCol w:w="7745"/>
      </w:tblGrid>
      <w:tr w:rsidR="002C4558" w14:paraId="43DEF241" w14:textId="77777777" w:rsidTr="004D7508">
        <w:trPr>
          <w:trHeight w:val="369"/>
        </w:trPr>
        <w:tc>
          <w:tcPr>
            <w:tcW w:w="1271" w:type="dxa"/>
          </w:tcPr>
          <w:p w14:paraId="5E63AD1D" w14:textId="77777777" w:rsidR="002C4558" w:rsidRDefault="002C4558" w:rsidP="004D7508">
            <w:r>
              <w:t>AR</w:t>
            </w:r>
          </w:p>
        </w:tc>
        <w:tc>
          <w:tcPr>
            <w:tcW w:w="7745" w:type="dxa"/>
          </w:tcPr>
          <w:p w14:paraId="30F50C20" w14:textId="77777777" w:rsidR="002C4558" w:rsidRDefault="002C4558" w:rsidP="004D7508">
            <w:r>
              <w:t>Augmented Reality</w:t>
            </w:r>
          </w:p>
        </w:tc>
      </w:tr>
      <w:tr w:rsidR="002C4558" w14:paraId="0E3EA1C4" w14:textId="77777777" w:rsidTr="004D7508">
        <w:trPr>
          <w:trHeight w:val="417"/>
        </w:trPr>
        <w:tc>
          <w:tcPr>
            <w:tcW w:w="1271" w:type="dxa"/>
          </w:tcPr>
          <w:p w14:paraId="5B007E27" w14:textId="77777777" w:rsidR="002C4558" w:rsidRDefault="002C4558" w:rsidP="004D7508">
            <w:r>
              <w:t>OCR</w:t>
            </w:r>
          </w:p>
        </w:tc>
        <w:tc>
          <w:tcPr>
            <w:tcW w:w="7745" w:type="dxa"/>
          </w:tcPr>
          <w:p w14:paraId="3CF49681" w14:textId="77777777" w:rsidR="002C4558" w:rsidRDefault="002C4558" w:rsidP="004D7508">
            <w:r>
              <w:t>Optical Character Recognition</w:t>
            </w:r>
          </w:p>
        </w:tc>
      </w:tr>
      <w:tr w:rsidR="002C4558" w14:paraId="7B297D82" w14:textId="77777777" w:rsidTr="004D7508">
        <w:trPr>
          <w:trHeight w:val="417"/>
        </w:trPr>
        <w:tc>
          <w:tcPr>
            <w:tcW w:w="1271" w:type="dxa"/>
          </w:tcPr>
          <w:p w14:paraId="13D099F2" w14:textId="77777777" w:rsidR="002C4558" w:rsidRDefault="002C4558" w:rsidP="004D7508">
            <w:r>
              <w:t>mHealth</w:t>
            </w:r>
          </w:p>
        </w:tc>
        <w:tc>
          <w:tcPr>
            <w:tcW w:w="7745" w:type="dxa"/>
          </w:tcPr>
          <w:p w14:paraId="44AEA62A" w14:textId="77777777" w:rsidR="002C4558" w:rsidRDefault="002C4558" w:rsidP="004D7508">
            <w:r>
              <w:t>Mobile Health</w:t>
            </w:r>
          </w:p>
        </w:tc>
      </w:tr>
      <w:tr w:rsidR="002C4558" w14:paraId="73F56F25" w14:textId="77777777" w:rsidTr="004D7508">
        <w:trPr>
          <w:trHeight w:val="417"/>
        </w:trPr>
        <w:tc>
          <w:tcPr>
            <w:tcW w:w="1271" w:type="dxa"/>
          </w:tcPr>
          <w:p w14:paraId="01C0E5C8" w14:textId="77777777" w:rsidR="002C4558" w:rsidRDefault="002C4558" w:rsidP="004D7508">
            <w:r>
              <w:t>UI</w:t>
            </w:r>
          </w:p>
        </w:tc>
        <w:tc>
          <w:tcPr>
            <w:tcW w:w="7745" w:type="dxa"/>
          </w:tcPr>
          <w:p w14:paraId="603BDF61" w14:textId="77777777" w:rsidR="002C4558" w:rsidRDefault="002C4558" w:rsidP="004D7508">
            <w:r>
              <w:t>User Interface</w:t>
            </w:r>
          </w:p>
        </w:tc>
      </w:tr>
      <w:tr w:rsidR="002C4558" w14:paraId="31B6BEF6" w14:textId="77777777" w:rsidTr="004D7508">
        <w:trPr>
          <w:trHeight w:val="417"/>
        </w:trPr>
        <w:tc>
          <w:tcPr>
            <w:tcW w:w="1271" w:type="dxa"/>
          </w:tcPr>
          <w:p w14:paraId="29B5C64B" w14:textId="77777777" w:rsidR="002C4558" w:rsidRDefault="002C4558" w:rsidP="004D7508">
            <w:r>
              <w:t>UX</w:t>
            </w:r>
          </w:p>
        </w:tc>
        <w:tc>
          <w:tcPr>
            <w:tcW w:w="7745" w:type="dxa"/>
          </w:tcPr>
          <w:p w14:paraId="3D84FBA5" w14:textId="77777777" w:rsidR="002C4558" w:rsidRDefault="002C4558" w:rsidP="004D7508">
            <w:r>
              <w:t>User Experience</w:t>
            </w:r>
          </w:p>
        </w:tc>
      </w:tr>
      <w:tr w:rsidR="002C4558" w14:paraId="598F4F2A" w14:textId="77777777" w:rsidTr="004D7508">
        <w:trPr>
          <w:trHeight w:val="417"/>
        </w:trPr>
        <w:tc>
          <w:tcPr>
            <w:tcW w:w="1271" w:type="dxa"/>
          </w:tcPr>
          <w:p w14:paraId="4AC8AAEC" w14:textId="77777777" w:rsidR="002C4558" w:rsidRDefault="002C4558" w:rsidP="004D7508">
            <w:r>
              <w:t>FSA</w:t>
            </w:r>
          </w:p>
        </w:tc>
        <w:tc>
          <w:tcPr>
            <w:tcW w:w="7745" w:type="dxa"/>
          </w:tcPr>
          <w:p w14:paraId="0F520B7C" w14:textId="77777777" w:rsidR="002C4558" w:rsidRDefault="002C4558" w:rsidP="004D7508">
            <w:r>
              <w:t>Food Standards Agency (UK)</w:t>
            </w:r>
          </w:p>
        </w:tc>
      </w:tr>
      <w:tr w:rsidR="002C4558" w14:paraId="11B445E7" w14:textId="77777777" w:rsidTr="004D7508">
        <w:trPr>
          <w:trHeight w:val="417"/>
        </w:trPr>
        <w:tc>
          <w:tcPr>
            <w:tcW w:w="1271" w:type="dxa"/>
          </w:tcPr>
          <w:p w14:paraId="69DCE428" w14:textId="77777777" w:rsidR="002C4558" w:rsidRDefault="002C4558" w:rsidP="004D7508">
            <w:r>
              <w:t>WHO</w:t>
            </w:r>
          </w:p>
        </w:tc>
        <w:tc>
          <w:tcPr>
            <w:tcW w:w="7745" w:type="dxa"/>
          </w:tcPr>
          <w:p w14:paraId="5A29D3EE" w14:textId="77777777" w:rsidR="002C4558" w:rsidRDefault="002C4558" w:rsidP="004D7508">
            <w:r>
              <w:t>World Health Organization</w:t>
            </w:r>
          </w:p>
        </w:tc>
      </w:tr>
      <w:tr w:rsidR="002C4558" w14:paraId="4FD07416" w14:textId="77777777" w:rsidTr="004D7508">
        <w:trPr>
          <w:trHeight w:val="417"/>
        </w:trPr>
        <w:tc>
          <w:tcPr>
            <w:tcW w:w="1271" w:type="dxa"/>
          </w:tcPr>
          <w:p w14:paraId="4BEA6CBC" w14:textId="77777777" w:rsidR="002C4558" w:rsidRDefault="002C4558" w:rsidP="004D7508">
            <w:r>
              <w:t>TAM</w:t>
            </w:r>
          </w:p>
        </w:tc>
        <w:tc>
          <w:tcPr>
            <w:tcW w:w="7745" w:type="dxa"/>
          </w:tcPr>
          <w:p w14:paraId="7B5A3C83" w14:textId="77777777" w:rsidR="002C4558" w:rsidRDefault="002C4558" w:rsidP="004D7508">
            <w:r>
              <w:t>Technology Acceptance Model</w:t>
            </w:r>
          </w:p>
        </w:tc>
      </w:tr>
      <w:tr w:rsidR="002C4558" w14:paraId="40A7B37D" w14:textId="77777777" w:rsidTr="004D7508">
        <w:trPr>
          <w:trHeight w:val="417"/>
        </w:trPr>
        <w:tc>
          <w:tcPr>
            <w:tcW w:w="1271" w:type="dxa"/>
          </w:tcPr>
          <w:p w14:paraId="0B024BA2" w14:textId="77777777" w:rsidR="002C4558" w:rsidRDefault="002C4558" w:rsidP="004D7508">
            <w:r>
              <w:t>TPB</w:t>
            </w:r>
          </w:p>
        </w:tc>
        <w:tc>
          <w:tcPr>
            <w:tcW w:w="7745" w:type="dxa"/>
          </w:tcPr>
          <w:p w14:paraId="721C3EF2" w14:textId="77777777" w:rsidR="002C4558" w:rsidRDefault="002C4558" w:rsidP="004D7508">
            <w:r>
              <w:t>Theory of Planned Behaviour</w:t>
            </w:r>
          </w:p>
        </w:tc>
      </w:tr>
      <w:tr w:rsidR="002C4558" w14:paraId="38556AD8" w14:textId="77777777" w:rsidTr="004D7508">
        <w:trPr>
          <w:trHeight w:val="417"/>
        </w:trPr>
        <w:tc>
          <w:tcPr>
            <w:tcW w:w="1271" w:type="dxa"/>
          </w:tcPr>
          <w:p w14:paraId="7C9D99B3" w14:textId="77777777" w:rsidR="002C4558" w:rsidRDefault="002C4558" w:rsidP="004D7508">
            <w:r>
              <w:t>TRA</w:t>
            </w:r>
          </w:p>
        </w:tc>
        <w:tc>
          <w:tcPr>
            <w:tcW w:w="7745" w:type="dxa"/>
          </w:tcPr>
          <w:p w14:paraId="451E5952" w14:textId="77777777" w:rsidR="002C4558" w:rsidRDefault="002C4558" w:rsidP="004D7508">
            <w:r>
              <w:t>Theory of Reasoned Action</w:t>
            </w:r>
          </w:p>
        </w:tc>
      </w:tr>
      <w:tr w:rsidR="002C4558" w14:paraId="4FEFB96F" w14:textId="77777777" w:rsidTr="004D7508">
        <w:trPr>
          <w:trHeight w:val="417"/>
        </w:trPr>
        <w:tc>
          <w:tcPr>
            <w:tcW w:w="1271" w:type="dxa"/>
          </w:tcPr>
          <w:p w14:paraId="3FF0A1F5" w14:textId="77777777" w:rsidR="002C4558" w:rsidRDefault="002C4558" w:rsidP="004D7508">
            <w:r>
              <w:t>App</w:t>
            </w:r>
          </w:p>
        </w:tc>
        <w:tc>
          <w:tcPr>
            <w:tcW w:w="7745" w:type="dxa"/>
          </w:tcPr>
          <w:p w14:paraId="0D820468" w14:textId="77777777" w:rsidR="002C4558" w:rsidRDefault="002C4558" w:rsidP="004D7508">
            <w:r>
              <w:t>Application</w:t>
            </w:r>
          </w:p>
        </w:tc>
      </w:tr>
    </w:tbl>
    <w:p w14:paraId="3AA9C53F" w14:textId="77777777" w:rsidR="002C4558" w:rsidRPr="00A83891" w:rsidRDefault="002C4558" w:rsidP="002C4558"/>
    <w:p w14:paraId="1E00C746" w14:textId="77777777" w:rsidR="002C4558" w:rsidRPr="005B70C7" w:rsidRDefault="002C4558" w:rsidP="002C4558"/>
    <w:p w14:paraId="1EE9838D" w14:textId="77777777" w:rsidR="002C4558" w:rsidRPr="002A6021" w:rsidRDefault="002C4558" w:rsidP="002C4558">
      <w:pPr>
        <w:rPr>
          <w:rFonts w:asciiTheme="majorHAnsi" w:eastAsiaTheme="majorEastAsia" w:hAnsiTheme="majorHAnsi" w:cstheme="majorBidi"/>
          <w:color w:val="0F4761" w:themeColor="accent1" w:themeShade="BF"/>
          <w:sz w:val="32"/>
          <w:szCs w:val="32"/>
        </w:rPr>
      </w:pPr>
      <w:r w:rsidRPr="002A6021">
        <w:lastRenderedPageBreak/>
        <w:br w:type="page"/>
      </w:r>
    </w:p>
    <w:p w14:paraId="7F6877C2" w14:textId="77777777" w:rsidR="002C4558" w:rsidRDefault="002C4558" w:rsidP="002C4558">
      <w:pPr>
        <w:pStyle w:val="Heading1"/>
      </w:pPr>
      <w:bookmarkStart w:id="1" w:name="_Toc204022691"/>
      <w:r>
        <w:lastRenderedPageBreak/>
        <w:t>Background and Literature Review</w:t>
      </w:r>
      <w:bookmarkEnd w:id="1"/>
    </w:p>
    <w:p w14:paraId="65C74EE0" w14:textId="77777777" w:rsidR="002C4558" w:rsidRDefault="002C4558" w:rsidP="002C4558"/>
    <w:p w14:paraId="2A29DBE4" w14:textId="77777777" w:rsidR="002C4558" w:rsidRDefault="002C4558" w:rsidP="002C4558">
      <w:pPr>
        <w:pStyle w:val="Heading2"/>
      </w:pPr>
      <w:bookmarkStart w:id="2" w:name="_Toc204022692"/>
      <w:r>
        <w:t>Introduction</w:t>
      </w:r>
      <w:bookmarkEnd w:id="2"/>
    </w:p>
    <w:p w14:paraId="22E57E9D" w14:textId="77777777" w:rsidR="002C4558" w:rsidRDefault="002C4558" w:rsidP="002C4558">
      <w:r>
        <w:t>In today’s modern age, many people struggle with interpreting nutritional labels. Those with medical conditions such as diabetes, obesity or hypertension especially need to monitor their intake more carefully. For many, reading and understanding traditional nutrition labels can be challenging, especially for those in a hurry or while shopping for food. To combat this, the UK Food Standards Agency (FSA) has implemented a traffic light system on the front of food packaging to indicate when there are high amounts of fat, saturated fat, sugar, or salt.</w:t>
      </w:r>
      <w:sdt>
        <w:sdtPr>
          <w:id w:val="535009521"/>
          <w:citation/>
        </w:sdtPr>
        <w:sdtContent>
          <w:r>
            <w:fldChar w:fldCharType="begin"/>
          </w:r>
          <w:r>
            <w:instrText xml:space="preserve"> CITATION Bri25 \l 2057 </w:instrText>
          </w:r>
          <w:r>
            <w:fldChar w:fldCharType="separate"/>
          </w:r>
          <w:r>
            <w:rPr>
              <w:noProof/>
            </w:rPr>
            <w:t xml:space="preserve"> </w:t>
          </w:r>
          <w:r w:rsidRPr="00763133">
            <w:rPr>
              <w:noProof/>
            </w:rPr>
            <w:t>[1]</w:t>
          </w:r>
          <w:r>
            <w:fldChar w:fldCharType="end"/>
          </w:r>
        </w:sdtContent>
      </w:sdt>
      <w:r>
        <w:t xml:space="preserve"> However, this label is not a legal requirement, resulting in many products printing them using confusing methods, such as not being coloured or not including them at all, leaving a gap where a fit-all solution could be implemented. </w:t>
      </w:r>
      <w:sdt>
        <w:sdtPr>
          <w:id w:val="-1523548665"/>
          <w:citation/>
        </w:sdtPr>
        <w:sdtContent>
          <w:r>
            <w:fldChar w:fldCharType="begin"/>
          </w:r>
          <w:r>
            <w:instrText xml:space="preserve"> CITATION BBC16 \l 2057 </w:instrText>
          </w:r>
          <w:r>
            <w:fldChar w:fldCharType="separate"/>
          </w:r>
          <w:r w:rsidRPr="00763133">
            <w:rPr>
              <w:noProof/>
            </w:rPr>
            <w:t>[2]</w:t>
          </w:r>
          <w:r>
            <w:fldChar w:fldCharType="end"/>
          </w:r>
        </w:sdtContent>
      </w:sdt>
    </w:p>
    <w:p w14:paraId="59371D22" w14:textId="77777777" w:rsidR="002C4558" w:rsidRDefault="002C4558" w:rsidP="002C4558">
      <w:r>
        <w:t>In 2025, 95% of Brits carry a smartphone</w:t>
      </w:r>
      <w:sdt>
        <w:sdtPr>
          <w:id w:val="659513146"/>
          <w:citation/>
        </w:sdtPr>
        <w:sdtContent>
          <w:r>
            <w:fldChar w:fldCharType="begin"/>
          </w:r>
          <w:r>
            <w:instrText xml:space="preserve"> CITATION Boy25 \l 2057 </w:instrText>
          </w:r>
          <w:r>
            <w:fldChar w:fldCharType="separate"/>
          </w:r>
          <w:r>
            <w:rPr>
              <w:noProof/>
            </w:rPr>
            <w:t xml:space="preserve"> </w:t>
          </w:r>
          <w:r w:rsidRPr="00763133">
            <w:rPr>
              <w:noProof/>
            </w:rPr>
            <w:t>[3]</w:t>
          </w:r>
          <w:r>
            <w:fldChar w:fldCharType="end"/>
          </w:r>
        </w:sdtContent>
      </w:sdt>
      <w:r>
        <w:t>. While OCR and AR technology have been successfully paired in many mobile applications in the past, their potential to simplify and aid nutritional decision-making remains largely unexplored.</w:t>
      </w:r>
    </w:p>
    <w:p w14:paraId="326581DC" w14:textId="77777777" w:rsidR="002C4558" w:rsidRDefault="002C4558" w:rsidP="002C4558">
      <w:r>
        <w:t>This study aims to explore these gaps by developing an AR-OCR mobile application that visually flags high, low, or medium nutrition levels and measures whether such an application can enhance users’ understanding of nutritional information and promote better food choices, particularly for individuals with diet-sensitive health conditions.</w:t>
      </w:r>
    </w:p>
    <w:p w14:paraId="7B33ACF6" w14:textId="77777777" w:rsidR="002C4558" w:rsidRDefault="002C4558" w:rsidP="002C4558">
      <w:r>
        <w:t>The aim of this application is not to create a new novel technology but rather to explore the existing relationship between OCR and AR systems in a novel way, shaping it to support mobile health applications and research more effectively and engagingly. The following sections will examine existing literature, identify current research gaps, and present the design and evaluation plan for this AR-OCR mobile health application.</w:t>
      </w:r>
    </w:p>
    <w:p w14:paraId="087F439F" w14:textId="77777777" w:rsidR="002C4558" w:rsidRPr="007F518F" w:rsidRDefault="002C4558" w:rsidP="002C4558"/>
    <w:p w14:paraId="1551CD9B" w14:textId="77777777" w:rsidR="002C4558" w:rsidRDefault="002C4558" w:rsidP="002C4558">
      <w:r>
        <w:br w:type="page"/>
      </w:r>
    </w:p>
    <w:p w14:paraId="7E49788A" w14:textId="77777777" w:rsidR="002C4558" w:rsidRDefault="002C4558" w:rsidP="002C4558">
      <w:pPr>
        <w:pStyle w:val="Heading2"/>
      </w:pPr>
      <w:bookmarkStart w:id="3" w:name="_Toc204022693"/>
      <w:r>
        <w:lastRenderedPageBreak/>
        <w:t>Critical Literature Review</w:t>
      </w:r>
      <w:bookmarkEnd w:id="3"/>
    </w:p>
    <w:p w14:paraId="63A2400A" w14:textId="77777777" w:rsidR="002C4558" w:rsidRDefault="002C4558" w:rsidP="002C4558">
      <w:r>
        <w:t>This study will draw on various theories and technologies, focusing on the intersection of health literacy, behavioural science, and mobile development. The goal is to explore how emerging technologies, such as Augmented Reality (AR) and Optical Character Recognition (OCR), can support public health interventions that aim to enhance nutritional decision-making.</w:t>
      </w:r>
    </w:p>
    <w:p w14:paraId="627FADDA" w14:textId="77777777" w:rsidR="002C4558" w:rsidRDefault="002C4558" w:rsidP="002C4558">
      <w:r>
        <w:t>The combination of AR and OCR in mobile technology in health applications has shown strong potential in bringing real change to individuals’ lives. This section will critically review the existing body of literature on these technologies within health, education, and nutrition contexts, particularly highlighting the methodologies used, their findings, and limitations and also evaluating the use of visual communication systems, such as the traffic light labelling scheme, and considering their roles in promoting healthier dietary choices.</w:t>
      </w:r>
    </w:p>
    <w:p w14:paraId="573D6573" w14:textId="77777777" w:rsidR="002C4558" w:rsidRDefault="002C4558" w:rsidP="002C4558">
      <w:r>
        <w:t>In the UK, nutritional labelling is guided by the traffic light system, a colour-coded system printed on the front of packaging which signals the levels of Energy (kJ and kcal), Fat, Saturated fat, Sugars (total sugars) and Salt using intuitive colours: red (high), amber (medium), and green (low). This information is being written per 100g/100ml, per portion or both</w:t>
      </w:r>
      <w:sdt>
        <w:sdtPr>
          <w:id w:val="16133601"/>
          <w:citation/>
        </w:sdtPr>
        <w:sdtContent>
          <w:r>
            <w:fldChar w:fldCharType="begin"/>
          </w:r>
          <w:r>
            <w:instrText xml:space="preserve"> CITATION Bri25 \l 2057 </w:instrText>
          </w:r>
          <w:r>
            <w:fldChar w:fldCharType="separate"/>
          </w:r>
          <w:r>
            <w:rPr>
              <w:noProof/>
            </w:rPr>
            <w:t xml:space="preserve"> </w:t>
          </w:r>
          <w:r w:rsidRPr="00763133">
            <w:rPr>
              <w:noProof/>
            </w:rPr>
            <w:t>[1]</w:t>
          </w:r>
          <w:r>
            <w:fldChar w:fldCharType="end"/>
          </w:r>
        </w:sdtContent>
      </w:sdt>
      <w:r>
        <w:t>. Research from the World Health Organisation and NHS guidelines suggests that such visual cues can significantly enhance consumer understanding, especially among individuals with poor health literacy</w:t>
      </w:r>
      <w:sdt>
        <w:sdtPr>
          <w:id w:val="878283003"/>
          <w:citation/>
        </w:sdtPr>
        <w:sdtContent>
          <w:r>
            <w:fldChar w:fldCharType="begin"/>
          </w:r>
          <w:r>
            <w:instrText xml:space="preserve"> CITATION NHS22 \l 2057 </w:instrText>
          </w:r>
          <w:r>
            <w:fldChar w:fldCharType="separate"/>
          </w:r>
          <w:r>
            <w:rPr>
              <w:noProof/>
            </w:rPr>
            <w:t xml:space="preserve"> </w:t>
          </w:r>
          <w:r w:rsidRPr="00763133">
            <w:rPr>
              <w:noProof/>
            </w:rPr>
            <w:t>[4]</w:t>
          </w:r>
          <w:r>
            <w:fldChar w:fldCharType="end"/>
          </w:r>
        </w:sdtContent>
      </w:sdt>
      <w:sdt>
        <w:sdtPr>
          <w:id w:val="-346093154"/>
          <w:citation/>
        </w:sdtPr>
        <w:sdtContent>
          <w:r>
            <w:fldChar w:fldCharType="begin"/>
          </w:r>
          <w:r>
            <w:instrText xml:space="preserve"> CITATION Wor22 \l 2057 </w:instrText>
          </w:r>
          <w:r>
            <w:fldChar w:fldCharType="separate"/>
          </w:r>
          <w:r>
            <w:rPr>
              <w:noProof/>
            </w:rPr>
            <w:t xml:space="preserve"> </w:t>
          </w:r>
          <w:r w:rsidRPr="00763133">
            <w:rPr>
              <w:noProof/>
            </w:rPr>
            <w:t>[5]</w:t>
          </w:r>
          <w:r>
            <w:fldChar w:fldCharType="end"/>
          </w:r>
        </w:sdtContent>
      </w:sdt>
      <w:r>
        <w:t>. Studies have found that visual cues strongly influence perception and behaviour; these cues can reduce the need to read nutrition labels, making them ideal for in the moment food decisions</w:t>
      </w:r>
      <w:sdt>
        <w:sdtPr>
          <w:id w:val="-33194131"/>
          <w:citation/>
        </w:sdtPr>
        <w:sdtContent>
          <w:r>
            <w:fldChar w:fldCharType="begin"/>
          </w:r>
          <w:r>
            <w:instrText xml:space="preserve"> CITATION Ben15 \l 2057 </w:instrText>
          </w:r>
          <w:r>
            <w:fldChar w:fldCharType="separate"/>
          </w:r>
          <w:r>
            <w:rPr>
              <w:noProof/>
            </w:rPr>
            <w:t xml:space="preserve"> </w:t>
          </w:r>
          <w:r w:rsidRPr="00763133">
            <w:rPr>
              <w:noProof/>
            </w:rPr>
            <w:t>[6]</w:t>
          </w:r>
          <w:r>
            <w:fldChar w:fldCharType="end"/>
          </w:r>
        </w:sdtContent>
      </w:sdt>
      <w:sdt>
        <w:sdtPr>
          <w:id w:val="1724706471"/>
          <w:citation/>
        </w:sdtPr>
        <w:sdtContent>
          <w:r>
            <w:fldChar w:fldCharType="begin"/>
          </w:r>
          <w:r>
            <w:instrText xml:space="preserve"> CITATION Cha06 \l 2057 </w:instrText>
          </w:r>
          <w:r>
            <w:fldChar w:fldCharType="separate"/>
          </w:r>
          <w:r>
            <w:rPr>
              <w:noProof/>
            </w:rPr>
            <w:t xml:space="preserve"> </w:t>
          </w:r>
          <w:r w:rsidRPr="00763133">
            <w:rPr>
              <w:noProof/>
            </w:rPr>
            <w:t>[7]</w:t>
          </w:r>
          <w:r>
            <w:fldChar w:fldCharType="end"/>
          </w:r>
        </w:sdtContent>
      </w:sdt>
      <w:r>
        <w:t>. One study also found that participants ate up to 50% more of snacks labelled as low-fat than the same snacks without that label, which they concluded was due to the ‘health halo effect’</w:t>
      </w:r>
      <w:sdt>
        <w:sdtPr>
          <w:id w:val="-2132233340"/>
          <w:citation/>
        </w:sdtPr>
        <w:sdtContent>
          <w:r>
            <w:fldChar w:fldCharType="begin"/>
          </w:r>
          <w:r>
            <w:instrText xml:space="preserve"> CITATION Cha07 \l 2057 </w:instrText>
          </w:r>
          <w:r>
            <w:fldChar w:fldCharType="separate"/>
          </w:r>
          <w:r>
            <w:rPr>
              <w:noProof/>
            </w:rPr>
            <w:t xml:space="preserve"> </w:t>
          </w:r>
          <w:r w:rsidRPr="00763133">
            <w:rPr>
              <w:noProof/>
            </w:rPr>
            <w:t>[8]</w:t>
          </w:r>
          <w:r>
            <w:fldChar w:fldCharType="end"/>
          </w:r>
        </w:sdtContent>
      </w:sdt>
      <w:r>
        <w:t>. These same participants also underestimated calorie content by 20-25% when the food was labelled low-fat, although the actual calorie reduction was often not a lot; this is especially apparent for those who struggle to engage critically with standard nutritional labels</w:t>
      </w:r>
      <w:sdt>
        <w:sdtPr>
          <w:id w:val="-1680342945"/>
          <w:citation/>
        </w:sdtPr>
        <w:sdtContent>
          <w:r>
            <w:fldChar w:fldCharType="begin"/>
          </w:r>
          <w:r>
            <w:instrText xml:space="preserve"> CITATION Cha07 \l 2057 </w:instrText>
          </w:r>
          <w:r>
            <w:fldChar w:fldCharType="separate"/>
          </w:r>
          <w:r>
            <w:rPr>
              <w:noProof/>
            </w:rPr>
            <w:t xml:space="preserve"> </w:t>
          </w:r>
          <w:r w:rsidRPr="00763133">
            <w:rPr>
              <w:noProof/>
            </w:rPr>
            <w:t>[8]</w:t>
          </w:r>
          <w:r>
            <w:fldChar w:fldCharType="end"/>
          </w:r>
        </w:sdtContent>
      </w:sdt>
      <w:r>
        <w:t>. For many, interpreting food labels can be a cognitively stressful experience, particularly for individuals with lower literacy skills or visual impairments</w:t>
      </w:r>
      <w:sdt>
        <w:sdtPr>
          <w:id w:val="1897773987"/>
          <w:citation/>
        </w:sdtPr>
        <w:sdtContent>
          <w:r>
            <w:fldChar w:fldCharType="begin"/>
          </w:r>
          <w:r>
            <w:instrText xml:space="preserve"> CITATION Cha06 \l 2057 </w:instrText>
          </w:r>
          <w:r>
            <w:fldChar w:fldCharType="separate"/>
          </w:r>
          <w:r>
            <w:rPr>
              <w:noProof/>
            </w:rPr>
            <w:t xml:space="preserve"> </w:t>
          </w:r>
          <w:r w:rsidRPr="00763133">
            <w:rPr>
              <w:noProof/>
            </w:rPr>
            <w:t>[7]</w:t>
          </w:r>
          <w:r>
            <w:fldChar w:fldCharType="end"/>
          </w:r>
        </w:sdtContent>
      </w:sdt>
      <w:r>
        <w:t>. By making visual nutritional cues more accurate and informative, beyond using misleading terms such as 'low-fat', there is real potential to improve consumers' dietary purchases. By using a live colour-coded AR feedback mobile application, there is an opportunity to correct these misinterpretations, supporting health understanding and behavioural change by providing immediate visual responses.</w:t>
      </w:r>
    </w:p>
    <w:p w14:paraId="6969E423" w14:textId="77777777" w:rsidR="002C4558" w:rsidRDefault="002C4558" w:rsidP="002C4558">
      <w:r>
        <w:t xml:space="preserve">To combat the cognitive barriers users face with traditional food labelling, technologies like Augmented Reality offer a promising solution. AR has garnered significant attention over the years, particularly in healthcare and education, due to its ability to engage users, capture their attention, and make comprehension easier. AR’s strength lies in its ability to create immersive, visual, and interactive experiences, which aligns with </w:t>
      </w:r>
      <w:r>
        <w:lastRenderedPageBreak/>
        <w:t>cognitive theories suggesting that health information is effectively retained when presented through clear and engaging multifaceted visualisations, particularly when on mobile devices that support random access. A notable study from 2021 previously utilised AR to educate users about human cardiac anatomy. Users could interact with the model by rotating it, selecting individual chambers, and accessing descriptive audiovisual explanations of each part’s functions. These interactive elements not only engaged users more but also deepened their learning by integrating real-time audio, video links, and animated blood flow simulations. The application was developed using Unity and the Vuforia SDK, aiming to improve retention and prevent users from ignoring traditional health messaging by transforming it into a more intuitive and engaging format. This approach is particularly relevant to health literacy, where traditional health communication is often overlooked or misunderstood. In both healthcare and education, AR enhances user interaction and supports learning, making it a powerful tool for improving dietary education as well.</w:t>
      </w:r>
      <w:sdt>
        <w:sdtPr>
          <w:id w:val="544252866"/>
          <w:citation/>
        </w:sdtPr>
        <w:sdtContent>
          <w:r>
            <w:fldChar w:fldCharType="begin"/>
          </w:r>
          <w:r>
            <w:instrText xml:space="preserve"> CITATION Rom21 \l 2057 </w:instrText>
          </w:r>
          <w:r>
            <w:fldChar w:fldCharType="separate"/>
          </w:r>
          <w:r>
            <w:rPr>
              <w:noProof/>
            </w:rPr>
            <w:t xml:space="preserve"> </w:t>
          </w:r>
          <w:r w:rsidRPr="00763133">
            <w:rPr>
              <w:noProof/>
            </w:rPr>
            <w:t>[9]</w:t>
          </w:r>
          <w:r>
            <w:fldChar w:fldCharType="end"/>
          </w:r>
        </w:sdtContent>
      </w:sdt>
    </w:p>
    <w:p w14:paraId="1E61FA1E" w14:textId="77777777" w:rsidR="002C4558" w:rsidRDefault="002C4558" w:rsidP="002C4558">
      <w:r>
        <w:t xml:space="preserve">Building on this, another study from 2023 introduced an AR-based mobile application that took a step further, recognising drug names in a real-world context and delivering interactive 3D visualisations of the medicines. The system would utilise a smartphone's camera, along with OCR and Natural Language Processing (NLP), to extract text from medicine labels and match it to a predefined drug database. When the application recognises a medicine, it would display a 3D model of the drug in the user's environment. Allowing the users to visualise not only the medication itself but also receive contextual information such as category and purpose. </w:t>
      </w:r>
      <w:sdt>
        <w:sdtPr>
          <w:id w:val="662520198"/>
          <w:citation/>
        </w:sdtPr>
        <w:sdtContent>
          <w:r>
            <w:fldChar w:fldCharType="begin"/>
          </w:r>
          <w:r>
            <w:instrText xml:space="preserve"> CITATION Rup22 \l 2057 </w:instrText>
          </w:r>
          <w:r>
            <w:fldChar w:fldCharType="separate"/>
          </w:r>
          <w:r w:rsidRPr="00763133">
            <w:rPr>
              <w:noProof/>
            </w:rPr>
            <w:t>[10]</w:t>
          </w:r>
          <w:r>
            <w:fldChar w:fldCharType="end"/>
          </w:r>
        </w:sdtContent>
      </w:sdt>
    </w:p>
    <w:p w14:paraId="2FC51DDA" w14:textId="77777777" w:rsidR="002C4558" w:rsidRDefault="002C4558" w:rsidP="002C4558">
      <w:r>
        <w:t>Both of these studies and applications highlight the capability of interactive, real-time engagement, but with a focus on aiding people for health purposes. By allowing users to point their device at a medicine and receive instant feedback, the application would eliminate the need to read the text-heavy labelling and make it easier to interpret. This is particularly helpful for patients with low health awareness, visual impairments, or language barriers, as the AR interface provides an accessible form of visual and spatial learning. Both studies prove the concept that health information is more likely to be retained when presented through interactive and context-rich visualisations, particularly in mobile formats.</w:t>
      </w:r>
    </w:p>
    <w:p w14:paraId="3816FC94" w14:textId="77777777" w:rsidR="002C4558" w:rsidRDefault="002C4558" w:rsidP="002C4558">
      <w:r>
        <w:t xml:space="preserve">While AR supports interactive visual learning, it often relies on supporting technologies, such as Optical Character Recognition, to extract and interpret real-world data. OCR converts printed or handwritten text into machine-readable data. Earlier OCR systems relied heavily on rule-based logic, but current approaches use machine learning algorithms, particularly deep learning, to handle diverse fonts, lighting conditions and cluttered backgrounds. This technology has been proven to support real-world scenes in mobile health contexts, demonstrating the ability to capture text accurately and quickly in applications. One study, in particular, from 2019 showed the practical </w:t>
      </w:r>
      <w:r>
        <w:lastRenderedPageBreak/>
        <w:t>effectiveness of OCR integrated within a mobile application for performing keyword searches in real-world, diverse, and cluttered scenes. This application leveraged mainstream APIs, such as Azure OCR and Google’s ML Kit, for robust text detection. After processing the image, they would then use a keyword matching algorithm based on a modified Levenshtein distance metric, comparing detected words with the user’s search term to improve accuracy and reduce minor keyword variations.</w:t>
      </w:r>
      <w:sdt>
        <w:sdtPr>
          <w:id w:val="1550337672"/>
          <w:citation/>
        </w:sdtPr>
        <w:sdtContent>
          <w:r>
            <w:fldChar w:fldCharType="begin"/>
          </w:r>
          <w:r>
            <w:instrText xml:space="preserve"> CITATION Pun19 \l 2057 </w:instrText>
          </w:r>
          <w:r>
            <w:fldChar w:fldCharType="separate"/>
          </w:r>
          <w:r>
            <w:rPr>
              <w:noProof/>
            </w:rPr>
            <w:t xml:space="preserve"> </w:t>
          </w:r>
          <w:r w:rsidRPr="00763133">
            <w:rPr>
              <w:noProof/>
            </w:rPr>
            <w:t>[11]</w:t>
          </w:r>
          <w:r>
            <w:fldChar w:fldCharType="end"/>
          </w:r>
        </w:sdtContent>
      </w:sdt>
    </w:p>
    <w:p w14:paraId="64E47F13" w14:textId="77777777" w:rsidR="002C4558" w:rsidRDefault="002C4558" w:rsidP="002C4558">
      <w:r>
        <w:t>Their findings highlighted the capability and accuracy of detecting text in real-time, as well as showcasing the challenges faced with various visual conditions. Varying lighting conditions, cluttered backgrounds, and different font styles proved not to limit the OCR abilities, but they did face challenges due to dynamic and uncontrolled settings. Despite its success, challenges such as text orientation, low contrast, partial occlusion and motion blur proved to degrade the OCR accuracy, limiting the reliability of the extracted information.</w:t>
      </w:r>
      <w:sdt>
        <w:sdtPr>
          <w:id w:val="990450276"/>
          <w:citation/>
        </w:sdtPr>
        <w:sdtContent>
          <w:r>
            <w:fldChar w:fldCharType="begin"/>
          </w:r>
          <w:r>
            <w:instrText xml:space="preserve"> CITATION Pun19 \l 2057 </w:instrText>
          </w:r>
          <w:r>
            <w:fldChar w:fldCharType="separate"/>
          </w:r>
          <w:r>
            <w:rPr>
              <w:noProof/>
            </w:rPr>
            <w:t xml:space="preserve"> </w:t>
          </w:r>
          <w:r w:rsidRPr="00763133">
            <w:rPr>
              <w:noProof/>
            </w:rPr>
            <w:t>[11]</w:t>
          </w:r>
          <w:r>
            <w:fldChar w:fldCharType="end"/>
          </w:r>
        </w:sdtContent>
      </w:sdt>
    </w:p>
    <w:p w14:paraId="2CEBD66B" w14:textId="77777777" w:rsidR="002C4558" w:rsidRDefault="002C4558" w:rsidP="002C4558">
      <w:r>
        <w:t>Additionally, the computational demands of real-time OCR processing can impact responsiveness on resource-constrained devices. All of these challenges should be carefully addressed when extending the application of OCR into the dietary domain. It is crucial to optimise the OCR algorithms and integrate them with intuitive user interfaces to maximise the usability of the application and minimise the risk of errors, allowing users to access nutritional summaries from packaging which could easily be overlooked or misinterpreted. Although their study focuses on general information acquisition, the technology shows potential for application in health-related contexts.</w:t>
      </w:r>
      <w:sdt>
        <w:sdtPr>
          <w:id w:val="-1079205543"/>
          <w:citation/>
        </w:sdtPr>
        <w:sdtContent>
          <w:r>
            <w:fldChar w:fldCharType="begin"/>
          </w:r>
          <w:r>
            <w:instrText xml:space="preserve"> CITATION Pun19 \l 2057 </w:instrText>
          </w:r>
          <w:r>
            <w:fldChar w:fldCharType="separate"/>
          </w:r>
          <w:r>
            <w:rPr>
              <w:noProof/>
            </w:rPr>
            <w:t xml:space="preserve"> </w:t>
          </w:r>
          <w:r w:rsidRPr="00763133">
            <w:rPr>
              <w:noProof/>
            </w:rPr>
            <w:t>[11]</w:t>
          </w:r>
          <w:r>
            <w:fldChar w:fldCharType="end"/>
          </w:r>
        </w:sdtContent>
      </w:sdt>
    </w:p>
    <w:p w14:paraId="6E8D8A87" w14:textId="77777777" w:rsidR="002C4558" w:rsidRDefault="002C4558" w:rsidP="002C4558">
      <w:r w:rsidRPr="007E5532">
        <w:t xml:space="preserve">However, the design and development of a functional app is only part of the challenge; ensuring users adopt and change their behaviour requires more psychological insight. Behavioural change has been studied under various psychological models, providing a valuable lens for understanding user engagement. Firstly, the Technology Acceptance Model (TAM) suggests that perceived usefulness and ease of use predict a user’s intention to adopt new technologies. If </w:t>
      </w:r>
      <w:r>
        <w:t>something is perceived to be helpful and easy to use</w:t>
      </w:r>
      <w:r w:rsidRPr="007E5532">
        <w:t>, there is a higher chance that the technology will be adopted. In the context of this study, TAM helps explain why an AR-OCR mobile application for interpreting food packaging might get adopted by users. If users perceive the app as making reading nutritional information easier and more intuitive, then they are more likely to adopt it consistently in the real world. By designing features that directly enhance these perceptions, the application aligns with TAM’s predictive model, making user adoption more likely, particularly among those with lower digital or health literacy.</w:t>
      </w:r>
      <w:sdt>
        <w:sdtPr>
          <w:id w:val="910512603"/>
          <w:citation/>
        </w:sdtPr>
        <w:sdtContent>
          <w:r>
            <w:fldChar w:fldCharType="begin"/>
          </w:r>
          <w:r>
            <w:instrText xml:space="preserve"> CITATION Dav87 \l 2057 </w:instrText>
          </w:r>
          <w:r>
            <w:fldChar w:fldCharType="separate"/>
          </w:r>
          <w:r>
            <w:rPr>
              <w:noProof/>
            </w:rPr>
            <w:t xml:space="preserve"> </w:t>
          </w:r>
          <w:r w:rsidRPr="00763133">
            <w:rPr>
              <w:noProof/>
            </w:rPr>
            <w:t>[12]</w:t>
          </w:r>
          <w:r>
            <w:fldChar w:fldCharType="end"/>
          </w:r>
        </w:sdtContent>
      </w:sdt>
    </w:p>
    <w:p w14:paraId="47085E12" w14:textId="77777777" w:rsidR="002C4558" w:rsidRDefault="002C4558" w:rsidP="002C4558">
      <w:r w:rsidRPr="003F00BC">
        <w:t>The Theory of Planned Behaviour</w:t>
      </w:r>
      <w:r>
        <w:t xml:space="preserve"> (TPB)</w:t>
      </w:r>
      <w:r w:rsidRPr="003F00BC">
        <w:t xml:space="preserve"> is another psychological model relevant to this study as it proposes that intention, shaped by attitudes, subjective norms and perceived behavioural control</w:t>
      </w:r>
      <w:r>
        <w:t xml:space="preserve"> can</w:t>
      </w:r>
      <w:r w:rsidRPr="003F00BC">
        <w:t xml:space="preserve"> predict behaviour. In this study, the AR-enhanced interface is expected to influence</w:t>
      </w:r>
      <w:r>
        <w:t xml:space="preserve"> users’</w:t>
      </w:r>
      <w:r w:rsidRPr="003F00BC">
        <w:t xml:space="preserve"> attitudes toward food decisions by improving </w:t>
      </w:r>
      <w:r w:rsidRPr="003F00BC">
        <w:lastRenderedPageBreak/>
        <w:t xml:space="preserve">clarity and awareness. This theory was first introduced as an extension of the Theory of Reasoned Action to better understand situations in which individuals do not have </w:t>
      </w:r>
      <w:r>
        <w:t xml:space="preserve">full </w:t>
      </w:r>
      <w:r w:rsidRPr="003F00BC">
        <w:t xml:space="preserve">control over their behaviour, and is widely used in health psychology, particularly for research on technology adoption. </w:t>
      </w:r>
      <w:sdt>
        <w:sdtPr>
          <w:id w:val="-1756429507"/>
          <w:citation/>
        </w:sdtPr>
        <w:sdtContent>
          <w:r>
            <w:fldChar w:fldCharType="begin"/>
          </w:r>
          <w:r>
            <w:instrText xml:space="preserve"> CITATION Ajz91 \l 2057 </w:instrText>
          </w:r>
          <w:r>
            <w:fldChar w:fldCharType="separate"/>
          </w:r>
          <w:r w:rsidRPr="00763133">
            <w:rPr>
              <w:noProof/>
            </w:rPr>
            <w:t>[13]</w:t>
          </w:r>
          <w:r>
            <w:fldChar w:fldCharType="end"/>
          </w:r>
        </w:sdtContent>
      </w:sdt>
    </w:p>
    <w:p w14:paraId="270DAA23" w14:textId="77777777" w:rsidR="002C4558" w:rsidRDefault="002C4558" w:rsidP="002C4558">
      <w:r>
        <w:t xml:space="preserve">The </w:t>
      </w:r>
      <w:r w:rsidRPr="003F00BC">
        <w:t>Theory of Reasoned Action</w:t>
      </w:r>
      <w:r>
        <w:t xml:space="preserve"> (TRA), on the other hand,</w:t>
      </w:r>
      <w:r w:rsidRPr="003F00BC">
        <w:t xml:space="preserve"> </w:t>
      </w:r>
      <w:r>
        <w:t>suggests that</w:t>
      </w:r>
      <w:r w:rsidRPr="003F00BC">
        <w:t xml:space="preserve"> individuals </w:t>
      </w:r>
      <w:r>
        <w:t>form intentions based on their attitudes and perceived social norms, assuming they have control over their actions</w:t>
      </w:r>
      <w:r w:rsidRPr="003F00BC">
        <w:t xml:space="preserve">. The use of clear, real-time nutritional indicators may reinforce positive attitudes and intentions. This foundational behavioural theory aims to predict how individuals will base their intentions, assuming that people are rational decision-makers who consider the implications of their behaviour before engaging in it. It works by combining their attitude towards the behaviour, reflecting on their beliefs about outcomes and the desirability of those outcomes, with subjective norms, which refer to the perceived social pressure from others to perform or not perform the behaviour. So the stronger the intention, the more likely the behaviour will follow, assuming the person has actual control. </w:t>
      </w:r>
      <w:r>
        <w:t xml:space="preserve">However, </w:t>
      </w:r>
      <w:r w:rsidRPr="003F00BC">
        <w:t>TRA may not be realistic in terms of</w:t>
      </w:r>
      <w:r>
        <w:t xml:space="preserve"> all</w:t>
      </w:r>
      <w:r w:rsidRPr="003F00BC">
        <w:t xml:space="preserve"> health and accessibility contexts</w:t>
      </w:r>
      <w:r>
        <w:t xml:space="preserve"> as not everyone will have control. </w:t>
      </w:r>
      <w:r w:rsidRPr="003F00BC">
        <w:t>TPB</w:t>
      </w:r>
      <w:r>
        <w:t xml:space="preserve"> addresses this limitation by introducing the concept of perceived behavioural control, making </w:t>
      </w:r>
      <w:r w:rsidRPr="003F00BC">
        <w:t xml:space="preserve">it especially relevant in consideration of accessibility barriers or </w:t>
      </w:r>
      <w:r>
        <w:t xml:space="preserve">mental strain </w:t>
      </w:r>
      <w:r w:rsidRPr="003F00BC">
        <w:t>resulting from traditional labels.</w:t>
      </w:r>
      <w:r>
        <w:t xml:space="preserve"> </w:t>
      </w:r>
      <w:sdt>
        <w:sdtPr>
          <w:id w:val="-1698849388"/>
          <w:citation/>
        </w:sdtPr>
        <w:sdtContent>
          <w:r>
            <w:fldChar w:fldCharType="begin"/>
          </w:r>
          <w:r>
            <w:instrText xml:space="preserve"> CITATION Mon15 \l 2057 </w:instrText>
          </w:r>
          <w:r>
            <w:fldChar w:fldCharType="separate"/>
          </w:r>
          <w:r w:rsidRPr="00763133">
            <w:rPr>
              <w:noProof/>
            </w:rPr>
            <w:t>[14]</w:t>
          </w:r>
          <w:r>
            <w:fldChar w:fldCharType="end"/>
          </w:r>
        </w:sdtContent>
      </w:sdt>
    </w:p>
    <w:p w14:paraId="5244D323" w14:textId="77777777" w:rsidR="002C4558" w:rsidRDefault="002C4558" w:rsidP="002C4558">
      <w:r>
        <w:t>These are both important to the mobile application as the app will simplify and visualise complex nutritional data that can shape a user’s belief about food and foster a more positive attitude towards healthier eating. By making more nutritious choices easier and more understandable, the app is designed to increase the likelihood of the user's intention towards better dietary decisions.</w:t>
      </w:r>
    </w:p>
    <w:p w14:paraId="3564B810" w14:textId="77777777" w:rsidR="002C4558" w:rsidRDefault="002C4558" w:rsidP="002C4558">
      <w:r>
        <w:t>Another model worth considering is the Fogg Behaviour Model. This is a psychological framework designed to explain how human behaviour is influenced and triggered, particularly when paired with technology. This theory suggests that three elements must be present simultaneously to effect a behavioural change. This is motivation, ability and prompt. In the applications context, users may desire to be healthier, using it as their motivation. Then, the app should simplify complexity, enhancing their ability to quickly and correctly interpret food labels by providing a clear visual queue in real-time using AR.  Lastly, by having a colour-coded traffic light system, it could prompt users to purchase or not purchase the product, serving as a behavioural nudge in the right direction.</w:t>
      </w:r>
      <w:sdt>
        <w:sdtPr>
          <w:id w:val="-787506518"/>
          <w:citation/>
        </w:sdtPr>
        <w:sdtContent>
          <w:r>
            <w:fldChar w:fldCharType="begin"/>
          </w:r>
          <w:r>
            <w:instrText xml:space="preserve"> CITATION Fog09 \l 2057 </w:instrText>
          </w:r>
          <w:r>
            <w:fldChar w:fldCharType="separate"/>
          </w:r>
          <w:r>
            <w:rPr>
              <w:noProof/>
            </w:rPr>
            <w:t xml:space="preserve"> </w:t>
          </w:r>
          <w:r w:rsidRPr="00763133">
            <w:rPr>
              <w:noProof/>
            </w:rPr>
            <w:t>[15]</w:t>
          </w:r>
          <w:r>
            <w:fldChar w:fldCharType="end"/>
          </w:r>
        </w:sdtContent>
      </w:sdt>
    </w:p>
    <w:p w14:paraId="73F60930" w14:textId="77777777" w:rsidR="002C4558" w:rsidRDefault="002C4558" w:rsidP="002C4558">
      <w:r w:rsidRPr="0095369E">
        <w:t xml:space="preserve">The last theory worth considering is the Technology Affordance theory. This refers to the actionable possibilities that a technology offers to its users, shaped by both the technology’s features and the user’s goals or context. Unlike models such as TAM, which focus purely on perceptions or intentions, affordance theory focuses on what users can do with a tool in practice, highlighting the functional interplay between users </w:t>
      </w:r>
      <w:r w:rsidRPr="0095369E">
        <w:lastRenderedPageBreak/>
        <w:t xml:space="preserve">and system features. One study applied this theory to examine how specific technological affordances in mobile health applications influence consumers' ability to make safe food choices. Their findings identified four key affordances: interactivity, visibility, portability, and guidance, all of which significantly enhanced users’ ability to make safer food choices. Features like real-time scanning, visual risk alerts and simplified summaries enabled users to avoid unsafe or unhealthy items with greater confidence and reduced decision fatigue. These affordances allowed users to act on health information more effectively than with static labels or passive apps. In this study, integrating AR and OCR aims to replicate and extend these affordances by providing </w:t>
      </w:r>
      <w:r>
        <w:t>on the spot</w:t>
      </w:r>
      <w:r w:rsidRPr="0095369E">
        <w:t>, accessible nutritional feedback, thereby guiding users' understanding and supporting safer, healthier food purchases.</w:t>
      </w:r>
      <w:sdt>
        <w:sdtPr>
          <w:id w:val="306452531"/>
          <w:citation/>
        </w:sdtPr>
        <w:sdtContent>
          <w:r>
            <w:fldChar w:fldCharType="begin"/>
          </w:r>
          <w:r>
            <w:instrText xml:space="preserve"> CITATION LuY22 \l 2057 </w:instrText>
          </w:r>
          <w:r>
            <w:fldChar w:fldCharType="separate"/>
          </w:r>
          <w:r>
            <w:rPr>
              <w:noProof/>
            </w:rPr>
            <w:t xml:space="preserve"> </w:t>
          </w:r>
          <w:r w:rsidRPr="00763133">
            <w:rPr>
              <w:noProof/>
            </w:rPr>
            <w:t>[16]</w:t>
          </w:r>
          <w:r>
            <w:fldChar w:fldCharType="end"/>
          </w:r>
        </w:sdtContent>
      </w:sdt>
    </w:p>
    <w:p w14:paraId="40CB6C4D" w14:textId="77777777" w:rsidR="002C4558" w:rsidRDefault="002C4558" w:rsidP="002C4558">
      <w:r>
        <w:t>Collectively, these models will provide a strong foundation for understanding how an AR-OCR tool may influence users’ behaviour regarding their diet, thereby improving their understanding of nutritional intake and enabling more informed purchases in a clear and accessible manner. The notion of control is directly linked to accessibility, a critical consideration when developing mobile health tools, particularly for diverse populations.</w:t>
      </w:r>
    </w:p>
    <w:p w14:paraId="5706952C" w14:textId="77777777" w:rsidR="002C4558" w:rsidRDefault="002C4558" w:rsidP="002C4558">
      <w:r>
        <w:t>While behavioural models, such as Fogg’s, highlight the need for clarity, simplicity, and effective prompts, many existing mobile health applications fall short of delivering accessible, immediate, and intuitive feedback for users. Popular mobile health applications, such as MyFitnessPal, Yuka, and FoodSwitch, have become widely used tools over the years for tracking food intake and assessing the healthiness of products. These apps typically rely on barcode scanning or user-inputted data to provide nutritional insights. However, they often lack real-time image recognition or AR visual overlays, which limits their immediacy and accessibility in-store. Furthermore, studies have found that existing mHealth apps frequently overlook accessibility for users with disabilities. For example, a recent accessibility-focused study highlighted gaps in the usability of mHealth applications for individuals with disabilities, particularly in contexts related to weight management and nutrition tracking. The study developed a systematic, replicable protocol for evaluating app accessibility and usability among individuals with visual, dexterity, and cognitive impairments. Through a mixed-methods analysis of three top-rated mHealth apps, the researchers found that users with visual impairments faced the most significant challenges, followed by those with dexterity impairments, while users with cognitive impairments reported greater tolerance despite experiencing a few issues.</w:t>
      </w:r>
      <w:r w:rsidRPr="0001258C">
        <w:t xml:space="preserve"> </w:t>
      </w:r>
      <w:sdt>
        <w:sdtPr>
          <w:id w:val="-11456254"/>
          <w:citation/>
        </w:sdtPr>
        <w:sdtContent>
          <w:r>
            <w:fldChar w:fldCharType="begin"/>
          </w:r>
          <w:r>
            <w:instrText xml:space="preserve"> CITATION Rad21 \l 2057 </w:instrText>
          </w:r>
          <w:r>
            <w:fldChar w:fldCharType="separate"/>
          </w:r>
          <w:r w:rsidRPr="00763133">
            <w:rPr>
              <w:noProof/>
            </w:rPr>
            <w:t>[17]</w:t>
          </w:r>
          <w:r>
            <w:fldChar w:fldCharType="end"/>
          </w:r>
        </w:sdtContent>
      </w:sdt>
    </w:p>
    <w:p w14:paraId="3295929A" w14:textId="77777777" w:rsidR="002C4558" w:rsidRDefault="002C4558" w:rsidP="002C4558">
      <w:r>
        <w:t xml:space="preserve">The main issues they found were insufficient screen reader support, unlabelled buttons, poor contrast, inaccessible data entry fields, and a lack of alternative input methods. These limitations not only reduce app effectiveness but also introduce a risk of widening health disparities by discouraging use among disabled populations. To </w:t>
      </w:r>
      <w:r>
        <w:lastRenderedPageBreak/>
        <w:t xml:space="preserve">combat these issues, authors have proposed design improvements aligned with established accessibility standards, such as integrating alternative text, providing consistent navigation cues, utilising high-contrast interfaces, and offering multimodal input options. This project aims to address these issues by incorporating principles of inclusive design. </w:t>
      </w:r>
      <w:sdt>
        <w:sdtPr>
          <w:id w:val="1530298958"/>
          <w:citation/>
        </w:sdtPr>
        <w:sdtContent>
          <w:r>
            <w:fldChar w:fldCharType="begin"/>
          </w:r>
          <w:r>
            <w:instrText xml:space="preserve"> CITATION Rad21 \l 2057 </w:instrText>
          </w:r>
          <w:r>
            <w:fldChar w:fldCharType="separate"/>
          </w:r>
          <w:r w:rsidRPr="00763133">
            <w:rPr>
              <w:noProof/>
            </w:rPr>
            <w:t>[17]</w:t>
          </w:r>
          <w:r>
            <w:fldChar w:fldCharType="end"/>
          </w:r>
        </w:sdtContent>
      </w:sdt>
    </w:p>
    <w:p w14:paraId="2F25DAB7" w14:textId="77777777" w:rsidR="002C4558" w:rsidRDefault="002C4558" w:rsidP="002C4558">
      <w:r>
        <w:t xml:space="preserve">Accessibility is a crucial factor in the development of mobile health. It has been proven that people with visual or dexterity impairments often face barriers when using health apps, especially those who rely heavily on visual content or complex navigation. Health apps are becoming increasingly popular, but their accessibility is becoming less consistent. By integrating AR and OCR, there is potential to mitigate issues by enhancing readability, reducing the steps required for interactions, and utilising visual overlays designed to improve clarity. </w:t>
      </w:r>
      <w:sdt>
        <w:sdtPr>
          <w:id w:val="-1838304321"/>
          <w:citation/>
        </w:sdtPr>
        <w:sdtContent>
          <w:r>
            <w:fldChar w:fldCharType="begin"/>
          </w:r>
          <w:r>
            <w:instrText xml:space="preserve"> CITATION Rad21 \l 2057 </w:instrText>
          </w:r>
          <w:r>
            <w:fldChar w:fldCharType="separate"/>
          </w:r>
          <w:r w:rsidRPr="00763133">
            <w:rPr>
              <w:noProof/>
            </w:rPr>
            <w:t>[17]</w:t>
          </w:r>
          <w:r>
            <w:fldChar w:fldCharType="end"/>
          </w:r>
        </w:sdtContent>
      </w:sdt>
    </w:p>
    <w:p w14:paraId="5A445DDE" w14:textId="77777777" w:rsidR="002C4558" w:rsidRDefault="002C4558" w:rsidP="002C4558">
      <w:r w:rsidRPr="00760049">
        <w:t>Another study evaluated the accessibility potential of a mobile application named Jooay, which was developed to enhance access to leisure programs for children with disabilities through a participatory design approach. However, sustained use and equitable access remain a challenge as they struggle to maintain engagement. This project will incorporate the lessons learnt in their study into the design, particularly by prioritising user-centred design, accessibility considerations and mechanisms to support sustained engagement over time.</w:t>
      </w:r>
      <w:r>
        <w:t xml:space="preserve"> </w:t>
      </w:r>
      <w:sdt>
        <w:sdtPr>
          <w:id w:val="1345973817"/>
          <w:citation/>
        </w:sdtPr>
        <w:sdtContent>
          <w:r>
            <w:fldChar w:fldCharType="begin"/>
          </w:r>
          <w:r>
            <w:instrText xml:space="preserve"> CITATION Shi21 \l 2057 </w:instrText>
          </w:r>
          <w:r>
            <w:fldChar w:fldCharType="separate"/>
          </w:r>
          <w:r w:rsidRPr="00763133">
            <w:rPr>
              <w:noProof/>
            </w:rPr>
            <w:t>[18]</w:t>
          </w:r>
          <w:r>
            <w:fldChar w:fldCharType="end"/>
          </w:r>
        </w:sdtContent>
      </w:sdt>
    </w:p>
    <w:p w14:paraId="0BD2011E" w14:textId="77777777" w:rsidR="002C4558" w:rsidRDefault="002C4558" w:rsidP="002C4558">
      <w:r>
        <w:t xml:space="preserve">Another issue with existing applications, such as Yuka, is that their scoring systems for evaluating product healthiness rely heavily on a pre-existing product database. While this allows users to make quick assessments of items stored in the database, often in the form of colour-coded ratings or scores, it introduces limitations in real-time adaptability, especially when packaging or product formulas change and have not yet been updated in the app’s database. This static approach lacks the ability to provide dynamic, contextual visual feedback, which means that users must interpret the health information separately from the physical product, rather than having it overlaid directly on the item through a means like augmented reality in real-time. The lack of in-the-moment interactive cues can reduce its effectiveness in shaping long-term behavioural change. </w:t>
      </w:r>
    </w:p>
    <w:p w14:paraId="12818BDB" w14:textId="77777777" w:rsidR="002C4558" w:rsidRDefault="002C4558" w:rsidP="002C4558">
      <w:r>
        <w:t xml:space="preserve">To conclude, this literature review highlights a significant opportunity: while existing nutritional apps offer valuable information, they often lack the immediate, visual clarity and behavioural alignment needed to drive real-time decision-making. By integrating AR and OCR with established behavioural models such as TAM, TPB and the Fogg Behavioural Model, this project aims to develop a mobile application that not only informs but actively influences users’ dietary choices. Furthermore, by addressing the accessibility gaps identified in current tools, the proposed solution prioritises inclusivity for users with impairments, reducing health disparities, especially for individuals with specific health needs or limited nutritional health understanding. These insights will </w:t>
      </w:r>
      <w:r>
        <w:lastRenderedPageBreak/>
        <w:t>directly inform the design and evaluation criteria of the prototype developed in this study.</w:t>
      </w:r>
    </w:p>
    <w:p w14:paraId="0EDF0DA1" w14:textId="77777777" w:rsidR="002C4558" w:rsidRDefault="002C4558" w:rsidP="002C4558"/>
    <w:p w14:paraId="1E1A8E64" w14:textId="77777777" w:rsidR="002C4558" w:rsidRDefault="002C4558" w:rsidP="002C4558"/>
    <w:p w14:paraId="7BD54EF1" w14:textId="77777777" w:rsidR="002C4558" w:rsidRDefault="002C4558" w:rsidP="002C4558"/>
    <w:p w14:paraId="414271BB" w14:textId="77777777" w:rsidR="002C4558" w:rsidRDefault="002C4558" w:rsidP="002C4558"/>
    <w:p w14:paraId="2D11E847" w14:textId="77777777" w:rsidR="002C4558" w:rsidRDefault="002C4558" w:rsidP="002C4558"/>
    <w:p w14:paraId="2308C15D" w14:textId="77777777" w:rsidR="002C4558" w:rsidRDefault="002C4558" w:rsidP="002C4558"/>
    <w:p w14:paraId="21EED0E6" w14:textId="77777777" w:rsidR="002C4558" w:rsidRDefault="002C4558" w:rsidP="002C4558"/>
    <w:p w14:paraId="61D0BF4D" w14:textId="77777777" w:rsidR="002C4558" w:rsidRDefault="002C4558" w:rsidP="002C4558"/>
    <w:p w14:paraId="2047CC35" w14:textId="77777777" w:rsidR="002C4558" w:rsidRDefault="002C4558" w:rsidP="002C4558">
      <w:r>
        <w:br w:type="page"/>
      </w:r>
    </w:p>
    <w:p w14:paraId="7D71E1EB" w14:textId="77777777" w:rsidR="002C4558" w:rsidRDefault="002C4558" w:rsidP="002C4558">
      <w:pPr>
        <w:pStyle w:val="Heading2"/>
      </w:pPr>
      <w:bookmarkStart w:id="4" w:name="_Toc204022694"/>
      <w:r>
        <w:lastRenderedPageBreak/>
        <w:t>Research Gap</w:t>
      </w:r>
      <w:bookmarkEnd w:id="4"/>
    </w:p>
    <w:p w14:paraId="14F4FE51" w14:textId="77777777" w:rsidR="002C4558" w:rsidRDefault="002C4558" w:rsidP="002C4558">
      <w:r>
        <w:t>Despite growing interest in mobile health applications, a significant gap remains in integrating AR and OCR technologies to improve nutritional awareness and informed decision-making. In 2024 alone, mHealth apps were downloaded over 388 million times, reflecting the increasing global demand for digital health applications</w:t>
      </w:r>
      <w:sdt>
        <w:sdtPr>
          <w:id w:val="-802001166"/>
          <w:citation/>
        </w:sdtPr>
        <w:sdtContent>
          <w:r>
            <w:fldChar w:fldCharType="begin"/>
          </w:r>
          <w:r>
            <w:instrText xml:space="preserve"> CITATION Pan25 \l 2057 </w:instrText>
          </w:r>
          <w:r>
            <w:fldChar w:fldCharType="separate"/>
          </w:r>
          <w:r>
            <w:rPr>
              <w:noProof/>
            </w:rPr>
            <w:t xml:space="preserve"> </w:t>
          </w:r>
          <w:r w:rsidRPr="00763133">
            <w:rPr>
              <w:noProof/>
            </w:rPr>
            <w:t>[19]</w:t>
          </w:r>
          <w:r>
            <w:fldChar w:fldCharType="end"/>
          </w:r>
        </w:sdtContent>
      </w:sdt>
      <w:r>
        <w:t>. However, while several nutrition-focused mobile apps exist, such as MyFitnessPal and Yuka, they primarily rely on barcode scanning or manual data entry, which can be time-consuming, difficult to navigate, or inaccessible to all users, particularly those with low health literacy or various disabilities.</w:t>
      </w:r>
    </w:p>
    <w:p w14:paraId="15CD2C57" w14:textId="77777777" w:rsidR="002C4558" w:rsidRDefault="002C4558" w:rsidP="002C4558">
      <w:r>
        <w:t>There is a strong lack of AR-OCR integration for real-time nutrition support research, particularly in the area of extracting and visually overlaying nutrition data from packaging in real-time. While studies have shown AR’s ability to increase engagement and comprehension in both health and education contexts, it has not been widely applied to the interpretation of food labels in everyday contexts, such as grocery shopping or meal preparation, leaving a technological gap in how dietary health information is delivered in decision-making scenarios.</w:t>
      </w:r>
    </w:p>
    <w:p w14:paraId="7B2AC0F2" w14:textId="77777777" w:rsidR="002C4558" w:rsidRDefault="002C4558" w:rsidP="002C4558">
      <w:r>
        <w:t>This gap is significant given the role of diet in assisting with chronic health conditions such as diabetes, obesity or heart disease, conditions closely linked to excessive intake of salt, sugar and saturated fats. For individuals managing these health conditions, the ability to make quick and informed decisions is crucial. However, current food packaging can be challenging to interpret, especially for individuals with low nutritional knowledge or language barriers. Even the UK’s traffic light labelling system, while effective in theory, can be overlooked, misunderstood, or not even applied to packaging in various situations. This approach could support ease of access to health information for underserved populations, thereby overcoming the drawbacks inherent in current mHealth apps.</w:t>
      </w:r>
    </w:p>
    <w:p w14:paraId="3238FEB9" w14:textId="77777777" w:rsidR="002C4558" w:rsidRPr="0034426E" w:rsidRDefault="002C4558" w:rsidP="002C4558">
      <w:r>
        <w:t>To summarise, the reason why this research is necessary is due to its topical alignment with the rise of digital health, AI, and AR technologies. Its novel application uses emerging tools in a practical everyday context, such as food shopping. It has the potential to be scalable and impactful, the opportunity to influence public health behaviours is great, as well as the chance to inform policy and guide users with its inclusive app design. Empowering users to make healthier food choices can play a preventive role in managing diet-related diseases, promoting a healthier lifestyle and aiding those in need. Addressing the unexplored intersection of nutrition, mobile AR-OCR technology and health accessibility, this study seeks to fill a crucial research gap. It offers an opportunity to demonstrate how technology can directly support public health targets, particularly for those most at risk with poor dietary health.</w:t>
      </w:r>
    </w:p>
    <w:p w14:paraId="4F90CDF5" w14:textId="77777777" w:rsidR="002C4558" w:rsidRDefault="002C4558" w:rsidP="002C4558">
      <w:pPr>
        <w:pStyle w:val="Heading1"/>
      </w:pPr>
      <w:bookmarkStart w:id="5" w:name="_Toc204022695"/>
      <w:r>
        <w:lastRenderedPageBreak/>
        <w:t>Research Context</w:t>
      </w:r>
      <w:bookmarkEnd w:id="5"/>
    </w:p>
    <w:p w14:paraId="013A062D" w14:textId="77777777" w:rsidR="002C4558" w:rsidRDefault="002C4558" w:rsidP="002C4558">
      <w:r w:rsidRPr="00B35B6C">
        <w:t>The context in which this work will be</w:t>
      </w:r>
      <w:r>
        <w:t xml:space="preserve"> mostly</w:t>
      </w:r>
      <w:r w:rsidRPr="00B35B6C">
        <w:t xml:space="preserve"> applied would be a grocery retail environment, where users often make spontaneous food purchasing decisions with limited time to interpret detailed nutritional labels. Despite the introduction of the UK’s traffic light labelling system, which categorises fat, sugar, and salt levels using a red, amber, and green indicator, studies show that many consumers still struggle to interpret this information quickly and correctly, particularly those with lower health literacy or visual impairments.</w:t>
      </w:r>
      <w:sdt>
        <w:sdtPr>
          <w:id w:val="-2037265941"/>
          <w:citation/>
        </w:sdtPr>
        <w:sdtContent>
          <w:r>
            <w:fldChar w:fldCharType="begin"/>
          </w:r>
          <w:r>
            <w:instrText xml:space="preserve"> CITATION Foo18 \l 2057 </w:instrText>
          </w:r>
          <w:r>
            <w:fldChar w:fldCharType="separate"/>
          </w:r>
          <w:r>
            <w:rPr>
              <w:noProof/>
            </w:rPr>
            <w:t xml:space="preserve"> </w:t>
          </w:r>
          <w:r w:rsidRPr="00763133">
            <w:rPr>
              <w:noProof/>
            </w:rPr>
            <w:t>[20]</w:t>
          </w:r>
          <w:r>
            <w:fldChar w:fldCharType="end"/>
          </w:r>
        </w:sdtContent>
      </w:sdt>
    </w:p>
    <w:p w14:paraId="2A0B9B7B" w14:textId="77777777" w:rsidR="002C4558" w:rsidRDefault="002C4558" w:rsidP="002C4558">
      <w:r w:rsidRPr="00B35B6C">
        <w:t>According to the UK Food Standards Agency, any food item with more than 1.5g of salt per 100g is classified as “high” in salt</w:t>
      </w:r>
      <w:sdt>
        <w:sdtPr>
          <w:id w:val="1348440808"/>
          <w:citation/>
        </w:sdtPr>
        <w:sdtContent>
          <w:r>
            <w:fldChar w:fldCharType="begin"/>
          </w:r>
          <w:r>
            <w:instrText xml:space="preserve"> CITATION Foo16 \l 2057 </w:instrText>
          </w:r>
          <w:r>
            <w:fldChar w:fldCharType="separate"/>
          </w:r>
          <w:r>
            <w:rPr>
              <w:noProof/>
            </w:rPr>
            <w:t xml:space="preserve"> </w:t>
          </w:r>
          <w:r w:rsidRPr="00763133">
            <w:rPr>
              <w:noProof/>
            </w:rPr>
            <w:t>[21]</w:t>
          </w:r>
          <w:r>
            <w:fldChar w:fldCharType="end"/>
          </w:r>
        </w:sdtContent>
      </w:sdt>
      <w:r w:rsidRPr="00B35B6C">
        <w:t>. Consistently exceeding this threshold will contribute to an increase in risk for stroke, heart disease and hypertension, which are very prevalent in the UK. The British Heart Foundation reports that around 28% of adults in England have high blood pressure, which is highly linked to excessive salt intake.</w:t>
      </w:r>
      <w:sdt>
        <w:sdtPr>
          <w:id w:val="81963869"/>
          <w:citation/>
        </w:sdtPr>
        <w:sdtContent>
          <w:r>
            <w:fldChar w:fldCharType="begin"/>
          </w:r>
          <w:r>
            <w:instrText xml:space="preserve"> CITATION Bri22 \l 2057 </w:instrText>
          </w:r>
          <w:r>
            <w:fldChar w:fldCharType="separate"/>
          </w:r>
          <w:r>
            <w:rPr>
              <w:noProof/>
            </w:rPr>
            <w:t xml:space="preserve"> </w:t>
          </w:r>
          <w:r w:rsidRPr="00763133">
            <w:rPr>
              <w:noProof/>
            </w:rPr>
            <w:t>[22]</w:t>
          </w:r>
          <w:r>
            <w:fldChar w:fldCharType="end"/>
          </w:r>
        </w:sdtContent>
      </w:sdt>
    </w:p>
    <w:p w14:paraId="1A587AD4" w14:textId="77777777" w:rsidR="002C4558" w:rsidRDefault="002C4558" w:rsidP="002C4558">
      <w:r>
        <w:t>For individuals managing health conditions, food choices have a significant influence on health outcomes; however, current mobile solutions offer limited support at the point of purchase.</w:t>
      </w:r>
    </w:p>
    <w:p w14:paraId="4F6CDE62" w14:textId="77777777" w:rsidR="002C4558" w:rsidRDefault="002C4558" w:rsidP="002C4558">
      <w:r>
        <w:t>The target audience for this study is individuals with specific dietary restrictions who require simplified, real-time feedback on nutritional content. The prototype will be deployed on smartphones equipped with AR capabilities, using their camera to extract and analyse nutrition label text.</w:t>
      </w:r>
    </w:p>
    <w:p w14:paraId="1E9C431D" w14:textId="77777777" w:rsidR="002C4558" w:rsidRDefault="002C4558" w:rsidP="002C4558">
      <w:r>
        <w:t>An investigation into the best programming language and framework will be conducted, looking at a range of different services. Potential candidates consist of REACT native with AR camera plugins, connected to OpenAI’s API to utilise GPT4.0’s text recognition capabilities. Other technologies that could be considered include Google’s ML Kit, coupled with Java for Android. More information on the technology used will be explored during development, and after a concluded prototype is developed, insight will be shared on its creation.</w:t>
      </w:r>
    </w:p>
    <w:p w14:paraId="6BC761CF" w14:textId="77777777" w:rsidR="002C4558" w:rsidRDefault="002C4558" w:rsidP="002C4558">
      <w:r>
        <w:t>When developing the application, accessibility should be at the forefront of the design process. Implementing inclusive design patterns early on significantly improves the user experience and enhances usability. These include adhering to the WCAG 2.1 AA standards, ensuring a minimum contrast ratio of 4.5:1 for standard text and 3:1 for larger text elements</w:t>
      </w:r>
      <w:sdt>
        <w:sdtPr>
          <w:id w:val="156972741"/>
          <w:citation/>
        </w:sdtPr>
        <w:sdtContent>
          <w:r>
            <w:fldChar w:fldCharType="begin"/>
          </w:r>
          <w:r>
            <w:instrText xml:space="preserve"> CITATION W3C18 \l 2057 </w:instrText>
          </w:r>
          <w:r>
            <w:fldChar w:fldCharType="separate"/>
          </w:r>
          <w:r>
            <w:rPr>
              <w:noProof/>
            </w:rPr>
            <w:t xml:space="preserve"> </w:t>
          </w:r>
          <w:r w:rsidRPr="00763133">
            <w:rPr>
              <w:noProof/>
            </w:rPr>
            <w:t>[23]</w:t>
          </w:r>
          <w:r>
            <w:fldChar w:fldCharType="end"/>
          </w:r>
        </w:sdtContent>
      </w:sdt>
      <w:r>
        <w:t>. Additionally, the interface should avoid relying solely on colours, but also incorporate text labels, icons, shapes, or patterns to convey meaning, making it more straightforward for users with visual impairments or cognitive challenges. By integrating visual cues such as colours and patterns alongside minimal text, the interface can remain interpretable regardless of a user’s spoken language, promoting cross-cultural and multilingual accessibility</w:t>
      </w:r>
      <w:sdt>
        <w:sdtPr>
          <w:id w:val="-1628225867"/>
          <w:citation/>
        </w:sdtPr>
        <w:sdtContent>
          <w:r>
            <w:fldChar w:fldCharType="begin"/>
          </w:r>
          <w:r>
            <w:instrText xml:space="preserve"> CITATION W3C07 \l 2057 </w:instrText>
          </w:r>
          <w:r>
            <w:fldChar w:fldCharType="separate"/>
          </w:r>
          <w:r>
            <w:rPr>
              <w:noProof/>
            </w:rPr>
            <w:t xml:space="preserve"> </w:t>
          </w:r>
          <w:r w:rsidRPr="00763133">
            <w:rPr>
              <w:noProof/>
            </w:rPr>
            <w:t>[24]</w:t>
          </w:r>
          <w:r>
            <w:fldChar w:fldCharType="end"/>
          </w:r>
        </w:sdtContent>
      </w:sdt>
      <w:r>
        <w:t xml:space="preserve">. Universal design principles should also be considered, ensuring usability for those with low vision, dyslexia or </w:t>
      </w:r>
      <w:r>
        <w:lastRenderedPageBreak/>
        <w:t>cognitive impairment</w:t>
      </w:r>
      <w:sdt>
        <w:sdtPr>
          <w:id w:val="-1227910834"/>
          <w:citation/>
        </w:sdtPr>
        <w:sdtContent>
          <w:r>
            <w:fldChar w:fldCharType="begin"/>
          </w:r>
          <w:r>
            <w:instrText xml:space="preserve"> CITATION Per14 \l 2057 </w:instrText>
          </w:r>
          <w:r>
            <w:fldChar w:fldCharType="separate"/>
          </w:r>
          <w:r>
            <w:rPr>
              <w:noProof/>
            </w:rPr>
            <w:t xml:space="preserve"> </w:t>
          </w:r>
          <w:r w:rsidRPr="00763133">
            <w:rPr>
              <w:noProof/>
            </w:rPr>
            <w:t>[25]</w:t>
          </w:r>
          <w:r>
            <w:fldChar w:fldCharType="end"/>
          </w:r>
        </w:sdtContent>
      </w:sdt>
      <w:r>
        <w:t>. The selected accessibility standards and design patterns will be defined and discussed before development, establishing clear goals for an inclusive and usable AR-OCR prototype.</w:t>
      </w:r>
    </w:p>
    <w:p w14:paraId="5B003DD4" w14:textId="77777777" w:rsidR="002C4558" w:rsidRDefault="002C4558" w:rsidP="002C4558"/>
    <w:p w14:paraId="3350E2FB" w14:textId="77777777" w:rsidR="002C4558" w:rsidRDefault="002C4558" w:rsidP="002C4558">
      <w:pPr>
        <w:pStyle w:val="Heading1"/>
      </w:pPr>
      <w:bookmarkStart w:id="6" w:name="_Toc204022696"/>
      <w:r>
        <w:t>Aim and Objectives</w:t>
      </w:r>
      <w:bookmarkEnd w:id="6"/>
    </w:p>
    <w:p w14:paraId="41207F6A" w14:textId="77777777" w:rsidR="002C4558" w:rsidRDefault="002C4558" w:rsidP="002C4558">
      <w:pPr>
        <w:pStyle w:val="Heading2"/>
      </w:pPr>
      <w:bookmarkStart w:id="7" w:name="_Toc204022697"/>
      <w:r>
        <w:t>Research Aim</w:t>
      </w:r>
      <w:bookmarkEnd w:id="7"/>
    </w:p>
    <w:p w14:paraId="16C4E33F" w14:textId="77777777" w:rsidR="002C4558" w:rsidRDefault="002C4558" w:rsidP="002C4558">
      <w:r>
        <w:t>The primary aim of this study is to evaluate whether a mobile application that utilises Augmented Reality and Optical Character Recognition technologies can enhance users’ understanding of nutritional labels and support healthier dietary decisions. This is especially relevant for individuals managing diet-related health conditions, such as diabetes, heart disease, or hypertension, who often require more accessible and comprehensible nutritional information to manage their intake of key nutrients, including salt, sugar, and saturated fats.</w:t>
      </w:r>
    </w:p>
    <w:p w14:paraId="1A4EA448" w14:textId="77777777" w:rsidR="002C4558" w:rsidRDefault="002C4558" w:rsidP="002C4558">
      <w:r>
        <w:t>The research will explore the idea that AR-enhanced, real-time feedback and simplified cues provided by the traffic light labelling will reduce cognitive load, improve understanding of nutritional intake, and influence behavioural intention and decision-making, drawing from behavioural change models such as the Theory of Planned Behaviour and the Fogg Behaviour Model.</w:t>
      </w:r>
    </w:p>
    <w:p w14:paraId="56012111" w14:textId="77777777" w:rsidR="002C4558" w:rsidRDefault="002C4558" w:rsidP="002C4558"/>
    <w:p w14:paraId="045E6AE3" w14:textId="77777777" w:rsidR="002C4558" w:rsidRDefault="002C4558" w:rsidP="002C4558">
      <w:pPr>
        <w:pStyle w:val="Heading2"/>
      </w:pPr>
      <w:bookmarkStart w:id="8" w:name="_Toc204022698"/>
      <w:r>
        <w:t>SMART Research Objectives</w:t>
      </w:r>
      <w:bookmarkEnd w:id="8"/>
    </w:p>
    <w:p w14:paraId="3537348C" w14:textId="77777777" w:rsidR="002C4558" w:rsidRDefault="002C4558" w:rsidP="002C4558">
      <w:r>
        <w:t>Objective 1 – Literature and Technology Review:</w:t>
      </w:r>
    </w:p>
    <w:p w14:paraId="21E7AD89" w14:textId="77777777" w:rsidR="002C4558" w:rsidRDefault="002C4558" w:rsidP="002C4558">
      <w:pPr>
        <w:ind w:left="720"/>
      </w:pPr>
      <w:r w:rsidRPr="00160BF1">
        <w:t xml:space="preserve">This project will critically analyse existing mobile health </w:t>
      </w:r>
      <w:r>
        <w:t xml:space="preserve">research and </w:t>
      </w:r>
      <w:r w:rsidRPr="00160BF1">
        <w:t>applications that focus on food nutrition and label scanning, including MyFitnessPal, Yuka, and other diet-related mobile applications.</w:t>
      </w:r>
    </w:p>
    <w:p w14:paraId="4FF92FF8" w14:textId="77777777" w:rsidR="002C4558" w:rsidRDefault="002C4558" w:rsidP="002C4558">
      <w:r>
        <w:t>Objective 2 – Technical Evaluation of AR and OCR</w:t>
      </w:r>
    </w:p>
    <w:p w14:paraId="25B216B6" w14:textId="77777777" w:rsidR="002C4558" w:rsidRDefault="002C4558" w:rsidP="002C4558">
      <w:pPr>
        <w:ind w:left="720"/>
      </w:pPr>
      <w:r w:rsidRPr="00160BF1">
        <w:t>A comparison and evaluation of current AR frameworks will be conducted, studying their speed, accuracy, and mobile compatibility, particularly when reading nutritional labels under real-world conditions such as glare, difficult angles and font sizes.</w:t>
      </w:r>
    </w:p>
    <w:p w14:paraId="3C1E00E2" w14:textId="77777777" w:rsidR="002C4558" w:rsidRDefault="002C4558" w:rsidP="002C4558">
      <w:r>
        <w:t>Objective 3– Prototype Development</w:t>
      </w:r>
    </w:p>
    <w:p w14:paraId="6614C3DA" w14:textId="77777777" w:rsidR="002C4558" w:rsidRDefault="002C4558" w:rsidP="002C4558">
      <w:pPr>
        <w:ind w:left="720"/>
      </w:pPr>
      <w:r w:rsidRPr="00343804">
        <w:t>A functional mobile application will be designed and developed that can extract and interpret nutritional data using OCR and overlay this data through AR visual elements.</w:t>
      </w:r>
    </w:p>
    <w:p w14:paraId="45AA75A9" w14:textId="77777777" w:rsidR="002C4558" w:rsidRDefault="002C4558" w:rsidP="002C4558">
      <w:r>
        <w:lastRenderedPageBreak/>
        <w:t>Objective 4 – Usability and impactfulness testing</w:t>
      </w:r>
    </w:p>
    <w:p w14:paraId="3770AAB6" w14:textId="77777777" w:rsidR="002C4558" w:rsidRDefault="002C4558" w:rsidP="002C4558">
      <w:pPr>
        <w:ind w:left="720"/>
      </w:pPr>
      <w:r w:rsidRPr="00343804">
        <w:t>To conduct usability testing and evaluate the impact of the AR-OCR app on users’ ability to interpret nutrition labels. Testing will involve qualitative interviews and quantitative surveys with members of the general public and with those with health conditions that require a careful diet.</w:t>
      </w:r>
    </w:p>
    <w:p w14:paraId="7851EB8B" w14:textId="77777777" w:rsidR="002C4558" w:rsidRDefault="002C4558" w:rsidP="002C4558">
      <w:r>
        <w:t>Objective 5 – Behavioural and Feedback Analysis</w:t>
      </w:r>
    </w:p>
    <w:p w14:paraId="79C6351E" w14:textId="77777777" w:rsidR="002C4558" w:rsidRDefault="002C4558" w:rsidP="002C4558">
      <w:pPr>
        <w:ind w:left="720"/>
      </w:pPr>
      <w:r w:rsidRPr="00343804">
        <w:t>To analyse user feedback and behavioural responses, mixed methods will be employed, including surveys, interviews, and interaction logs, to assess the app's effectiveness in influencing food choices and supporting informed dietary decisions. This will help determine how users perceive the usefulness and usability of the AR-OCR interface.</w:t>
      </w:r>
    </w:p>
    <w:p w14:paraId="43F0C93E" w14:textId="77777777" w:rsidR="002C4558" w:rsidRDefault="002C4558" w:rsidP="002C4558"/>
    <w:p w14:paraId="0765276B" w14:textId="77777777" w:rsidR="002C4558" w:rsidRDefault="002C4558" w:rsidP="002C4558"/>
    <w:p w14:paraId="4EA5E9D2" w14:textId="77777777" w:rsidR="002C4558" w:rsidRDefault="002C4558" w:rsidP="002C4558"/>
    <w:p w14:paraId="4E07EEBC" w14:textId="77777777" w:rsidR="002C4558" w:rsidRDefault="002C4558" w:rsidP="002C4558"/>
    <w:p w14:paraId="215E8D26" w14:textId="77777777" w:rsidR="002C4558" w:rsidRDefault="002C4558" w:rsidP="002C4558"/>
    <w:p w14:paraId="43599F08" w14:textId="77777777" w:rsidR="002C4558" w:rsidRDefault="002C4558" w:rsidP="002C4558"/>
    <w:p w14:paraId="6036C088" w14:textId="77777777" w:rsidR="002C4558" w:rsidRDefault="002C4558" w:rsidP="002C4558"/>
    <w:p w14:paraId="2F851E50" w14:textId="77777777" w:rsidR="002C4558" w:rsidRDefault="002C4558" w:rsidP="002C4558"/>
    <w:p w14:paraId="20E8B509" w14:textId="77777777" w:rsidR="002C4558" w:rsidRDefault="002C4558" w:rsidP="002C4558"/>
    <w:p w14:paraId="1A75E92C" w14:textId="77777777" w:rsidR="002C4558" w:rsidRDefault="002C4558" w:rsidP="002C4558"/>
    <w:p w14:paraId="387EFABA" w14:textId="77777777" w:rsidR="002C4558" w:rsidRDefault="002C4558" w:rsidP="002C4558"/>
    <w:p w14:paraId="7A657ED1" w14:textId="77777777" w:rsidR="002C4558" w:rsidRDefault="002C4558" w:rsidP="002C4558"/>
    <w:p w14:paraId="22BF228C" w14:textId="77777777" w:rsidR="002C4558" w:rsidRDefault="002C4558" w:rsidP="002C4558"/>
    <w:p w14:paraId="199D09B0" w14:textId="77777777" w:rsidR="002C4558" w:rsidRPr="003559D3" w:rsidRDefault="002C4558" w:rsidP="002C4558">
      <w:r>
        <w:br w:type="page"/>
      </w:r>
    </w:p>
    <w:p w14:paraId="38895A96" w14:textId="77777777" w:rsidR="002C4558" w:rsidRDefault="002C4558" w:rsidP="002C4558">
      <w:pPr>
        <w:pStyle w:val="Heading1"/>
      </w:pPr>
      <w:bookmarkStart w:id="9" w:name="_Toc204022699"/>
      <w:r>
        <w:lastRenderedPageBreak/>
        <w:t>Expected Outcomes and Deliverables</w:t>
      </w:r>
      <w:bookmarkEnd w:id="9"/>
    </w:p>
    <w:p w14:paraId="0865086F" w14:textId="77777777" w:rsidR="002C4558" w:rsidRPr="00A83891" w:rsidRDefault="002C4558" w:rsidP="002C4558">
      <w:r w:rsidRPr="00A83891">
        <w:t>This project aims to deliver a range of practical, technical, and academic outputs that demonstrate the feasibility of integrating AR and OCR technologies in mobile health applications for nutritional purposes, as well as their impact.</w:t>
      </w:r>
    </w:p>
    <w:p w14:paraId="270138EE" w14:textId="77777777" w:rsidR="002C4558" w:rsidRPr="00A83891" w:rsidRDefault="002C4558" w:rsidP="002C4558">
      <w:r w:rsidRPr="00A83891">
        <w:t>Firstly, a fully functional mobile application prototype will be developed, allowing users to scan food packaging using their smartphone's camera. This app should use OCR to extract nutritional information from standard food labels, apply AR overlays to display this information in a clear and accessible manner and lastly implement the UK traffic light system, as defined by the FSA, using red, amber and green to indicate high, medium and low levels of nutritional content.</w:t>
      </w:r>
    </w:p>
    <w:p w14:paraId="74F1DB8C" w14:textId="77777777" w:rsidR="002C4558" w:rsidRPr="00A83891" w:rsidRDefault="002C4558" w:rsidP="002C4558">
      <w:r w:rsidRPr="00A83891">
        <w:t>Following this, a user study will be conducted to assess the usability of the application, measuring its intuitiveness, efficiency, and accessibility, particularly for individuals with dietary conditions or visual/ cognitive disabilities. Its perceived usefulness, drawn from the Technology Acceptance Model, will be used to evaluate whether users find the application beneficial for making dietary decisions. The user’s behavioural impact will also be assessed to determine if the application influences the user's ability to interpret food labels more accurately or make healthier food choices in the long term.</w:t>
      </w:r>
    </w:p>
    <w:p w14:paraId="7D8088EF" w14:textId="77777777" w:rsidR="002C4558" w:rsidRPr="00A83891" w:rsidRDefault="002C4558" w:rsidP="002C4558">
      <w:r w:rsidRPr="00A83891">
        <w:t>This project will then compile to produce a written report that will detail the technical aspects of developing the AR-OCR application. It will contain findings from the user evaluation, comparing the results to existing literature in nutrition and mobile health technologies. It is hoped that this will contribute to the broader academic discourse on digital health, particularly in enhancing health literacy. Future research and development will be discussed at the end, highlighting the possibilities of improving the mobile application and how more mobile health applications could integrate more accessible and more straightforward designs.</w:t>
      </w:r>
    </w:p>
    <w:p w14:paraId="47123B6D" w14:textId="77777777" w:rsidR="002C4558" w:rsidRDefault="002C4558" w:rsidP="002C4558">
      <w:pPr>
        <w:keepNext/>
        <w:jc w:val="center"/>
      </w:pPr>
    </w:p>
    <w:p w14:paraId="217E8F27" w14:textId="77777777" w:rsidR="002C4558" w:rsidRDefault="002C4558" w:rsidP="002C4558">
      <w:pPr>
        <w:keepNext/>
        <w:jc w:val="center"/>
      </w:pPr>
    </w:p>
    <w:p w14:paraId="0F469ABF" w14:textId="77777777" w:rsidR="002C4558" w:rsidRDefault="002C4558" w:rsidP="002C4558">
      <w:pPr>
        <w:keepNext/>
        <w:jc w:val="center"/>
      </w:pPr>
      <w:r>
        <w:rPr>
          <w:noProof/>
        </w:rPr>
        <mc:AlternateContent>
          <mc:Choice Requires="wps">
            <w:drawing>
              <wp:anchor distT="0" distB="0" distL="114300" distR="114300" simplePos="0" relativeHeight="251663360" behindDoc="0" locked="0" layoutInCell="1" allowOverlap="1" wp14:anchorId="382861CE" wp14:editId="003CEB1D">
                <wp:simplePos x="0" y="0"/>
                <wp:positionH relativeFrom="column">
                  <wp:posOffset>3032416</wp:posOffset>
                </wp:positionH>
                <wp:positionV relativeFrom="paragraph">
                  <wp:posOffset>2040255</wp:posOffset>
                </wp:positionV>
                <wp:extent cx="869259" cy="141161"/>
                <wp:effectExtent l="12700" t="152400" r="7620" b="151130"/>
                <wp:wrapNone/>
                <wp:docPr id="88979830" name="Process 5"/>
                <wp:cNvGraphicFramePr/>
                <a:graphic xmlns:a="http://schemas.openxmlformats.org/drawingml/2006/main">
                  <a:graphicData uri="http://schemas.microsoft.com/office/word/2010/wordprocessingShape">
                    <wps:wsp>
                      <wps:cNvSpPr/>
                      <wps:spPr>
                        <a:xfrm rot="1135479">
                          <a:off x="0" y="0"/>
                          <a:ext cx="869259" cy="141161"/>
                        </a:xfrm>
                        <a:prstGeom prst="flowChartProcess">
                          <a:avLst/>
                        </a:prstGeom>
                        <a:noFill/>
                        <a:ln>
                          <a:solidFill>
                            <a:schemeClr val="accent1">
                              <a:lumMod val="40000"/>
                              <a:lumOff val="60000"/>
                            </a:schemeClr>
                          </a:solidFill>
                        </a:ln>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B1170E" id="_x0000_t109" coordsize="21600,21600" o:spt="109" path="m,l,21600r21600,l21600,xe">
                <v:stroke joinstyle="miter"/>
                <v:path gradientshapeok="t" o:connecttype="rect"/>
              </v:shapetype>
              <v:shape id="Process 5" o:spid="_x0000_s1026" type="#_x0000_t109" style="position:absolute;margin-left:238.75pt;margin-top:160.65pt;width:68.45pt;height:11.1pt;rotation:1240246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" filled="f" strokecolor="#83caeb [1300]" strokeweight="1pt"/>
            </w:pict>
          </mc:Fallback>
        </mc:AlternateContent>
      </w:r>
      <w:r>
        <w:rPr>
          <w:noProof/>
        </w:rPr>
        <mc:AlternateContent>
          <mc:Choice Requires="wps">
            <w:drawing>
              <wp:anchor distT="0" distB="0" distL="114300" distR="114300" simplePos="0" relativeHeight="251665408" behindDoc="0" locked="0" layoutInCell="1" allowOverlap="1" wp14:anchorId="3C1471C1" wp14:editId="775CD81F">
                <wp:simplePos x="0" y="0"/>
                <wp:positionH relativeFrom="column">
                  <wp:posOffset>4871103</wp:posOffset>
                </wp:positionH>
                <wp:positionV relativeFrom="paragraph">
                  <wp:posOffset>2538101</wp:posOffset>
                </wp:positionV>
                <wp:extent cx="1668780" cy="786213"/>
                <wp:effectExtent l="0" t="0" r="7620" b="13970"/>
                <wp:wrapNone/>
                <wp:docPr id="358366102" name="Text Box 2"/>
                <wp:cNvGraphicFramePr/>
                <a:graphic xmlns:a="http://schemas.openxmlformats.org/drawingml/2006/main">
                  <a:graphicData uri="http://schemas.microsoft.com/office/word/2010/wordprocessingShape">
                    <wps:wsp>
                      <wps:cNvSpPr txBox="1"/>
                      <wps:spPr>
                        <a:xfrm>
                          <a:off x="0" y="0"/>
                          <a:ext cx="1668780" cy="786213"/>
                        </a:xfrm>
                        <a:prstGeom prst="rect">
                          <a:avLst/>
                        </a:prstGeom>
                        <a:solidFill>
                          <a:schemeClr val="lt1"/>
                        </a:solidFill>
                        <a:ln w="6350">
                          <a:solidFill>
                            <a:prstClr val="black"/>
                          </a:solidFill>
                        </a:ln>
                      </wps:spPr>
                      <wps:txbx>
                        <w:txbxContent>
                          <w:p w14:paraId="43D661B0" w14:textId="77777777" w:rsidR="002C4558" w:rsidRDefault="002C4558" w:rsidP="002C4558">
                            <w:r>
                              <w:t>In line row highlight to reflect quantities as per the NHS and FSA guidelines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C1471C1" id="_x0000_t202" coordsize="21600,21600" o:spt="202" path="m,l,21600r21600,l21600,xe">
                <v:stroke joinstyle="miter"/>
                <v:path gradientshapeok="t" o:connecttype="rect"/>
              </v:shapetype>
              <v:shape id="Text Box 2" o:spid="_x0000_s1026" type="#_x0000_t202" style="position:absolute;left:0;text-align:left;margin-left:383.55pt;margin-top:199.85pt;width:131.4pt;height:61.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" fillcolor="white [3201]" strokeweight=".5pt">
                <v:textbox>
                  <w:txbxContent>
                    <w:p w14:paraId="43D661B0" w14:textId="77777777" w:rsidR="002C4558" w:rsidRDefault="002C4558" w:rsidP="002C4558">
                      <w:r>
                        <w:t>In line row highlight to reflect quantities as per the NHS and FSA guidelines</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3FDC11C7" wp14:editId="78A2C426">
                <wp:simplePos x="0" y="0"/>
                <wp:positionH relativeFrom="column">
                  <wp:posOffset>3760150</wp:posOffset>
                </wp:positionH>
                <wp:positionV relativeFrom="paragraph">
                  <wp:posOffset>2615013</wp:posOffset>
                </wp:positionV>
                <wp:extent cx="1478422" cy="376015"/>
                <wp:effectExtent l="0" t="38100" r="20320" b="17780"/>
                <wp:wrapNone/>
                <wp:docPr id="2010819945" name="Straight Arrow Connector 6"/>
                <wp:cNvGraphicFramePr/>
                <a:graphic xmlns:a="http://schemas.openxmlformats.org/drawingml/2006/main">
                  <a:graphicData uri="http://schemas.microsoft.com/office/word/2010/wordprocessingShape">
                    <wps:wsp>
                      <wps:cNvCnPr/>
                      <wps:spPr>
                        <a:xfrm flipH="1" flipV="1">
                          <a:off x="0" y="0"/>
                          <a:ext cx="1478422" cy="376015"/>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shapetype w14:anchorId="5BCA8EB2" id="_x0000_t32" coordsize="21600,21600" o:spt="32" o:oned="t" path="m,l21600,21600e" filled="f">
                <v:path arrowok="t" fillok="f" o:connecttype="none"/>
                <o:lock v:ext="edit" shapetype="t"/>
              </v:shapetype>
              <v:shape id="Straight Arrow Connector 6" o:spid="_x0000_s1026" type="#_x0000_t32" style="position:absolute;margin-left:296.05pt;margin-top:205.9pt;width:116.4pt;height:29.6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" strokecolor="#0f9ed5 [3207]"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174BE33D" wp14:editId="5559512F">
                <wp:simplePos x="0" y="0"/>
                <wp:positionH relativeFrom="column">
                  <wp:posOffset>4869180</wp:posOffset>
                </wp:positionH>
                <wp:positionV relativeFrom="paragraph">
                  <wp:posOffset>-251460</wp:posOffset>
                </wp:positionV>
                <wp:extent cx="1668780" cy="1165860"/>
                <wp:effectExtent l="0" t="0" r="7620" b="15240"/>
                <wp:wrapNone/>
                <wp:docPr id="1726327550" name="Text Box 2"/>
                <wp:cNvGraphicFramePr/>
                <a:graphic xmlns:a="http://schemas.openxmlformats.org/drawingml/2006/main">
                  <a:graphicData uri="http://schemas.microsoft.com/office/word/2010/wordprocessingShape">
                    <wps:wsp>
                      <wps:cNvSpPr txBox="1"/>
                      <wps:spPr>
                        <a:xfrm>
                          <a:off x="0" y="0"/>
                          <a:ext cx="1668780" cy="1165860"/>
                        </a:xfrm>
                        <a:prstGeom prst="rect">
                          <a:avLst/>
                        </a:prstGeom>
                        <a:solidFill>
                          <a:schemeClr val="lt1"/>
                        </a:solidFill>
                        <a:ln w="6350">
                          <a:solidFill>
                            <a:prstClr val="black"/>
                          </a:solidFill>
                        </a:ln>
                      </wps:spPr>
                      <wps:txbx>
                        <w:txbxContent>
                          <w:p w14:paraId="328D64F1" w14:textId="77777777" w:rsidR="002C4558" w:rsidRDefault="002C4558" w:rsidP="002C4558">
                            <w:r>
                              <w:t xml:space="preserve">Extracts quantities based off per 100g, per 30g or per serving factored into the calculation.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4BE33D" id="_x0000_s1027" type="#_x0000_t202" style="position:absolute;left:0;text-align:left;margin-left:383.4pt;margin-top:-19.8pt;width:131.4pt;height:91.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" fillcolor="white [3201]" strokeweight=".5pt">
                <v:textbox>
                  <w:txbxContent>
                    <w:p w14:paraId="328D64F1" w14:textId="77777777" w:rsidR="002C4558" w:rsidRDefault="002C4558" w:rsidP="002C4558">
                      <w:r>
                        <w:t xml:space="preserve">Extracts quantities based off per 100g, per 30g or per serving factored into the calculation. </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5E8C507D" wp14:editId="47F8B223">
                <wp:simplePos x="0" y="0"/>
                <wp:positionH relativeFrom="column">
                  <wp:posOffset>3566160</wp:posOffset>
                </wp:positionH>
                <wp:positionV relativeFrom="paragraph">
                  <wp:posOffset>914400</wp:posOffset>
                </wp:positionV>
                <wp:extent cx="1428750" cy="1131570"/>
                <wp:effectExtent l="25400" t="0" r="19050" b="36830"/>
                <wp:wrapNone/>
                <wp:docPr id="1596503917" name="Straight Arrow Connector 4"/>
                <wp:cNvGraphicFramePr/>
                <a:graphic xmlns:a="http://schemas.openxmlformats.org/drawingml/2006/main">
                  <a:graphicData uri="http://schemas.microsoft.com/office/word/2010/wordprocessingShape">
                    <wps:wsp>
                      <wps:cNvCnPr/>
                      <wps:spPr>
                        <a:xfrm flipH="1">
                          <a:off x="0" y="0"/>
                          <a:ext cx="1428750" cy="1131570"/>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shape w14:anchorId="6575A8AF" id="Straight Arrow Connector 4" o:spid="_x0000_s1026" type="#_x0000_t32" style="position:absolute;margin-left:280.8pt;margin-top:1in;width:112.5pt;height:89.1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" strokecolor="#0f9ed5 [3207]"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2AD6C3AE" wp14:editId="0C1DB152">
                <wp:simplePos x="0" y="0"/>
                <wp:positionH relativeFrom="column">
                  <wp:posOffset>811530</wp:posOffset>
                </wp:positionH>
                <wp:positionV relativeFrom="paragraph">
                  <wp:posOffset>-57150</wp:posOffset>
                </wp:positionV>
                <wp:extent cx="640080" cy="434340"/>
                <wp:effectExtent l="0" t="0" r="33020" b="35560"/>
                <wp:wrapNone/>
                <wp:docPr id="565330545" name="Straight Arrow Connector 3"/>
                <wp:cNvGraphicFramePr/>
                <a:graphic xmlns:a="http://schemas.openxmlformats.org/drawingml/2006/main">
                  <a:graphicData uri="http://schemas.microsoft.com/office/word/2010/wordprocessingShape">
                    <wps:wsp>
                      <wps:cNvCnPr/>
                      <wps:spPr>
                        <a:xfrm>
                          <a:off x="0" y="0"/>
                          <a:ext cx="640080" cy="434340"/>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shape w14:anchorId="5F45439A" id="Straight Arrow Connector 3" o:spid="_x0000_s1026" type="#_x0000_t32" style="position:absolute;margin-left:63.9pt;margin-top:-4.5pt;width:50.4pt;height:34.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" strokecolor="#0f9ed5 [3207]" strokeweight=".5pt">
                <v:stroke endarrow="block" joinstyle="miter"/>
              </v:shape>
            </w:pict>
          </mc:Fallback>
        </mc:AlternateContent>
      </w:r>
      <w:r>
        <w:rPr>
          <w:noProof/>
        </w:rPr>
        <mc:AlternateContent>
          <mc:Choice Requires="wps">
            <w:drawing>
              <wp:anchor distT="0" distB="0" distL="114300" distR="114300" simplePos="0" relativeHeight="251659264" behindDoc="0" locked="0" layoutInCell="1" allowOverlap="1" wp14:anchorId="6A2858B9" wp14:editId="28E0AB6B">
                <wp:simplePos x="0" y="0"/>
                <wp:positionH relativeFrom="column">
                  <wp:posOffset>-228600</wp:posOffset>
                </wp:positionH>
                <wp:positionV relativeFrom="paragraph">
                  <wp:posOffset>-342900</wp:posOffset>
                </wp:positionV>
                <wp:extent cx="1463040" cy="285750"/>
                <wp:effectExtent l="0" t="0" r="10160" b="19050"/>
                <wp:wrapNone/>
                <wp:docPr id="176835038" name="Text Box 1"/>
                <wp:cNvGraphicFramePr/>
                <a:graphic xmlns:a="http://schemas.openxmlformats.org/drawingml/2006/main">
                  <a:graphicData uri="http://schemas.microsoft.com/office/word/2010/wordprocessingShape">
                    <wps:wsp>
                      <wps:cNvSpPr txBox="1"/>
                      <wps:spPr>
                        <a:xfrm>
                          <a:off x="0" y="0"/>
                          <a:ext cx="1463040" cy="285750"/>
                        </a:xfrm>
                        <a:prstGeom prst="rect">
                          <a:avLst/>
                        </a:prstGeom>
                        <a:solidFill>
                          <a:schemeClr val="lt1"/>
                        </a:solidFill>
                        <a:ln w="6350">
                          <a:solidFill>
                            <a:prstClr val="black"/>
                          </a:solidFill>
                        </a:ln>
                      </wps:spPr>
                      <wps:txbx>
                        <w:txbxContent>
                          <w:p w14:paraId="6D4AD0D2" w14:textId="77777777" w:rsidR="002C4558" w:rsidRDefault="002C4558" w:rsidP="002C4558">
                            <w:r>
                              <w:t>Colour key guide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2858B9" id="Text Box 1" o:spid="_x0000_s1028" type="#_x0000_t202" style="position:absolute;left:0;text-align:left;margin-left:-18pt;margin-top:-27pt;width:115.2pt;height:2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" fillcolor="white [3201]" strokeweight=".5pt">
                <v:textbox>
                  <w:txbxContent>
                    <w:p w14:paraId="6D4AD0D2" w14:textId="77777777" w:rsidR="002C4558" w:rsidRDefault="002C4558" w:rsidP="002C4558">
                      <w:r>
                        <w:t>Colour key guide</w:t>
                      </w:r>
                    </w:p>
                  </w:txbxContent>
                </v:textbox>
              </v:shape>
            </w:pict>
          </mc:Fallback>
        </mc:AlternateContent>
      </w:r>
      <w:r>
        <w:rPr>
          <w:noProof/>
        </w:rPr>
        <w:drawing>
          <wp:inline distT="0" distB="0" distL="0" distR="0" wp14:anchorId="4E1CE529" wp14:editId="45904610">
            <wp:extent cx="3368899" cy="4491990"/>
            <wp:effectExtent l="63500" t="63500" r="136525" b="143510"/>
            <wp:docPr id="2032828794" name="Picture 1" descr="A hand holding a green can with a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28794" name="Picture 1" descr="A hand holding a green can with a label&#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98584" cy="4531571"/>
                    </a:xfrm>
                    <a:prstGeom prst="rect">
                      <a:avLst/>
                    </a:prstGeom>
                    <a:ln w="38100" cap="sq">
                      <a:solidFill>
                        <a:schemeClr val="tx1"/>
                      </a:solidFill>
                      <a:miter lim="800000"/>
                    </a:ln>
                    <a:effectLst>
                      <a:outerShdw blurRad="57150" dist="50800" dir="2700000" algn="tl" rotWithShape="0">
                        <a:srgbClr val="000000">
                          <a:alpha val="40000"/>
                        </a:srgbClr>
                      </a:outerShdw>
                    </a:effectLst>
                  </pic:spPr>
                </pic:pic>
              </a:graphicData>
            </a:graphic>
          </wp:inline>
        </w:drawing>
      </w:r>
    </w:p>
    <w:p w14:paraId="22AB411E" w14:textId="77777777" w:rsidR="002C4558" w:rsidRDefault="002C4558" w:rsidP="002C4558">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Concept of potential app UI design</w:t>
      </w:r>
      <w:r>
        <w:rPr>
          <w:noProof/>
        </w:rPr>
        <w:t xml:space="preserve"> in action</w:t>
      </w:r>
    </w:p>
    <w:p w14:paraId="1EEDEA6D" w14:textId="77777777" w:rsidR="002C4558" w:rsidRPr="00852FC9" w:rsidRDefault="002C4558" w:rsidP="002C4558">
      <w:pPr>
        <w:pStyle w:val="ListParagraph"/>
        <w:numPr>
          <w:ilvl w:val="0"/>
          <w:numId w:val="1"/>
        </w:numPr>
      </w:pPr>
      <w:r>
        <w:br w:type="page"/>
      </w:r>
    </w:p>
    <w:p w14:paraId="284718DD" w14:textId="77777777" w:rsidR="002C4558" w:rsidRDefault="002C4558" w:rsidP="002C4558">
      <w:pPr>
        <w:pStyle w:val="Heading1"/>
      </w:pPr>
      <w:bookmarkStart w:id="10" w:name="_Toc204022700"/>
      <w:r>
        <w:lastRenderedPageBreak/>
        <w:t>Project plan and timeline</w:t>
      </w:r>
      <w:bookmarkEnd w:id="10"/>
    </w:p>
    <w:p w14:paraId="4A9191C7" w14:textId="77777777" w:rsidR="002C4558" w:rsidRDefault="002C4558" w:rsidP="002C4558">
      <w:pPr>
        <w:pStyle w:val="Heading2"/>
      </w:pPr>
      <w:bookmarkStart w:id="11" w:name="_Toc204022701"/>
      <w:r>
        <w:t>Gantt Chart</w:t>
      </w:r>
      <w:bookmarkEnd w:id="11"/>
    </w:p>
    <w:p w14:paraId="4D9261AC" w14:textId="77777777" w:rsidR="002C4558" w:rsidRPr="00EE3815" w:rsidRDefault="002C4558" w:rsidP="002C4558">
      <w:r w:rsidRPr="00EE3815">
        <w:rPr>
          <w:noProof/>
        </w:rPr>
        <w:drawing>
          <wp:inline distT="0" distB="0" distL="0" distR="0" wp14:anchorId="4ADCAA6E" wp14:editId="0E8316E7">
            <wp:extent cx="6171760" cy="1088571"/>
            <wp:effectExtent l="0" t="0" r="635" b="3810"/>
            <wp:docPr id="208800123" name="Picture 1"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00123" name="Picture 1" descr="A graph with blue lines&#10;&#10;AI-generated content may be incorrect."/>
                    <pic:cNvPicPr/>
                  </pic:nvPicPr>
                  <pic:blipFill>
                    <a:blip r:embed="rId7"/>
                    <a:stretch>
                      <a:fillRect/>
                    </a:stretch>
                  </pic:blipFill>
                  <pic:spPr>
                    <a:xfrm>
                      <a:off x="0" y="0"/>
                      <a:ext cx="6178604" cy="1089778"/>
                    </a:xfrm>
                    <a:prstGeom prst="rect">
                      <a:avLst/>
                    </a:prstGeom>
                  </pic:spPr>
                </pic:pic>
              </a:graphicData>
            </a:graphic>
          </wp:inline>
        </w:drawing>
      </w:r>
    </w:p>
    <w:p w14:paraId="03B9F049" w14:textId="77777777" w:rsidR="002C4558" w:rsidRPr="004E4961" w:rsidRDefault="002C4558" w:rsidP="002C4558">
      <w:pPr>
        <w:rPr>
          <w:lang w:eastAsia="en-GB"/>
        </w:rPr>
      </w:pPr>
      <w:r w:rsidRPr="004E4961">
        <w:rPr>
          <w:lang w:eastAsia="en-GB"/>
        </w:rPr>
        <w:t>Project Proposal and Literature Review (July)</w:t>
      </w:r>
    </w:p>
    <w:p w14:paraId="0F43CA1C" w14:textId="77777777" w:rsidR="002C4558" w:rsidRPr="004E4961" w:rsidRDefault="002C4558" w:rsidP="002C4558">
      <w:pPr>
        <w:pStyle w:val="ListParagraph"/>
        <w:numPr>
          <w:ilvl w:val="0"/>
          <w:numId w:val="2"/>
        </w:numPr>
        <w:rPr>
          <w:lang w:eastAsia="en-GB"/>
        </w:rPr>
      </w:pPr>
      <w:r w:rsidRPr="004E4961">
        <w:rPr>
          <w:lang w:eastAsia="en-GB"/>
        </w:rPr>
        <w:t>Conduct a critical review of existing research on AR-OCR application, mobile health interventions, accessibility, and nutritional labelling.</w:t>
      </w:r>
    </w:p>
    <w:p w14:paraId="36AD4061" w14:textId="77777777" w:rsidR="002C4558" w:rsidRPr="004E4961" w:rsidRDefault="002C4558" w:rsidP="002C4558">
      <w:pPr>
        <w:pStyle w:val="ListParagraph"/>
        <w:numPr>
          <w:ilvl w:val="0"/>
          <w:numId w:val="2"/>
        </w:numPr>
        <w:rPr>
          <w:lang w:eastAsia="en-GB"/>
        </w:rPr>
      </w:pPr>
      <w:r w:rsidRPr="004E4961">
        <w:rPr>
          <w:lang w:eastAsia="en-GB"/>
        </w:rPr>
        <w:t>Identify gaps in the current literature and refine research objectives.</w:t>
      </w:r>
    </w:p>
    <w:p w14:paraId="2F8BA986" w14:textId="77777777" w:rsidR="002C4558" w:rsidRPr="004E4961" w:rsidRDefault="002C4558" w:rsidP="002C4558">
      <w:pPr>
        <w:pStyle w:val="ListParagraph"/>
        <w:numPr>
          <w:ilvl w:val="0"/>
          <w:numId w:val="2"/>
        </w:numPr>
        <w:rPr>
          <w:lang w:eastAsia="en-GB"/>
        </w:rPr>
      </w:pPr>
      <w:r w:rsidRPr="004E4961">
        <w:rPr>
          <w:lang w:eastAsia="en-GB"/>
        </w:rPr>
        <w:t>Theoretical framework and research context</w:t>
      </w:r>
    </w:p>
    <w:p w14:paraId="1BF33CD1" w14:textId="77777777" w:rsidR="002C4558" w:rsidRPr="004E4961" w:rsidRDefault="002C4558" w:rsidP="002C4558">
      <w:pPr>
        <w:rPr>
          <w:lang w:eastAsia="en-GB"/>
        </w:rPr>
      </w:pPr>
      <w:r w:rsidRPr="004E4961">
        <w:rPr>
          <w:lang w:eastAsia="en-GB"/>
        </w:rPr>
        <w:t>App Development (August, September)</w:t>
      </w:r>
    </w:p>
    <w:p w14:paraId="5D70EE2C" w14:textId="77777777" w:rsidR="002C4558" w:rsidRPr="004E4961" w:rsidRDefault="002C4558" w:rsidP="002C4558">
      <w:pPr>
        <w:pStyle w:val="ListParagraph"/>
        <w:numPr>
          <w:ilvl w:val="0"/>
          <w:numId w:val="3"/>
        </w:numPr>
        <w:rPr>
          <w:lang w:eastAsia="en-GB"/>
        </w:rPr>
      </w:pPr>
      <w:r w:rsidRPr="004E4961">
        <w:rPr>
          <w:lang w:eastAsia="en-GB"/>
        </w:rPr>
        <w:t>Wireframing and UX/UI design for the AR-OCR application.</w:t>
      </w:r>
    </w:p>
    <w:p w14:paraId="506DFC6E" w14:textId="77777777" w:rsidR="002C4558" w:rsidRPr="004E4961" w:rsidRDefault="002C4558" w:rsidP="002C4558">
      <w:pPr>
        <w:pStyle w:val="ListParagraph"/>
        <w:numPr>
          <w:ilvl w:val="0"/>
          <w:numId w:val="3"/>
        </w:numPr>
        <w:rPr>
          <w:lang w:eastAsia="en-GB"/>
        </w:rPr>
      </w:pPr>
      <w:r w:rsidRPr="004E4961">
        <w:rPr>
          <w:lang w:eastAsia="en-GB"/>
        </w:rPr>
        <w:t>Select appropriate development tools</w:t>
      </w:r>
    </w:p>
    <w:p w14:paraId="2679D7C3" w14:textId="77777777" w:rsidR="002C4558" w:rsidRPr="004E4961" w:rsidRDefault="002C4558" w:rsidP="002C4558">
      <w:pPr>
        <w:pStyle w:val="ListParagraph"/>
        <w:numPr>
          <w:ilvl w:val="0"/>
          <w:numId w:val="3"/>
        </w:numPr>
        <w:rPr>
          <w:lang w:eastAsia="en-GB"/>
        </w:rPr>
      </w:pPr>
      <w:r w:rsidRPr="004E4961">
        <w:rPr>
          <w:lang w:eastAsia="en-GB"/>
        </w:rPr>
        <w:t>Start implementing core OCR and AR overlay functionality</w:t>
      </w:r>
    </w:p>
    <w:p w14:paraId="2B57187A" w14:textId="77777777" w:rsidR="002C4558" w:rsidRPr="004E4961" w:rsidRDefault="002C4558" w:rsidP="002C4558">
      <w:pPr>
        <w:pStyle w:val="ListParagraph"/>
        <w:numPr>
          <w:ilvl w:val="0"/>
          <w:numId w:val="3"/>
        </w:numPr>
        <w:rPr>
          <w:lang w:eastAsia="en-GB"/>
        </w:rPr>
      </w:pPr>
      <w:r w:rsidRPr="004E4961">
        <w:rPr>
          <w:lang w:eastAsia="en-GB"/>
        </w:rPr>
        <w:t>Complete app development with nutritional logic (colour code)</w:t>
      </w:r>
    </w:p>
    <w:p w14:paraId="4752C27B" w14:textId="77777777" w:rsidR="002C4558" w:rsidRPr="004E4961" w:rsidRDefault="002C4558" w:rsidP="002C4558">
      <w:pPr>
        <w:pStyle w:val="ListParagraph"/>
        <w:numPr>
          <w:ilvl w:val="0"/>
          <w:numId w:val="3"/>
        </w:numPr>
        <w:rPr>
          <w:lang w:eastAsia="en-GB"/>
        </w:rPr>
      </w:pPr>
      <w:r w:rsidRPr="004E4961">
        <w:rPr>
          <w:lang w:eastAsia="en-GB"/>
        </w:rPr>
        <w:t>Prepare a prototype for user testing</w:t>
      </w:r>
    </w:p>
    <w:p w14:paraId="4CFBD16F" w14:textId="77777777" w:rsidR="002C4558" w:rsidRPr="004E4961" w:rsidRDefault="002C4558" w:rsidP="002C4558">
      <w:pPr>
        <w:rPr>
          <w:lang w:eastAsia="en-GB"/>
        </w:rPr>
      </w:pPr>
      <w:r w:rsidRPr="004E4961">
        <w:rPr>
          <w:lang w:eastAsia="en-GB"/>
        </w:rPr>
        <w:t>Data Collection (October)</w:t>
      </w:r>
    </w:p>
    <w:p w14:paraId="739E669D" w14:textId="77777777" w:rsidR="002C4558" w:rsidRPr="004E4961" w:rsidRDefault="002C4558" w:rsidP="002C4558">
      <w:pPr>
        <w:pStyle w:val="ListParagraph"/>
        <w:numPr>
          <w:ilvl w:val="0"/>
          <w:numId w:val="4"/>
        </w:numPr>
        <w:rPr>
          <w:lang w:eastAsia="en-GB"/>
        </w:rPr>
      </w:pPr>
      <w:r w:rsidRPr="004E4961">
        <w:rPr>
          <w:lang w:eastAsia="en-GB"/>
        </w:rPr>
        <w:t>Recruit participants</w:t>
      </w:r>
    </w:p>
    <w:p w14:paraId="1ED38654" w14:textId="77777777" w:rsidR="002C4558" w:rsidRPr="004E4961" w:rsidRDefault="002C4558" w:rsidP="002C4558">
      <w:pPr>
        <w:pStyle w:val="ListParagraph"/>
        <w:numPr>
          <w:ilvl w:val="0"/>
          <w:numId w:val="4"/>
        </w:numPr>
        <w:rPr>
          <w:lang w:eastAsia="en-GB"/>
        </w:rPr>
      </w:pPr>
      <w:r w:rsidRPr="004E4961">
        <w:rPr>
          <w:lang w:eastAsia="en-GB"/>
        </w:rPr>
        <w:t xml:space="preserve">Conduct usability studies and surveys </w:t>
      </w:r>
    </w:p>
    <w:p w14:paraId="33D51092" w14:textId="77777777" w:rsidR="002C4558" w:rsidRPr="004E4961" w:rsidRDefault="002C4558" w:rsidP="002C4558">
      <w:pPr>
        <w:pStyle w:val="ListParagraph"/>
        <w:numPr>
          <w:ilvl w:val="0"/>
          <w:numId w:val="4"/>
        </w:numPr>
        <w:rPr>
          <w:lang w:eastAsia="en-GB"/>
        </w:rPr>
      </w:pPr>
      <w:r w:rsidRPr="004E4961">
        <w:rPr>
          <w:lang w:eastAsia="en-GB"/>
        </w:rPr>
        <w:t>Collect qualitative data on app performance, user satisfaction and behavioural impact</w:t>
      </w:r>
    </w:p>
    <w:p w14:paraId="0FE97288" w14:textId="77777777" w:rsidR="002C4558" w:rsidRPr="004E4961" w:rsidRDefault="002C4558" w:rsidP="002C4558">
      <w:pPr>
        <w:rPr>
          <w:lang w:eastAsia="en-GB"/>
        </w:rPr>
      </w:pPr>
      <w:r w:rsidRPr="004E4961">
        <w:rPr>
          <w:lang w:eastAsia="en-GB"/>
        </w:rPr>
        <w:t>Writing and Editing (November, December)</w:t>
      </w:r>
    </w:p>
    <w:p w14:paraId="09DB7572" w14:textId="77777777" w:rsidR="002C4558" w:rsidRPr="004E4961" w:rsidRDefault="002C4558" w:rsidP="002C4558">
      <w:pPr>
        <w:pStyle w:val="ListParagraph"/>
        <w:numPr>
          <w:ilvl w:val="0"/>
          <w:numId w:val="5"/>
        </w:numPr>
        <w:rPr>
          <w:lang w:eastAsia="en-GB"/>
        </w:rPr>
      </w:pPr>
      <w:r w:rsidRPr="004E4961">
        <w:rPr>
          <w:lang w:eastAsia="en-GB"/>
        </w:rPr>
        <w:t>Analyse user data and evaluate against research objectives</w:t>
      </w:r>
    </w:p>
    <w:p w14:paraId="43354612" w14:textId="77777777" w:rsidR="002C4558" w:rsidRPr="004E4961" w:rsidRDefault="002C4558" w:rsidP="002C4558">
      <w:pPr>
        <w:pStyle w:val="ListParagraph"/>
        <w:numPr>
          <w:ilvl w:val="0"/>
          <w:numId w:val="5"/>
        </w:numPr>
        <w:rPr>
          <w:lang w:eastAsia="en-GB"/>
        </w:rPr>
      </w:pPr>
      <w:r w:rsidRPr="004E4961">
        <w:rPr>
          <w:lang w:eastAsia="en-GB"/>
        </w:rPr>
        <w:t>Draft dissertation report, including evaluation results and recommendations</w:t>
      </w:r>
    </w:p>
    <w:p w14:paraId="6DCDE818" w14:textId="77777777" w:rsidR="002C4558" w:rsidRPr="004E4961" w:rsidRDefault="002C4558" w:rsidP="002C4558">
      <w:pPr>
        <w:pStyle w:val="ListParagraph"/>
        <w:numPr>
          <w:ilvl w:val="0"/>
          <w:numId w:val="5"/>
        </w:numPr>
        <w:rPr>
          <w:lang w:eastAsia="en-GB"/>
        </w:rPr>
      </w:pPr>
      <w:r w:rsidRPr="004E4961">
        <w:rPr>
          <w:lang w:eastAsia="en-GB"/>
        </w:rPr>
        <w:t>Review, revise and finalise work</w:t>
      </w:r>
    </w:p>
    <w:p w14:paraId="0F4DCC78" w14:textId="77777777" w:rsidR="002C4558" w:rsidRPr="004E4961" w:rsidRDefault="002C4558" w:rsidP="002C4558">
      <w:pPr>
        <w:pStyle w:val="ListParagraph"/>
        <w:numPr>
          <w:ilvl w:val="0"/>
          <w:numId w:val="5"/>
        </w:numPr>
        <w:rPr>
          <w:lang w:eastAsia="en-GB"/>
        </w:rPr>
      </w:pPr>
      <w:r w:rsidRPr="004E4961">
        <w:rPr>
          <w:lang w:eastAsia="en-GB"/>
        </w:rPr>
        <w:t>Prepare appendices (code, screenshots, user feedback, etc.)</w:t>
      </w:r>
    </w:p>
    <w:p w14:paraId="36A9D2B7" w14:textId="77777777" w:rsidR="002C4558" w:rsidRPr="004E4961" w:rsidRDefault="002C4558" w:rsidP="002C4558">
      <w:r w:rsidRPr="004E4961">
        <w:br w:type="page"/>
      </w:r>
    </w:p>
    <w:bookmarkStart w:id="12" w:name="_Toc204022702" w:displacedByCustomXml="next"/>
    <w:sdt>
      <w:sdtPr>
        <w:rPr>
          <w:rFonts w:asciiTheme="minorHAnsi" w:eastAsiaTheme="minorHAnsi" w:hAnsiTheme="minorHAnsi" w:cstheme="minorBidi"/>
          <w:color w:val="auto"/>
          <w:sz w:val="24"/>
          <w:szCs w:val="24"/>
        </w:rPr>
        <w:id w:val="-1498182335"/>
        <w:docPartObj>
          <w:docPartGallery w:val="Bibliographies"/>
          <w:docPartUnique/>
        </w:docPartObj>
      </w:sdtPr>
      <w:sdtContent>
        <w:p w14:paraId="2C057605" w14:textId="77777777" w:rsidR="002C4558" w:rsidRDefault="002C4558" w:rsidP="002C4558">
          <w:pPr>
            <w:pStyle w:val="Heading1"/>
          </w:pPr>
          <w:r>
            <w:t>References</w:t>
          </w:r>
          <w:bookmarkEnd w:id="12"/>
        </w:p>
        <w:sdt>
          <w:sdtPr>
            <w:id w:val="111145805"/>
            <w:bibliography/>
          </w:sdtPr>
          <w:sdtContent>
            <w:p w14:paraId="688D78DA" w14:textId="77777777" w:rsidR="002C4558" w:rsidRDefault="002C4558" w:rsidP="002C4558">
              <w:pPr>
                <w:rPr>
                  <w:noProof/>
                </w:rPr>
              </w:pPr>
              <w:r>
                <w:rPr>
                  <w:rFonts w:asciiTheme="majorHAnsi" w:eastAsiaTheme="majorEastAsia" w:hAnsiTheme="majorHAnsi" w:cstheme="majorBidi"/>
                  <w:color w:val="0F4761" w:themeColor="accent1" w:themeShade="BF"/>
                  <w:sz w:val="40"/>
                  <w:szCs w:val="40"/>
                </w:rPr>
                <w:fldChar w:fldCharType="begin"/>
              </w:r>
              <w:r>
                <w:instrText xml:space="preserve"> BIBLIOGRAPHY </w:instrText>
              </w:r>
              <w:r>
                <w:rPr>
                  <w:rFonts w:asciiTheme="majorHAnsi" w:eastAsiaTheme="majorEastAsia" w:hAnsiTheme="majorHAnsi" w:cstheme="majorBidi"/>
                  <w:color w:val="0F4761" w:themeColor="accent1" w:themeShade="BF"/>
                  <w:sz w:val="40"/>
                  <w:szCs w:val="4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2C4558" w14:paraId="1AA8D521" w14:textId="77777777" w:rsidTr="004D7508">
                <w:trPr>
                  <w:tblCellSpacing w:w="15" w:type="dxa"/>
                </w:trPr>
                <w:tc>
                  <w:tcPr>
                    <w:tcW w:w="50" w:type="pct"/>
                    <w:hideMark/>
                  </w:tcPr>
                  <w:p w14:paraId="166237A3" w14:textId="77777777" w:rsidR="002C4558" w:rsidRDefault="002C4558" w:rsidP="004D7508">
                    <w:pPr>
                      <w:pStyle w:val="Bibliography"/>
                      <w:rPr>
                        <w:noProof/>
                        <w:kern w:val="0"/>
                        <w14:ligatures w14:val="none"/>
                      </w:rPr>
                    </w:pPr>
                    <w:r>
                      <w:rPr>
                        <w:noProof/>
                      </w:rPr>
                      <w:t xml:space="preserve">[1] </w:t>
                    </w:r>
                  </w:p>
                </w:tc>
                <w:tc>
                  <w:tcPr>
                    <w:tcW w:w="0" w:type="auto"/>
                    <w:hideMark/>
                  </w:tcPr>
                  <w:p w14:paraId="50FD2608" w14:textId="77777777" w:rsidR="002C4558" w:rsidRDefault="002C4558" w:rsidP="004D7508">
                    <w:pPr>
                      <w:pStyle w:val="Bibliography"/>
                      <w:rPr>
                        <w:noProof/>
                      </w:rPr>
                    </w:pPr>
                    <w:r>
                      <w:rPr>
                        <w:noProof/>
                      </w:rPr>
                      <w:t>British Nutrition Foundation, “Understanding Food Labels,” Understanding Food Labels, 2025. [Online]. Available: https://www.nutrition.org.uk/creating-a-healthy-diet/food-labelling. [Accessed July 2025].</w:t>
                    </w:r>
                  </w:p>
                </w:tc>
              </w:tr>
              <w:tr w:rsidR="002C4558" w14:paraId="0E703A20" w14:textId="77777777" w:rsidTr="004D7508">
                <w:trPr>
                  <w:tblCellSpacing w:w="15" w:type="dxa"/>
                </w:trPr>
                <w:tc>
                  <w:tcPr>
                    <w:tcW w:w="50" w:type="pct"/>
                    <w:hideMark/>
                  </w:tcPr>
                  <w:p w14:paraId="5A050CC2" w14:textId="77777777" w:rsidR="002C4558" w:rsidRDefault="002C4558" w:rsidP="004D7508">
                    <w:pPr>
                      <w:pStyle w:val="Bibliography"/>
                      <w:rPr>
                        <w:noProof/>
                      </w:rPr>
                    </w:pPr>
                    <w:r>
                      <w:rPr>
                        <w:noProof/>
                      </w:rPr>
                      <w:t xml:space="preserve">[2] </w:t>
                    </w:r>
                  </w:p>
                </w:tc>
                <w:tc>
                  <w:tcPr>
                    <w:tcW w:w="0" w:type="auto"/>
                    <w:hideMark/>
                  </w:tcPr>
                  <w:p w14:paraId="0EC74A0B" w14:textId="77777777" w:rsidR="002C4558" w:rsidRDefault="002C4558" w:rsidP="004D7508">
                    <w:pPr>
                      <w:pStyle w:val="Bibliography"/>
                      <w:rPr>
                        <w:noProof/>
                      </w:rPr>
                    </w:pPr>
                    <w:r>
                      <w:rPr>
                        <w:noProof/>
                      </w:rPr>
                      <w:t>BBC, “Food 'traffic light' labelling should be mandatory, councils say,” BBC News, 17 September 2016. [Online]. Available: https://www.bbc.co.uk/news/health-37389804. [Accessed July 2025].</w:t>
                    </w:r>
                  </w:p>
                </w:tc>
              </w:tr>
              <w:tr w:rsidR="002C4558" w14:paraId="42324951" w14:textId="77777777" w:rsidTr="004D7508">
                <w:trPr>
                  <w:tblCellSpacing w:w="15" w:type="dxa"/>
                </w:trPr>
                <w:tc>
                  <w:tcPr>
                    <w:tcW w:w="50" w:type="pct"/>
                    <w:hideMark/>
                  </w:tcPr>
                  <w:p w14:paraId="0272A4F6" w14:textId="77777777" w:rsidR="002C4558" w:rsidRDefault="002C4558" w:rsidP="004D7508">
                    <w:pPr>
                      <w:pStyle w:val="Bibliography"/>
                      <w:rPr>
                        <w:noProof/>
                      </w:rPr>
                    </w:pPr>
                    <w:r>
                      <w:rPr>
                        <w:noProof/>
                      </w:rPr>
                      <w:t xml:space="preserve">[3] </w:t>
                    </w:r>
                  </w:p>
                </w:tc>
                <w:tc>
                  <w:tcPr>
                    <w:tcW w:w="0" w:type="auto"/>
                    <w:hideMark/>
                  </w:tcPr>
                  <w:p w14:paraId="032F21DA" w14:textId="77777777" w:rsidR="002C4558" w:rsidRDefault="002C4558" w:rsidP="004D7508">
                    <w:pPr>
                      <w:pStyle w:val="Bibliography"/>
                      <w:rPr>
                        <w:noProof/>
                      </w:rPr>
                    </w:pPr>
                    <w:r>
                      <w:rPr>
                        <w:noProof/>
                      </w:rPr>
                      <w:t>M. Boyle and S. Barber, “Mobile phone and internet usage statistic in the UK,” Finder, 4 July 2025. [Online]. Available: https://www.finder.com/uk/banking/mobile-internet-statistics. [Accessed July 2025].</w:t>
                    </w:r>
                  </w:p>
                </w:tc>
              </w:tr>
              <w:tr w:rsidR="002C4558" w14:paraId="270EB020" w14:textId="77777777" w:rsidTr="004D7508">
                <w:trPr>
                  <w:tblCellSpacing w:w="15" w:type="dxa"/>
                </w:trPr>
                <w:tc>
                  <w:tcPr>
                    <w:tcW w:w="50" w:type="pct"/>
                    <w:hideMark/>
                  </w:tcPr>
                  <w:p w14:paraId="1E337DD7" w14:textId="77777777" w:rsidR="002C4558" w:rsidRDefault="002C4558" w:rsidP="004D7508">
                    <w:pPr>
                      <w:pStyle w:val="Bibliography"/>
                      <w:rPr>
                        <w:noProof/>
                      </w:rPr>
                    </w:pPr>
                    <w:r>
                      <w:rPr>
                        <w:noProof/>
                      </w:rPr>
                      <w:t xml:space="preserve">[4] </w:t>
                    </w:r>
                  </w:p>
                </w:tc>
                <w:tc>
                  <w:tcPr>
                    <w:tcW w:w="0" w:type="auto"/>
                    <w:hideMark/>
                  </w:tcPr>
                  <w:p w14:paraId="386F7600" w14:textId="77777777" w:rsidR="002C4558" w:rsidRDefault="002C4558" w:rsidP="004D7508">
                    <w:pPr>
                      <w:pStyle w:val="Bibliography"/>
                      <w:rPr>
                        <w:noProof/>
                      </w:rPr>
                    </w:pPr>
                    <w:r>
                      <w:rPr>
                        <w:noProof/>
                      </w:rPr>
                      <w:t>NHS, “Food labels,” NHS, 12 September 2022. [Online]. Available: https://www.nhs.uk/live-well/eat-well/food-guidelines-and-food-labels/how-to-read-food-labels/. [Accessed July 2025].</w:t>
                    </w:r>
                  </w:p>
                </w:tc>
              </w:tr>
              <w:tr w:rsidR="002C4558" w14:paraId="5F9785EA" w14:textId="77777777" w:rsidTr="004D7508">
                <w:trPr>
                  <w:tblCellSpacing w:w="15" w:type="dxa"/>
                </w:trPr>
                <w:tc>
                  <w:tcPr>
                    <w:tcW w:w="50" w:type="pct"/>
                    <w:hideMark/>
                  </w:tcPr>
                  <w:p w14:paraId="79877218" w14:textId="77777777" w:rsidR="002C4558" w:rsidRDefault="002C4558" w:rsidP="004D7508">
                    <w:pPr>
                      <w:pStyle w:val="Bibliography"/>
                      <w:rPr>
                        <w:noProof/>
                      </w:rPr>
                    </w:pPr>
                    <w:r>
                      <w:rPr>
                        <w:noProof/>
                      </w:rPr>
                      <w:t xml:space="preserve">[5] </w:t>
                    </w:r>
                  </w:p>
                </w:tc>
                <w:tc>
                  <w:tcPr>
                    <w:tcW w:w="0" w:type="auto"/>
                    <w:hideMark/>
                  </w:tcPr>
                  <w:p w14:paraId="5C3104F1" w14:textId="77777777" w:rsidR="002C4558" w:rsidRDefault="002C4558" w:rsidP="004D7508">
                    <w:pPr>
                      <w:pStyle w:val="Bibliography"/>
                      <w:rPr>
                        <w:noProof/>
                      </w:rPr>
                    </w:pPr>
                    <w:r>
                      <w:rPr>
                        <w:noProof/>
                      </w:rPr>
                      <w:t>World Health Organization, “Guiding principles and framework manual for front-of-pack labelling for promoting healthy diet,” World Health Organization, Geneva, 2022.</w:t>
                    </w:r>
                  </w:p>
                </w:tc>
              </w:tr>
              <w:tr w:rsidR="002C4558" w14:paraId="42FB5C55" w14:textId="77777777" w:rsidTr="004D7508">
                <w:trPr>
                  <w:tblCellSpacing w:w="15" w:type="dxa"/>
                </w:trPr>
                <w:tc>
                  <w:tcPr>
                    <w:tcW w:w="50" w:type="pct"/>
                    <w:hideMark/>
                  </w:tcPr>
                  <w:p w14:paraId="52F93F38" w14:textId="77777777" w:rsidR="002C4558" w:rsidRDefault="002C4558" w:rsidP="004D7508">
                    <w:pPr>
                      <w:pStyle w:val="Bibliography"/>
                      <w:rPr>
                        <w:noProof/>
                      </w:rPr>
                    </w:pPr>
                    <w:r>
                      <w:rPr>
                        <w:noProof/>
                      </w:rPr>
                      <w:t xml:space="preserve">[6] </w:t>
                    </w:r>
                  </w:p>
                </w:tc>
                <w:tc>
                  <w:tcPr>
                    <w:tcW w:w="0" w:type="auto"/>
                    <w:hideMark/>
                  </w:tcPr>
                  <w:p w14:paraId="3EFB1FAF" w14:textId="77777777" w:rsidR="002C4558" w:rsidRDefault="002C4558" w:rsidP="004D7508">
                    <w:pPr>
                      <w:pStyle w:val="Bibliography"/>
                      <w:rPr>
                        <w:noProof/>
                      </w:rPr>
                    </w:pPr>
                    <w:r>
                      <w:rPr>
                        <w:noProof/>
                      </w:rPr>
                      <w:t xml:space="preserve">D. Benton, “Portion Size: What We Know and What We Need to Know,” </w:t>
                    </w:r>
                    <w:r>
                      <w:rPr>
                        <w:i/>
                        <w:iCs/>
                        <w:noProof/>
                      </w:rPr>
                      <w:t xml:space="preserve">Critical Reviews in Food Science and Nutrition, </w:t>
                    </w:r>
                    <w:r>
                      <w:rPr>
                        <w:noProof/>
                      </w:rPr>
                      <w:t xml:space="preserve">vol. 55, no. 7, p. 988–1004, 2015. </w:t>
                    </w:r>
                  </w:p>
                </w:tc>
              </w:tr>
              <w:tr w:rsidR="002C4558" w14:paraId="36837BB1" w14:textId="77777777" w:rsidTr="004D7508">
                <w:trPr>
                  <w:tblCellSpacing w:w="15" w:type="dxa"/>
                </w:trPr>
                <w:tc>
                  <w:tcPr>
                    <w:tcW w:w="50" w:type="pct"/>
                    <w:hideMark/>
                  </w:tcPr>
                  <w:p w14:paraId="401207F7" w14:textId="77777777" w:rsidR="002C4558" w:rsidRDefault="002C4558" w:rsidP="004D7508">
                    <w:pPr>
                      <w:pStyle w:val="Bibliography"/>
                      <w:rPr>
                        <w:noProof/>
                      </w:rPr>
                    </w:pPr>
                    <w:r>
                      <w:rPr>
                        <w:noProof/>
                      </w:rPr>
                      <w:t xml:space="preserve">[7] </w:t>
                    </w:r>
                  </w:p>
                </w:tc>
                <w:tc>
                  <w:tcPr>
                    <w:tcW w:w="0" w:type="auto"/>
                    <w:hideMark/>
                  </w:tcPr>
                  <w:p w14:paraId="0EC85577" w14:textId="77777777" w:rsidR="002C4558" w:rsidRDefault="002C4558" w:rsidP="004D7508">
                    <w:pPr>
                      <w:pStyle w:val="Bibliography"/>
                      <w:rPr>
                        <w:noProof/>
                      </w:rPr>
                    </w:pPr>
                    <w:r>
                      <w:rPr>
                        <w:noProof/>
                      </w:rPr>
                      <w:t xml:space="preserve">P. Chandon and B. Wansink, “Can “Low-Fat” Nutrition Labels Lead to Obesity?,” </w:t>
                    </w:r>
                    <w:r>
                      <w:rPr>
                        <w:i/>
                        <w:iCs/>
                        <w:noProof/>
                      </w:rPr>
                      <w:t xml:space="preserve">Journal of Marketing Research, </w:t>
                    </w:r>
                    <w:r>
                      <w:rPr>
                        <w:noProof/>
                      </w:rPr>
                      <w:t xml:space="preserve">vol. 43, no. 4, p. 605–617, 2006. </w:t>
                    </w:r>
                  </w:p>
                </w:tc>
              </w:tr>
              <w:tr w:rsidR="002C4558" w14:paraId="450DE4E0" w14:textId="77777777" w:rsidTr="004D7508">
                <w:trPr>
                  <w:tblCellSpacing w:w="15" w:type="dxa"/>
                </w:trPr>
                <w:tc>
                  <w:tcPr>
                    <w:tcW w:w="50" w:type="pct"/>
                    <w:hideMark/>
                  </w:tcPr>
                  <w:p w14:paraId="6D2CF763" w14:textId="77777777" w:rsidR="002C4558" w:rsidRDefault="002C4558" w:rsidP="004D7508">
                    <w:pPr>
                      <w:pStyle w:val="Bibliography"/>
                      <w:rPr>
                        <w:noProof/>
                      </w:rPr>
                    </w:pPr>
                    <w:r>
                      <w:rPr>
                        <w:noProof/>
                      </w:rPr>
                      <w:t xml:space="preserve">[8] </w:t>
                    </w:r>
                  </w:p>
                </w:tc>
                <w:tc>
                  <w:tcPr>
                    <w:tcW w:w="0" w:type="auto"/>
                    <w:hideMark/>
                  </w:tcPr>
                  <w:p w14:paraId="711B72BE" w14:textId="77777777" w:rsidR="002C4558" w:rsidRDefault="002C4558" w:rsidP="004D7508">
                    <w:pPr>
                      <w:pStyle w:val="Bibliography"/>
                      <w:rPr>
                        <w:noProof/>
                      </w:rPr>
                    </w:pPr>
                    <w:r>
                      <w:rPr>
                        <w:noProof/>
                      </w:rPr>
                      <w:t xml:space="preserve">P. Chandon and B. Wansink, “The Biasing Health Halos of Fast-Food Restaurant Health Claims: Lower Calorie Estimates and Higher Side-Dish Consumption Intentions,” </w:t>
                    </w:r>
                    <w:r>
                      <w:rPr>
                        <w:i/>
                        <w:iCs/>
                        <w:noProof/>
                      </w:rPr>
                      <w:t xml:space="preserve">Journal of Consumer Research, </w:t>
                    </w:r>
                    <w:r>
                      <w:rPr>
                        <w:noProof/>
                      </w:rPr>
                      <w:t xml:space="preserve">vol. 34, no. 3, p. 301–314, 2007. </w:t>
                    </w:r>
                  </w:p>
                </w:tc>
              </w:tr>
              <w:tr w:rsidR="002C4558" w14:paraId="409B4A16" w14:textId="77777777" w:rsidTr="004D7508">
                <w:trPr>
                  <w:tblCellSpacing w:w="15" w:type="dxa"/>
                </w:trPr>
                <w:tc>
                  <w:tcPr>
                    <w:tcW w:w="50" w:type="pct"/>
                    <w:hideMark/>
                  </w:tcPr>
                  <w:p w14:paraId="411236F9" w14:textId="77777777" w:rsidR="002C4558" w:rsidRDefault="002C4558" w:rsidP="004D7508">
                    <w:pPr>
                      <w:pStyle w:val="Bibliography"/>
                      <w:rPr>
                        <w:noProof/>
                      </w:rPr>
                    </w:pPr>
                    <w:r>
                      <w:rPr>
                        <w:noProof/>
                      </w:rPr>
                      <w:t xml:space="preserve">[9] </w:t>
                    </w:r>
                  </w:p>
                </w:tc>
                <w:tc>
                  <w:tcPr>
                    <w:tcW w:w="0" w:type="auto"/>
                    <w:hideMark/>
                  </w:tcPr>
                  <w:p w14:paraId="72D3C0E0" w14:textId="77777777" w:rsidR="002C4558" w:rsidRDefault="002C4558" w:rsidP="004D7508">
                    <w:pPr>
                      <w:pStyle w:val="Bibliography"/>
                      <w:rPr>
                        <w:noProof/>
                      </w:rPr>
                    </w:pPr>
                    <w:r>
                      <w:rPr>
                        <w:noProof/>
                      </w:rPr>
                      <w:t xml:space="preserve">R. Romli, F. N. H. B. Mohd Wazir and A. R. Singh, “AR Heart: A Development of Healthcare Informative Application using Augmented Reality,” </w:t>
                    </w:r>
                    <w:r>
                      <w:rPr>
                        <w:i/>
                        <w:iCs/>
                        <w:noProof/>
                      </w:rPr>
                      <w:t xml:space="preserve">Journal of Physics: Conference Series, </w:t>
                    </w:r>
                    <w:r>
                      <w:rPr>
                        <w:noProof/>
                      </w:rPr>
                      <w:t xml:space="preserve">vol. 1962, no. 1, 2021. </w:t>
                    </w:r>
                  </w:p>
                </w:tc>
              </w:tr>
              <w:tr w:rsidR="002C4558" w14:paraId="4264891B" w14:textId="77777777" w:rsidTr="004D7508">
                <w:trPr>
                  <w:tblCellSpacing w:w="15" w:type="dxa"/>
                </w:trPr>
                <w:tc>
                  <w:tcPr>
                    <w:tcW w:w="50" w:type="pct"/>
                    <w:hideMark/>
                  </w:tcPr>
                  <w:p w14:paraId="2075F972" w14:textId="77777777" w:rsidR="002C4558" w:rsidRDefault="002C4558" w:rsidP="004D7508">
                    <w:pPr>
                      <w:pStyle w:val="Bibliography"/>
                      <w:rPr>
                        <w:noProof/>
                      </w:rPr>
                    </w:pPr>
                    <w:r>
                      <w:rPr>
                        <w:noProof/>
                      </w:rPr>
                      <w:t xml:space="preserve">[10] </w:t>
                    </w:r>
                  </w:p>
                </w:tc>
                <w:tc>
                  <w:tcPr>
                    <w:tcW w:w="0" w:type="auto"/>
                    <w:hideMark/>
                  </w:tcPr>
                  <w:p w14:paraId="68EF60E1" w14:textId="77777777" w:rsidR="002C4558" w:rsidRDefault="002C4558" w:rsidP="004D7508">
                    <w:pPr>
                      <w:pStyle w:val="Bibliography"/>
                      <w:rPr>
                        <w:noProof/>
                      </w:rPr>
                    </w:pPr>
                    <w:r>
                      <w:rPr>
                        <w:noProof/>
                      </w:rPr>
                      <w:t xml:space="preserve">C. Rupa, G. Srivastava, B. Ganji, S. Tatiparthi, K. Maddala, S. Koppu and J. Lin, “Medicine Drug Name Detection Based Object Recognition Using Augmented Reality,” </w:t>
                    </w:r>
                    <w:r>
                      <w:rPr>
                        <w:i/>
                        <w:iCs/>
                        <w:noProof/>
                      </w:rPr>
                      <w:t xml:space="preserve">Frontiers in Public Health, </w:t>
                    </w:r>
                    <w:r>
                      <w:rPr>
                        <w:noProof/>
                      </w:rPr>
                      <w:t xml:space="preserve">vol. 10, 2022. </w:t>
                    </w:r>
                  </w:p>
                </w:tc>
              </w:tr>
              <w:tr w:rsidR="002C4558" w14:paraId="33757329" w14:textId="77777777" w:rsidTr="004D7508">
                <w:trPr>
                  <w:tblCellSpacing w:w="15" w:type="dxa"/>
                </w:trPr>
                <w:tc>
                  <w:tcPr>
                    <w:tcW w:w="50" w:type="pct"/>
                    <w:hideMark/>
                  </w:tcPr>
                  <w:p w14:paraId="25ECA3D5" w14:textId="77777777" w:rsidR="002C4558" w:rsidRDefault="002C4558" w:rsidP="004D7508">
                    <w:pPr>
                      <w:pStyle w:val="Bibliography"/>
                      <w:rPr>
                        <w:noProof/>
                      </w:rPr>
                    </w:pPr>
                    <w:r>
                      <w:rPr>
                        <w:noProof/>
                      </w:rPr>
                      <w:lastRenderedPageBreak/>
                      <w:t xml:space="preserve">[11] </w:t>
                    </w:r>
                  </w:p>
                </w:tc>
                <w:tc>
                  <w:tcPr>
                    <w:tcW w:w="0" w:type="auto"/>
                    <w:hideMark/>
                  </w:tcPr>
                  <w:p w14:paraId="0255DFC0" w14:textId="77777777" w:rsidR="002C4558" w:rsidRDefault="002C4558" w:rsidP="004D7508">
                    <w:pPr>
                      <w:pStyle w:val="Bibliography"/>
                      <w:rPr>
                        <w:noProof/>
                      </w:rPr>
                    </w:pPr>
                    <w:r>
                      <w:rPr>
                        <w:noProof/>
                      </w:rPr>
                      <w:t>S. Pundlik, A. Singh, G. Baghel, V. Baliutaviciute and G. Luo, “A Mobile Application for Keyword Search in Real</w:t>
                    </w:r>
                    <w:r>
                      <w:rPr>
                        <w:noProof/>
                      </w:rPr>
                      <w:noBreakHyphen/>
                      <w:t xml:space="preserve">World Scenes,” </w:t>
                    </w:r>
                    <w:r>
                      <w:rPr>
                        <w:i/>
                        <w:iCs/>
                        <w:noProof/>
                      </w:rPr>
                      <w:t xml:space="preserve">IEEE Journal of Translational Engineering in Health and Medicine, </w:t>
                    </w:r>
                    <w:r>
                      <w:rPr>
                        <w:noProof/>
                      </w:rPr>
                      <w:t xml:space="preserve">vol. 7, 2019. </w:t>
                    </w:r>
                  </w:p>
                </w:tc>
              </w:tr>
              <w:tr w:rsidR="002C4558" w14:paraId="30B4887F" w14:textId="77777777" w:rsidTr="004D7508">
                <w:trPr>
                  <w:tblCellSpacing w:w="15" w:type="dxa"/>
                </w:trPr>
                <w:tc>
                  <w:tcPr>
                    <w:tcW w:w="50" w:type="pct"/>
                    <w:hideMark/>
                  </w:tcPr>
                  <w:p w14:paraId="3BCFBE65" w14:textId="77777777" w:rsidR="002C4558" w:rsidRDefault="002C4558" w:rsidP="004D7508">
                    <w:pPr>
                      <w:pStyle w:val="Bibliography"/>
                      <w:rPr>
                        <w:noProof/>
                      </w:rPr>
                    </w:pPr>
                    <w:r>
                      <w:rPr>
                        <w:noProof/>
                      </w:rPr>
                      <w:t xml:space="preserve">[12] </w:t>
                    </w:r>
                  </w:p>
                </w:tc>
                <w:tc>
                  <w:tcPr>
                    <w:tcW w:w="0" w:type="auto"/>
                    <w:hideMark/>
                  </w:tcPr>
                  <w:p w14:paraId="2BC7F2A6" w14:textId="77777777" w:rsidR="002C4558" w:rsidRDefault="002C4558" w:rsidP="004D7508">
                    <w:pPr>
                      <w:pStyle w:val="Bibliography"/>
                      <w:rPr>
                        <w:noProof/>
                      </w:rPr>
                    </w:pPr>
                    <w:r>
                      <w:rPr>
                        <w:noProof/>
                      </w:rPr>
                      <w:t>F. D. Davis, “User Acceptance of Information Systems: The Technology Acceptance Model (TAM),” University of Michigan School of Business Administration, Division of Research, Ann Arbor, MI, 1987.</w:t>
                    </w:r>
                  </w:p>
                </w:tc>
              </w:tr>
              <w:tr w:rsidR="002C4558" w14:paraId="2F70BD81" w14:textId="77777777" w:rsidTr="004D7508">
                <w:trPr>
                  <w:tblCellSpacing w:w="15" w:type="dxa"/>
                </w:trPr>
                <w:tc>
                  <w:tcPr>
                    <w:tcW w:w="50" w:type="pct"/>
                    <w:hideMark/>
                  </w:tcPr>
                  <w:p w14:paraId="18E540D6" w14:textId="77777777" w:rsidR="002C4558" w:rsidRDefault="002C4558" w:rsidP="004D7508">
                    <w:pPr>
                      <w:pStyle w:val="Bibliography"/>
                      <w:rPr>
                        <w:noProof/>
                      </w:rPr>
                    </w:pPr>
                    <w:r>
                      <w:rPr>
                        <w:noProof/>
                      </w:rPr>
                      <w:t xml:space="preserve">[13] </w:t>
                    </w:r>
                  </w:p>
                </w:tc>
                <w:tc>
                  <w:tcPr>
                    <w:tcW w:w="0" w:type="auto"/>
                    <w:hideMark/>
                  </w:tcPr>
                  <w:p w14:paraId="2DF51D45" w14:textId="77777777" w:rsidR="002C4558" w:rsidRDefault="002C4558" w:rsidP="004D7508">
                    <w:pPr>
                      <w:pStyle w:val="Bibliography"/>
                      <w:rPr>
                        <w:noProof/>
                      </w:rPr>
                    </w:pPr>
                    <w:r>
                      <w:rPr>
                        <w:noProof/>
                      </w:rPr>
                      <w:t xml:space="preserve">I. Ajzen, “The Theory of Planned Behavior,” </w:t>
                    </w:r>
                    <w:r>
                      <w:rPr>
                        <w:i/>
                        <w:iCs/>
                        <w:noProof/>
                      </w:rPr>
                      <w:t xml:space="preserve">Organizational Behavior and Human Decision Processes, </w:t>
                    </w:r>
                    <w:r>
                      <w:rPr>
                        <w:noProof/>
                      </w:rPr>
                      <w:t xml:space="preserve">vol. 50, no. 2, p. 179–211, 1991. </w:t>
                    </w:r>
                  </w:p>
                </w:tc>
              </w:tr>
              <w:tr w:rsidR="002C4558" w14:paraId="0D2526DE" w14:textId="77777777" w:rsidTr="004D7508">
                <w:trPr>
                  <w:tblCellSpacing w:w="15" w:type="dxa"/>
                </w:trPr>
                <w:tc>
                  <w:tcPr>
                    <w:tcW w:w="50" w:type="pct"/>
                    <w:hideMark/>
                  </w:tcPr>
                  <w:p w14:paraId="1322C4C0" w14:textId="77777777" w:rsidR="002C4558" w:rsidRDefault="002C4558" w:rsidP="004D7508">
                    <w:pPr>
                      <w:pStyle w:val="Bibliography"/>
                      <w:rPr>
                        <w:noProof/>
                      </w:rPr>
                    </w:pPr>
                    <w:r>
                      <w:rPr>
                        <w:noProof/>
                      </w:rPr>
                      <w:t xml:space="preserve">[14] </w:t>
                    </w:r>
                  </w:p>
                </w:tc>
                <w:tc>
                  <w:tcPr>
                    <w:tcW w:w="0" w:type="auto"/>
                    <w:hideMark/>
                  </w:tcPr>
                  <w:p w14:paraId="37E2A6C8" w14:textId="77777777" w:rsidR="002C4558" w:rsidRDefault="002C4558" w:rsidP="004D7508">
                    <w:pPr>
                      <w:pStyle w:val="Bibliography"/>
                      <w:rPr>
                        <w:noProof/>
                      </w:rPr>
                    </w:pPr>
                    <w:r>
                      <w:rPr>
                        <w:noProof/>
                      </w:rPr>
                      <w:t xml:space="preserve">D. Montaño and D. Kasprzyk, “Health Behavior: Theory, Research, and Practice,” in </w:t>
                    </w:r>
                    <w:r>
                      <w:rPr>
                        <w:i/>
                        <w:iCs/>
                        <w:noProof/>
                      </w:rPr>
                      <w:t>Theory of Reasoned Action, Theory of Planned Behavior, and the Integrated Behavioral Model</w:t>
                    </w:r>
                    <w:r>
                      <w:rPr>
                        <w:noProof/>
                      </w:rPr>
                      <w:t>, San Francisco, CA, Jossey-Bass/Wiley, 2015, p. 95–124.</w:t>
                    </w:r>
                  </w:p>
                </w:tc>
              </w:tr>
              <w:tr w:rsidR="002C4558" w14:paraId="6E4DB750" w14:textId="77777777" w:rsidTr="004D7508">
                <w:trPr>
                  <w:tblCellSpacing w:w="15" w:type="dxa"/>
                </w:trPr>
                <w:tc>
                  <w:tcPr>
                    <w:tcW w:w="50" w:type="pct"/>
                    <w:hideMark/>
                  </w:tcPr>
                  <w:p w14:paraId="6550CED0" w14:textId="77777777" w:rsidR="002C4558" w:rsidRDefault="002C4558" w:rsidP="004D7508">
                    <w:pPr>
                      <w:pStyle w:val="Bibliography"/>
                      <w:rPr>
                        <w:noProof/>
                      </w:rPr>
                    </w:pPr>
                    <w:r>
                      <w:rPr>
                        <w:noProof/>
                      </w:rPr>
                      <w:t xml:space="preserve">[15] </w:t>
                    </w:r>
                  </w:p>
                </w:tc>
                <w:tc>
                  <w:tcPr>
                    <w:tcW w:w="0" w:type="auto"/>
                    <w:hideMark/>
                  </w:tcPr>
                  <w:p w14:paraId="681AFC4B" w14:textId="77777777" w:rsidR="002C4558" w:rsidRDefault="002C4558" w:rsidP="004D7508">
                    <w:pPr>
                      <w:pStyle w:val="Bibliography"/>
                      <w:rPr>
                        <w:noProof/>
                      </w:rPr>
                    </w:pPr>
                    <w:r>
                      <w:rPr>
                        <w:noProof/>
                      </w:rPr>
                      <w:t xml:space="preserve">B. Fogg, “A Behavior Model for Persuasive Design,” in </w:t>
                    </w:r>
                    <w:r>
                      <w:rPr>
                        <w:i/>
                        <w:iCs/>
                        <w:noProof/>
                      </w:rPr>
                      <w:t>Persuasive ’09: Proceedings of the 4th International Conference on Persuasive Technology</w:t>
                    </w:r>
                    <w:r>
                      <w:rPr>
                        <w:noProof/>
                      </w:rPr>
                      <w:t xml:space="preserve">, Claremont, California, 2009. </w:t>
                    </w:r>
                  </w:p>
                </w:tc>
              </w:tr>
              <w:tr w:rsidR="002C4558" w14:paraId="12B931C8" w14:textId="77777777" w:rsidTr="004D7508">
                <w:trPr>
                  <w:tblCellSpacing w:w="15" w:type="dxa"/>
                </w:trPr>
                <w:tc>
                  <w:tcPr>
                    <w:tcW w:w="50" w:type="pct"/>
                    <w:hideMark/>
                  </w:tcPr>
                  <w:p w14:paraId="367E71BF" w14:textId="77777777" w:rsidR="002C4558" w:rsidRDefault="002C4558" w:rsidP="004D7508">
                    <w:pPr>
                      <w:pStyle w:val="Bibliography"/>
                      <w:rPr>
                        <w:noProof/>
                      </w:rPr>
                    </w:pPr>
                    <w:r>
                      <w:rPr>
                        <w:noProof/>
                      </w:rPr>
                      <w:t xml:space="preserve">[16] </w:t>
                    </w:r>
                  </w:p>
                </w:tc>
                <w:tc>
                  <w:tcPr>
                    <w:tcW w:w="0" w:type="auto"/>
                    <w:hideMark/>
                  </w:tcPr>
                  <w:p w14:paraId="2BDE85A1" w14:textId="77777777" w:rsidR="002C4558" w:rsidRDefault="002C4558" w:rsidP="004D7508">
                    <w:pPr>
                      <w:pStyle w:val="Bibliography"/>
                      <w:rPr>
                        <w:noProof/>
                      </w:rPr>
                    </w:pPr>
                    <w:r>
                      <w:rPr>
                        <w:noProof/>
                      </w:rPr>
                      <w:t xml:space="preserve">Y. Lu, Y. Lu and S. Gupta, “Do mHealth Apps Influence Consumers’ Safe Food Choice Decisions? Role of Technology Affordances,” </w:t>
                    </w:r>
                    <w:r>
                      <w:rPr>
                        <w:i/>
                        <w:iCs/>
                        <w:noProof/>
                      </w:rPr>
                      <w:t xml:space="preserve">Journal of Electronic Commerce Research, </w:t>
                    </w:r>
                    <w:r>
                      <w:rPr>
                        <w:noProof/>
                      </w:rPr>
                      <w:t xml:space="preserve">vol. 23, no. 4, p. 223–235, 2022. </w:t>
                    </w:r>
                  </w:p>
                </w:tc>
              </w:tr>
              <w:tr w:rsidR="002C4558" w14:paraId="183A7F1A" w14:textId="77777777" w:rsidTr="004D7508">
                <w:trPr>
                  <w:tblCellSpacing w:w="15" w:type="dxa"/>
                </w:trPr>
                <w:tc>
                  <w:tcPr>
                    <w:tcW w:w="50" w:type="pct"/>
                    <w:hideMark/>
                  </w:tcPr>
                  <w:p w14:paraId="65B77349" w14:textId="77777777" w:rsidR="002C4558" w:rsidRDefault="002C4558" w:rsidP="004D7508">
                    <w:pPr>
                      <w:pStyle w:val="Bibliography"/>
                      <w:rPr>
                        <w:noProof/>
                      </w:rPr>
                    </w:pPr>
                    <w:r>
                      <w:rPr>
                        <w:noProof/>
                      </w:rPr>
                      <w:t xml:space="preserve">[17] </w:t>
                    </w:r>
                  </w:p>
                </w:tc>
                <w:tc>
                  <w:tcPr>
                    <w:tcW w:w="0" w:type="auto"/>
                    <w:hideMark/>
                  </w:tcPr>
                  <w:p w14:paraId="49CEA91C" w14:textId="77777777" w:rsidR="002C4558" w:rsidRDefault="002C4558" w:rsidP="004D7508">
                    <w:pPr>
                      <w:pStyle w:val="Bibliography"/>
                      <w:rPr>
                        <w:noProof/>
                      </w:rPr>
                    </w:pPr>
                    <w:r>
                      <w:rPr>
                        <w:noProof/>
                      </w:rPr>
                      <w:t>E. Radcliffe, B. Lippincott, R. Anderson and M. Jones, “A Pilot Evaluation of mHealth App Accessibility for Three Top</w:t>
                    </w:r>
                    <w:r>
                      <w:rPr>
                        <w:noProof/>
                      </w:rPr>
                      <w:noBreakHyphen/>
                      <w:t xml:space="preserve">Rated Weight Management Apps by People with Disabilities,” </w:t>
                    </w:r>
                    <w:r>
                      <w:rPr>
                        <w:i/>
                        <w:iCs/>
                        <w:noProof/>
                      </w:rPr>
                      <w:t xml:space="preserve">International Journal of Environmental Research and Public Health, </w:t>
                    </w:r>
                    <w:r>
                      <w:rPr>
                        <w:noProof/>
                      </w:rPr>
                      <w:t xml:space="preserve">vol. 18, no. 7, 2021. </w:t>
                    </w:r>
                  </w:p>
                </w:tc>
              </w:tr>
              <w:tr w:rsidR="002C4558" w14:paraId="2D1FAEC8" w14:textId="77777777" w:rsidTr="004D7508">
                <w:trPr>
                  <w:tblCellSpacing w:w="15" w:type="dxa"/>
                </w:trPr>
                <w:tc>
                  <w:tcPr>
                    <w:tcW w:w="50" w:type="pct"/>
                    <w:hideMark/>
                  </w:tcPr>
                  <w:p w14:paraId="172AB974" w14:textId="77777777" w:rsidR="002C4558" w:rsidRDefault="002C4558" w:rsidP="004D7508">
                    <w:pPr>
                      <w:pStyle w:val="Bibliography"/>
                      <w:rPr>
                        <w:noProof/>
                      </w:rPr>
                    </w:pPr>
                    <w:r>
                      <w:rPr>
                        <w:noProof/>
                      </w:rPr>
                      <w:t xml:space="preserve">[18] </w:t>
                    </w:r>
                  </w:p>
                </w:tc>
                <w:tc>
                  <w:tcPr>
                    <w:tcW w:w="0" w:type="auto"/>
                    <w:hideMark/>
                  </w:tcPr>
                  <w:p w14:paraId="5D1942AC" w14:textId="77777777" w:rsidR="002C4558" w:rsidRDefault="002C4558" w:rsidP="004D7508">
                    <w:pPr>
                      <w:pStyle w:val="Bibliography"/>
                      <w:rPr>
                        <w:noProof/>
                      </w:rPr>
                    </w:pPr>
                    <w:r>
                      <w:rPr>
                        <w:noProof/>
                      </w:rPr>
                      <w:t xml:space="preserve">K. Shikako, E. R. I. Mogo, V. Grand-Maison, R. Simpson, L. Pritchard-Wiart and e. al., “Designing User-Centered Mobile Health Initiatives to Promote Healthy Behaviors for Children With Disabilities: Development and Usability Study,” </w:t>
                    </w:r>
                    <w:r>
                      <w:rPr>
                        <w:i/>
                        <w:iCs/>
                        <w:noProof/>
                      </w:rPr>
                      <w:t xml:space="preserve">JMIR Formative Research, </w:t>
                    </w:r>
                    <w:r>
                      <w:rPr>
                        <w:noProof/>
                      </w:rPr>
                      <w:t xml:space="preserve">vol. 5, no. 9, 2021. </w:t>
                    </w:r>
                  </w:p>
                </w:tc>
              </w:tr>
              <w:tr w:rsidR="002C4558" w14:paraId="03269E95" w14:textId="77777777" w:rsidTr="004D7508">
                <w:trPr>
                  <w:tblCellSpacing w:w="15" w:type="dxa"/>
                </w:trPr>
                <w:tc>
                  <w:tcPr>
                    <w:tcW w:w="50" w:type="pct"/>
                    <w:hideMark/>
                  </w:tcPr>
                  <w:p w14:paraId="3380F085" w14:textId="77777777" w:rsidR="002C4558" w:rsidRDefault="002C4558" w:rsidP="004D7508">
                    <w:pPr>
                      <w:pStyle w:val="Bibliography"/>
                      <w:rPr>
                        <w:noProof/>
                      </w:rPr>
                    </w:pPr>
                    <w:r>
                      <w:rPr>
                        <w:noProof/>
                      </w:rPr>
                      <w:t xml:space="preserve">[19] </w:t>
                    </w:r>
                  </w:p>
                </w:tc>
                <w:tc>
                  <w:tcPr>
                    <w:tcW w:w="0" w:type="auto"/>
                    <w:hideMark/>
                  </w:tcPr>
                  <w:p w14:paraId="7497EB31" w14:textId="77777777" w:rsidR="002C4558" w:rsidRDefault="002C4558" w:rsidP="004D7508">
                    <w:pPr>
                      <w:pStyle w:val="Bibliography"/>
                      <w:rPr>
                        <w:noProof/>
                      </w:rPr>
                    </w:pPr>
                    <w:r>
                      <w:rPr>
                        <w:noProof/>
                      </w:rPr>
                      <w:t>T. Pangarkar, “mHealth Apps Statistics 2025 By Technology, Usage, Challenges,” Market.us Scoop, 13 January 2025. [Online]. Available: https://scoop.market.us/mhealth-apps-statistics/. [Accessed July 2025].</w:t>
                    </w:r>
                  </w:p>
                </w:tc>
              </w:tr>
              <w:tr w:rsidR="002C4558" w14:paraId="41D2F556" w14:textId="77777777" w:rsidTr="004D7508">
                <w:trPr>
                  <w:tblCellSpacing w:w="15" w:type="dxa"/>
                </w:trPr>
                <w:tc>
                  <w:tcPr>
                    <w:tcW w:w="50" w:type="pct"/>
                    <w:hideMark/>
                  </w:tcPr>
                  <w:p w14:paraId="7B9E5D44" w14:textId="77777777" w:rsidR="002C4558" w:rsidRDefault="002C4558" w:rsidP="004D7508">
                    <w:pPr>
                      <w:pStyle w:val="Bibliography"/>
                      <w:rPr>
                        <w:noProof/>
                      </w:rPr>
                    </w:pPr>
                    <w:r>
                      <w:rPr>
                        <w:noProof/>
                      </w:rPr>
                      <w:t xml:space="preserve">[20] </w:t>
                    </w:r>
                  </w:p>
                </w:tc>
                <w:tc>
                  <w:tcPr>
                    <w:tcW w:w="0" w:type="auto"/>
                    <w:hideMark/>
                  </w:tcPr>
                  <w:p w14:paraId="056D012E" w14:textId="77777777" w:rsidR="002C4558" w:rsidRDefault="002C4558" w:rsidP="004D7508">
                    <w:pPr>
                      <w:pStyle w:val="Bibliography"/>
                      <w:rPr>
                        <w:noProof/>
                      </w:rPr>
                    </w:pPr>
                    <w:r>
                      <w:rPr>
                        <w:noProof/>
                      </w:rPr>
                      <w:t>F. S. Agency, “Nutrition labelling,” Food Standards Agency, 29 January 2018. [Online]. Available: https://www.food.gov.uk/business-guidance/nutrition-labelling. [Accessed July 2025].</w:t>
                    </w:r>
                  </w:p>
                </w:tc>
              </w:tr>
              <w:tr w:rsidR="002C4558" w14:paraId="4C0225F1" w14:textId="77777777" w:rsidTr="004D7508">
                <w:trPr>
                  <w:tblCellSpacing w:w="15" w:type="dxa"/>
                </w:trPr>
                <w:tc>
                  <w:tcPr>
                    <w:tcW w:w="50" w:type="pct"/>
                    <w:hideMark/>
                  </w:tcPr>
                  <w:p w14:paraId="551AC3DA" w14:textId="77777777" w:rsidR="002C4558" w:rsidRDefault="002C4558" w:rsidP="004D7508">
                    <w:pPr>
                      <w:pStyle w:val="Bibliography"/>
                      <w:rPr>
                        <w:noProof/>
                      </w:rPr>
                    </w:pPr>
                    <w:r>
                      <w:rPr>
                        <w:noProof/>
                      </w:rPr>
                      <w:lastRenderedPageBreak/>
                      <w:t xml:space="preserve">[21] </w:t>
                    </w:r>
                  </w:p>
                </w:tc>
                <w:tc>
                  <w:tcPr>
                    <w:tcW w:w="0" w:type="auto"/>
                    <w:hideMark/>
                  </w:tcPr>
                  <w:p w14:paraId="7ED85357" w14:textId="77777777" w:rsidR="002C4558" w:rsidRDefault="002C4558" w:rsidP="004D7508">
                    <w:pPr>
                      <w:pStyle w:val="Bibliography"/>
                      <w:rPr>
                        <w:noProof/>
                      </w:rPr>
                    </w:pPr>
                    <w:r>
                      <w:rPr>
                        <w:noProof/>
                      </w:rPr>
                      <w:t>Food Standards Agency, “Guide to Creating a Front of Pack (FoP) Nutrition Label for Pre-packed Products Sold Through Retail Outlets,” Food Standards Agency, 2016.</w:t>
                    </w:r>
                  </w:p>
                </w:tc>
              </w:tr>
              <w:tr w:rsidR="002C4558" w14:paraId="18BD7A3F" w14:textId="77777777" w:rsidTr="004D7508">
                <w:trPr>
                  <w:tblCellSpacing w:w="15" w:type="dxa"/>
                </w:trPr>
                <w:tc>
                  <w:tcPr>
                    <w:tcW w:w="50" w:type="pct"/>
                    <w:hideMark/>
                  </w:tcPr>
                  <w:p w14:paraId="097679A1" w14:textId="77777777" w:rsidR="002C4558" w:rsidRDefault="002C4558" w:rsidP="004D7508">
                    <w:pPr>
                      <w:pStyle w:val="Bibliography"/>
                      <w:rPr>
                        <w:noProof/>
                      </w:rPr>
                    </w:pPr>
                    <w:r>
                      <w:rPr>
                        <w:noProof/>
                      </w:rPr>
                      <w:t xml:space="preserve">[22] </w:t>
                    </w:r>
                  </w:p>
                </w:tc>
                <w:tc>
                  <w:tcPr>
                    <w:tcW w:w="0" w:type="auto"/>
                    <w:hideMark/>
                  </w:tcPr>
                  <w:p w14:paraId="2124B842" w14:textId="77777777" w:rsidR="002C4558" w:rsidRDefault="002C4558" w:rsidP="004D7508">
                    <w:pPr>
                      <w:pStyle w:val="Bibliography"/>
                      <w:rPr>
                        <w:noProof/>
                      </w:rPr>
                    </w:pPr>
                    <w:r>
                      <w:rPr>
                        <w:noProof/>
                      </w:rPr>
                      <w:t>British Heart Foundation, “Summary &amp; Analysis: Modelling the potential impact of a reduction in salt consumption on hypertension, coronary heart disease, and stroke in the population of the United Kingdom from 2021 to 2035,” British Heart Foundation, 2022.</w:t>
                    </w:r>
                  </w:p>
                </w:tc>
              </w:tr>
              <w:tr w:rsidR="002C4558" w14:paraId="787C2610" w14:textId="77777777" w:rsidTr="004D7508">
                <w:trPr>
                  <w:tblCellSpacing w:w="15" w:type="dxa"/>
                </w:trPr>
                <w:tc>
                  <w:tcPr>
                    <w:tcW w:w="50" w:type="pct"/>
                    <w:hideMark/>
                  </w:tcPr>
                  <w:p w14:paraId="38077431" w14:textId="77777777" w:rsidR="002C4558" w:rsidRDefault="002C4558" w:rsidP="004D7508">
                    <w:pPr>
                      <w:pStyle w:val="Bibliography"/>
                      <w:rPr>
                        <w:noProof/>
                      </w:rPr>
                    </w:pPr>
                    <w:r>
                      <w:rPr>
                        <w:noProof/>
                      </w:rPr>
                      <w:t xml:space="preserve">[23] </w:t>
                    </w:r>
                  </w:p>
                </w:tc>
                <w:tc>
                  <w:tcPr>
                    <w:tcW w:w="0" w:type="auto"/>
                    <w:hideMark/>
                  </w:tcPr>
                  <w:p w14:paraId="11014336" w14:textId="77777777" w:rsidR="002C4558" w:rsidRDefault="002C4558" w:rsidP="004D7508">
                    <w:pPr>
                      <w:pStyle w:val="Bibliography"/>
                      <w:rPr>
                        <w:noProof/>
                      </w:rPr>
                    </w:pPr>
                    <w:r>
                      <w:rPr>
                        <w:noProof/>
                      </w:rPr>
                      <w:t>W3C, “Web Content Accessibility Guidelines (WCAG) 2.1,” World Wide Web Consortium (W3C), 5 June 2018. [Online]. Available: https://www.w3.org/TR/WCAG21/. [Accessed July 2025].</w:t>
                    </w:r>
                  </w:p>
                </w:tc>
              </w:tr>
              <w:tr w:rsidR="002C4558" w14:paraId="13D420B0" w14:textId="77777777" w:rsidTr="004D7508">
                <w:trPr>
                  <w:tblCellSpacing w:w="15" w:type="dxa"/>
                </w:trPr>
                <w:tc>
                  <w:tcPr>
                    <w:tcW w:w="50" w:type="pct"/>
                    <w:hideMark/>
                  </w:tcPr>
                  <w:p w14:paraId="4DCD1D89" w14:textId="77777777" w:rsidR="002C4558" w:rsidRDefault="002C4558" w:rsidP="004D7508">
                    <w:pPr>
                      <w:pStyle w:val="Bibliography"/>
                      <w:rPr>
                        <w:noProof/>
                      </w:rPr>
                    </w:pPr>
                    <w:r>
                      <w:rPr>
                        <w:noProof/>
                      </w:rPr>
                      <w:t xml:space="preserve">[24] </w:t>
                    </w:r>
                  </w:p>
                </w:tc>
                <w:tc>
                  <w:tcPr>
                    <w:tcW w:w="0" w:type="auto"/>
                    <w:hideMark/>
                  </w:tcPr>
                  <w:p w14:paraId="50F2F5FF" w14:textId="77777777" w:rsidR="002C4558" w:rsidRDefault="002C4558" w:rsidP="004D7508">
                    <w:pPr>
                      <w:pStyle w:val="Bibliography"/>
                      <w:rPr>
                        <w:noProof/>
                      </w:rPr>
                    </w:pPr>
                    <w:r>
                      <w:rPr>
                        <w:noProof/>
                      </w:rPr>
                      <w:t>W3C, “G111: Using Color and Pattern,” World Wide Web Consortium (W3C) , 10 September 2007. [Online]. Available: https://www.w3.org/WAI/GL/WCAG20/WD-WCAG20-TECHS-20070910/G111.html. [Accessed July 2025].</w:t>
                    </w:r>
                  </w:p>
                </w:tc>
              </w:tr>
              <w:tr w:rsidR="002C4558" w14:paraId="240A7C26" w14:textId="77777777" w:rsidTr="004D7508">
                <w:trPr>
                  <w:tblCellSpacing w:w="15" w:type="dxa"/>
                </w:trPr>
                <w:tc>
                  <w:tcPr>
                    <w:tcW w:w="50" w:type="pct"/>
                    <w:hideMark/>
                  </w:tcPr>
                  <w:p w14:paraId="4BF6CCBD" w14:textId="77777777" w:rsidR="002C4558" w:rsidRDefault="002C4558" w:rsidP="004D7508">
                    <w:pPr>
                      <w:pStyle w:val="Bibliography"/>
                      <w:rPr>
                        <w:noProof/>
                      </w:rPr>
                    </w:pPr>
                    <w:r>
                      <w:rPr>
                        <w:noProof/>
                      </w:rPr>
                      <w:t xml:space="preserve">[25] </w:t>
                    </w:r>
                  </w:p>
                </w:tc>
                <w:tc>
                  <w:tcPr>
                    <w:tcW w:w="0" w:type="auto"/>
                    <w:hideMark/>
                  </w:tcPr>
                  <w:p w14:paraId="56194F77" w14:textId="77777777" w:rsidR="002C4558" w:rsidRDefault="002C4558" w:rsidP="004D7508">
                    <w:pPr>
                      <w:pStyle w:val="Bibliography"/>
                      <w:rPr>
                        <w:noProof/>
                      </w:rPr>
                    </w:pPr>
                    <w:r>
                      <w:rPr>
                        <w:noProof/>
                      </w:rPr>
                      <w:t xml:space="preserve">H. Persson, H. Åhman, A. A. Yngling and J. Gulliksen, “Universal design, inclusive design, accessible design, design for all: different concepts—one goal? On the concept of accessibility—historical, methodological and philosophical aspects,” </w:t>
                    </w:r>
                    <w:r>
                      <w:rPr>
                        <w:i/>
                        <w:iCs/>
                        <w:noProof/>
                      </w:rPr>
                      <w:t xml:space="preserve">Universal Access in the Information Society, </w:t>
                    </w:r>
                    <w:r>
                      <w:rPr>
                        <w:noProof/>
                      </w:rPr>
                      <w:t xml:space="preserve">vol. 14, no. 4, 2014. </w:t>
                    </w:r>
                  </w:p>
                </w:tc>
              </w:tr>
            </w:tbl>
            <w:p w14:paraId="41497135" w14:textId="77777777" w:rsidR="002C4558" w:rsidRDefault="002C4558" w:rsidP="002C4558">
              <w:pPr>
                <w:rPr>
                  <w:rFonts w:eastAsia="Times New Roman"/>
                  <w:noProof/>
                </w:rPr>
              </w:pPr>
            </w:p>
            <w:p w14:paraId="3988C8F5" w14:textId="77777777" w:rsidR="002C4558" w:rsidRPr="009818BF" w:rsidRDefault="002C4558" w:rsidP="002C4558">
              <w:r>
                <w:rPr>
                  <w:b/>
                  <w:bCs/>
                  <w:noProof/>
                </w:rPr>
                <w:fldChar w:fldCharType="end"/>
              </w:r>
            </w:p>
          </w:sdtContent>
        </w:sdt>
      </w:sdtContent>
    </w:sdt>
    <w:p w14:paraId="4F923C84" w14:textId="77777777" w:rsidR="002C4558" w:rsidRPr="00A135E8" w:rsidRDefault="002C4558" w:rsidP="002C4558">
      <w:pPr>
        <w:rPr>
          <w:sz w:val="22"/>
          <w:szCs w:val="22"/>
        </w:rPr>
      </w:pPr>
    </w:p>
    <w:p w14:paraId="4FC0BF66" w14:textId="77777777" w:rsidR="0038594C" w:rsidRDefault="0038594C"/>
    <w:sectPr w:rsidR="00385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3" w:usb1="1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64C46"/>
    <w:multiLevelType w:val="hybridMultilevel"/>
    <w:tmpl w:val="9ABC8378"/>
    <w:lvl w:ilvl="0" w:tplc="03DC4DA2">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1309D5"/>
    <w:multiLevelType w:val="hybridMultilevel"/>
    <w:tmpl w:val="DB2CD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0C4B67"/>
    <w:multiLevelType w:val="hybridMultilevel"/>
    <w:tmpl w:val="7E9C9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4421CA"/>
    <w:multiLevelType w:val="hybridMultilevel"/>
    <w:tmpl w:val="F606D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678AB"/>
    <w:multiLevelType w:val="hybridMultilevel"/>
    <w:tmpl w:val="11F42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3206710">
    <w:abstractNumId w:val="0"/>
  </w:num>
  <w:num w:numId="2" w16cid:durableId="929434832">
    <w:abstractNumId w:val="2"/>
  </w:num>
  <w:num w:numId="3" w16cid:durableId="510533712">
    <w:abstractNumId w:val="4"/>
  </w:num>
  <w:num w:numId="4" w16cid:durableId="136150275">
    <w:abstractNumId w:val="1"/>
  </w:num>
  <w:num w:numId="5" w16cid:durableId="21165564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558"/>
    <w:rsid w:val="002C4558"/>
    <w:rsid w:val="0038594C"/>
    <w:rsid w:val="005F7FD4"/>
    <w:rsid w:val="007A4AFE"/>
    <w:rsid w:val="00FD4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BBCC78"/>
  <w15:chartTrackingRefBased/>
  <w15:docId w15:val="{C9EF4035-B4A1-9849-9200-C262C62E7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558"/>
  </w:style>
  <w:style w:type="paragraph" w:styleId="Heading1">
    <w:name w:val="heading 1"/>
    <w:basedOn w:val="Normal"/>
    <w:next w:val="Normal"/>
    <w:link w:val="Heading1Char"/>
    <w:uiPriority w:val="9"/>
    <w:qFormat/>
    <w:rsid w:val="002C45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45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5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5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5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5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5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5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5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5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45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5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5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5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5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5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5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558"/>
    <w:rPr>
      <w:rFonts w:eastAsiaTheme="majorEastAsia" w:cstheme="majorBidi"/>
      <w:color w:val="272727" w:themeColor="text1" w:themeTint="D8"/>
    </w:rPr>
  </w:style>
  <w:style w:type="paragraph" w:styleId="Title">
    <w:name w:val="Title"/>
    <w:basedOn w:val="Normal"/>
    <w:next w:val="Normal"/>
    <w:link w:val="TitleChar"/>
    <w:uiPriority w:val="10"/>
    <w:qFormat/>
    <w:rsid w:val="002C45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5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5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5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558"/>
    <w:pPr>
      <w:spacing w:before="160"/>
      <w:jc w:val="center"/>
    </w:pPr>
    <w:rPr>
      <w:i/>
      <w:iCs/>
      <w:color w:val="404040" w:themeColor="text1" w:themeTint="BF"/>
    </w:rPr>
  </w:style>
  <w:style w:type="character" w:customStyle="1" w:styleId="QuoteChar">
    <w:name w:val="Quote Char"/>
    <w:basedOn w:val="DefaultParagraphFont"/>
    <w:link w:val="Quote"/>
    <w:uiPriority w:val="29"/>
    <w:rsid w:val="002C4558"/>
    <w:rPr>
      <w:i/>
      <w:iCs/>
      <w:color w:val="404040" w:themeColor="text1" w:themeTint="BF"/>
    </w:rPr>
  </w:style>
  <w:style w:type="paragraph" w:styleId="ListParagraph">
    <w:name w:val="List Paragraph"/>
    <w:basedOn w:val="Normal"/>
    <w:uiPriority w:val="34"/>
    <w:qFormat/>
    <w:rsid w:val="002C4558"/>
    <w:pPr>
      <w:ind w:left="720"/>
      <w:contextualSpacing/>
    </w:pPr>
  </w:style>
  <w:style w:type="character" w:styleId="IntenseEmphasis">
    <w:name w:val="Intense Emphasis"/>
    <w:basedOn w:val="DefaultParagraphFont"/>
    <w:uiPriority w:val="21"/>
    <w:qFormat/>
    <w:rsid w:val="002C4558"/>
    <w:rPr>
      <w:i/>
      <w:iCs/>
      <w:color w:val="0F4761" w:themeColor="accent1" w:themeShade="BF"/>
    </w:rPr>
  </w:style>
  <w:style w:type="paragraph" w:styleId="IntenseQuote">
    <w:name w:val="Intense Quote"/>
    <w:basedOn w:val="Normal"/>
    <w:next w:val="Normal"/>
    <w:link w:val="IntenseQuoteChar"/>
    <w:uiPriority w:val="30"/>
    <w:qFormat/>
    <w:rsid w:val="002C45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558"/>
    <w:rPr>
      <w:i/>
      <w:iCs/>
      <w:color w:val="0F4761" w:themeColor="accent1" w:themeShade="BF"/>
    </w:rPr>
  </w:style>
  <w:style w:type="character" w:styleId="IntenseReference">
    <w:name w:val="Intense Reference"/>
    <w:basedOn w:val="DefaultParagraphFont"/>
    <w:uiPriority w:val="32"/>
    <w:qFormat/>
    <w:rsid w:val="002C4558"/>
    <w:rPr>
      <w:b/>
      <w:bCs/>
      <w:smallCaps/>
      <w:color w:val="0F4761" w:themeColor="accent1" w:themeShade="BF"/>
      <w:spacing w:val="5"/>
    </w:rPr>
  </w:style>
  <w:style w:type="paragraph" w:styleId="TOCHeading">
    <w:name w:val="TOC Heading"/>
    <w:basedOn w:val="Heading1"/>
    <w:next w:val="Normal"/>
    <w:uiPriority w:val="39"/>
    <w:unhideWhenUsed/>
    <w:qFormat/>
    <w:rsid w:val="002C4558"/>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2C4558"/>
    <w:pPr>
      <w:spacing w:before="120" w:after="0"/>
      <w:ind w:left="240"/>
    </w:pPr>
    <w:rPr>
      <w:b/>
      <w:bCs/>
      <w:sz w:val="22"/>
      <w:szCs w:val="22"/>
    </w:rPr>
  </w:style>
  <w:style w:type="paragraph" w:styleId="TOC1">
    <w:name w:val="toc 1"/>
    <w:basedOn w:val="Normal"/>
    <w:next w:val="Normal"/>
    <w:autoRedefine/>
    <w:uiPriority w:val="39"/>
    <w:unhideWhenUsed/>
    <w:rsid w:val="002C4558"/>
    <w:pPr>
      <w:spacing w:before="120" w:after="0"/>
    </w:pPr>
    <w:rPr>
      <w:b/>
      <w:bCs/>
      <w:i/>
      <w:iCs/>
    </w:rPr>
  </w:style>
  <w:style w:type="character" w:styleId="Hyperlink">
    <w:name w:val="Hyperlink"/>
    <w:basedOn w:val="DefaultParagraphFont"/>
    <w:uiPriority w:val="99"/>
    <w:unhideWhenUsed/>
    <w:rsid w:val="002C4558"/>
    <w:rPr>
      <w:color w:val="467886" w:themeColor="hyperlink"/>
      <w:u w:val="single"/>
    </w:rPr>
  </w:style>
  <w:style w:type="paragraph" w:styleId="Caption">
    <w:name w:val="caption"/>
    <w:basedOn w:val="Normal"/>
    <w:next w:val="Normal"/>
    <w:uiPriority w:val="35"/>
    <w:unhideWhenUsed/>
    <w:qFormat/>
    <w:rsid w:val="002C4558"/>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2C4558"/>
  </w:style>
  <w:style w:type="table" w:styleId="TableGrid">
    <w:name w:val="Table Grid"/>
    <w:basedOn w:val="TableNormal"/>
    <w:uiPriority w:val="39"/>
    <w:rsid w:val="002C45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Bri25</b:Tag>
    <b:SourceType>InternetSite</b:SourceType>
    <b:Guid>{FAF9205B-204D-B648-8DE3-2EF06683637D}</b:Guid>
    <b:Title>Understanding Food Labels</b:Title>
    <b:Year>2025</b:Year>
    <b:Author>
      <b:Author>
        <b:Corporate>British Nutrition Foundation</b:Corporate>
      </b:Author>
    </b:Author>
    <b:URL>https://www.nutrition.org.uk/creating-a-healthy-diet/food-labelling</b:URL>
    <b:ProductionCompany>Understanding Food Labels</b:ProductionCompany>
    <b:YearAccessed>2025</b:YearAccessed>
    <b:MonthAccessed>July</b:MonthAccessed>
    <b:RefOrder>1</b:RefOrder>
  </b:Source>
  <b:Source>
    <b:Tag>BBC16</b:Tag>
    <b:SourceType>InternetSite</b:SourceType>
    <b:Guid>{38BCF537-ECAE-EE4D-ADFD-01816291DFB0}</b:Guid>
    <b:Author>
      <b:Author>
        <b:Corporate>BBC</b:Corporate>
      </b:Author>
    </b:Author>
    <b:Title>Food 'traffic light' labelling should be mandatory, councils say</b:Title>
    <b:URL>https://www.bbc.co.uk/news/health-37389804</b:URL>
    <b:ProductionCompany>BBC News</b:ProductionCompany>
    <b:Year>2016</b:Year>
    <b:Month>September</b:Month>
    <b:Day>17</b:Day>
    <b:YearAccessed>2025</b:YearAccessed>
    <b:MonthAccessed>July</b:MonthAccessed>
    <b:RefOrder>2</b:RefOrder>
  </b:Source>
  <b:Source>
    <b:Tag>Boy25</b:Tag>
    <b:SourceType>InternetSite</b:SourceType>
    <b:Guid>{E5442D1F-CA5D-F344-8872-1365438478C6}</b:Guid>
    <b:Author>
      <b:Author>
        <b:NameList>
          <b:Person>
            <b:Last>Boyle</b:Last>
            <b:First>Matthew</b:First>
          </b:Person>
          <b:Person>
            <b:Last>Barber</b:Last>
            <b:First>Sophie</b:First>
          </b:Person>
        </b:NameList>
      </b:Author>
    </b:Author>
    <b:Title>Mobile phone and internet usage statistic in the UK</b:Title>
    <b:URL>https://www.finder.com/uk/banking/mobile-internet-statistics</b:URL>
    <b:ProductionCompany>Finder</b:ProductionCompany>
    <b:Year>2025</b:Year>
    <b:Month>July</b:Month>
    <b:Day>4</b:Day>
    <b:YearAccessed>2025</b:YearAccessed>
    <b:MonthAccessed>July</b:MonthAccessed>
    <b:RefOrder>3</b:RefOrder>
  </b:Source>
  <b:Source>
    <b:Tag>NHS22</b:Tag>
    <b:SourceType>InternetSite</b:SourceType>
    <b:Guid>{F350B6A2-E42D-E441-9B87-C50AC6F24352}</b:Guid>
    <b:Author>
      <b:Author>
        <b:Corporate>NHS</b:Corporate>
      </b:Author>
    </b:Author>
    <b:Title>Food labels</b:Title>
    <b:URL>https://www.nhs.uk/live-well/eat-well/food-guidelines-and-food-labels/how-to-read-food-labels/</b:URL>
    <b:ProductionCompany>NHS</b:ProductionCompany>
    <b:Year>2022</b:Year>
    <b:Month>September</b:Month>
    <b:Day>12</b:Day>
    <b:YearAccessed>2025</b:YearAccessed>
    <b:MonthAccessed>July</b:MonthAccessed>
    <b:RefOrder>4</b:RefOrder>
  </b:Source>
  <b:Source>
    <b:Tag>Wor22</b:Tag>
    <b:SourceType>Report</b:SourceType>
    <b:Guid>{DE6575B2-7224-2B4E-A9AE-5F19113DBA2F}</b:Guid>
    <b:Title>Guiding principles and framework manual for front-of-pack labelling for promoting healthy diet</b:Title>
    <b:Year>2022</b:Year>
    <b:Author>
      <b:Author>
        <b:Corporate>World Health Organization</b:Corporate>
      </b:Author>
    </b:Author>
    <b:Publisher>World Health Organization</b:Publisher>
    <b:City>Geneva</b:City>
    <b:RefOrder>5</b:RefOrder>
  </b:Source>
  <b:Source>
    <b:Tag>Ben15</b:Tag>
    <b:SourceType>JournalArticle</b:SourceType>
    <b:Guid>{1B0F3FD4-7073-4A49-ACB3-AAB188EC1368}</b:Guid>
    <b:Title>Portion Size: What We Know and What We Need to Know</b:Title>
    <b:Year>2015</b:Year>
    <b:Author>
      <b:Author>
        <b:NameList>
          <b:Person>
            <b:Last>Benton</b:Last>
            <b:First>David</b:First>
          </b:Person>
        </b:NameList>
      </b:Author>
    </b:Author>
    <b:JournalName>Critical Reviews in Food Science and Nutrition</b:JournalName>
    <b:Volume>55</b:Volume>
    <b:Issue>7</b:Issue>
    <b:Pages>988–1004</b:Pages>
    <b:RefOrder>6</b:RefOrder>
  </b:Source>
  <b:Source>
    <b:Tag>Cha06</b:Tag>
    <b:SourceType>JournalArticle</b:SourceType>
    <b:Guid>{B38386FF-CF68-704E-AAC3-80DE4F9EA7DB}</b:Guid>
    <b:Author>
      <b:Author>
        <b:NameList>
          <b:Person>
            <b:Last>Chandon</b:Last>
            <b:First>Pierre</b:First>
          </b:Person>
          <b:Person>
            <b:Last>Wansink</b:Last>
            <b:First>Brian</b:First>
          </b:Person>
        </b:NameList>
      </b:Author>
    </b:Author>
    <b:Title>Can “Low-Fat” Nutrition Labels Lead to Obesity?</b:Title>
    <b:JournalName>Journal of Marketing Research</b:JournalName>
    <b:Year>2006</b:Year>
    <b:Volume>43</b:Volume>
    <b:Issue>4</b:Issue>
    <b:Pages>605–617</b:Pages>
    <b:RefOrder>7</b:RefOrder>
  </b:Source>
  <b:Source>
    <b:Tag>Cha07</b:Tag>
    <b:SourceType>JournalArticle</b:SourceType>
    <b:Guid>{A67ABD71-4BCF-144B-9AC3-901BC583E040}</b:Guid>
    <b:Author>
      <b:Author>
        <b:NameList>
          <b:Person>
            <b:Last>Chandon</b:Last>
            <b:First>Pierre</b:First>
          </b:Person>
          <b:Person>
            <b:Last>Wansink</b:Last>
            <b:First>Brian</b:First>
          </b:Person>
        </b:NameList>
      </b:Author>
    </b:Author>
    <b:Title>The Biasing Health Halos of Fast-Food Restaurant Health Claims: Lower Calorie Estimates and Higher Side-Dish Consumption Intentions</b:Title>
    <b:JournalName>Journal of Consumer Research</b:JournalName>
    <b:Year>2007</b:Year>
    <b:Volume>34</b:Volume>
    <b:Issue>3</b:Issue>
    <b:Pages>301–314</b:Pages>
    <b:RefOrder>8</b:RefOrder>
  </b:Source>
  <b:Source>
    <b:Tag>Rom21</b:Tag>
    <b:SourceType>JournalArticle</b:SourceType>
    <b:Guid>{B3FB756E-00D3-F240-9257-35CC2D4B0751}</b:Guid>
    <b:Author>
      <b:Author>
        <b:NameList>
          <b:Person>
            <b:Last>Romli</b:Last>
            <b:First>Rusnida</b:First>
          </b:Person>
          <b:Person>
            <b:Last>Mohd Wazir</b:Last>
            <b:First>Fatin</b:First>
            <b:Middle>Nur Hazwani Binti</b:Middle>
          </b:Person>
          <b:Person>
            <b:Last>Singh</b:Last>
            <b:First>Amar</b:First>
            <b:Middle>Raaj</b:Middle>
          </b:Person>
        </b:NameList>
      </b:Author>
    </b:Author>
    <b:Title>AR Heart: A Development of Healthcare Informative Application using Augmented Reality</b:Title>
    <b:JournalName>Journal of Physics: Conference Series</b:JournalName>
    <b:Year>2021</b:Year>
    <b:Volume>1962</b:Volume>
    <b:Issue>1</b:Issue>
    <b:RefOrder>9</b:RefOrder>
  </b:Source>
  <b:Source>
    <b:Tag>Rup22</b:Tag>
    <b:SourceType>JournalArticle</b:SourceType>
    <b:Guid>{1570A819-0A50-A14E-A1B7-A7577737906B}</b:Guid>
    <b:Author>
      <b:Author>
        <b:NameList>
          <b:Person>
            <b:Last>Rupa</b:Last>
            <b:First>Ch.</b:First>
          </b:Person>
          <b:Person>
            <b:Last>Srivastava</b:Last>
            <b:First>Gautam</b:First>
          </b:Person>
          <b:Person>
            <b:Last>Ganji</b:Last>
            <b:First>Bharath</b:First>
          </b:Person>
          <b:Person>
            <b:Last>Tatiparthi</b:Last>
            <b:First>Sai Praveen</b:First>
          </b:Person>
          <b:Person>
            <b:Last>Maddala</b:Last>
            <b:First>Karthik</b:First>
          </b:Person>
          <b:Person>
            <b:Last>Koppu</b:Last>
            <b:First>Srinivas</b:First>
          </b:Person>
          <b:Person>
            <b:Last>Lin</b:Last>
            <b:First>Jerry Chun‑Wei</b:First>
          </b:Person>
        </b:NameList>
      </b:Author>
    </b:Author>
    <b:Title>Medicine Drug Name Detection Based Object Recognition Using Augmented Reality</b:Title>
    <b:JournalName>Frontiers in Public Health</b:JournalName>
    <b:Year>2022</b:Year>
    <b:Volume>10</b:Volume>
    <b:RefOrder>10</b:RefOrder>
  </b:Source>
  <b:Source>
    <b:Tag>Pun19</b:Tag>
    <b:SourceType>JournalArticle</b:SourceType>
    <b:Guid>{566DBB1E-4E36-224B-A9C0-EBA39EC540C0}</b:Guid>
    <b:Author>
      <b:Author>
        <b:NameList>
          <b:Person>
            <b:Last>Pundlik</b:Last>
            <b:First>Shrinivas</b:First>
          </b:Person>
          <b:Person>
            <b:Last>Singh</b:Last>
            <b:First>Anikait</b:First>
          </b:Person>
          <b:Person>
            <b:Last>Baghel</b:Last>
            <b:First>Gautam</b:First>
          </b:Person>
          <b:Person>
            <b:Last>Baliutaviciute</b:Last>
            <b:First>Vilte</b:First>
          </b:Person>
          <b:Person>
            <b:Last>Luo</b:Last>
            <b:First>Gang</b:First>
          </b:Person>
        </b:NameList>
      </b:Author>
    </b:Author>
    <b:Title>A Mobile Application for Keyword Search in Real‑World Scenes</b:Title>
    <b:JournalName>IEEE Journal of Translational Engineering in Health and Medicine</b:JournalName>
    <b:Year>2019</b:Year>
    <b:Volume>7</b:Volume>
    <b:RefOrder>11</b:RefOrder>
  </b:Source>
  <b:Source>
    <b:Tag>Dav87</b:Tag>
    <b:SourceType>Report</b:SourceType>
    <b:Guid>{A40E50C7-DE84-9B4F-B432-53D5294FFEB2}</b:Guid>
    <b:Title>User Acceptance of Information Systems: The Technology Acceptance Model (TAM)</b:Title>
    <b:Year>1987</b:Year>
    <b:Author>
      <b:Author>
        <b:NameList>
          <b:Person>
            <b:Last>Davis</b:Last>
            <b:First>Fred</b:First>
            <b:Middle>D.</b:Middle>
          </b:Person>
        </b:NameList>
      </b:Author>
    </b:Author>
    <b:Publisher>University of Michigan School of Business Administration, Division of Research</b:Publisher>
    <b:City>Ann Arbor, MI</b:City>
    <b:RefOrder>12</b:RefOrder>
  </b:Source>
  <b:Source>
    <b:Tag>Ajz91</b:Tag>
    <b:SourceType>JournalArticle</b:SourceType>
    <b:Guid>{1190A330-C220-364F-A3AE-16F82EC4AA3A}</b:Guid>
    <b:Title>The Theory of Planned Behavior</b:Title>
    <b:Year>1991</b:Year>
    <b:Author>
      <b:Author>
        <b:NameList>
          <b:Person>
            <b:Last>Ajzen</b:Last>
            <b:First>Icek</b:First>
          </b:Person>
        </b:NameList>
      </b:Author>
    </b:Author>
    <b:JournalName>Organizational Behavior and Human Decision Processes</b:JournalName>
    <b:Volume>50</b:Volume>
    <b:Issue>2</b:Issue>
    <b:Pages>179–211</b:Pages>
    <b:RefOrder>13</b:RefOrder>
  </b:Source>
  <b:Source>
    <b:Tag>Mon15</b:Tag>
    <b:SourceType>BookSection</b:SourceType>
    <b:Guid>{FF991C1D-52BE-914C-870B-E5C493EF968E}</b:Guid>
    <b:Title>Health Behavior: Theory, Research, and Practice</b:Title>
    <b:Year>2015</b:Year>
    <b:Pages>95–124</b:Pages>
    <b:BookTitle>Theory of Reasoned Action, Theory of Planned Behavior, and the Integrated Behavioral Model</b:BookTitle>
    <b:City>San Francisco, CA</b:City>
    <b:Publisher>Jossey-Bass/Wiley</b:Publisher>
    <b:Author>
      <b:Author>
        <b:NameList>
          <b:Person>
            <b:Last>Montaño</b:Last>
            <b:First>D. E.</b:First>
          </b:Person>
          <b:Person>
            <b:Last>Kasprzyk</b:Last>
            <b:First>D.</b:First>
          </b:Person>
        </b:NameList>
      </b:Author>
    </b:Author>
    <b:RefOrder>14</b:RefOrder>
  </b:Source>
  <b:Source>
    <b:Tag>Fog09</b:Tag>
    <b:SourceType>ConferenceProceedings</b:SourceType>
    <b:Guid>{E607021E-4016-2F47-9906-A2A14EC33979}</b:Guid>
    <b:Title>A Behavior Model for Persuasive Design</b:Title>
    <b:City>Claremont, California</b:City>
    <b:Year>2009</b:Year>
    <b:Author>
      <b:Author>
        <b:NameList>
          <b:Person>
            <b:Last>Fogg</b:Last>
            <b:First>B. J.</b:First>
          </b:Person>
        </b:NameList>
      </b:Author>
    </b:Author>
    <b:ConferenceName>Persuasive ’09: Proceedings of the 4th International Conference on Persuasive Technology</b:ConferenceName>
    <b:RefOrder>15</b:RefOrder>
  </b:Source>
  <b:Source>
    <b:Tag>LuY22</b:Tag>
    <b:SourceType>JournalArticle</b:SourceType>
    <b:Guid>{2F0715E8-A110-034F-B327-2455F1A36A22}</b:Guid>
    <b:Title>Do mHealth Apps Influence Consumers’ Safe Food Choice Decisions? Role of Technology Affordances</b:Title>
    <b:Year>2022</b:Year>
    <b:Author>
      <b:Author>
        <b:NameList>
          <b:Person>
            <b:Last>Lu</b:Last>
            <b:First>Yunfan</b:First>
          </b:Person>
          <b:Person>
            <b:Last>Lu</b:Last>
            <b:First>Yaobin</b:First>
          </b:Person>
          <b:Person>
            <b:Last>Gupta</b:Last>
            <b:First>Sumeet</b:First>
          </b:Person>
        </b:NameList>
      </b:Author>
    </b:Author>
    <b:JournalName>Journal of Electronic Commerce Research</b:JournalName>
    <b:Volume>23</b:Volume>
    <b:Issue>4</b:Issue>
    <b:Pages>223–235</b:Pages>
    <b:RefOrder>16</b:RefOrder>
  </b:Source>
  <b:Source>
    <b:Tag>Rad21</b:Tag>
    <b:SourceType>JournalArticle</b:SourceType>
    <b:Guid>{5A7C78FF-946D-324B-81A0-2F72BC5DC96F}</b:Guid>
    <b:Author>
      <b:Author>
        <b:NameList>
          <b:Person>
            <b:Last>Radcliffe</b:Last>
            <b:First>Erin</b:First>
          </b:Person>
          <b:Person>
            <b:Last>Lippincott</b:Last>
            <b:First>Ben</b:First>
          </b:Person>
          <b:Person>
            <b:Last>Anderson</b:Last>
            <b:First>Raeda</b:First>
          </b:Person>
          <b:Person>
            <b:Last>Jones</b:Last>
            <b:First>Mike</b:First>
          </b:Person>
        </b:NameList>
      </b:Author>
    </b:Author>
    <b:Title>A Pilot Evaluation of mHealth App Accessibility for Three Top‑Rated Weight Management Apps by People with Disabilities</b:Title>
    <b:JournalName>International Journal of Environmental Research and Public Health</b:JournalName>
    <b:Year>2021</b:Year>
    <b:Volume>18</b:Volume>
    <b:Issue>7</b:Issue>
    <b:RefOrder>17</b:RefOrder>
  </b:Source>
  <b:Source>
    <b:Tag>Shi21</b:Tag>
    <b:SourceType>JournalArticle</b:SourceType>
    <b:Guid>{8A71653B-6BB3-3945-B7F3-392AFBFA59CD}</b:Guid>
    <b:Author>
      <b:Author>
        <b:NameList>
          <b:Person>
            <b:Last>Shikako</b:Last>
            <b:First>Keiko</b:First>
          </b:Person>
          <b:Person>
            <b:Last>Mogo</b:Last>
            <b:First>Ebele</b:First>
            <b:Middle>R. I.</b:Middle>
          </b:Person>
          <b:Person>
            <b:Last>Grand-Maison</b:Last>
            <b:First>Valerie</b:First>
          </b:Person>
          <b:Person>
            <b:Last>Simpson</b:Last>
            <b:First>Robert</b:First>
          </b:Person>
          <b:Person>
            <b:Last>Pritchard-Wiart</b:Last>
            <b:First>Lesley</b:First>
          </b:Person>
          <b:Person>
            <b:Last>al.</b:Last>
            <b:First>et</b:First>
          </b:Person>
        </b:NameList>
      </b:Author>
    </b:Author>
    <b:Title>Designing User-Centered Mobile Health Initiatives to Promote Healthy Behaviors for Children With Disabilities: Development and Usability Study</b:Title>
    <b:JournalName>JMIR Formative Research</b:JournalName>
    <b:Year>2021</b:Year>
    <b:Volume>5</b:Volume>
    <b:Issue>9</b:Issue>
    <b:RefOrder>18</b:RefOrder>
  </b:Source>
  <b:Source>
    <b:Tag>Pan25</b:Tag>
    <b:SourceType>InternetSite</b:SourceType>
    <b:Guid>{21514DC0-E1CE-B444-9F41-BA570FA7B1D9}</b:Guid>
    <b:Title>mHealth Apps Statistics 2025 By Technology, Usage, Challenges</b:Title>
    <b:Year>2025</b:Year>
    <b:Author>
      <b:Author>
        <b:NameList>
          <b:Person>
            <b:Last>Pangarkar</b:Last>
            <b:First>Tajammul</b:First>
          </b:Person>
        </b:NameList>
      </b:Author>
    </b:Author>
    <b:URL>https://scoop.market.us/mhealth-apps-statistics/</b:URL>
    <b:ProductionCompany>Market.us Scoop</b:ProductionCompany>
    <b:Month>January</b:Month>
    <b:Day>13</b:Day>
    <b:YearAccessed>2025</b:YearAccessed>
    <b:MonthAccessed>July</b:MonthAccessed>
    <b:RefOrder>19</b:RefOrder>
  </b:Source>
  <b:Source>
    <b:Tag>Foo18</b:Tag>
    <b:SourceType>InternetSite</b:SourceType>
    <b:Guid>{42E02B9E-DA4F-3146-9454-5DC578BD6971}</b:Guid>
    <b:Title>Nutrition labelling</b:Title>
    <b:Year>2018</b:Year>
    <b:Author>
      <b:Author>
        <b:NameList>
          <b:Person>
            <b:Last>Agency</b:Last>
            <b:First>Food</b:First>
            <b:Middle>Standards</b:Middle>
          </b:Person>
        </b:NameList>
      </b:Author>
    </b:Author>
    <b:URL>https://www.food.gov.uk/business-guidance/nutrition-labelling</b:URL>
    <b:ProductionCompany>Food Standards Agency</b:ProductionCompany>
    <b:Month>January</b:Month>
    <b:Day>29</b:Day>
    <b:YearAccessed>2025</b:YearAccessed>
    <b:MonthAccessed>July</b:MonthAccessed>
    <b:RefOrder>20</b:RefOrder>
  </b:Source>
  <b:Source>
    <b:Tag>Foo16</b:Tag>
    <b:SourceType>Report</b:SourceType>
    <b:Guid>{CEB40DD7-EAD4-DB48-A2B0-F99CBBB8D8DC}</b:Guid>
    <b:Title>Guide to Creating a Front of Pack (FoP) Nutrition Label for Pre-packed Products Sold Through Retail Outlets</b:Title>
    <b:Year>2016</b:Year>
    <b:Author>
      <b:Author>
        <b:Corporate>Food Standards Agency</b:Corporate>
      </b:Author>
    </b:Author>
    <b:Publisher>Food Standards Agency</b:Publisher>
    <b:RefOrder>21</b:RefOrder>
  </b:Source>
  <b:Source>
    <b:Tag>Bri22</b:Tag>
    <b:SourceType>Report</b:SourceType>
    <b:Guid>{6D31FFD6-78CE-3442-8CA8-98E3B11D1FD4}</b:Guid>
    <b:Title>Summary &amp; Analysis: Modelling the potential impact of a reduction in salt consumption on hypertension, coronary heart disease, and stroke in the population of the United Kingdom from 2021 to 2035</b:Title>
    <b:Year>2022</b:Year>
    <b:Author>
      <b:Author>
        <b:Corporate>British Heart Foundation</b:Corporate>
      </b:Author>
    </b:Author>
    <b:Publisher>British Heart Foundation</b:Publisher>
    <b:RefOrder>22</b:RefOrder>
  </b:Source>
  <b:Source>
    <b:Tag>W3C18</b:Tag>
    <b:SourceType>InternetSite</b:SourceType>
    <b:Guid>{19934D59-9E21-1A4E-8E03-7AB438B083F7}</b:Guid>
    <b:Title>Web Content Accessibility Guidelines (WCAG) 2.1</b:Title>
    <b:Year>2018</b:Year>
    <b:Author>
      <b:Author>
        <b:Corporate>W3C</b:Corporate>
      </b:Author>
    </b:Author>
    <b:URL>https://www.w3.org/TR/WCAG21/</b:URL>
    <b:ProductionCompany>World Wide Web Consortium (W3C)</b:ProductionCompany>
    <b:Month>June</b:Month>
    <b:Day>5</b:Day>
    <b:YearAccessed>2025</b:YearAccessed>
    <b:MonthAccessed>July</b:MonthAccessed>
    <b:RefOrder>23</b:RefOrder>
  </b:Source>
  <b:Source>
    <b:Tag>W3C07</b:Tag>
    <b:SourceType>InternetSite</b:SourceType>
    <b:Guid>{63510129-00D8-3045-9713-2CB3297F358E}</b:Guid>
    <b:Author>
      <b:Author>
        <b:Corporate>W3C</b:Corporate>
      </b:Author>
    </b:Author>
    <b:Title>G111: Using Color and Pattern</b:Title>
    <b:URL>https://www.w3.org/WAI/GL/WCAG20/WD-WCAG20-TECHS-20070910/G111.html</b:URL>
    <b:ProductionCompany>World Wide Web Consortium (W3C) </b:ProductionCompany>
    <b:Year>2007</b:Year>
    <b:Month>September</b:Month>
    <b:Day>10</b:Day>
    <b:YearAccessed>2025</b:YearAccessed>
    <b:MonthAccessed>July</b:MonthAccessed>
    <b:RefOrder>24</b:RefOrder>
  </b:Source>
  <b:Source>
    <b:Tag>Per14</b:Tag>
    <b:SourceType>JournalArticle</b:SourceType>
    <b:Guid>{358D91DA-3863-1E4B-82BF-68350EBEA4EC}</b:Guid>
    <b:Title>Universal design, inclusive design, accessible design, design for all: different concepts—one goal? On the concept of accessibility—historical, methodological and philosophical aspects</b:Title>
    <b:Year>2014</b:Year>
    <b:Author>
      <b:Author>
        <b:NameList>
          <b:Person>
            <b:Last>Persson</b:Last>
            <b:First>Hans</b:First>
          </b:Person>
          <b:Person>
            <b:Last>Åhman</b:Last>
            <b:First>Henrik</b:First>
          </b:Person>
          <b:Person>
            <b:Last>Yngling</b:Last>
            <b:First>Alexander</b:First>
            <b:Middle>Arvei</b:Middle>
          </b:Person>
          <b:Person>
            <b:Last>Gulliksen</b:Last>
            <b:First>Jan</b:First>
          </b:Person>
        </b:NameList>
      </b:Author>
    </b:Author>
    <b:JournalName>Universal Access in the Information Society</b:JournalName>
    <b:Volume>14</b:Volume>
    <b:Issue>4</b:Issue>
    <b:RefOrder>25</b:RefOrder>
  </b:Source>
</b:Sources>
</file>

<file path=customXml/itemProps1.xml><?xml version="1.0" encoding="utf-8"?>
<ds:datastoreItem xmlns:ds="http://schemas.openxmlformats.org/officeDocument/2006/customXml" ds:itemID="{35EF277A-615E-2F4D-81C5-CAFF6E460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6042</Words>
  <Characters>34446</Characters>
  <Application>Microsoft Office Word</Application>
  <DocSecurity>0</DocSecurity>
  <Lines>287</Lines>
  <Paragraphs>80</Paragraphs>
  <ScaleCrop>false</ScaleCrop>
  <Company/>
  <LinksUpToDate>false</LinksUpToDate>
  <CharactersWithSpaces>40408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Green (2420522)</dc:creator>
  <cp:keywords/>
  <dc:description/>
  <cp:lastModifiedBy>Iestyn Green (2420522)</cp:lastModifiedBy>
  <cp:revision>1</cp:revision>
  <dcterms:created xsi:type="dcterms:W3CDTF">2025-07-21T21:14:00Z</dcterms:created>
  <dcterms:modified xsi:type="dcterms:W3CDTF">2025-07-21T21:14:00Z</dcterms:modified>
</cp:coreProperties>
</file>