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36"/>
          <w:szCs w:val="36"/>
        </w:rPr>
      </w:pPr>
      <w:r>
        <w:rPr>
          <w:color w:val="000000"/>
          <w:sz w:val="24"/>
          <w:szCs w:val="24"/>
          <w:lang w:val="en-US"/>
        </w:rPr>
        <w:drawing>
          <wp:inline distT="0" distB="0" distL="0" distR="0">
            <wp:extent cx="1811655" cy="723900"/>
            <wp:effectExtent l="0" t="0" r="1905"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5"/>
                    <a:stretch>
                      <a:fillRect/>
                    </a:stretch>
                  </pic:blipFill>
                  <pic:spPr>
                    <a:xfrm>
                      <a:off x="0" y="0"/>
                      <a:ext cx="1811658" cy="723900"/>
                    </a:xfrm>
                    <a:prstGeom prst="rect">
                      <a:avLst/>
                    </a:prstGeom>
                  </pic:spPr>
                </pic:pic>
              </a:graphicData>
            </a:graphic>
          </wp:inline>
        </w:drawing>
      </w:r>
    </w:p>
    <w:p>
      <w:pPr>
        <w:rPr>
          <w:b/>
          <w:sz w:val="36"/>
          <w:szCs w:val="36"/>
          <w:lang w:val="en-GB"/>
        </w:rPr>
      </w:pPr>
      <w:r>
        <w:rPr>
          <w:b/>
          <w:sz w:val="36"/>
          <w:szCs w:val="36"/>
          <w:lang w:val="en-GB"/>
        </w:rPr>
        <w:t xml:space="preserve">            Student Name:-  Desai Sapnaben Jayesh</w:t>
      </w:r>
    </w:p>
    <w:p>
      <w:pPr>
        <w:rPr>
          <w:b/>
          <w:sz w:val="36"/>
          <w:szCs w:val="36"/>
          <w:lang w:val="en-GB"/>
        </w:rPr>
      </w:pPr>
      <w:r>
        <w:rPr>
          <w:b/>
          <w:sz w:val="36"/>
          <w:szCs w:val="36"/>
          <w:lang w:val="en-GB"/>
        </w:rPr>
        <w:t xml:space="preserve">            Student Id:- 2244134</w:t>
      </w:r>
    </w:p>
    <w:p>
      <w:pPr>
        <w:rPr>
          <w:b/>
          <w:sz w:val="36"/>
          <w:szCs w:val="36"/>
          <w:lang w:val="en-GB"/>
        </w:rPr>
      </w:pPr>
      <w:r>
        <w:rPr>
          <w:b/>
          <w:sz w:val="36"/>
          <w:szCs w:val="36"/>
          <w:lang w:val="en-GB"/>
        </w:rPr>
        <w:t xml:space="preserve">            Subject:- Research proposal </w:t>
      </w:r>
    </w:p>
    <w:p>
      <w:pPr>
        <w:rPr>
          <w:b/>
          <w:sz w:val="36"/>
          <w:szCs w:val="36"/>
          <w:lang w:val="en-GB"/>
        </w:rPr>
      </w:pPr>
      <w:r>
        <w:rPr>
          <w:b/>
          <w:sz w:val="36"/>
          <w:szCs w:val="36"/>
          <w:lang w:val="en-GB"/>
        </w:rPr>
        <w:t xml:space="preserve">            Supervisor:- Amare Desta </w:t>
      </w:r>
    </w:p>
    <w:p>
      <w:pPr>
        <w:rPr>
          <w:b/>
          <w:sz w:val="36"/>
          <w:szCs w:val="36"/>
          <w:lang w:val="en-GB"/>
        </w:rPr>
      </w:pPr>
      <w:r>
        <w:rPr>
          <w:b/>
          <w:sz w:val="36"/>
          <w:szCs w:val="36"/>
          <w:lang w:val="en-GB"/>
        </w:rPr>
        <w:t xml:space="preserve">           Submission Date:- 30/03/2024</w:t>
      </w:r>
    </w:p>
    <w:p>
      <w:pPr>
        <w:rPr>
          <w:b/>
          <w:sz w:val="36"/>
          <w:szCs w:val="36"/>
        </w:rPr>
      </w:pPr>
    </w:p>
    <w:p>
      <w:pPr>
        <w:rPr>
          <w:b/>
          <w:sz w:val="36"/>
          <w:szCs w:val="36"/>
        </w:rPr>
      </w:pPr>
      <w:bookmarkStart w:id="18" w:name="_GoBack"/>
      <w:bookmarkEnd w:id="18"/>
    </w:p>
    <w:p>
      <w:pPr>
        <w:rPr>
          <w:b/>
          <w:sz w:val="36"/>
          <w:szCs w:val="36"/>
        </w:rPr>
      </w:pPr>
    </w:p>
    <w:p>
      <w:pPr>
        <w:rPr>
          <w:b/>
          <w:sz w:val="36"/>
          <w:szCs w:val="36"/>
        </w:rPr>
      </w:pPr>
    </w:p>
    <w:p>
      <w:pPr>
        <w:rPr>
          <w:b/>
          <w:sz w:val="36"/>
          <w:szCs w:val="36"/>
        </w:rPr>
      </w:pPr>
    </w:p>
    <w:p>
      <w:pPr>
        <w:rPr>
          <w:b/>
          <w:sz w:val="36"/>
          <w:szCs w:val="36"/>
        </w:rPr>
      </w:pPr>
    </w:p>
    <w:p>
      <w:pPr>
        <w:jc w:val="center"/>
        <w:rPr>
          <w:b/>
          <w:sz w:val="32"/>
          <w:szCs w:val="32"/>
        </w:rPr>
      </w:pPr>
      <w:r>
        <w:rPr>
          <w:b/>
          <w:sz w:val="32"/>
          <w:szCs w:val="32"/>
        </w:rPr>
        <w:t>FINANCIAL RISK MANAGEMENT STRATEGIES IN MULTINATIONAL CORPORATIONS</w:t>
      </w:r>
    </w:p>
    <w:p>
      <w:pPr>
        <w:jc w:val="center"/>
        <w:rPr>
          <w:b/>
          <w:sz w:val="28"/>
          <w:szCs w:val="28"/>
        </w:rPr>
      </w:pPr>
      <w:r>
        <w:rPr>
          <w:b/>
          <w:sz w:val="28"/>
          <w:szCs w:val="28"/>
        </w:rPr>
        <w:t>Research Proposal</w:t>
      </w:r>
      <w:r>
        <w:rPr>
          <w:sz w:val="28"/>
          <w:szCs w:val="28"/>
        </w:rPr>
        <w:br w:type="page"/>
      </w:r>
    </w:p>
    <w:p>
      <w:pPr>
        <w:pStyle w:val="26"/>
        <w:jc w:val="center"/>
        <w:rPr>
          <w:b/>
          <w:sz w:val="28"/>
          <w:szCs w:val="28"/>
        </w:rPr>
      </w:pPr>
      <w:bookmarkStart w:id="0" w:name="_Toc161947446"/>
      <w:r>
        <w:rPr>
          <w:b/>
          <w:sz w:val="28"/>
          <w:szCs w:val="28"/>
        </w:rPr>
        <w:t>Table of Content</w:t>
      </w:r>
      <w:bookmarkEnd w:id="0"/>
      <w:r>
        <w:rPr>
          <w:b/>
          <w:sz w:val="28"/>
          <w:szCs w:val="28"/>
        </w:rPr>
        <w:t>s</w:t>
      </w:r>
    </w:p>
    <w:sdt>
      <w:sdtPr>
        <w:id w:val="910052257"/>
      </w:sdtPr>
      <w:sdtEndPr>
        <w:rPr>
          <w:rFonts w:eastAsia="Times New Roman" w:cs="Times New Roman"/>
          <w:bCs/>
          <w:color w:val="auto"/>
          <w:sz w:val="24"/>
          <w:szCs w:val="24"/>
          <w:lang w:val="en-GB"/>
        </w:rPr>
      </w:sdtEndPr>
      <w:sdtContent>
        <w:p>
          <w:pPr>
            <w:pStyle w:val="23"/>
          </w:pP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TOC \o "1-3" \h \z \u </w:instrText>
          </w:r>
          <w:r>
            <w:fldChar w:fldCharType="separate"/>
          </w:r>
          <w:r>
            <w:fldChar w:fldCharType="begin"/>
          </w:r>
          <w:r>
            <w:instrText xml:space="preserve"> HYPERLINK \l "_Toc161955170" </w:instrText>
          </w:r>
          <w:r>
            <w:fldChar w:fldCharType="separate"/>
          </w:r>
          <w:r>
            <w:rPr>
              <w:rStyle w:val="15"/>
            </w:rPr>
            <w:t>Introduction</w:t>
          </w:r>
          <w:r>
            <w:tab/>
          </w:r>
          <w:r>
            <w:fldChar w:fldCharType="begin"/>
          </w:r>
          <w:r>
            <w:instrText xml:space="preserve"> PAGEREF _Toc161955170 \h </w:instrText>
          </w:r>
          <w:r>
            <w:fldChar w:fldCharType="separate"/>
          </w:r>
          <w:r>
            <w:t>2</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"_Toc161955171" </w:instrText>
          </w:r>
          <w:r>
            <w:fldChar w:fldCharType="separate"/>
          </w:r>
          <w:r>
            <w:rPr>
              <w:rStyle w:val="15"/>
            </w:rPr>
            <w:t>Methodology</w:t>
          </w:r>
          <w:r>
            <w:tab/>
          </w:r>
          <w:r>
            <w:fldChar w:fldCharType="begin"/>
          </w:r>
          <w:r>
            <w:instrText xml:space="preserve"> PAGEREF _Toc161955171 \h </w:instrText>
          </w:r>
          <w:r>
            <w:fldChar w:fldCharType="separate"/>
          </w:r>
          <w:r>
            <w:t>2</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"_Toc161955172" </w:instrText>
          </w:r>
          <w:r>
            <w:fldChar w:fldCharType="separate"/>
          </w:r>
          <w:r>
            <w:rPr>
              <w:rStyle w:val="15"/>
            </w:rPr>
            <w:t>Aims, Objectives, and Research Questions</w:t>
          </w:r>
          <w:r>
            <w:tab/>
          </w:r>
          <w:r>
            <w:fldChar w:fldCharType="begin"/>
          </w:r>
          <w:r>
            <w:instrText xml:space="preserve"> PAGEREF _Toc161955172 \h </w:instrText>
          </w:r>
          <w:r>
            <w:fldChar w:fldCharType="separate"/>
          </w:r>
          <w:r>
            <w:t>3</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"_Toc161955173" </w:instrText>
          </w:r>
          <w:r>
            <w:fldChar w:fldCharType="separate"/>
          </w:r>
          <w:r>
            <w:rPr>
              <w:rStyle w:val="15"/>
            </w:rPr>
            <w:t>Literature Review</w:t>
          </w:r>
          <w:r>
            <w:tab/>
          </w:r>
          <w:r>
            <w:fldChar w:fldCharType="begin"/>
          </w:r>
          <w:r>
            <w:instrText xml:space="preserve"> PAGEREF _Toc161955173 \h </w:instrText>
          </w:r>
          <w:r>
            <w:fldChar w:fldCharType="separate"/>
          </w:r>
          <w:r>
            <w:t>4</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"_Toc161955174" </w:instrText>
          </w:r>
          <w:r>
            <w:fldChar w:fldCharType="separate"/>
          </w:r>
          <w:r>
            <w:rPr>
              <w:rStyle w:val="15"/>
            </w:rPr>
            <w:t>Limitations</w:t>
          </w:r>
          <w:r>
            <w:tab/>
          </w:r>
          <w:r>
            <w:fldChar w:fldCharType="begin"/>
          </w:r>
          <w:r>
            <w:instrText xml:space="preserve"> PAGEREF _Toc161955174 \h </w:instrText>
          </w:r>
          <w:r>
            <w:fldChar w:fldCharType="separate"/>
          </w:r>
          <w:r>
            <w:t>5</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"_Toc161955175" </w:instrText>
          </w:r>
          <w:r>
            <w:fldChar w:fldCharType="separate"/>
          </w:r>
          <w:r>
            <w:rPr>
              <w:rStyle w:val="15"/>
            </w:rPr>
            <w:t>Ethical Considerations</w:t>
          </w:r>
          <w:r>
            <w:tab/>
          </w:r>
          <w:r>
            <w:fldChar w:fldCharType="begin"/>
          </w:r>
          <w:r>
            <w:instrText xml:space="preserve"> PAGEREF _Toc161955175 \h </w:instrText>
          </w:r>
          <w:r>
            <w:fldChar w:fldCharType="separate"/>
          </w:r>
          <w:r>
            <w:t>6</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"_Toc161955176" </w:instrText>
          </w:r>
          <w:r>
            <w:fldChar w:fldCharType="separate"/>
          </w:r>
          <w:r>
            <w:rPr>
              <w:rStyle w:val="15"/>
            </w:rPr>
            <w:t>Conclusion</w:t>
          </w:r>
          <w:r>
            <w:tab/>
          </w:r>
          <w:r>
            <w:fldChar w:fldCharType="begin"/>
          </w:r>
          <w:r>
            <w:instrText xml:space="preserve"> PAGEREF _Toc161955176 \h </w:instrText>
          </w:r>
          <w:r>
            <w:fldChar w:fldCharType="separate"/>
          </w:r>
          <w:r>
            <w:t>7</w:t>
          </w:r>
          <w:r>
            <w:fldChar w:fldCharType="end"/>
          </w:r>
          <w:r>
            <w:fldChar w:fldCharType="end"/>
          </w:r>
        </w:p>
        <w:p>
          <w:pPr>
            <w:pStyle w:val="12"/>
            <w:tabs>
              <w:tab w:val="right" w:leader="dot" w:pos="9016"/>
            </w:tabs>
            <w:rPr>
              <w:rFonts w:asciiTheme="minorHAnsi" w:hAnsiTheme="minorHAnsi" w:eastAsiaTheme="minorEastAsia" w:cstheme="minorBidi"/>
              <w:sz w:val="22"/>
              <w:szCs w:val="22"/>
              <w:lang w:val="en-US" w:eastAsia="en-US"/>
            </w:rPr>
          </w:pPr>
          <w:r>
            <w:fldChar w:fldCharType="begin"/>
          </w:r>
          <w:r>
            <w:instrText xml:space="preserve"> HYPERLINK \l "_Toc161955177" </w:instrText>
          </w:r>
          <w:r>
            <w:fldChar w:fldCharType="separate"/>
          </w:r>
          <w:r>
            <w:rPr>
              <w:rStyle w:val="15"/>
            </w:rPr>
            <w:t>References</w:t>
          </w:r>
          <w:r>
            <w:tab/>
          </w:r>
          <w:r>
            <w:fldChar w:fldCharType="begin"/>
          </w:r>
          <w:r>
            <w:instrText xml:space="preserve"> PAGEREF _Toc161955177 \h </w:instrText>
          </w:r>
          <w:r>
            <w:fldChar w:fldCharType="separate"/>
          </w:r>
          <w:r>
            <w:t>8</w:t>
          </w:r>
          <w:r>
            <w:fldChar w:fldCharType="end"/>
          </w:r>
          <w:r>
            <w:fldChar w:fldCharType="end"/>
          </w:r>
        </w:p>
        <w:p>
          <w:pPr/>
          <w:r>
            <w:rPr>
              <w:b/>
              <w:bCs/>
            </w:rPr>
            <w:fldChar w:fldCharType="end"/>
          </w:r>
        </w:p>
      </w:sdtContent>
    </w:sdt>
    <w:p>
      <w:pPr>
        <w:pStyle w:val="12"/>
        <w:tabs>
          <w:tab w:val="right" w:leader="dot" w:pos="9016"/>
        </w:tabs>
        <w:rPr>
          <w:color w:val="1155CC"/>
          <w:u w:val="single"/>
        </w:rPr>
      </w:pPr>
    </w:p>
    <w:p>
      <w:pPr/>
      <w:r>
        <w:br w:type="page"/>
      </w:r>
    </w:p>
    <w:p>
      <w:pPr>
        <w:pStyle w:val="2"/>
        <w:rPr>
          <w:b w:val="0"/>
          <w:szCs w:val="28"/>
        </w:rPr>
      </w:pPr>
      <w:bookmarkStart w:id="1" w:name="_Toc161955170"/>
      <w:bookmarkStart w:id="2" w:name="_Toc161955151"/>
      <w:r>
        <w:rPr>
          <w:rFonts w:eastAsia="Times New Roman" w:cs="Times New Roman"/>
          <w:szCs w:val="28"/>
        </w:rPr>
        <w:t>Introduction</w:t>
      </w:r>
      <w:bookmarkEnd w:id="1"/>
      <w:bookmarkEnd w:id="2"/>
      <w:r>
        <w:rPr>
          <w:rFonts w:eastAsia="Times New Roman" w:cs="Times New Roman"/>
          <w:szCs w:val="28"/>
        </w:rPr>
        <w:t xml:space="preserve"> </w:t>
      </w:r>
    </w:p>
    <w:p>
      <w:pPr>
        <w:spacing w:before="240" w:after="240"/>
      </w:pPr>
      <w:r>
        <w:t xml:space="preserve">Multinational companies often face risk situations connected to the financial sector of the companies. For the sake of facing those situations and dealing with them, those companies have to design and adopt certain management strategies. Financial risk management strategies help the companies to take necessary precautions as whenever a multinational company is developing or opting for financial risk management strategies, they will need to assess the possible financial risks (McMaster </w:t>
      </w:r>
      <w:r>
        <w:rPr>
          <w:i/>
        </w:rPr>
        <w:t>et al.</w:t>
      </w:r>
      <w:r>
        <w:t xml:space="preserve">, 2020). This will help the companies to have some knowledge about the possible financial risks and this will help in adopting preventive measures in advance. There can be multiple reasons behind those financial risks (Moffett </w:t>
      </w:r>
      <w:r>
        <w:rPr>
          <w:i/>
        </w:rPr>
        <w:t>et al.</w:t>
      </w:r>
      <w:r>
        <w:t xml:space="preserve">, 2021). The reasons behind financial risks, that a multinational company may face are unexpected changes in the currency exchange rate, sudden changes in governance and policies, changing dimensions of geopolitics, flawed contracts, changing markets, etc. These forms of financial risks can bring long-lasting negative impacts on the operations of multinational corporations (Settembre-Blundo </w:t>
      </w:r>
      <w:r>
        <w:rPr>
          <w:i/>
        </w:rPr>
        <w:t>et al.</w:t>
      </w:r>
      <w:r>
        <w:t xml:space="preserve">, 2021). Such risks may also result in huge financial losses for the company, which may ultimately turn the company bankrupt. The nature of all financial risks is not the same, so, companies need to adopt financial risk management strategies, which are dynamic. Adoption of risk management strategies helps a multinational corporation to be sustainable in the long run (Gurtu and Johny, 2021). </w:t>
      </w:r>
    </w:p>
    <w:p>
      <w:pPr>
        <w:pStyle w:val="2"/>
        <w:rPr>
          <w:b w:val="0"/>
          <w:szCs w:val="28"/>
        </w:rPr>
      </w:pPr>
      <w:bookmarkStart w:id="3" w:name="_Toc161955152"/>
      <w:bookmarkStart w:id="4" w:name="_Toc161955171"/>
      <w:r>
        <w:rPr>
          <w:rFonts w:eastAsia="Times New Roman" w:cs="Times New Roman"/>
          <w:szCs w:val="28"/>
        </w:rPr>
        <w:t>Methodology</w:t>
      </w:r>
      <w:bookmarkEnd w:id="3"/>
      <w:bookmarkEnd w:id="4"/>
    </w:p>
    <w:p>
      <w:pPr>
        <w:spacing w:before="240" w:after="240"/>
      </w:pPr>
      <w:r>
        <w:t>The proposed work of research shall use research methodological tools to arrive at the answers to the research questions. The selected research methodologies are Positivism philosophy, deductive approach, exploratory research design, and data collection (secondary).</w:t>
      </w:r>
    </w:p>
    <w:p>
      <w:pPr>
        <w:spacing w:before="240" w:after="240"/>
      </w:pPr>
      <w:r>
        <w:t xml:space="preserve">Positivism philosophy is an essential methodological tool that will help for an analysis, which is objective in nature. Positivism philosophy mainly deals with available evidence and quantitative data to draw influences (Park </w:t>
      </w:r>
      <w:r>
        <w:rPr>
          <w:i/>
        </w:rPr>
        <w:t>et al.</w:t>
      </w:r>
      <w:r>
        <w:t>, 2020). This research methodological tool will help assess the financial risks, which are related to sudden changes in exchange rates. The systematic approach of analysis endorsed by this tool will also help to deal with data on the effect of change in governance and regulations. Also, through the usage of this tool, one can see how the financial risks are often connected deeply to the changing nature of geopolitics. Also, this approach will help in the analysis of the changing dynamics of the market and its impact on enhancing risk factors for the operation of MNCs.</w:t>
      </w:r>
    </w:p>
    <w:p>
      <w:pPr>
        <w:spacing w:before="240" w:after="240"/>
      </w:pPr>
      <w:r>
        <w:t>As the name suggests, the deductive approach deeply relies on the methods of deduction. This form of methodological tool will help in narrowing down the research area effectively. The main usage of this tool for this proposed work of research will be to formulate hypotheses. It has the potential to analyse all the financial risk factors deeply and this analysis will help in formulating the strategies for financial risk management. Also, this can be used as a tool to evaluate the existing strategies adopted by MNCs to combat financial risk.</w:t>
      </w:r>
    </w:p>
    <w:p>
      <w:pPr>
        <w:spacing w:before="240" w:after="240"/>
      </w:pPr>
      <w:r>
        <w:t>Exploratory research design helps to understand a topic deeply and also contributes to exploring unexplored areas. Due to this nature, exploratory research design will help to identify the areas of financial risk. This will help in the identification of a suitable combat strategy. This form of design will also provide scope for case studies, which will help in the better understanding of those risks (Wieczorek-Kosmala, 2021).</w:t>
      </w:r>
    </w:p>
    <w:p>
      <w:pPr>
        <w:spacing w:before="240" w:after="240"/>
        <w:rPr>
          <w:color w:val="FF0000"/>
        </w:rPr>
      </w:pPr>
      <w:r>
        <w:t xml:space="preserve">Secondary data collection is another research methodological tool that has been selected for this proposed work of research. Secondary data collection stands for all the data that have been already made available (Uchehara </w:t>
      </w:r>
      <w:r>
        <w:rPr>
          <w:i/>
        </w:rPr>
        <w:t>et al.</w:t>
      </w:r>
      <w:r>
        <w:t>, 2020). This includes previous works of research done in this area. Also, the secondary data will include other necessary important data like previously conducted market surveys, analysis, etc. Secondary data can be of various types like previous research works, data from government sources, data available commercially, data from academic practices, etc. This tool will help in carrying out the research work and finding answers to the research questions.</w:t>
      </w:r>
    </w:p>
    <w:p>
      <w:pPr>
        <w:pStyle w:val="2"/>
        <w:rPr>
          <w:b w:val="0"/>
          <w:szCs w:val="28"/>
        </w:rPr>
      </w:pPr>
      <w:bookmarkStart w:id="5" w:name="_Toc161955153"/>
      <w:bookmarkStart w:id="6" w:name="_Toc161955172"/>
      <w:r>
        <w:rPr>
          <w:rFonts w:eastAsia="Times New Roman" w:cs="Times New Roman"/>
          <w:szCs w:val="28"/>
        </w:rPr>
        <w:t>Aims, Objectives</w:t>
      </w:r>
      <w:r>
        <w:rPr>
          <w:szCs w:val="28"/>
        </w:rPr>
        <w:t>,</w:t>
      </w:r>
      <w:r>
        <w:rPr>
          <w:rFonts w:eastAsia="Times New Roman" w:cs="Times New Roman"/>
          <w:szCs w:val="28"/>
        </w:rPr>
        <w:t xml:space="preserve"> and Research Questions</w:t>
      </w:r>
      <w:bookmarkEnd w:id="5"/>
      <w:bookmarkEnd w:id="6"/>
      <w:r>
        <w:rPr>
          <w:rFonts w:eastAsia="Times New Roman" w:cs="Times New Roman"/>
          <w:szCs w:val="28"/>
        </w:rPr>
        <w:t xml:space="preserve"> </w:t>
      </w:r>
    </w:p>
    <w:p>
      <w:pPr/>
      <w:r>
        <w:rPr>
          <w:b/>
          <w:i/>
        </w:rPr>
        <w:t>Aim:</w:t>
      </w:r>
      <w:r>
        <w:t xml:space="preserve"> </w:t>
      </w:r>
      <w:r>
        <w:rPr>
          <w:highlight w:val="white"/>
        </w:rPr>
        <w:t>To evaluate the financial risk management strategies adopted by multinational corporations and examine their strengths and weaknesses in the mitigation of risks and promotion of financial performance.</w:t>
      </w:r>
    </w:p>
    <w:p>
      <w:pPr>
        <w:rPr>
          <w:b/>
          <w:i/>
        </w:rPr>
      </w:pPr>
      <w:r>
        <w:rPr>
          <w:b/>
          <w:i/>
        </w:rPr>
        <w:t>Objectives:</w:t>
      </w:r>
    </w:p>
    <w:p>
      <w:pPr>
        <w:numPr>
          <w:ilvl w:val="0"/>
          <w:numId w:val="1"/>
        </w:numPr>
        <w:spacing w:before="240"/>
        <w:rPr>
          <w:highlight w:val="white"/>
        </w:rPr>
      </w:pPr>
      <w:r>
        <w:rPr>
          <w:highlight w:val="white"/>
        </w:rPr>
        <w:t>Distinguish the multiple categories of financial risks of multinational corporations.</w:t>
      </w:r>
    </w:p>
    <w:p>
      <w:pPr>
        <w:numPr>
          <w:ilvl w:val="0"/>
          <w:numId w:val="1"/>
        </w:numPr>
        <w:rPr>
          <w:highlight w:val="white"/>
        </w:rPr>
      </w:pPr>
      <w:r>
        <w:rPr>
          <w:highlight w:val="white"/>
        </w:rPr>
        <w:t xml:space="preserve">Examine the risk management frameworks and policies that multinational corporations put in place to do financial risk management. </w:t>
      </w:r>
      <w:r>
        <w:rPr>
          <w:highlight w:val="white"/>
        </w:rPr>
        <w:t>Analyze</w:t>
      </w:r>
      <w:r>
        <w:rPr>
          <w:highlight w:val="white"/>
        </w:rPr>
        <w:t xml:space="preserve"> the strategies that are the most effective, including derivatives and financial instruments as methods to reduce risk.</w:t>
      </w:r>
    </w:p>
    <w:p>
      <w:pPr>
        <w:numPr>
          <w:ilvl w:val="0"/>
          <w:numId w:val="1"/>
        </w:numPr>
        <w:rPr>
          <w:highlight w:val="white"/>
        </w:rPr>
      </w:pPr>
      <w:r>
        <w:rPr>
          <w:highlight w:val="white"/>
        </w:rPr>
        <w:t>Determine the influence of financial risk management techniques on the overall income, solvency, and sustainability of multinational enterprises.</w:t>
      </w:r>
    </w:p>
    <w:p>
      <w:pPr/>
    </w:p>
    <w:p>
      <w:pPr>
        <w:rPr>
          <w:b/>
          <w:i/>
        </w:rPr>
      </w:pPr>
      <w:r>
        <w:rPr>
          <w:b/>
          <w:i/>
        </w:rPr>
        <w:t>Research Questions:</w:t>
      </w:r>
    </w:p>
    <w:p>
      <w:pPr>
        <w:numPr>
          <w:ilvl w:val="0"/>
          <w:numId w:val="2"/>
        </w:numPr>
      </w:pPr>
      <w:r>
        <w:t>What are th</w:t>
      </w:r>
      <w:r>
        <w:rPr>
          <w:highlight w:val="white"/>
        </w:rPr>
        <w:t>e multiple categories of financial risks of multinational corporations?</w:t>
      </w:r>
    </w:p>
    <w:p>
      <w:pPr>
        <w:numPr>
          <w:ilvl w:val="0"/>
          <w:numId w:val="2"/>
        </w:numPr>
        <w:rPr>
          <w:highlight w:val="white"/>
        </w:rPr>
      </w:pPr>
      <w:r>
        <w:rPr>
          <w:highlight w:val="white"/>
        </w:rPr>
        <w:t>How do international corporations handle financial risks through risk management frameworks and policies?</w:t>
      </w:r>
    </w:p>
    <w:p>
      <w:pPr>
        <w:numPr>
          <w:ilvl w:val="0"/>
          <w:numId w:val="2"/>
        </w:numPr>
        <w:rPr>
          <w:highlight w:val="white"/>
        </w:rPr>
      </w:pPr>
      <w:r>
        <w:rPr>
          <w:highlight w:val="white"/>
        </w:rPr>
        <w:t>What are the effective strategies that are used to mitigate financial risks?</w:t>
      </w:r>
    </w:p>
    <w:p>
      <w:pPr>
        <w:numPr>
          <w:ilvl w:val="0"/>
          <w:numId w:val="2"/>
        </w:numPr>
        <w:rPr>
          <w:highlight w:val="white"/>
        </w:rPr>
      </w:pPr>
      <w:r>
        <w:rPr>
          <w:highlight w:val="white"/>
        </w:rPr>
        <w:t>How do financial risk management techniques influen</w:t>
      </w:r>
      <w:r>
        <w:rPr>
          <w:highlight w:val="white"/>
        </w:rPr>
        <w:t>ce the overall income, savings</w:t>
      </w:r>
      <w:r>
        <w:rPr>
          <w:highlight w:val="white"/>
        </w:rPr>
        <w:t>, and sustainability of multinational enterprises?</w:t>
      </w:r>
    </w:p>
    <w:p>
      <w:pPr>
        <w:pStyle w:val="2"/>
        <w:spacing w:after="240"/>
        <w:rPr>
          <w:b w:val="0"/>
          <w:szCs w:val="28"/>
        </w:rPr>
      </w:pPr>
      <w:bookmarkStart w:id="7" w:name="_Toc161955154"/>
      <w:bookmarkStart w:id="8" w:name="_Toc161955173"/>
      <w:r>
        <w:rPr>
          <w:rFonts w:eastAsia="Times New Roman" w:cs="Times New Roman"/>
          <w:szCs w:val="28"/>
        </w:rPr>
        <w:t>Literature Review</w:t>
      </w:r>
      <w:bookmarkEnd w:id="7"/>
      <w:bookmarkEnd w:id="8"/>
    </w:p>
    <w:p>
      <w:pPr>
        <w:spacing w:before="240" w:after="240"/>
      </w:pPr>
      <w:r>
        <w:t xml:space="preserve">The strategies for financial risk management are the plans of action or policies to be implemented to address various types of financial risk in any company. These techniques are crucial for any Multinational company or individual to handle the financial risk associated with the economy and financial system functioning of the organization. Financial risks are occurrences that have negative financial consequences on Multinational companies as well as at individual levels. The primary financial risk management techniques are risk avoidance, risk reduction, risk transfer, and risk retention (Iskander </w:t>
      </w:r>
      <w:r>
        <w:rPr>
          <w:i/>
        </w:rPr>
        <w:t xml:space="preserve">et al., </w:t>
      </w:r>
      <w:r>
        <w:t>2024). The financial risk arises when multinational companies participate in cross-border transactions such as importing exporting or borrowing which are denominated in foreign currencies. The transaction value of these companies is affected by fluctuations in currency rates between transactions and settlements with these foreign countries. Translation risk also known as accounting risk is the for converting the financial statements from currencies that are subsidiary to the reporting currency (</w:t>
      </w:r>
      <w:r>
        <w:rPr>
          <w:color w:val="222222"/>
          <w:highlight w:val="white"/>
        </w:rPr>
        <w:t>Mosteanu</w:t>
      </w:r>
      <w:r>
        <w:rPr>
          <w:color w:val="222222"/>
          <w:highlight w:val="white"/>
        </w:rPr>
        <w:t xml:space="preserve">, and </w:t>
      </w:r>
      <w:r>
        <w:rPr>
          <w:color w:val="222222"/>
          <w:highlight w:val="white"/>
        </w:rPr>
        <w:t>Faccia</w:t>
      </w:r>
      <w:r>
        <w:rPr>
          <w:color w:val="222222"/>
          <w:highlight w:val="white"/>
        </w:rPr>
        <w:t>, 2020</w:t>
      </w:r>
      <w:r>
        <w:t>). This affects the reported finances including profit and net worth of the MNC. Exchange rate variations influence the MNC's overall competitiveness, market share, and long-term strategic choices. Economic risks evaluate elements other than specific transactions or financial data.</w:t>
      </w:r>
    </w:p>
    <w:p>
      <w:pPr>
        <w:spacing w:before="240" w:after="240"/>
      </w:pPr>
      <w:r>
        <w:t xml:space="preserve">Multinational companies or businesses operate in several countries and so are vulnerable to currency risk when exchange rates fluctuate. This brings financial risk which requires solutions for its management to minimize the negative consequences of currency fluctuations on the financial performance of the company (Chen </w:t>
      </w:r>
      <w:r>
        <w:rPr>
          <w:i/>
        </w:rPr>
        <w:t xml:space="preserve">et al., </w:t>
      </w:r>
      <w:r>
        <w:t>2021). Companies employ several strategies for risk management in terms of finances but some of them are the most typical ones. Natural hedging is one of those methods for balancing income and spending in the same currency by utilizing this multinational companies can reduce their currency risk exposure by conducting business in the same currency in which they incur expenditures (Can and Canoz, 2020). Further forward contracts enable MNCs to look at an exchange rate for a future transaction this helps the MNC establish the exchange rate at the time of contract and can hedge against adverse currency swings.</w:t>
      </w:r>
    </w:p>
    <w:p>
      <w:pPr>
        <w:spacing w:before="240" w:after="240"/>
      </w:pPr>
      <w:r>
        <w:t>Currency options give the company the liability to insulate itself against negative currency swings while still having the flexibility to achieve profits from positive exchanges. Netting is another mechanism for balancing pay bills and receivables in various currencies for the management of financial risk (</w:t>
      </w:r>
      <w:r>
        <w:rPr>
          <w:color w:val="222222"/>
          <w:highlight w:val="white"/>
        </w:rPr>
        <w:t>Bindseil</w:t>
      </w:r>
      <w:r>
        <w:rPr>
          <w:color w:val="222222"/>
          <w:highlight w:val="white"/>
        </w:rPr>
        <w:t xml:space="preserve"> and </w:t>
      </w:r>
      <w:r>
        <w:rPr>
          <w:color w:val="222222"/>
          <w:highlight w:val="white"/>
        </w:rPr>
        <w:t>Pantelopoulos</w:t>
      </w:r>
      <w:r>
        <w:rPr>
          <w:color w:val="222222"/>
          <w:highlight w:val="white"/>
        </w:rPr>
        <w:t>, 2022</w:t>
      </w:r>
      <w:r>
        <w:t xml:space="preserve">). The company can reduce their currency risk implying this to reduce their currency risk exposure by limiting the number of transactions supposed to be paid in several currencies. Co-currency swap is another such strategy that allows a multinational company to at a pre-defined exchange rate for another, over a defined period (Liu </w:t>
      </w:r>
      <w:r>
        <w:rPr>
          <w:i/>
        </w:rPr>
        <w:t xml:space="preserve">et al., </w:t>
      </w:r>
      <w:r>
        <w:t>2023). This helps the company to reduce exposure to currency risk by exchanging finances with a counterparty. This method is helpful for businesses that need to hedge against currency risk over an extended time. For example, if a multinational corporation has a company in the United Kingdom that makes income in pounds but must pay expenditures in US dollars, it might engage in a currency swap agreement to exchange pounds for dollars at a predetermined (Siddiqui, 2024).</w:t>
      </w:r>
    </w:p>
    <w:p>
      <w:pPr>
        <w:spacing w:before="240" w:after="240"/>
      </w:pPr>
      <w:r>
        <w:t xml:space="preserve">Financial risk management in multinational companies like Amazon, Toyota, Nestle, and Samsung involves a variety of strategies to reduce their exposure to currency risk avoidance stands as its priority for the reduction of actions that might expose the business to a risk condition. The firm could avoid expanding operations into geographical regions with significant political and regulatory instability. Risk reduction involves the process of reducing the likelihood or severity of prospective losses a firm utilizes hedging on foreign currency transactions to reduce its exposure to currency swings (Purnomo </w:t>
      </w:r>
      <w:r>
        <w:rPr>
          <w:i/>
        </w:rPr>
        <w:t xml:space="preserve">et al., </w:t>
      </w:r>
      <w:r>
        <w:t>2021).  The act of transferring risk to a third party called risk transfer helps a company obtain monetary security on its property equipment and plant for a specific risk called risk retention is also practiced as a part of the strategy. For example, firms like McDonald’s and Coca-Cola may absorb the risk of variable input costs without employing hedging or insurance.</w:t>
      </w:r>
    </w:p>
    <w:p>
      <w:pPr>
        <w:pStyle w:val="2"/>
        <w:spacing w:after="240"/>
        <w:rPr>
          <w:b w:val="0"/>
          <w:szCs w:val="28"/>
        </w:rPr>
      </w:pPr>
      <w:bookmarkStart w:id="9" w:name="_Toc161955174"/>
      <w:bookmarkStart w:id="10" w:name="_Toc161955155"/>
      <w:r>
        <w:rPr>
          <w:rFonts w:eastAsia="Times New Roman" w:cs="Times New Roman"/>
          <w:szCs w:val="28"/>
        </w:rPr>
        <w:t>Limitations</w:t>
      </w:r>
      <w:bookmarkEnd w:id="9"/>
      <w:bookmarkEnd w:id="10"/>
    </w:p>
    <w:p>
      <w:pPr>
        <w:spacing w:before="240" w:after="240"/>
      </w:pPr>
      <w:r>
        <w:t>This research proposal aims to give a comprehensive analysis of financial risk management practices in multinational organizations which has its limits for the survey. However, it is crucial to understand the limitations and problems that arise in this procedure in the availability of data ambiguity normal distribution assumptions and behavioral bias hurt risk management efficacy. Some of the downsides of multinational corporations involve threats to small and local enterprises, lack of strong labor rules, labor being exploited, and conflicts between MNCs and the countries in which they operate. All of these lead to a potentially fragile finance sector of the organization and limit the scope of understanding it (Park and Kim, 2020).</w:t>
      </w:r>
    </w:p>
    <w:p>
      <w:pPr>
        <w:spacing w:before="240"/>
      </w:pPr>
      <w:r>
        <w:t xml:space="preserve">The limits can also be attributed to a variety of causes in terms of research. It may have a narrow perspective focused on specific countries and may not give complete knowledge of risk management techniques across varied multinational organizations worldwide. Due to the differences in industries studies may lack generalizability, making universal application of the risk management strategies difficult. The complexities involved in these procedures might make it impossible to capture all the tactics used by multinational companies however some of them can be enlisted. The research done on financial risk management occasionally focuses on investors' perspectives rather than the practical complexities involved in the implementation of strategies by the MNCs (Sattar </w:t>
      </w:r>
      <w:r>
        <w:rPr>
          <w:i/>
        </w:rPr>
        <w:t>et al.,</w:t>
      </w:r>
      <w:r>
        <w:t xml:space="preserve"> 2020).</w:t>
      </w:r>
    </w:p>
    <w:p>
      <w:pPr>
        <w:pStyle w:val="2"/>
        <w:spacing w:after="240"/>
        <w:rPr>
          <w:b w:val="0"/>
          <w:szCs w:val="28"/>
        </w:rPr>
      </w:pPr>
      <w:bookmarkStart w:id="11" w:name="_Toc161955156"/>
      <w:bookmarkStart w:id="12" w:name="_Toc161955175"/>
      <w:r>
        <w:rPr>
          <w:rFonts w:eastAsia="Times New Roman" w:cs="Times New Roman"/>
          <w:szCs w:val="28"/>
        </w:rPr>
        <w:t>Ethical Considerations</w:t>
      </w:r>
      <w:bookmarkEnd w:id="11"/>
      <w:bookmarkEnd w:id="12"/>
    </w:p>
    <w:p>
      <w:pPr>
        <w:spacing w:before="240" w:after="240"/>
      </w:pPr>
      <w:r>
        <w:t>Ethical information and consent from marketing managers who are willing to participate in an interview after learning about the study goal and research question emphasizing participation and offering confidentiality are all important ethical considerations. The study prioritizes participant safety and dignity while exploring the impact of financial risk on multinational companies and business organizations' marketing (</w:t>
      </w:r>
      <w:r>
        <w:rPr>
          <w:color w:val="222222"/>
          <w:highlight w:val="white"/>
        </w:rPr>
        <w:t xml:space="preserve">Bednar and </w:t>
      </w:r>
      <w:r>
        <w:rPr>
          <w:color w:val="222222"/>
          <w:highlight w:val="white"/>
        </w:rPr>
        <w:t>Spiekermann</w:t>
      </w:r>
      <w:r>
        <w:rPr>
          <w:color w:val="222222"/>
          <w:highlight w:val="white"/>
        </w:rPr>
        <w:t>, 2022</w:t>
      </w:r>
      <w:r>
        <w:t>). It maintains ethical awareness and reactivity to emerging difficulties during the research process. Further, it maintains ethical awareness and reactivity to the uprising problems related to modern risk management and losses to a company and its shareholders that are managed by top executives including in some cases a chief risk officer.</w:t>
      </w:r>
    </w:p>
    <w:p>
      <w:pPr>
        <w:spacing w:before="240" w:after="240"/>
      </w:pPr>
      <w:r>
        <w:t>From an ethical consideration point of view, the most important feature of modern risk management is how the financial risk to an organization affects the decision-making circumstances of such strictly commercial organizations. Modern risk management arose in response to society's demand that businesses take greater responsibility for risk management (</w:t>
      </w:r>
      <w:r>
        <w:rPr>
          <w:color w:val="222222"/>
          <w:highlight w:val="white"/>
        </w:rPr>
        <w:t>Polinkevych</w:t>
      </w:r>
      <w:r>
        <w:rPr>
          <w:color w:val="222222"/>
          <w:highlight w:val="white"/>
        </w:rPr>
        <w:t xml:space="preserve"> </w:t>
      </w:r>
      <w:r>
        <w:rPr>
          <w:i/>
          <w:color w:val="222222"/>
          <w:highlight w:val="white"/>
        </w:rPr>
        <w:t xml:space="preserve">et al., </w:t>
      </w:r>
      <w:r>
        <w:rPr>
          <w:color w:val="222222"/>
          <w:highlight w:val="white"/>
        </w:rPr>
        <w:t>2021</w:t>
      </w:r>
      <w:r>
        <w:t xml:space="preserve">) however, this response by businesses has ethical implications insofar as it involves an allocation of risk management responsibility between, most notably, corporations and the government. Finally, problems of ethics arise about certain risk management strategies, particularly considering their key role in the current financial crisis. </w:t>
      </w:r>
    </w:p>
    <w:p>
      <w:pPr>
        <w:spacing w:before="240" w:after="240"/>
        <w:rPr>
          <w:b/>
          <w:sz w:val="28"/>
          <w:szCs w:val="28"/>
        </w:rPr>
      </w:pPr>
      <w:r>
        <w:rPr>
          <w:b/>
          <w:sz w:val="28"/>
          <w:szCs w:val="28"/>
        </w:rPr>
        <w:t>Timeline</w:t>
      </w:r>
    </w:p>
    <w:p>
      <w:pPr>
        <w:spacing w:before="240" w:after="240"/>
      </w:pPr>
      <w:r>
        <w:rPr>
          <w:lang w:val="en-US" w:eastAsia="en-US"/>
        </w:rPr>
        <w:drawing>
          <wp:inline distT="114300" distB="114300" distL="114300" distR="114300">
            <wp:extent cx="5943600" cy="163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6"/>
                    <a:srcRect/>
                    <a:stretch>
                      <a:fillRect/>
                    </a:stretch>
                  </pic:blipFill>
                  <pic:spPr>
                    <a:xfrm>
                      <a:off x="0" y="0"/>
                      <a:ext cx="5943600" cy="1638300"/>
                    </a:xfrm>
                    <a:prstGeom prst="rect">
                      <a:avLst/>
                    </a:prstGeom>
                  </pic:spPr>
                </pic:pic>
              </a:graphicData>
            </a:graphic>
          </wp:inline>
        </w:drawing>
      </w:r>
    </w:p>
    <w:p>
      <w:pPr>
        <w:spacing w:before="240" w:after="240"/>
        <w:jc w:val="center"/>
        <w:rPr>
          <w:b/>
        </w:rPr>
      </w:pPr>
      <w:r>
        <w:rPr>
          <w:b/>
        </w:rPr>
        <w:t>Table 1: Gantt Chart</w:t>
      </w:r>
    </w:p>
    <w:p>
      <w:pPr>
        <w:spacing w:before="240" w:after="240"/>
        <w:jc w:val="center"/>
      </w:pPr>
      <w:r>
        <w:t>(Source: Self-Made)</w:t>
      </w:r>
    </w:p>
    <w:p>
      <w:pPr>
        <w:spacing w:before="240" w:after="240"/>
      </w:pPr>
      <w:r>
        <w:t xml:space="preserve"> The method for financial risk management works well for MNCs with a high level of assurance regarding their future cash flows. The flow of information in this proposal suggests appropriate measures for multinational corporations with modest assurance about their future cash flows. </w:t>
      </w:r>
    </w:p>
    <w:p>
      <w:pPr>
        <w:pStyle w:val="2"/>
        <w:rPr>
          <w:b w:val="0"/>
          <w:szCs w:val="28"/>
        </w:rPr>
      </w:pPr>
      <w:bookmarkStart w:id="13" w:name="_Toc161955176"/>
      <w:bookmarkStart w:id="14" w:name="_Toc161955157"/>
      <w:r>
        <w:rPr>
          <w:rFonts w:eastAsia="Times New Roman" w:cs="Times New Roman"/>
          <w:szCs w:val="28"/>
        </w:rPr>
        <w:t>Conclusion</w:t>
      </w:r>
      <w:bookmarkEnd w:id="13"/>
      <w:bookmarkEnd w:id="14"/>
    </w:p>
    <w:p>
      <w:pPr/>
      <w:r>
        <w:t>Financial risks that multinational corporations must deal with can have a permanent detrimental effect on their business and result in losses. Multinational corporations need to use dynamic risk management techniques to control these risks. For the sake of assessing financial risks, this work of research will collect secondary data, and employ an exploratory research design, the deductive method, and the positivist philosophy. The positivist concept aids in evaluating the risks associated with abrupt shifts in market dynamics, governance, geopolitics, and currency rates. The deductive method aids in the formulation of theories and the assessment of current tactics. The exploratory research methodology offers room for case studies and aids in identifying areas of financial risk. The gathering of secondary data aids in the resolution of research issues. This proposed work of research will explore how the adoption of various risk management strategies can be essential to combat financial risk. Further, this paper will also explore the various financial risks that are often faced by MNCs.</w:t>
      </w:r>
    </w:p>
    <w:p>
      <w:pPr>
        <w:pStyle w:val="2"/>
        <w:rPr>
          <w:b w:val="0"/>
          <w:szCs w:val="28"/>
        </w:rPr>
      </w:pPr>
      <w:bookmarkStart w:id="15" w:name="_8po6zcgxwer7" w:colFirst="0" w:colLast="0"/>
      <w:bookmarkEnd w:id="15"/>
      <w:bookmarkStart w:id="16" w:name="_Toc161955158"/>
      <w:bookmarkStart w:id="17" w:name="_Toc161955177"/>
      <w:r>
        <w:rPr>
          <w:rFonts w:eastAsia="Times New Roman" w:cs="Times New Roman"/>
          <w:szCs w:val="28"/>
        </w:rPr>
        <w:t>References</w:t>
      </w:r>
      <w:bookmarkEnd w:id="16"/>
      <w:bookmarkEnd w:id="17"/>
      <w:r>
        <w:rPr>
          <w:rFonts w:eastAsia="Times New Roman" w:cs="Times New Roman"/>
          <w:szCs w:val="28"/>
        </w:rPr>
        <w:t xml:space="preserve"> </w:t>
      </w:r>
    </w:p>
    <w:p>
      <w:pPr>
        <w:spacing w:before="240" w:after="240"/>
        <w:rPr>
          <w:color w:val="222222"/>
        </w:rPr>
      </w:pPr>
      <w:r>
        <w:rPr>
          <w:color w:val="222222"/>
          <w:highlight w:val="white"/>
        </w:rPr>
        <w:t xml:space="preserve">Bednar, K. and </w:t>
      </w:r>
      <w:r>
        <w:rPr>
          <w:color w:val="222222"/>
          <w:highlight w:val="white"/>
        </w:rPr>
        <w:t>Spiekermann</w:t>
      </w:r>
      <w:r>
        <w:rPr>
          <w:color w:val="222222"/>
          <w:highlight w:val="white"/>
        </w:rPr>
        <w:t xml:space="preserve">, S., 2022. Eliciting values for technology design with moral philosophy: an empirical exploration of effects and shortcomings. </w:t>
      </w:r>
      <w:r>
        <w:rPr>
          <w:i/>
          <w:color w:val="222222"/>
          <w:highlight w:val="white"/>
        </w:rPr>
        <w:t>Science, Technology, &amp; Human Values</w:t>
      </w:r>
      <w:r>
        <w:rPr>
          <w:color w:val="222222"/>
          <w:highlight w:val="white"/>
        </w:rPr>
        <w:t>, p.01622439221122595.</w:t>
      </w:r>
      <w:r>
        <w:fldChar w:fldCharType="begin"/>
      </w:r>
      <w:r>
        <w:instrText xml:space="preserve"> HYPERLINK "https://journals.sagepub.com/doi/abs/10.1177/01622439221122595"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"https://journals.sagepub.com/doi/abs/10.1177/01622439221122595" \h </w:instrText>
      </w:r>
      <w:r>
        <w:fldChar w:fldCharType="separate"/>
      </w:r>
      <w:r>
        <w:rPr>
          <w:color w:val="1155CC"/>
          <w:highlight w:val="white"/>
          <w:u w:val="single"/>
        </w:rPr>
        <w:t>https://journals.sagepub.com/doi/abs/10.1177/01622439221122595</w:t>
      </w:r>
      <w:r>
        <w:rPr>
          <w:color w:val="1155CC"/>
          <w:highlight w:val="white"/>
          <w:u w:val="single"/>
        </w:rPr>
        <w:fldChar w:fldCharType="end"/>
      </w:r>
    </w:p>
    <w:p>
      <w:pPr>
        <w:spacing w:before="240" w:after="240"/>
        <w:rPr>
          <w:color w:val="1155CC"/>
          <w:highlight w:val="white"/>
          <w:u w:val="single"/>
        </w:rPr>
      </w:pPr>
      <w:r>
        <w:rPr>
          <w:color w:val="222222"/>
          <w:highlight w:val="white"/>
        </w:rPr>
        <w:t xml:space="preserve">Bindseil, U. and </w:t>
      </w:r>
      <w:r>
        <w:rPr>
          <w:color w:val="222222"/>
          <w:highlight w:val="white"/>
        </w:rPr>
        <w:t>Pantelopoulos</w:t>
      </w:r>
      <w:r>
        <w:rPr>
          <w:color w:val="222222"/>
          <w:highlight w:val="white"/>
        </w:rPr>
        <w:t xml:space="preserve">, G., 2022. A brief history of payment netting and settlement. </w:t>
      </w:r>
      <w:r>
        <w:rPr>
          <w:i/>
          <w:color w:val="222222"/>
          <w:highlight w:val="white"/>
        </w:rPr>
        <w:t>Available at SSRN 4193569</w:t>
      </w:r>
      <w:r>
        <w:rPr>
          <w:color w:val="222222"/>
          <w:highlight w:val="white"/>
        </w:rPr>
        <w:t>.</w:t>
      </w:r>
      <w:r>
        <w:fldChar w:fldCharType="begin"/>
      </w:r>
      <w:r>
        <w:instrText xml:space="preserve"> HYPERLINK "https://papers.ssrn.com/sol3/papers.cfm?abstract_id=4193569"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"https://papers.ssrn.com/sol3/papers.cfm?abstract_id=4193569" \h </w:instrText>
      </w:r>
      <w:r>
        <w:fldChar w:fldCharType="separate"/>
      </w:r>
      <w:r>
        <w:rPr>
          <w:color w:val="1155CC"/>
          <w:highlight w:val="white"/>
          <w:u w:val="single"/>
        </w:rPr>
        <w:t>https://papers.ssrn.com/sol3/papers.cfm?abstract_id=4193569</w:t>
      </w:r>
      <w:r>
        <w:rPr>
          <w:color w:val="1155CC"/>
          <w:highlight w:val="white"/>
          <w:u w:val="single"/>
        </w:rPr>
        <w:fldChar w:fldCharType="end"/>
      </w:r>
    </w:p>
    <w:p>
      <w:pPr>
        <w:spacing w:before="240" w:after="240"/>
        <w:rPr>
          <w:color w:val="1155CC"/>
          <w:highlight w:val="white"/>
          <w:u w:val="single"/>
        </w:rPr>
      </w:pPr>
      <w:r>
        <w:rPr>
          <w:color w:val="222222"/>
          <w:highlight w:val="white"/>
        </w:rPr>
        <w:t xml:space="preserve">Can, C.K. and </w:t>
      </w:r>
      <w:r>
        <w:rPr>
          <w:color w:val="222222"/>
          <w:highlight w:val="white"/>
        </w:rPr>
        <w:t>Canöz</w:t>
      </w:r>
      <w:r>
        <w:rPr>
          <w:color w:val="222222"/>
          <w:highlight w:val="white"/>
        </w:rPr>
        <w:t xml:space="preserve">, I., 2020. Testing Minsky’s financial fragility hypothesis for Turkey’s public finances. </w:t>
      </w:r>
      <w:r>
        <w:rPr>
          <w:i/>
          <w:color w:val="222222"/>
          <w:highlight w:val="white"/>
        </w:rPr>
        <w:t xml:space="preserve">Public Finance Quarterly= </w:t>
      </w:r>
      <w:r>
        <w:rPr>
          <w:i/>
          <w:color w:val="222222"/>
          <w:highlight w:val="white"/>
        </w:rPr>
        <w:t>Pénzügyi</w:t>
      </w:r>
      <w:r>
        <w:rPr>
          <w:i/>
          <w:color w:val="222222"/>
          <w:highlight w:val="white"/>
        </w:rPr>
        <w:t xml:space="preserve"> </w:t>
      </w:r>
      <w:r>
        <w:rPr>
          <w:i/>
          <w:color w:val="222222"/>
          <w:highlight w:val="white"/>
        </w:rPr>
        <w:t>Szemle</w:t>
      </w:r>
      <w:r>
        <w:rPr>
          <w:color w:val="222222"/>
          <w:highlight w:val="white"/>
        </w:rPr>
        <w:t xml:space="preserve">, </w:t>
      </w:r>
      <w:r>
        <w:rPr>
          <w:i/>
          <w:color w:val="222222"/>
          <w:highlight w:val="white"/>
        </w:rPr>
        <w:t>65</w:t>
      </w:r>
      <w:r>
        <w:rPr>
          <w:color w:val="222222"/>
          <w:highlight w:val="white"/>
        </w:rPr>
        <w:t>(4), pp.497-514.</w:t>
      </w:r>
      <w:r>
        <w:fldChar w:fldCharType="begin"/>
      </w:r>
      <w:r>
        <w:instrText xml:space="preserve"> HYPERLINK "https://unipub.lib.uni-corvinus.hu/8644/" \h </w:instrText>
      </w:r>
      <w:r>
        <w:fldChar w:fldCharType="separate"/>
      </w:r>
      <w:r>
        <w:t xml:space="preserve"> </w:t>
      </w:r>
      <w:r>
        <w:fldChar w:fldCharType="end"/>
      </w:r>
      <w:r>
        <w:fldChar w:fldCharType="begin"/>
      </w:r>
      <w:r>
        <w:instrText xml:space="preserve"> HYPERLINK "https://unipub.lib.uni-corvinus.hu/8644/" \h </w:instrText>
      </w:r>
      <w:r>
        <w:fldChar w:fldCharType="separate"/>
      </w:r>
      <w:r>
        <w:rPr>
          <w:color w:val="1155CC"/>
          <w:highlight w:val="white"/>
          <w:u w:val="single"/>
        </w:rPr>
        <w:t>https://unipub.lib.uni-corvinus.hu/8644/</w:t>
      </w:r>
      <w:r>
        <w:rPr>
          <w:color w:val="1155CC"/>
          <w:highlight w:val="white"/>
          <w:u w:val="single"/>
        </w:rPr>
        <w:fldChar w:fldCharType="end"/>
      </w:r>
    </w:p>
    <w:p>
      <w:pPr>
        <w:spacing w:before="240" w:after="240"/>
        <w:rPr>
          <w:color w:val="1155CC"/>
          <w:highlight w:val="white"/>
          <w:u w:val="single"/>
        </w:rPr>
      </w:pPr>
      <w:r>
        <w:rPr>
          <w:color w:val="222222"/>
          <w:highlight w:val="white"/>
        </w:rPr>
        <w:t xml:space="preserve">Chen, Y., Kumara, E.K. and Sivakumar, V., 2021. Investigation of the finance industry on risk awareness model and digital economic growth. </w:t>
      </w:r>
      <w:r>
        <w:rPr>
          <w:i/>
          <w:color w:val="222222"/>
          <w:highlight w:val="white"/>
        </w:rPr>
        <w:t>Annals of Operations Research</w:t>
      </w:r>
      <w:r>
        <w:rPr>
          <w:color w:val="222222"/>
          <w:highlight w:val="white"/>
        </w:rPr>
        <w:t>, pp.1-22.</w:t>
      </w:r>
      <w:r>
        <w:fldChar w:fldCharType="begin"/>
      </w:r>
      <w:r>
        <w:instrText xml:space="preserve"> HYPERLINK "https://link.springer.com/article/10.1007/s10479-021-04287-7" \h </w:instrText>
      </w:r>
      <w:r>
        <w:fldChar w:fldCharType="separate"/>
      </w:r>
      <w:r>
        <w:t xml:space="preserve"> </w:t>
      </w:r>
      <w:r>
        <w:fldChar w:fldCharType="end"/>
      </w:r>
      <w:r>
        <w:fldChar w:fldCharType="begin"/>
      </w:r>
      <w:r>
        <w:instrText xml:space="preserve"> HYPERLINK "https://link.springer.com/article/10.1007/s10479-021-04287-7" \h </w:instrText>
      </w:r>
      <w:r>
        <w:fldChar w:fldCharType="separate"/>
      </w:r>
      <w:r>
        <w:rPr>
          <w:color w:val="1155CC"/>
          <w:highlight w:val="white"/>
          <w:u w:val="single"/>
        </w:rPr>
        <w:t>https://link.springer.com/article/10.1007/s10479-021-04287-7</w:t>
      </w:r>
      <w:r>
        <w:rPr>
          <w:color w:val="1155CC"/>
          <w:highlight w:val="white"/>
          <w:u w:val="single"/>
        </w:rPr>
        <w:fldChar w:fldCharType="end"/>
      </w:r>
    </w:p>
    <w:p>
      <w:pPr>
        <w:spacing w:before="240" w:after="240"/>
        <w:rPr>
          <w:highlight w:val="white"/>
        </w:rPr>
      </w:pPr>
      <w:r>
        <w:rPr>
          <w:highlight w:val="white"/>
        </w:rPr>
        <w:t>Gurtu</w:t>
      </w:r>
      <w:r>
        <w:rPr>
          <w:highlight w:val="white"/>
        </w:rPr>
        <w:t>, A. and Johny, J. (2021) &amp;</w:t>
      </w:r>
      <w:r>
        <w:rPr>
          <w:highlight w:val="white"/>
        </w:rPr>
        <w:t>apos;Supply</w:t>
      </w:r>
      <w:r>
        <w:rPr>
          <w:highlight w:val="white"/>
        </w:rPr>
        <w:t xml:space="preserve"> Chain Risk Management: Literature Review,&amp;</w:t>
      </w:r>
      <w:r>
        <w:rPr>
          <w:highlight w:val="white"/>
        </w:rPr>
        <w:t>apos</w:t>
      </w:r>
      <w:r>
        <w:rPr>
          <w:highlight w:val="white"/>
        </w:rPr>
        <w:t xml:space="preserve">; </w:t>
      </w:r>
      <w:r>
        <w:rPr>
          <w:i/>
          <w:highlight w:val="white"/>
        </w:rPr>
        <w:t>Risks</w:t>
      </w:r>
      <w:r>
        <w:rPr>
          <w:highlight w:val="white"/>
        </w:rPr>
        <w:t xml:space="preserve">, 9(1), p. 16. </w:t>
      </w:r>
      <w:r>
        <w:fldChar w:fldCharType="begin"/>
      </w:r>
      <w:r>
        <w:instrText xml:space="preserve"> HYPERLINK "https://doi.org/10.3390/risks9010016" \h </w:instrText>
      </w:r>
      <w:r>
        <w:fldChar w:fldCharType="separate"/>
      </w:r>
      <w:r>
        <w:rPr>
          <w:color w:val="1155CC"/>
          <w:highlight w:val="white"/>
          <w:u w:val="single"/>
        </w:rPr>
        <w:t>https://doi.org/10.3390/risks9010016</w:t>
      </w:r>
      <w:r>
        <w:rPr>
          <w:color w:val="1155CC"/>
          <w:highlight w:val="white"/>
          <w:u w:val="single"/>
        </w:rPr>
        <w:fldChar w:fldCharType="end"/>
      </w:r>
      <w:r>
        <w:rPr>
          <w:highlight w:val="white"/>
        </w:rPr>
        <w:t>.</w:t>
      </w:r>
    </w:p>
    <w:p>
      <w:pPr>
        <w:spacing w:before="240" w:after="240"/>
        <w:rPr>
          <w:color w:val="1155CC"/>
          <w:highlight w:val="white"/>
          <w:u w:val="single"/>
        </w:rPr>
      </w:pPr>
      <w:r>
        <w:rPr>
          <w:color w:val="222222"/>
          <w:highlight w:val="white"/>
        </w:rPr>
        <w:t xml:space="preserve">Iskandar, B., Maarif, S. and </w:t>
      </w:r>
      <w:r>
        <w:rPr>
          <w:color w:val="222222"/>
          <w:highlight w:val="white"/>
        </w:rPr>
        <w:t>Ramadyanto</w:t>
      </w:r>
      <w:r>
        <w:rPr>
          <w:color w:val="222222"/>
          <w:highlight w:val="white"/>
        </w:rPr>
        <w:t xml:space="preserve">, W., 2024. Reputational risks management and mitigation: Empirical evidence from the wedding organizer sector. </w:t>
      </w:r>
      <w:r>
        <w:rPr>
          <w:i/>
          <w:color w:val="222222"/>
          <w:highlight w:val="white"/>
        </w:rPr>
        <w:t>Jurnal</w:t>
      </w:r>
      <w:r>
        <w:rPr>
          <w:i/>
          <w:color w:val="222222"/>
          <w:highlight w:val="white"/>
        </w:rPr>
        <w:t xml:space="preserve"> </w:t>
      </w:r>
      <w:r>
        <w:rPr>
          <w:i/>
          <w:color w:val="222222"/>
          <w:highlight w:val="white"/>
        </w:rPr>
        <w:t>Siasat</w:t>
      </w:r>
      <w:r>
        <w:rPr>
          <w:i/>
          <w:color w:val="222222"/>
          <w:highlight w:val="white"/>
        </w:rPr>
        <w:t xml:space="preserve"> </w:t>
      </w:r>
      <w:r>
        <w:rPr>
          <w:i/>
          <w:color w:val="222222"/>
          <w:highlight w:val="white"/>
        </w:rPr>
        <w:t>Bisnis</w:t>
      </w:r>
      <w:r>
        <w:rPr>
          <w:color w:val="222222"/>
          <w:highlight w:val="white"/>
        </w:rPr>
        <w:t>, pp.71-87.</w:t>
      </w:r>
      <w:r>
        <w:fldChar w:fldCharType="begin"/>
      </w:r>
      <w:r>
        <w:instrText xml:space="preserve"> HYPERLINK "https://journal.uii.ac.id/JSB/article/view/31519"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"https://journal.uii.ac.id/JSB/article/view/31519" \h </w:instrText>
      </w:r>
      <w:r>
        <w:fldChar w:fldCharType="separate"/>
      </w:r>
      <w:r>
        <w:rPr>
          <w:color w:val="1155CC"/>
          <w:highlight w:val="white"/>
          <w:u w:val="single"/>
        </w:rPr>
        <w:t>https://journal.uii.ac.id/JSB/article/view/31519</w:t>
      </w:r>
      <w:r>
        <w:rPr>
          <w:color w:val="1155CC"/>
          <w:highlight w:val="white"/>
          <w:u w:val="single"/>
        </w:rPr>
        <w:fldChar w:fldCharType="end"/>
      </w:r>
    </w:p>
    <w:p>
      <w:pPr>
        <w:spacing w:before="240" w:after="240"/>
        <w:rPr>
          <w:highlight w:val="white"/>
        </w:rPr>
      </w:pPr>
      <w:r>
        <w:rPr>
          <w:highlight w:val="white"/>
        </w:rPr>
        <w:t xml:space="preserve">McMaster, M. </w:t>
      </w:r>
      <w:r>
        <w:rPr>
          <w:i/>
          <w:highlight w:val="white"/>
        </w:rPr>
        <w:t>et al.</w:t>
      </w:r>
      <w:r>
        <w:rPr>
          <w:highlight w:val="white"/>
        </w:rPr>
        <w:t xml:space="preserve"> (2020) &amp;</w:t>
      </w:r>
      <w:r>
        <w:rPr>
          <w:highlight w:val="white"/>
        </w:rPr>
        <w:t>apos;Risk</w:t>
      </w:r>
      <w:r>
        <w:rPr>
          <w:highlight w:val="white"/>
        </w:rPr>
        <w:t xml:space="preserve"> Management: Rethinking fashion supply chain management for multinational corporations in light of the COVID-19 outbreak,&amp;</w:t>
      </w:r>
      <w:r>
        <w:rPr>
          <w:highlight w:val="white"/>
        </w:rPr>
        <w:t>apos</w:t>
      </w:r>
      <w:r>
        <w:rPr>
          <w:highlight w:val="white"/>
        </w:rPr>
        <w:t xml:space="preserve">; </w:t>
      </w:r>
      <w:r>
        <w:rPr>
          <w:i/>
          <w:highlight w:val="white"/>
        </w:rPr>
        <w:t>Journal of Risk and Financial Management</w:t>
      </w:r>
      <w:r>
        <w:rPr>
          <w:highlight w:val="white"/>
        </w:rPr>
        <w:t xml:space="preserve">, 13(8), p. 173. </w:t>
      </w:r>
      <w:r>
        <w:fldChar w:fldCharType="begin"/>
      </w:r>
      <w:r>
        <w:instrText xml:space="preserve"> HYPERLINK "https://doi.org/10.3390/jrfm13080173" \h </w:instrText>
      </w:r>
      <w:r>
        <w:fldChar w:fldCharType="separate"/>
      </w:r>
      <w:r>
        <w:rPr>
          <w:color w:val="1155CC"/>
          <w:highlight w:val="white"/>
          <w:u w:val="single"/>
        </w:rPr>
        <w:t>https://doi.org/10.3390/jrfm13080173</w:t>
      </w:r>
      <w:r>
        <w:rPr>
          <w:color w:val="1155CC"/>
          <w:highlight w:val="white"/>
          <w:u w:val="single"/>
        </w:rPr>
        <w:fldChar w:fldCharType="end"/>
      </w:r>
      <w:r>
        <w:rPr>
          <w:highlight w:val="white"/>
        </w:rPr>
        <w:t>.</w:t>
      </w:r>
    </w:p>
    <w:p>
      <w:pPr>
        <w:spacing w:before="240" w:after="240"/>
        <w:rPr>
          <w:highlight w:val="white"/>
        </w:rPr>
      </w:pPr>
      <w:r>
        <w:rPr>
          <w:highlight w:val="white"/>
        </w:rPr>
        <w:t xml:space="preserve">Moffett, M.H., </w:t>
      </w:r>
      <w:r>
        <w:rPr>
          <w:highlight w:val="white"/>
        </w:rPr>
        <w:t>Stonehill</w:t>
      </w:r>
      <w:r>
        <w:rPr>
          <w:highlight w:val="white"/>
        </w:rPr>
        <w:t xml:space="preserve">, A., I. and </w:t>
      </w:r>
      <w:r>
        <w:rPr>
          <w:highlight w:val="white"/>
        </w:rPr>
        <w:t>Eiteman</w:t>
      </w:r>
      <w:r>
        <w:rPr>
          <w:highlight w:val="white"/>
        </w:rPr>
        <w:t xml:space="preserve">, D.K. (2021) </w:t>
      </w:r>
      <w:r>
        <w:rPr>
          <w:i/>
          <w:highlight w:val="white"/>
        </w:rPr>
        <w:t>Fundamentals of multinational finance</w:t>
      </w:r>
      <w:r>
        <w:rPr>
          <w:highlight w:val="white"/>
        </w:rPr>
        <w:t xml:space="preserve">. </w:t>
      </w:r>
      <w:r>
        <w:fldChar w:fldCharType="begin"/>
      </w:r>
      <w:r>
        <w:instrText xml:space="preserve"> HYPERLINK "https://thuvienso.hoasen.edu.vn/handle/123456789/12701" \h </w:instrText>
      </w:r>
      <w:r>
        <w:fldChar w:fldCharType="separate"/>
      </w:r>
      <w:r>
        <w:rPr>
          <w:color w:val="1155CC"/>
          <w:highlight w:val="white"/>
          <w:u w:val="single"/>
        </w:rPr>
        <w:t>https://thuvienso.hoasen.edu.vn/handle/123456789/12701</w:t>
      </w:r>
      <w:r>
        <w:rPr>
          <w:color w:val="1155CC"/>
          <w:highlight w:val="white"/>
          <w:u w:val="single"/>
        </w:rPr>
        <w:fldChar w:fldCharType="end"/>
      </w:r>
      <w:r>
        <w:rPr>
          <w:highlight w:val="white"/>
        </w:rPr>
        <w:t>.</w:t>
      </w:r>
    </w:p>
    <w:p>
      <w:pPr>
        <w:spacing w:before="240" w:after="240"/>
        <w:rPr>
          <w:color w:val="1155CC"/>
          <w:highlight w:val="white"/>
          <w:u w:val="single"/>
        </w:rPr>
      </w:pPr>
      <w:r>
        <w:rPr>
          <w:color w:val="222222"/>
          <w:highlight w:val="white"/>
        </w:rPr>
        <w:t>Mosteanu</w:t>
      </w:r>
      <w:r>
        <w:rPr>
          <w:color w:val="222222"/>
          <w:highlight w:val="white"/>
        </w:rPr>
        <w:t xml:space="preserve">, N.R. and </w:t>
      </w:r>
      <w:r>
        <w:rPr>
          <w:color w:val="222222"/>
          <w:highlight w:val="white"/>
        </w:rPr>
        <w:t>Faccia</w:t>
      </w:r>
      <w:r>
        <w:rPr>
          <w:color w:val="222222"/>
          <w:highlight w:val="white"/>
        </w:rPr>
        <w:t xml:space="preserve">, A., 2020. Digital systems and new challenges of financial management–FinTech, XBRL, blockchain, and cryptocurrencies. </w:t>
      </w:r>
      <w:r>
        <w:rPr>
          <w:i/>
          <w:color w:val="222222"/>
          <w:highlight w:val="white"/>
        </w:rPr>
        <w:t>Quality–Access to Success</w:t>
      </w:r>
      <w:r>
        <w:rPr>
          <w:color w:val="222222"/>
          <w:highlight w:val="white"/>
        </w:rPr>
        <w:t xml:space="preserve">, </w:t>
      </w:r>
      <w:r>
        <w:rPr>
          <w:i/>
          <w:color w:val="222222"/>
          <w:highlight w:val="white"/>
        </w:rPr>
        <w:t>21</w:t>
      </w:r>
      <w:r>
        <w:rPr>
          <w:color w:val="222222"/>
          <w:highlight w:val="white"/>
        </w:rPr>
        <w:t>(174), pp.159-166.</w:t>
      </w:r>
      <w:r>
        <w:fldChar w:fldCharType="begin"/>
      </w:r>
      <w:r>
        <w:instrText xml:space="preserve"> HYPERLINK "https://pureportal.coventry.ac.uk/en/publications/digital-systems-and-new-challenges-of-financial-management-fintec"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"https://pureportal.coventry.ac.uk/en/publications/digital-systems-and-new-challenges-of-financial-management-fintec" \h </w:instrText>
      </w:r>
      <w:r>
        <w:fldChar w:fldCharType="separate"/>
      </w:r>
      <w:r>
        <w:rPr>
          <w:color w:val="1155CC"/>
          <w:highlight w:val="white"/>
          <w:u w:val="single"/>
        </w:rPr>
        <w:t>https://pureportal.coventry.ac.uk/en/publications/digital-systems-and-new-challenges-of-financial-management-fintec</w:t>
      </w:r>
      <w:r>
        <w:rPr>
          <w:color w:val="1155CC"/>
          <w:highlight w:val="white"/>
          <w:u w:val="single"/>
        </w:rPr>
        <w:fldChar w:fldCharType="end"/>
      </w:r>
    </w:p>
    <w:p>
      <w:pPr>
        <w:spacing w:before="240" w:after="240"/>
        <w:rPr>
          <w:color w:val="1155CC"/>
          <w:highlight w:val="white"/>
          <w:u w:val="single"/>
        </w:rPr>
      </w:pPr>
      <w:r>
        <w:rPr>
          <w:color w:val="222222"/>
          <w:highlight w:val="white"/>
        </w:rPr>
        <w:t xml:space="preserve">Park, H. and Kim, J.D., 2020. Transition towards green banking: role of financial regulators and financial institutions. </w:t>
      </w:r>
      <w:r>
        <w:rPr>
          <w:i/>
          <w:color w:val="222222"/>
          <w:highlight w:val="white"/>
        </w:rPr>
        <w:t>Asian Journal of Sustainability and Social Responsibility</w:t>
      </w:r>
      <w:r>
        <w:rPr>
          <w:color w:val="222222"/>
          <w:highlight w:val="white"/>
        </w:rPr>
        <w:t xml:space="preserve">, </w:t>
      </w:r>
      <w:r>
        <w:rPr>
          <w:i/>
          <w:color w:val="222222"/>
          <w:highlight w:val="white"/>
        </w:rPr>
        <w:t>5</w:t>
      </w:r>
      <w:r>
        <w:rPr>
          <w:color w:val="222222"/>
          <w:highlight w:val="white"/>
        </w:rPr>
        <w:t>(1), pp.1-25.</w:t>
      </w:r>
      <w:r>
        <w:fldChar w:fldCharType="begin"/>
      </w:r>
      <w:r>
        <w:instrText xml:space="preserve"> HYPERLINK "https://link.springer.com/article/10.1186/s41180-020-00034-3"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"https://link.springer.com/article/10.1186/s41180-020-00034-3" \h </w:instrText>
      </w:r>
      <w:r>
        <w:fldChar w:fldCharType="separate"/>
      </w:r>
      <w:r>
        <w:rPr>
          <w:color w:val="1155CC"/>
          <w:highlight w:val="white"/>
          <w:u w:val="single"/>
        </w:rPr>
        <w:t>https://link.springer.com/article/10.1186/s41180-020-00034-3</w:t>
      </w:r>
      <w:r>
        <w:rPr>
          <w:color w:val="1155CC"/>
          <w:highlight w:val="white"/>
          <w:u w:val="single"/>
        </w:rPr>
        <w:fldChar w:fldCharType="end"/>
      </w:r>
    </w:p>
    <w:p>
      <w:pPr>
        <w:spacing w:before="240" w:after="240"/>
        <w:rPr>
          <w:highlight w:val="white"/>
        </w:rPr>
      </w:pPr>
      <w:r>
        <w:rPr>
          <w:highlight w:val="white"/>
        </w:rPr>
        <w:t xml:space="preserve">Park, Y.S., </w:t>
      </w:r>
      <w:r>
        <w:rPr>
          <w:highlight w:val="white"/>
        </w:rPr>
        <w:t>Konge</w:t>
      </w:r>
      <w:r>
        <w:rPr>
          <w:highlight w:val="white"/>
        </w:rPr>
        <w:t>, L. and Artino, A.R. (2020) &amp;</w:t>
      </w:r>
      <w:r>
        <w:rPr>
          <w:highlight w:val="white"/>
        </w:rPr>
        <w:t>apos;The</w:t>
      </w:r>
      <w:r>
        <w:rPr>
          <w:highlight w:val="white"/>
        </w:rPr>
        <w:t xml:space="preserve"> positivism paradigm of research,&amp;</w:t>
      </w:r>
      <w:r>
        <w:rPr>
          <w:highlight w:val="white"/>
        </w:rPr>
        <w:t>apos</w:t>
      </w:r>
      <w:r>
        <w:rPr>
          <w:highlight w:val="white"/>
        </w:rPr>
        <w:t xml:space="preserve">; </w:t>
      </w:r>
      <w:r>
        <w:rPr>
          <w:i/>
          <w:highlight w:val="white"/>
        </w:rPr>
        <w:t>Academic Medicine</w:t>
      </w:r>
      <w:r>
        <w:rPr>
          <w:highlight w:val="white"/>
        </w:rPr>
        <w:t xml:space="preserve">, 95(5), pp. 690–694. </w:t>
      </w:r>
      <w:r>
        <w:fldChar w:fldCharType="begin"/>
      </w:r>
      <w:r>
        <w:instrText xml:space="preserve"> HYPERLINK "https://doi.org/10.1097/acm.0000000000003093" \h </w:instrText>
      </w:r>
      <w:r>
        <w:fldChar w:fldCharType="separate"/>
      </w:r>
      <w:r>
        <w:rPr>
          <w:color w:val="1155CC"/>
          <w:highlight w:val="white"/>
          <w:u w:val="single"/>
        </w:rPr>
        <w:t>https://doi.org/10.1097/acm.0000000000003093</w:t>
      </w:r>
      <w:r>
        <w:rPr>
          <w:color w:val="1155CC"/>
          <w:highlight w:val="white"/>
          <w:u w:val="single"/>
        </w:rPr>
        <w:fldChar w:fldCharType="end"/>
      </w:r>
      <w:r>
        <w:rPr>
          <w:highlight w:val="white"/>
        </w:rPr>
        <w:t>.</w:t>
      </w:r>
    </w:p>
    <w:p>
      <w:pPr>
        <w:spacing w:before="240" w:after="240"/>
        <w:rPr>
          <w:color w:val="1155CC"/>
          <w:highlight w:val="white"/>
          <w:u w:val="single"/>
        </w:rPr>
      </w:pPr>
      <w:r>
        <w:rPr>
          <w:color w:val="222222"/>
          <w:highlight w:val="white"/>
        </w:rPr>
        <w:t>Polinkevych</w:t>
      </w:r>
      <w:r>
        <w:rPr>
          <w:color w:val="222222"/>
          <w:highlight w:val="white"/>
        </w:rPr>
        <w:t xml:space="preserve">, O., </w:t>
      </w:r>
      <w:r>
        <w:rPr>
          <w:color w:val="222222"/>
          <w:highlight w:val="white"/>
        </w:rPr>
        <w:t>Khovrak</w:t>
      </w:r>
      <w:r>
        <w:rPr>
          <w:color w:val="222222"/>
          <w:highlight w:val="white"/>
        </w:rPr>
        <w:t xml:space="preserve">, I., </w:t>
      </w:r>
      <w:r>
        <w:rPr>
          <w:color w:val="222222"/>
          <w:highlight w:val="white"/>
        </w:rPr>
        <w:t>Trynchuk</w:t>
      </w:r>
      <w:r>
        <w:rPr>
          <w:color w:val="222222"/>
          <w:highlight w:val="white"/>
        </w:rPr>
        <w:t xml:space="preserve">, V., </w:t>
      </w:r>
      <w:r>
        <w:rPr>
          <w:color w:val="222222"/>
          <w:highlight w:val="white"/>
        </w:rPr>
        <w:t>Klapkiv</w:t>
      </w:r>
      <w:r>
        <w:rPr>
          <w:color w:val="222222"/>
          <w:highlight w:val="white"/>
        </w:rPr>
        <w:t xml:space="preserve">, Y. and Volynets, I., 2021. Business risk management in times of crises and pandemics. </w:t>
      </w:r>
      <w:r>
        <w:rPr>
          <w:i/>
          <w:color w:val="222222"/>
          <w:highlight w:val="white"/>
        </w:rPr>
        <w:t>Montenegrin Journal of Economics</w:t>
      </w:r>
      <w:r>
        <w:rPr>
          <w:color w:val="222222"/>
          <w:highlight w:val="white"/>
        </w:rPr>
        <w:t xml:space="preserve">, </w:t>
      </w:r>
      <w:r>
        <w:rPr>
          <w:i/>
          <w:color w:val="222222"/>
          <w:highlight w:val="white"/>
        </w:rPr>
        <w:t>17</w:t>
      </w:r>
      <w:r>
        <w:rPr>
          <w:color w:val="222222"/>
          <w:highlight w:val="white"/>
        </w:rPr>
        <w:t>(3), pp.99-110.</w:t>
      </w:r>
      <w:r>
        <w:fldChar w:fldCharType="begin"/>
      </w:r>
      <w:r>
        <w:instrText xml:space="preserve"> HYPERLINK "https://vb.mruni.eu/object/elaba:98578018/ATTACHMENT_98578815" \l "page=99"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"https://vb.mruni.eu/object/elaba:98578018/ATTACHMENT_98578815" \l "page=99" \h </w:instrText>
      </w:r>
      <w:r>
        <w:fldChar w:fldCharType="separate"/>
      </w:r>
      <w:r>
        <w:rPr>
          <w:color w:val="1155CC"/>
          <w:highlight w:val="white"/>
          <w:u w:val="single"/>
        </w:rPr>
        <w:t>https://vb.mruni.eu/object/elaba:98578018/ATTACHMENT_98578815#page=99</w:t>
      </w:r>
      <w:r>
        <w:rPr>
          <w:color w:val="1155CC"/>
          <w:highlight w:val="white"/>
          <w:u w:val="single"/>
        </w:rPr>
        <w:fldChar w:fldCharType="end"/>
      </w:r>
    </w:p>
    <w:p>
      <w:pPr>
        <w:spacing w:before="240" w:after="240"/>
        <w:rPr>
          <w:color w:val="1155CC"/>
          <w:highlight w:val="white"/>
          <w:u w:val="single"/>
        </w:rPr>
      </w:pPr>
      <w:r>
        <w:rPr>
          <w:color w:val="222222"/>
          <w:highlight w:val="white"/>
        </w:rPr>
        <w:t>Purnomo</w:t>
      </w:r>
      <w:r>
        <w:rPr>
          <w:color w:val="222222"/>
          <w:highlight w:val="white"/>
        </w:rPr>
        <w:t xml:space="preserve">, B.H., </w:t>
      </w:r>
      <w:r>
        <w:rPr>
          <w:color w:val="222222"/>
          <w:highlight w:val="white"/>
        </w:rPr>
        <w:t>Suryadharma</w:t>
      </w:r>
      <w:r>
        <w:rPr>
          <w:color w:val="222222"/>
          <w:highlight w:val="white"/>
        </w:rPr>
        <w:t xml:space="preserve">, B. and Al-Hakim, R.G., 2021. Risk mitigation analysis in a supply chain of coffee using the house of risk method. </w:t>
      </w:r>
      <w:r>
        <w:rPr>
          <w:i/>
          <w:color w:val="222222"/>
          <w:highlight w:val="white"/>
        </w:rPr>
        <w:t>Industria</w:t>
      </w:r>
      <w:r>
        <w:rPr>
          <w:i/>
          <w:color w:val="222222"/>
          <w:highlight w:val="white"/>
        </w:rPr>
        <w:t xml:space="preserve">: </w:t>
      </w:r>
      <w:r>
        <w:rPr>
          <w:i/>
          <w:color w:val="222222"/>
          <w:highlight w:val="white"/>
        </w:rPr>
        <w:t>Jurnal</w:t>
      </w:r>
      <w:r>
        <w:rPr>
          <w:i/>
          <w:color w:val="222222"/>
          <w:highlight w:val="white"/>
        </w:rPr>
        <w:t xml:space="preserve"> </w:t>
      </w:r>
      <w:r>
        <w:rPr>
          <w:i/>
          <w:color w:val="222222"/>
          <w:highlight w:val="white"/>
        </w:rPr>
        <w:t>Teknologi</w:t>
      </w:r>
      <w:r>
        <w:rPr>
          <w:i/>
          <w:color w:val="222222"/>
          <w:highlight w:val="white"/>
        </w:rPr>
        <w:t xml:space="preserve"> </w:t>
      </w:r>
      <w:r>
        <w:rPr>
          <w:i/>
          <w:color w:val="222222"/>
          <w:highlight w:val="white"/>
        </w:rPr>
        <w:t>dan</w:t>
      </w:r>
      <w:r>
        <w:rPr>
          <w:i/>
          <w:color w:val="222222"/>
          <w:highlight w:val="white"/>
        </w:rPr>
        <w:t xml:space="preserve"> </w:t>
      </w:r>
      <w:r>
        <w:rPr>
          <w:i/>
          <w:color w:val="222222"/>
          <w:highlight w:val="white"/>
        </w:rPr>
        <w:t>Manajemen</w:t>
      </w:r>
      <w:r>
        <w:rPr>
          <w:i/>
          <w:color w:val="222222"/>
          <w:highlight w:val="white"/>
        </w:rPr>
        <w:t xml:space="preserve"> Agroindustri</w:t>
      </w:r>
      <w:r>
        <w:rPr>
          <w:color w:val="222222"/>
          <w:highlight w:val="white"/>
        </w:rPr>
        <w:t xml:space="preserve">, </w:t>
      </w:r>
      <w:r>
        <w:rPr>
          <w:i/>
          <w:color w:val="222222"/>
          <w:highlight w:val="white"/>
        </w:rPr>
        <w:t>10</w:t>
      </w:r>
      <w:r>
        <w:rPr>
          <w:color w:val="222222"/>
          <w:highlight w:val="white"/>
        </w:rPr>
        <w:t>(2), pp.111-124.</w:t>
      </w:r>
      <w:r>
        <w:fldChar w:fldCharType="begin"/>
      </w:r>
      <w:r>
        <w:instrText xml:space="preserve"> HYPERLINK "https://industria.ub.ac.id/index.php/industri/article/view/666"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"https://industria.ub.ac.id/index.php/industri/article/view/666" \h </w:instrText>
      </w:r>
      <w:r>
        <w:fldChar w:fldCharType="separate"/>
      </w:r>
      <w:r>
        <w:rPr>
          <w:color w:val="1155CC"/>
          <w:highlight w:val="white"/>
          <w:u w:val="single"/>
        </w:rPr>
        <w:t>https://industria.ub.ac.id/index.php/industri/article/view/666</w:t>
      </w:r>
      <w:r>
        <w:rPr>
          <w:color w:val="1155CC"/>
          <w:highlight w:val="white"/>
          <w:u w:val="single"/>
        </w:rPr>
        <w:fldChar w:fldCharType="end"/>
      </w:r>
    </w:p>
    <w:p>
      <w:pPr>
        <w:spacing w:before="240" w:after="240"/>
        <w:rPr>
          <w:color w:val="1155CC"/>
          <w:highlight w:val="white"/>
          <w:u w:val="single"/>
        </w:rPr>
      </w:pPr>
      <w:r>
        <w:rPr>
          <w:color w:val="222222"/>
          <w:highlight w:val="white"/>
        </w:rPr>
        <w:t>Sattar</w:t>
      </w:r>
      <w:r>
        <w:rPr>
          <w:color w:val="222222"/>
          <w:highlight w:val="white"/>
        </w:rPr>
        <w:t xml:space="preserve">, M.A., </w:t>
      </w:r>
      <w:r>
        <w:rPr>
          <w:color w:val="222222"/>
          <w:highlight w:val="white"/>
        </w:rPr>
        <w:t>Toseef</w:t>
      </w:r>
      <w:r>
        <w:rPr>
          <w:color w:val="222222"/>
          <w:highlight w:val="white"/>
        </w:rPr>
        <w:t xml:space="preserve">, M. and Sattar, M.F., 2020. </w:t>
      </w:r>
      <w:r>
        <w:rPr>
          <w:color w:val="222222"/>
          <w:highlight w:val="white"/>
        </w:rPr>
        <w:t>Behavioral</w:t>
      </w:r>
      <w:r>
        <w:rPr>
          <w:color w:val="222222"/>
          <w:highlight w:val="white"/>
        </w:rPr>
        <w:t xml:space="preserve"> finance biases in investment decision making. </w:t>
      </w:r>
      <w:r>
        <w:rPr>
          <w:i/>
          <w:color w:val="222222"/>
          <w:highlight w:val="white"/>
        </w:rPr>
        <w:t>International Journal of Accounting, Finance and Risk Management</w:t>
      </w:r>
      <w:r>
        <w:rPr>
          <w:color w:val="222222"/>
          <w:highlight w:val="white"/>
        </w:rPr>
        <w:t xml:space="preserve">, </w:t>
      </w:r>
      <w:r>
        <w:rPr>
          <w:i/>
          <w:color w:val="222222"/>
          <w:highlight w:val="white"/>
        </w:rPr>
        <w:t>5</w:t>
      </w:r>
      <w:r>
        <w:rPr>
          <w:color w:val="222222"/>
          <w:highlight w:val="white"/>
        </w:rPr>
        <w:t>(2), p.69.</w:t>
      </w:r>
      <w:r>
        <w:fldChar w:fldCharType="begin"/>
      </w:r>
      <w:r>
        <w:instrText xml:space="preserve"> HYPERLINK "https://pdfs.semanticscholar.org/64d7/68aa10cc6dbc158cbd4952012d9146eaee9a.pdf"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"https://pdfs.semanticscholar.org/64d7/68aa10cc6dbc158cbd4952012d9146eaee9a.pdf" \h </w:instrText>
      </w:r>
      <w:r>
        <w:fldChar w:fldCharType="separate"/>
      </w:r>
      <w:r>
        <w:rPr>
          <w:color w:val="1155CC"/>
          <w:highlight w:val="white"/>
          <w:u w:val="single"/>
        </w:rPr>
        <w:t>https://pdfs.semanticscholar.org/64d7/68aa10cc6dbc158cbd4952012d9146eaee9a.pdf</w:t>
      </w:r>
      <w:r>
        <w:rPr>
          <w:color w:val="1155CC"/>
          <w:highlight w:val="white"/>
          <w:u w:val="single"/>
        </w:rPr>
        <w:fldChar w:fldCharType="end"/>
      </w:r>
    </w:p>
    <w:p>
      <w:pPr>
        <w:spacing w:before="240" w:after="240"/>
        <w:rPr>
          <w:highlight w:val="white"/>
        </w:rPr>
      </w:pPr>
      <w:r>
        <w:rPr>
          <w:highlight w:val="white"/>
        </w:rPr>
        <w:t>Settembre-Blundo</w:t>
      </w:r>
      <w:r>
        <w:rPr>
          <w:highlight w:val="white"/>
        </w:rPr>
        <w:t xml:space="preserve">, D. </w:t>
      </w:r>
      <w:r>
        <w:rPr>
          <w:i/>
          <w:highlight w:val="white"/>
        </w:rPr>
        <w:t>et al.</w:t>
      </w:r>
      <w:r>
        <w:rPr>
          <w:highlight w:val="white"/>
        </w:rPr>
        <w:t xml:space="preserve"> (2021) &amp;</w:t>
      </w:r>
      <w:r>
        <w:rPr>
          <w:highlight w:val="white"/>
        </w:rPr>
        <w:t>apos;Flexibility</w:t>
      </w:r>
      <w:r>
        <w:rPr>
          <w:highlight w:val="white"/>
        </w:rPr>
        <w:t xml:space="preserve"> and resilience in Corporate decision making: A new Sustainability-Based Risk Management System in uncertain times,&amp;</w:t>
      </w:r>
      <w:r>
        <w:rPr>
          <w:highlight w:val="white"/>
        </w:rPr>
        <w:t>apos</w:t>
      </w:r>
      <w:r>
        <w:rPr>
          <w:highlight w:val="white"/>
        </w:rPr>
        <w:t xml:space="preserve">; </w:t>
      </w:r>
      <w:r>
        <w:rPr>
          <w:i/>
          <w:highlight w:val="white"/>
        </w:rPr>
        <w:t>Global Journal of Flexible Systems Management</w:t>
      </w:r>
      <w:r>
        <w:rPr>
          <w:highlight w:val="white"/>
        </w:rPr>
        <w:t xml:space="preserve">, 22(S2), pp. 107–132. </w:t>
      </w:r>
      <w:r>
        <w:fldChar w:fldCharType="begin"/>
      </w:r>
      <w:r>
        <w:instrText xml:space="preserve"> HYPERLINK "https://doi.org/10.1007/s40171-021-00277-7" \h </w:instrText>
      </w:r>
      <w:r>
        <w:fldChar w:fldCharType="separate"/>
      </w:r>
      <w:r>
        <w:rPr>
          <w:color w:val="1155CC"/>
          <w:highlight w:val="white"/>
          <w:u w:val="single"/>
        </w:rPr>
        <w:t>https://doi.org/10.1007/s40171-021-00277-7</w:t>
      </w:r>
      <w:r>
        <w:rPr>
          <w:color w:val="1155CC"/>
          <w:highlight w:val="white"/>
          <w:u w:val="single"/>
        </w:rPr>
        <w:fldChar w:fldCharType="end"/>
      </w:r>
      <w:r>
        <w:rPr>
          <w:highlight w:val="white"/>
        </w:rPr>
        <w:t>.</w:t>
      </w:r>
    </w:p>
    <w:p>
      <w:pPr>
        <w:spacing w:before="240" w:after="240"/>
        <w:rPr>
          <w:highlight w:val="white"/>
        </w:rPr>
      </w:pPr>
      <w:r>
        <w:rPr>
          <w:color w:val="222222"/>
          <w:highlight w:val="white"/>
        </w:rPr>
        <w:t xml:space="preserve">Siddiqui, K., 2021. The Bilateral Swap Agreements, Chinese Currency, and the Demise of the US Dollar. </w:t>
      </w:r>
      <w:r>
        <w:rPr>
          <w:i/>
          <w:color w:val="222222"/>
          <w:highlight w:val="white"/>
        </w:rPr>
        <w:t>World</w:t>
      </w:r>
      <w:r>
        <w:rPr>
          <w:color w:val="222222"/>
          <w:highlight w:val="white"/>
        </w:rPr>
        <w:t>.</w:t>
      </w:r>
      <w:r>
        <w:fldChar w:fldCharType="begin"/>
      </w:r>
      <w:r>
        <w:instrText xml:space="preserve"> HYPERLINK "https://www.researchgate.net/profile/Kalim-Siddiqui/publication/354967881_2021_The_Bilateral_Swap_Agreements_Chinese_Currency_and_the_Demise_of_the_US_Dollar/links/6155f8b6e7bb415a5d43954f/2021-The-Bilateral-Swap-Agreements-Chinese-Currency-and-the-Demise-of-the-US-Dollar.pdf"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"https://www.researchgate.net/profile/Kalim-Siddiqui/publication/354967881_2021_The_Bilateral_Swap_Agreements_Chinese_Currency_and_the_Demise_of_the_US_Dollar/links/6155f8b6e7bb415a5d43954f/2021-The-Bilateral-Swap-Agreements-Chinese-Currency-and-the-Demise-of-the-US-Dollar.pdf" \h </w:instrText>
      </w:r>
      <w:r>
        <w:fldChar w:fldCharType="separate"/>
      </w:r>
      <w:r>
        <w:rPr>
          <w:color w:val="1155CC"/>
          <w:highlight w:val="white"/>
          <w:u w:val="single"/>
        </w:rPr>
        <w:t>https://www.researchgate.net/profile/Kalim-Siddiqui/publication/354967881_2021_The_Bilateral_Swap_Agreements_Chinese_Currency_and_the_Demise_of_the_US_Dollar/links/6155f8b6e7bb415a5d43954f/2021-The-Bilateral-Swap-Agreements-Chinese-Currency-and-the-Demise-of-the-US-Dollar.pdf</w:t>
      </w:r>
      <w:r>
        <w:rPr>
          <w:color w:val="1155CC"/>
          <w:highlight w:val="white"/>
          <w:u w:val="single"/>
        </w:rPr>
        <w:fldChar w:fldCharType="end"/>
      </w:r>
    </w:p>
    <w:p>
      <w:pPr>
        <w:spacing w:before="240" w:after="240"/>
        <w:rPr>
          <w:highlight w:val="white"/>
        </w:rPr>
      </w:pPr>
      <w:r>
        <w:rPr>
          <w:highlight w:val="white"/>
        </w:rPr>
        <w:t>Uchehara</w:t>
      </w:r>
      <w:r>
        <w:rPr>
          <w:highlight w:val="white"/>
        </w:rPr>
        <w:t xml:space="preserve">, I. </w:t>
      </w:r>
      <w:r>
        <w:rPr>
          <w:i/>
          <w:highlight w:val="white"/>
        </w:rPr>
        <w:t>et al.</w:t>
      </w:r>
      <w:r>
        <w:rPr>
          <w:highlight w:val="white"/>
        </w:rPr>
        <w:t xml:space="preserve"> (2020) </w:t>
      </w:r>
      <w:r>
        <w:rPr>
          <w:i/>
          <w:highlight w:val="white"/>
        </w:rPr>
        <w:t>Impacts and risk management of COVID-19 pandemic on real estate supply chain.</w:t>
      </w:r>
      <w:r>
        <w:rPr>
          <w:highlight w:val="white"/>
        </w:rPr>
        <w:t xml:space="preserve"> </w:t>
      </w:r>
      <w:r>
        <w:fldChar w:fldCharType="begin"/>
      </w:r>
      <w:r>
        <w:instrText xml:space="preserve"> HYPERLINK "https://rgu-repository.worktribe.com/output/998637/impacts-and-risk-management-of-covid-19-pandemic-on-real-estate-supply-chain" \h </w:instrText>
      </w:r>
      <w:r>
        <w:fldChar w:fldCharType="separate"/>
      </w:r>
      <w:r>
        <w:rPr>
          <w:color w:val="1155CC"/>
          <w:highlight w:val="white"/>
          <w:u w:val="single"/>
        </w:rPr>
        <w:t>https://rgu-repository.worktribe.com/output/998637/impacts-and-risk-management-of-covid-19-pandemic-on-real-estate-supply-chain</w:t>
      </w:r>
      <w:r>
        <w:rPr>
          <w:color w:val="1155CC"/>
          <w:highlight w:val="white"/>
          <w:u w:val="single"/>
        </w:rPr>
        <w:fldChar w:fldCharType="end"/>
      </w:r>
      <w:r>
        <w:rPr>
          <w:highlight w:val="white"/>
        </w:rPr>
        <w:t>.</w:t>
      </w:r>
    </w:p>
    <w:p>
      <w:pPr>
        <w:spacing w:before="240" w:after="240"/>
        <w:rPr>
          <w:highlight w:val="white"/>
        </w:rPr>
      </w:pPr>
      <w:r>
        <w:rPr>
          <w:highlight w:val="white"/>
        </w:rPr>
        <w:t>Wieczorek-Kosmala, M. (2021) &amp;</w:t>
      </w:r>
      <w:r>
        <w:rPr>
          <w:highlight w:val="white"/>
        </w:rPr>
        <w:t>apos;COVID</w:t>
      </w:r>
      <w:r>
        <w:rPr>
          <w:highlight w:val="white"/>
        </w:rPr>
        <w:t>-19 impact on the hospitality industry: Exploratory study of financial-slack-driven risk preparedness,&amp;</w:t>
      </w:r>
      <w:r>
        <w:rPr>
          <w:highlight w:val="white"/>
        </w:rPr>
        <w:t>apos</w:t>
      </w:r>
      <w:r>
        <w:rPr>
          <w:highlight w:val="white"/>
        </w:rPr>
        <w:t xml:space="preserve">; </w:t>
      </w:r>
      <w:r>
        <w:rPr>
          <w:i/>
          <w:highlight w:val="white"/>
        </w:rPr>
        <w:t>International Journal of Hospitality Management</w:t>
      </w:r>
      <w:r>
        <w:rPr>
          <w:highlight w:val="white"/>
        </w:rPr>
        <w:t xml:space="preserve">, 94, p. 102799. </w:t>
      </w:r>
      <w:r>
        <w:fldChar w:fldCharType="begin"/>
      </w:r>
      <w:r>
        <w:instrText xml:space="preserve"> HYPERLINK "https://doi.org/10.1016/j.ijhm.2020.102799" </w:instrText>
      </w:r>
      <w:r>
        <w:fldChar w:fldCharType="separate"/>
      </w:r>
      <w:r>
        <w:rPr>
          <w:rStyle w:val="15"/>
          <w:highlight w:val="white"/>
        </w:rPr>
        <w:t>https://doi.org/10.1016/j.ijhm.2020.102799</w:t>
      </w:r>
      <w:r>
        <w:rPr>
          <w:rStyle w:val="15"/>
          <w:highlight w:val="white"/>
        </w:rPr>
        <w:fldChar w:fldCharType="end"/>
      </w:r>
      <w:r>
        <w:rPr>
          <w:highlight w:val="white"/>
        </w:rPr>
        <w:t>.</w:t>
      </w:r>
    </w:p>
    <w:p>
      <w:pPr>
        <w:spacing w:before="240" w:after="240"/>
        <w:rPr>
          <w:highlight w:val="white"/>
        </w:rPr>
      </w:pPr>
    </w:p>
    <w:p>
      <w:pPr>
        <w:spacing w:before="240" w:after="240"/>
        <w:rPr>
          <w:highlight w:val="white"/>
        </w:rPr>
      </w:pPr>
    </w:p>
    <w:p>
      <w:pPr/>
    </w:p>
    <w:p>
      <w:pPr/>
    </w:p>
    <w:sectPr>
      <w:footerReference r:id="rId3"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Calibri Light">
    <w:panose1 w:val="020F0302020204030204"/>
    <w:charset w:val="00"/>
    <w:family w:val="swiss"/>
    <w:pitch w:val="default"/>
    <w:sig w:usb0="00000000" w:usb1="00000000" w:usb2="00000009" w:usb3="00000000" w:csb0="000001FF" w:csb1="00000000"/>
  </w:font>
  <w:font w:name="Georgia">
    <w:panose1 w:val="02040502050405020303"/>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2623195"/>
    </w:sdtPr>
    <w:sdtContent>
      <w:sdt>
        <w:sdtPr>
          <w:id w:val="-1769616900"/>
        </w:sdtPr>
        <w:sdtContent>
          <w:p>
            <w:pPr>
              <w:pStyle w:val="9"/>
              <w:jc w:val="right"/>
            </w:pPr>
            <w:r>
              <w:t xml:space="preserve">Page </w:t>
            </w:r>
            <w:r>
              <w:rPr>
                <w:b/>
                <w:bCs/>
              </w:rPr>
              <w:fldChar w:fldCharType="begin"/>
            </w:r>
            <w:r>
              <w:rPr>
                <w:b/>
                <w:bCs/>
              </w:rPr>
              <w:instrText xml:space="preserve"> PAGE </w:instrText>
            </w:r>
            <w:r>
              <w:rPr>
                <w:b/>
                <w:bCs/>
              </w:rPr>
              <w:fldChar w:fldCharType="separate"/>
            </w:r>
            <w:r>
              <w:rPr>
                <w:b/>
                <w:bCs/>
              </w:rPr>
              <w:t>10</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11</w:t>
            </w:r>
            <w:r>
              <w:rPr>
                <w:b/>
                <w:bCs/>
              </w:rPr>
              <w:fldChar w:fldCharType="end"/>
            </w:r>
          </w:p>
        </w:sdtContent>
      </w:sdt>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277B6"/>
    <w:multiLevelType w:val="multilevel"/>
    <w:tmpl w:val="1DB277B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458547A6"/>
    <w:multiLevelType w:val="multilevel"/>
    <w:tmpl w:val="458547A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imes New Roman" w:cs="Times New Roman"/>
      <w:kern w:val="0"/>
      <w:sz w:val="24"/>
      <w:szCs w:val="24"/>
      <w:lang w:val="en-GB" w:eastAsia="en-IN" w:bidi="ar-SA"/>
      <w14:ligatures w14:val="none"/>
    </w:rPr>
  </w:style>
  <w:style w:type="paragraph" w:styleId="2">
    <w:name w:val="heading 1"/>
    <w:basedOn w:val="1"/>
    <w:next w:val="1"/>
    <w:link w:val="20"/>
    <w:qFormat/>
    <w:uiPriority w:val="9"/>
    <w:pPr>
      <w:keepNext/>
      <w:keepLines/>
      <w:spacing w:before="240"/>
      <w:outlineLvl w:val="0"/>
    </w:pPr>
    <w:rPr>
      <w:rFonts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24"/>
    <w:unhideWhenUsed/>
    <w:qFormat/>
    <w:uiPriority w:val="9"/>
    <w:pPr>
      <w:keepNext/>
      <w:keepLines/>
      <w:spacing w:before="40"/>
      <w:outlineLvl w:val="1"/>
    </w:pPr>
    <w:rPr>
      <w:rFonts w:eastAsiaTheme="majorEastAsia" w:cstheme="majorBidi"/>
      <w:b/>
      <w:color w:val="000000" w:themeColor="text1"/>
      <w:sz w:val="26"/>
      <w:szCs w:val="26"/>
      <w14:textFill>
        <w14:solidFill>
          <w14:schemeClr w14:val="tx1"/>
        </w14:solidFill>
      </w14:textFill>
    </w:rPr>
  </w:style>
  <w:style w:type="paragraph" w:styleId="4">
    <w:name w:val="heading 3"/>
    <w:basedOn w:val="1"/>
    <w:next w:val="1"/>
    <w:link w:val="27"/>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paragraph" w:styleId="5">
    <w:name w:val="heading 4"/>
    <w:basedOn w:val="1"/>
    <w:next w:val="1"/>
    <w:link w:val="28"/>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29"/>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30"/>
    <w:unhideWhenUsed/>
    <w:qFormat/>
    <w:uiPriority w:val="9"/>
    <w:pPr>
      <w:keepNext/>
      <w:keepLines/>
      <w:spacing w:before="40"/>
      <w:outlineLvl w:val="5"/>
    </w:pPr>
    <w:rPr>
      <w:rFonts w:asciiTheme="majorHAnsi" w:hAnsiTheme="majorHAnsi" w:eastAsiaTheme="majorEastAsia" w:cstheme="majorBidi"/>
      <w:color w:val="203864" w:themeColor="accent1" w:themeShade="80"/>
    </w:rPr>
  </w:style>
  <w:style w:type="character" w:default="1" w:styleId="14">
    <w:name w:val="Default Paragraph Font"/>
    <w:unhideWhenUsed/>
    <w:uiPriority w:val="1"/>
  </w:style>
  <w:style w:type="table" w:default="1" w:styleId="16">
    <w:name w:val="Normal Table"/>
    <w:unhideWhenUsed/>
    <w:uiPriority w:val="99"/>
    <w:tblPr>
      <w:tblLayout w:type="fixed"/>
      <w:tblCellMar>
        <w:top w:w="0" w:type="dxa"/>
        <w:left w:w="108" w:type="dxa"/>
        <w:bottom w:w="0" w:type="dxa"/>
        <w:right w:w="108" w:type="dxa"/>
      </w:tblCellMar>
    </w:tblPr>
  </w:style>
  <w:style w:type="paragraph" w:styleId="8">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9">
    <w:name w:val="footer"/>
    <w:basedOn w:val="1"/>
    <w:link w:val="19"/>
    <w:unhideWhenUsed/>
    <w:uiPriority w:val="99"/>
    <w:pPr>
      <w:tabs>
        <w:tab w:val="center" w:pos="4513"/>
        <w:tab w:val="right" w:pos="9026"/>
      </w:tabs>
      <w:spacing w:line="240" w:lineRule="auto"/>
    </w:pPr>
  </w:style>
  <w:style w:type="paragraph" w:styleId="10">
    <w:name w:val="header"/>
    <w:basedOn w:val="1"/>
    <w:link w:val="18"/>
    <w:unhideWhenUsed/>
    <w:uiPriority w:val="99"/>
    <w:pPr>
      <w:tabs>
        <w:tab w:val="center" w:pos="4513"/>
        <w:tab w:val="right" w:pos="9026"/>
      </w:tabs>
      <w:spacing w:line="240" w:lineRule="auto"/>
    </w:pPr>
  </w:style>
  <w:style w:type="paragraph" w:styleId="11">
    <w:name w:val="Normal (Web)"/>
    <w:basedOn w:val="1"/>
    <w:unhideWhenUsed/>
    <w:uiPriority w:val="99"/>
    <w:pPr>
      <w:spacing w:before="100" w:beforeAutospacing="1" w:after="100" w:afterAutospacing="1" w:line="240" w:lineRule="auto"/>
    </w:pPr>
    <w:rPr>
      <w:lang w:val="en-IN"/>
    </w:rPr>
  </w:style>
  <w:style w:type="paragraph" w:styleId="12">
    <w:name w:val="toc 1"/>
    <w:basedOn w:val="1"/>
    <w:next w:val="1"/>
    <w:unhideWhenUsed/>
    <w:uiPriority w:val="39"/>
    <w:pPr>
      <w:spacing w:after="100"/>
    </w:pPr>
  </w:style>
  <w:style w:type="paragraph" w:styleId="13">
    <w:name w:val="toc 2"/>
    <w:basedOn w:val="1"/>
    <w:next w:val="1"/>
    <w:unhideWhenUsed/>
    <w:uiPriority w:val="39"/>
    <w:pPr>
      <w:spacing w:after="100"/>
      <w:ind w:left="220"/>
    </w:pPr>
  </w:style>
  <w:style w:type="character" w:styleId="15">
    <w:name w:val="Hyperlink"/>
    <w:basedOn w:val="14"/>
    <w:unhideWhenUsed/>
    <w:uiPriority w:val="99"/>
    <w:rPr>
      <w:color w:val="0563C1" w:themeColor="hyperlink"/>
      <w:u w:val="single"/>
      <w14:textFill>
        <w14:solidFill>
          <w14:schemeClr w14:val="hlink"/>
        </w14:solidFill>
      </w14:textFill>
    </w:rPr>
  </w:style>
  <w:style w:type="table" w:styleId="17">
    <w:name w:val="Table Grid"/>
    <w:basedOn w:val="16"/>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Header Char"/>
    <w:basedOn w:val="14"/>
    <w:link w:val="10"/>
    <w:uiPriority w:val="99"/>
    <w:rPr>
      <w:lang w:val="en-GB"/>
    </w:rPr>
  </w:style>
  <w:style w:type="character" w:customStyle="1" w:styleId="19">
    <w:name w:val="Footer Char"/>
    <w:basedOn w:val="14"/>
    <w:link w:val="9"/>
    <w:uiPriority w:val="99"/>
    <w:rPr>
      <w:lang w:val="en-GB"/>
    </w:rPr>
  </w:style>
  <w:style w:type="character" w:customStyle="1" w:styleId="20">
    <w:name w:val="Heading 1 Char"/>
    <w:basedOn w:val="14"/>
    <w:link w:val="2"/>
    <w:uiPriority w:val="9"/>
    <w:rPr>
      <w:rFonts w:ascii="Times New Roman" w:hAnsi="Times New Roman" w:eastAsiaTheme="majorEastAsia" w:cstheme="majorBidi"/>
      <w:b/>
      <w:color w:val="000000" w:themeColor="text1"/>
      <w:sz w:val="28"/>
      <w:szCs w:val="32"/>
      <w:lang w:val="en-GB"/>
      <w14:textFill>
        <w14:solidFill>
          <w14:schemeClr w14:val="tx1"/>
        </w14:solidFill>
      </w14:textFill>
    </w:rPr>
  </w:style>
  <w:style w:type="character" w:customStyle="1" w:styleId="21">
    <w:name w:val="Unresolved Mention"/>
    <w:basedOn w:val="14"/>
    <w:unhideWhenUsed/>
    <w:uiPriority w:val="99"/>
    <w:rPr>
      <w:color w:val="605E5C"/>
      <w:shd w:val="clear" w:color="auto" w:fill="E1DFDD"/>
    </w:rPr>
  </w:style>
  <w:style w:type="character" w:customStyle="1" w:styleId="22">
    <w:name w:val="Placeholder Text"/>
    <w:basedOn w:val="14"/>
    <w:semiHidden/>
    <w:uiPriority w:val="99"/>
    <w:rPr>
      <w:color w:val="808080"/>
    </w:rPr>
  </w:style>
  <w:style w:type="paragraph" w:customStyle="1" w:styleId="23">
    <w:name w:val="TOC Heading"/>
    <w:basedOn w:val="2"/>
    <w:next w:val="1"/>
    <w:unhideWhenUsed/>
    <w:qFormat/>
    <w:uiPriority w:val="39"/>
    <w:pPr>
      <w:outlineLvl w:val="9"/>
    </w:pPr>
    <w:rPr>
      <w:lang w:val="en-US"/>
    </w:rPr>
  </w:style>
  <w:style w:type="character" w:customStyle="1" w:styleId="24">
    <w:name w:val="Heading 2 Char"/>
    <w:basedOn w:val="14"/>
    <w:link w:val="3"/>
    <w:uiPriority w:val="9"/>
    <w:rPr>
      <w:rFonts w:ascii="Times New Roman" w:hAnsi="Times New Roman" w:eastAsiaTheme="majorEastAsia" w:cstheme="majorBidi"/>
      <w:b/>
      <w:color w:val="000000" w:themeColor="text1"/>
      <w:sz w:val="26"/>
      <w:szCs w:val="26"/>
      <w:lang w:val="en-GB"/>
      <w14:textFill>
        <w14:solidFill>
          <w14:schemeClr w14:val="tx1"/>
        </w14:solidFill>
      </w14:textFill>
    </w:rPr>
  </w:style>
  <w:style w:type="character" w:customStyle="1" w:styleId="25">
    <w:name w:val="url"/>
    <w:basedOn w:val="14"/>
    <w:uiPriority w:val="0"/>
  </w:style>
  <w:style w:type="paragraph" w:customStyle="1" w:styleId="26">
    <w:name w:val="No Spacing"/>
    <w:qFormat/>
    <w:uiPriority w:val="1"/>
    <w:pPr>
      <w:spacing w:after="0" w:line="240" w:lineRule="auto"/>
      <w:jc w:val="both"/>
    </w:pPr>
    <w:rPr>
      <w:rFonts w:ascii="Times New Roman" w:hAnsi="Times New Roman" w:eastAsia="Times New Roman" w:cs="Times New Roman"/>
      <w:kern w:val="0"/>
      <w:sz w:val="24"/>
      <w:szCs w:val="24"/>
      <w:lang w:val="en-GB" w:eastAsia="en-IN" w:bidi="ar-SA"/>
      <w14:ligatures w14:val="none"/>
    </w:rPr>
  </w:style>
  <w:style w:type="character" w:customStyle="1" w:styleId="27">
    <w:name w:val="Heading 3 Char"/>
    <w:basedOn w:val="14"/>
    <w:link w:val="4"/>
    <w:semiHidden/>
    <w:uiPriority w:val="9"/>
    <w:rPr>
      <w:rFonts w:asciiTheme="majorHAnsi" w:hAnsiTheme="majorHAnsi" w:eastAsiaTheme="majorEastAsia" w:cstheme="majorBidi"/>
      <w:color w:val="203864" w:themeColor="accent1" w:themeShade="80"/>
      <w:kern w:val="0"/>
      <w:sz w:val="24"/>
      <w:szCs w:val="24"/>
      <w:lang w:val="en-GB" w:eastAsia="en-IN"/>
      <w14:ligatures w14:val="none"/>
    </w:rPr>
  </w:style>
  <w:style w:type="character" w:customStyle="1" w:styleId="28">
    <w:name w:val="Heading 4 Char"/>
    <w:basedOn w:val="14"/>
    <w:link w:val="5"/>
    <w:semiHidden/>
    <w:uiPriority w:val="9"/>
    <w:rPr>
      <w:rFonts w:asciiTheme="majorHAnsi" w:hAnsiTheme="majorHAnsi" w:eastAsiaTheme="majorEastAsia" w:cstheme="majorBidi"/>
      <w:i/>
      <w:iCs/>
      <w:color w:val="2F5597" w:themeColor="accent1" w:themeShade="BF"/>
      <w:kern w:val="0"/>
      <w:sz w:val="24"/>
      <w:szCs w:val="24"/>
      <w:lang w:val="en-GB" w:eastAsia="en-IN"/>
      <w14:ligatures w14:val="none"/>
    </w:rPr>
  </w:style>
  <w:style w:type="character" w:customStyle="1" w:styleId="29">
    <w:name w:val="Heading 5 Char"/>
    <w:basedOn w:val="14"/>
    <w:link w:val="6"/>
    <w:semiHidden/>
    <w:uiPriority w:val="9"/>
    <w:rPr>
      <w:rFonts w:asciiTheme="majorHAnsi" w:hAnsiTheme="majorHAnsi" w:eastAsiaTheme="majorEastAsia" w:cstheme="majorBidi"/>
      <w:color w:val="2F5597" w:themeColor="accent1" w:themeShade="BF"/>
      <w:kern w:val="0"/>
      <w:sz w:val="24"/>
      <w:szCs w:val="24"/>
      <w:lang w:val="en-GB" w:eastAsia="en-IN"/>
      <w14:ligatures w14:val="none"/>
    </w:rPr>
  </w:style>
  <w:style w:type="character" w:customStyle="1" w:styleId="30">
    <w:name w:val="Heading 6 Char"/>
    <w:basedOn w:val="14"/>
    <w:link w:val="7"/>
    <w:semiHidden/>
    <w:uiPriority w:val="9"/>
    <w:rPr>
      <w:rFonts w:asciiTheme="majorHAnsi" w:hAnsiTheme="majorHAnsi" w:eastAsiaTheme="majorEastAsia" w:cstheme="majorBidi"/>
      <w:color w:val="203864" w:themeColor="accent1" w:themeShade="80"/>
      <w:kern w:val="0"/>
      <w:sz w:val="24"/>
      <w:szCs w:val="24"/>
      <w:lang w:val="en-GB" w:eastAsia="en-IN"/>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2609</Words>
  <Characters>16597</Characters>
  <Lines>263</Lines>
  <Paragraphs>66</Paragraphs>
  <ScaleCrop>false</ScaleCrop>
  <LinksUpToDate>false</LinksUpToDate>
  <CharactersWithSpaces>19144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ANTARA SINGHA</dc:creator>
  <cp:lastModifiedBy>iPhone</cp:lastModifiedBy>
  <dcterms:modified xsi:type="dcterms:W3CDTF">2024-03-30T12:32:16Z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c21774c08559fd1a98a0001fd2794d1e9fe529143f99192b06760dad195111f2</vt:lpwstr>
  </property>
  <property fmtid="{D5CDD505-2E9C-101B-9397-08002B2CF9AE}" pid="3" name="ICV">
    <vt:lpwstr>DDA841BD4415786C8C040866EB52DAD6_33</vt:lpwstr>
  </property>
  <property fmtid="{D5CDD505-2E9C-101B-9397-08002B2CF9AE}" pid="4" name="KSOProductBuildVer">
    <vt:lpwstr>3081-11.33.82</vt:lpwstr>
  </property>
</Properties>
</file>